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emf" ContentType="image/x-emf"/>
  <Default Extension="jpeg" ContentType="image/jpeg"/>
  <Default Extension="JPG" ContentType="image/.jp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40" w:lineRule="auto"/>
        <w:ind w:firstLine="0" w:firstLineChars="0"/>
        <w:jc w:val="center"/>
        <w:rPr>
          <w:rFonts w:hint="default" w:ascii="Arial" w:hAnsi="Arial" w:eastAsia="宋体" w:cs="Arial"/>
          <w:color w:val="auto"/>
          <w:highlight w:val="none"/>
        </w:rPr>
      </w:pPr>
    </w:p>
    <w:p>
      <w:pPr>
        <w:spacing w:line="240" w:lineRule="auto"/>
        <w:ind w:firstLine="0" w:firstLineChars="0"/>
        <w:jc w:val="center"/>
        <w:rPr>
          <w:rFonts w:hint="default" w:ascii="Arial" w:hAnsi="Arial" w:eastAsia="宋体" w:cs="Arial"/>
          <w:color w:val="auto"/>
          <w:highlight w:val="none"/>
        </w:rPr>
      </w:pPr>
    </w:p>
    <w:p>
      <w:pPr>
        <w:spacing w:line="240" w:lineRule="auto"/>
        <w:ind w:firstLine="0" w:firstLineChars="0"/>
        <w:jc w:val="center"/>
        <w:rPr>
          <w:rFonts w:hint="default" w:ascii="Arial" w:hAnsi="Arial" w:eastAsia="宋体" w:cs="Arial"/>
          <w:color w:val="auto"/>
          <w:highlight w:val="none"/>
        </w:rPr>
      </w:pPr>
    </w:p>
    <w:p>
      <w:pPr>
        <w:spacing w:line="240" w:lineRule="auto"/>
        <w:ind w:firstLine="0" w:firstLineChars="0"/>
        <w:jc w:val="center"/>
        <w:rPr>
          <w:rFonts w:hint="default" w:ascii="Arial" w:hAnsi="Arial" w:eastAsia="宋体" w:cs="Arial"/>
          <w:bCs/>
          <w:color w:val="auto"/>
          <w:sz w:val="36"/>
          <w:szCs w:val="36"/>
          <w:highlight w:val="none"/>
        </w:rPr>
      </w:pPr>
    </w:p>
    <w:p>
      <w:pPr>
        <w:spacing w:line="240" w:lineRule="auto"/>
        <w:ind w:firstLine="0" w:firstLineChars="0"/>
        <w:jc w:val="center"/>
        <w:rPr>
          <w:rFonts w:hint="default" w:ascii="Arial" w:hAnsi="Arial" w:eastAsia="宋体" w:cs="Arial"/>
          <w:bCs/>
          <w:color w:val="auto"/>
          <w:sz w:val="36"/>
          <w:szCs w:val="36"/>
          <w:highlight w:val="none"/>
        </w:rPr>
      </w:pPr>
    </w:p>
    <w:p>
      <w:pPr>
        <w:spacing w:line="240" w:lineRule="auto"/>
        <w:ind w:firstLine="0" w:firstLineChars="0"/>
        <w:jc w:val="center"/>
        <w:rPr>
          <w:rFonts w:hint="default" w:ascii="Arial" w:hAnsi="Arial" w:eastAsia="宋体" w:cs="Arial"/>
          <w:bCs/>
          <w:color w:val="auto"/>
          <w:sz w:val="36"/>
          <w:szCs w:val="36"/>
          <w:highlight w:val="none"/>
        </w:rPr>
      </w:pPr>
    </w:p>
    <w:p>
      <w:pPr>
        <w:spacing w:line="360" w:lineRule="auto"/>
        <w:ind w:firstLine="0" w:firstLineChars="0"/>
        <w:jc w:val="center"/>
        <w:rPr>
          <w:rFonts w:hint="default" w:ascii="Arial" w:hAnsi="Arial" w:eastAsia="宋体" w:cs="Arial"/>
          <w:b/>
          <w:bCs/>
          <w:color w:val="auto"/>
          <w:spacing w:val="-4"/>
          <w:sz w:val="52"/>
          <w:szCs w:val="52"/>
          <w:highlight w:val="none"/>
        </w:rPr>
      </w:pPr>
      <w:r>
        <w:rPr>
          <w:rFonts w:hint="default" w:ascii="Arial" w:hAnsi="Arial" w:eastAsia="宋体" w:cs="Arial"/>
          <w:b/>
          <w:bCs/>
          <w:color w:val="auto"/>
          <w:spacing w:val="-4"/>
          <w:sz w:val="52"/>
          <w:szCs w:val="52"/>
          <w:highlight w:val="none"/>
          <w:lang w:eastAsia="zh-CN"/>
        </w:rPr>
        <w:t>五原县天吉泰镇宏腾肉牛养殖示范基地建设项目</w:t>
      </w:r>
    </w:p>
    <w:p>
      <w:pPr>
        <w:spacing w:line="240" w:lineRule="auto"/>
        <w:ind w:firstLine="0" w:firstLineChars="0"/>
        <w:jc w:val="center"/>
        <w:rPr>
          <w:rFonts w:hint="default" w:ascii="Arial" w:hAnsi="Arial" w:eastAsia="宋体" w:cs="Arial"/>
          <w:color w:val="auto"/>
          <w:sz w:val="72"/>
          <w:szCs w:val="72"/>
          <w:highlight w:val="none"/>
        </w:rPr>
      </w:pPr>
      <w:r>
        <w:rPr>
          <w:rFonts w:hint="default" w:ascii="Arial" w:hAnsi="Arial" w:eastAsia="宋体" w:cs="Arial"/>
          <w:color w:val="auto"/>
          <w:spacing w:val="46"/>
          <w:sz w:val="96"/>
          <w:szCs w:val="96"/>
          <w:highlight w:val="none"/>
        </w:rPr>
        <w:t>环境影响报告书</w:t>
      </w:r>
    </w:p>
    <w:p>
      <w:pPr>
        <w:keepNext w:val="0"/>
        <w:keepLines w:val="0"/>
        <w:pageBreakBefore w:val="0"/>
        <w:widowControl w:val="0"/>
        <w:kinsoku/>
        <w:wordWrap/>
        <w:overflowPunct/>
        <w:topLinePunct/>
        <w:autoSpaceDE w:val="0"/>
        <w:autoSpaceDN/>
        <w:bidi w:val="0"/>
        <w:adjustRightInd/>
        <w:snapToGrid/>
        <w:ind w:firstLine="0" w:firstLineChars="0"/>
        <w:jc w:val="center"/>
        <w:textAlignment w:val="auto"/>
        <w:outlineLvl w:val="0"/>
        <w:rPr>
          <w:rFonts w:hint="default" w:ascii="Arial" w:hAnsi="Arial" w:eastAsia="宋体" w:cs="Arial"/>
          <w:b/>
          <w:color w:val="auto"/>
          <w:sz w:val="32"/>
          <w:szCs w:val="32"/>
          <w:highlight w:val="none"/>
        </w:rPr>
      </w:pPr>
      <w:bookmarkStart w:id="0" w:name="_Toc9908"/>
      <w:bookmarkStart w:id="1" w:name="_Toc521341561"/>
      <w:bookmarkStart w:id="2" w:name="_Toc8121"/>
      <w:bookmarkStart w:id="3" w:name="_Toc518568235"/>
      <w:bookmarkStart w:id="4" w:name="_Toc47981266"/>
      <w:bookmarkStart w:id="5" w:name="_Toc48828683"/>
      <w:bookmarkStart w:id="6" w:name="_Toc47034408"/>
      <w:bookmarkStart w:id="7" w:name="_Toc48918339"/>
      <w:bookmarkStart w:id="8" w:name="_Toc3250"/>
      <w:bookmarkStart w:id="9" w:name="_Toc521342070"/>
      <w:bookmarkStart w:id="10" w:name="_Toc2257"/>
      <w:bookmarkStart w:id="11" w:name="_Toc19788684"/>
      <w:bookmarkStart w:id="12" w:name="_Toc13601"/>
      <w:bookmarkStart w:id="13" w:name="_Toc19786706"/>
      <w:bookmarkStart w:id="14" w:name="_Toc19199536"/>
      <w:bookmarkStart w:id="15" w:name="_Toc47034170"/>
      <w:bookmarkStart w:id="16" w:name="_Toc523322237"/>
      <w:bookmarkStart w:id="17" w:name="_Toc22809925"/>
      <w:bookmarkStart w:id="18" w:name="_Toc5638"/>
      <w:bookmarkStart w:id="19" w:name="_Toc47974366"/>
      <w:bookmarkStart w:id="20" w:name="_Toc37776787"/>
      <w:bookmarkStart w:id="21" w:name="_Toc43220346"/>
      <w:bookmarkStart w:id="22" w:name="_Toc48807252"/>
      <w:bookmarkStart w:id="23" w:name="_Toc12365"/>
      <w:bookmarkStart w:id="24" w:name="_Toc529441098"/>
      <w:bookmarkStart w:id="25" w:name="_Toc37774011"/>
      <w:r>
        <w:rPr>
          <w:rFonts w:hint="default" w:ascii="Arial" w:hAnsi="Arial" w:eastAsia="宋体" w:cs="Arial"/>
          <w:b/>
          <w:color w:val="auto"/>
          <w:sz w:val="32"/>
          <w:szCs w:val="32"/>
          <w:highlight w:val="none"/>
        </w:rPr>
        <w:t>（</w:t>
      </w:r>
      <w:r>
        <w:rPr>
          <w:rFonts w:hint="default" w:ascii="Arial" w:hAnsi="Arial" w:eastAsia="宋体" w:cs="Arial"/>
          <w:b/>
          <w:color w:val="auto"/>
          <w:sz w:val="32"/>
          <w:szCs w:val="32"/>
          <w:highlight w:val="none"/>
          <w:lang w:val="en-US" w:eastAsia="zh-CN"/>
        </w:rPr>
        <w:t>送审</w:t>
      </w:r>
      <w:r>
        <w:rPr>
          <w:rFonts w:hint="default" w:ascii="Arial" w:hAnsi="Arial" w:eastAsia="宋体" w:cs="Arial"/>
          <w:b/>
          <w:color w:val="auto"/>
          <w:sz w:val="32"/>
          <w:szCs w:val="32"/>
          <w:highlight w:val="none"/>
        </w:rPr>
        <w:t>稿）</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p>
      <w:pPr>
        <w:spacing w:line="240" w:lineRule="auto"/>
        <w:ind w:firstLine="0" w:firstLineChars="0"/>
        <w:jc w:val="center"/>
        <w:rPr>
          <w:rFonts w:hint="default" w:ascii="Arial" w:hAnsi="Arial" w:eastAsia="宋体" w:cs="Arial"/>
          <w:color w:val="auto"/>
          <w:sz w:val="30"/>
          <w:highlight w:val="none"/>
        </w:rPr>
      </w:pPr>
    </w:p>
    <w:p>
      <w:pPr>
        <w:keepNext w:val="0"/>
        <w:keepLines w:val="0"/>
        <w:pageBreakBefore w:val="0"/>
        <w:widowControl w:val="0"/>
        <w:kinsoku/>
        <w:wordWrap/>
        <w:overflowPunct/>
        <w:topLinePunct/>
        <w:autoSpaceDE w:val="0"/>
        <w:autoSpaceDN/>
        <w:bidi w:val="0"/>
        <w:adjustRightInd/>
        <w:snapToGrid/>
        <w:ind w:firstLine="0" w:firstLineChars="0"/>
        <w:jc w:val="center"/>
        <w:textAlignment w:val="auto"/>
        <w:rPr>
          <w:rFonts w:hint="default" w:ascii="Arial" w:hAnsi="Arial" w:eastAsia="宋体" w:cs="Arial"/>
          <w:color w:val="auto"/>
          <w:highlight w:val="none"/>
        </w:rPr>
      </w:pPr>
    </w:p>
    <w:p>
      <w:pPr>
        <w:keepNext w:val="0"/>
        <w:keepLines w:val="0"/>
        <w:pageBreakBefore w:val="0"/>
        <w:widowControl w:val="0"/>
        <w:kinsoku/>
        <w:wordWrap/>
        <w:overflowPunct/>
        <w:topLinePunct/>
        <w:autoSpaceDE w:val="0"/>
        <w:autoSpaceDN/>
        <w:bidi w:val="0"/>
        <w:adjustRightInd/>
        <w:snapToGrid/>
        <w:ind w:firstLine="0" w:firstLineChars="0"/>
        <w:jc w:val="center"/>
        <w:textAlignment w:val="auto"/>
        <w:rPr>
          <w:rFonts w:hint="default" w:ascii="Arial" w:hAnsi="Arial" w:eastAsia="宋体" w:cs="Arial"/>
          <w:color w:val="auto"/>
          <w:highlight w:val="none"/>
        </w:rPr>
      </w:pPr>
    </w:p>
    <w:p>
      <w:pPr>
        <w:keepNext w:val="0"/>
        <w:keepLines w:val="0"/>
        <w:pageBreakBefore w:val="0"/>
        <w:widowControl w:val="0"/>
        <w:kinsoku/>
        <w:wordWrap/>
        <w:overflowPunct/>
        <w:topLinePunct/>
        <w:autoSpaceDE w:val="0"/>
        <w:autoSpaceDN/>
        <w:bidi w:val="0"/>
        <w:adjustRightInd/>
        <w:snapToGrid/>
        <w:ind w:firstLine="0" w:firstLineChars="0"/>
        <w:jc w:val="center"/>
        <w:textAlignment w:val="auto"/>
        <w:rPr>
          <w:rFonts w:hint="default" w:ascii="Arial" w:hAnsi="Arial" w:eastAsia="宋体" w:cs="Arial"/>
          <w:color w:val="auto"/>
          <w:highlight w:val="none"/>
        </w:rPr>
      </w:pPr>
    </w:p>
    <w:p>
      <w:pPr>
        <w:keepNext w:val="0"/>
        <w:keepLines w:val="0"/>
        <w:pageBreakBefore w:val="0"/>
        <w:widowControl w:val="0"/>
        <w:kinsoku/>
        <w:wordWrap/>
        <w:overflowPunct/>
        <w:topLinePunct/>
        <w:autoSpaceDE w:val="0"/>
        <w:autoSpaceDN/>
        <w:bidi w:val="0"/>
        <w:adjustRightInd/>
        <w:snapToGrid/>
        <w:ind w:firstLine="0" w:firstLineChars="0"/>
        <w:jc w:val="center"/>
        <w:textAlignment w:val="auto"/>
        <w:rPr>
          <w:rFonts w:hint="default" w:ascii="Arial" w:hAnsi="Arial" w:eastAsia="宋体" w:cs="Arial"/>
          <w:color w:val="auto"/>
          <w:highlight w:val="none"/>
        </w:rPr>
      </w:pPr>
    </w:p>
    <w:p>
      <w:pPr>
        <w:keepNext w:val="0"/>
        <w:keepLines w:val="0"/>
        <w:pageBreakBefore w:val="0"/>
        <w:widowControl w:val="0"/>
        <w:kinsoku/>
        <w:wordWrap/>
        <w:overflowPunct/>
        <w:topLinePunct/>
        <w:autoSpaceDE w:val="0"/>
        <w:autoSpaceDN/>
        <w:bidi w:val="0"/>
        <w:adjustRightInd/>
        <w:snapToGrid/>
        <w:ind w:firstLine="0" w:firstLineChars="0"/>
        <w:jc w:val="center"/>
        <w:textAlignment w:val="auto"/>
        <w:rPr>
          <w:rFonts w:hint="default" w:ascii="Arial" w:hAnsi="Arial" w:eastAsia="宋体" w:cs="Arial"/>
          <w:color w:val="auto"/>
          <w:highlight w:val="none"/>
        </w:rPr>
      </w:pPr>
    </w:p>
    <w:p>
      <w:pPr>
        <w:keepNext w:val="0"/>
        <w:keepLines w:val="0"/>
        <w:pageBreakBefore w:val="0"/>
        <w:widowControl w:val="0"/>
        <w:kinsoku/>
        <w:wordWrap/>
        <w:overflowPunct/>
        <w:topLinePunct/>
        <w:autoSpaceDE w:val="0"/>
        <w:autoSpaceDN/>
        <w:bidi w:val="0"/>
        <w:adjustRightInd/>
        <w:snapToGrid/>
        <w:ind w:firstLine="0" w:firstLineChars="0"/>
        <w:jc w:val="center"/>
        <w:textAlignment w:val="auto"/>
        <w:rPr>
          <w:rFonts w:hint="default" w:ascii="Arial" w:hAnsi="Arial" w:eastAsia="宋体" w:cs="Arial"/>
          <w:color w:val="auto"/>
          <w:highlight w:val="none"/>
        </w:rPr>
      </w:pPr>
    </w:p>
    <w:p>
      <w:pPr>
        <w:keepNext w:val="0"/>
        <w:keepLines w:val="0"/>
        <w:pageBreakBefore w:val="0"/>
        <w:widowControl w:val="0"/>
        <w:kinsoku/>
        <w:wordWrap/>
        <w:overflowPunct/>
        <w:topLinePunct/>
        <w:autoSpaceDE w:val="0"/>
        <w:autoSpaceDN/>
        <w:bidi w:val="0"/>
        <w:adjustRightInd/>
        <w:snapToGrid/>
        <w:ind w:firstLine="0" w:firstLineChars="0"/>
        <w:jc w:val="center"/>
        <w:textAlignment w:val="auto"/>
        <w:rPr>
          <w:rFonts w:hint="default" w:ascii="Arial" w:hAnsi="Arial" w:eastAsia="宋体" w:cs="Arial"/>
          <w:color w:val="auto"/>
          <w:highlight w:val="none"/>
        </w:rPr>
      </w:pPr>
    </w:p>
    <w:p>
      <w:pPr>
        <w:keepNext w:val="0"/>
        <w:keepLines w:val="0"/>
        <w:pageBreakBefore w:val="0"/>
        <w:widowControl w:val="0"/>
        <w:kinsoku/>
        <w:wordWrap/>
        <w:overflowPunct/>
        <w:topLinePunct/>
        <w:autoSpaceDE w:val="0"/>
        <w:autoSpaceDN/>
        <w:bidi w:val="0"/>
        <w:adjustRightInd/>
        <w:snapToGrid/>
        <w:ind w:firstLine="0" w:firstLineChars="0"/>
        <w:jc w:val="center"/>
        <w:textAlignment w:val="auto"/>
        <w:rPr>
          <w:rFonts w:hint="default" w:ascii="Arial" w:hAnsi="Arial" w:eastAsia="宋体" w:cs="Arial"/>
          <w:color w:val="auto"/>
          <w:highlight w:val="none"/>
        </w:rPr>
      </w:pPr>
    </w:p>
    <w:p>
      <w:pPr>
        <w:keepNext w:val="0"/>
        <w:keepLines w:val="0"/>
        <w:pageBreakBefore w:val="0"/>
        <w:widowControl w:val="0"/>
        <w:kinsoku/>
        <w:wordWrap/>
        <w:overflowPunct/>
        <w:topLinePunct/>
        <w:autoSpaceDE w:val="0"/>
        <w:autoSpaceDN/>
        <w:bidi w:val="0"/>
        <w:adjustRightInd/>
        <w:snapToGrid/>
        <w:ind w:firstLine="0" w:firstLineChars="0"/>
        <w:jc w:val="center"/>
        <w:textAlignment w:val="auto"/>
        <w:rPr>
          <w:rFonts w:hint="default" w:ascii="Arial" w:hAnsi="Arial" w:eastAsia="宋体" w:cs="Arial"/>
          <w:color w:val="auto"/>
          <w:highlight w:val="none"/>
        </w:rPr>
      </w:pPr>
    </w:p>
    <w:p>
      <w:pPr>
        <w:spacing w:line="240" w:lineRule="auto"/>
        <w:ind w:firstLine="0" w:firstLineChars="0"/>
        <w:jc w:val="center"/>
        <w:rPr>
          <w:rFonts w:hint="default" w:ascii="Arial" w:hAnsi="Arial" w:eastAsia="宋体" w:cs="Arial"/>
          <w:color w:val="auto"/>
          <w:sz w:val="30"/>
          <w:highlight w:val="none"/>
        </w:rPr>
      </w:pPr>
    </w:p>
    <w:tbl>
      <w:tblPr>
        <w:tblStyle w:val="39"/>
        <w:tblW w:w="7302" w:type="dxa"/>
        <w:jc w:val="center"/>
        <w:tblLayout w:type="fixed"/>
        <w:tblCellMar>
          <w:top w:w="0" w:type="dxa"/>
          <w:left w:w="0" w:type="dxa"/>
          <w:bottom w:w="0" w:type="dxa"/>
          <w:right w:w="0" w:type="dxa"/>
        </w:tblCellMar>
      </w:tblPr>
      <w:tblGrid>
        <w:gridCol w:w="1811"/>
        <w:gridCol w:w="5491"/>
      </w:tblGrid>
      <w:tr>
        <w:trPr>
          <w:trHeight w:val="510" w:hRule="atLeast"/>
          <w:jc w:val="center"/>
        </w:trPr>
        <w:tc>
          <w:tcPr>
            <w:tcW w:w="1670" w:type="dxa"/>
            <w:vAlign w:val="top"/>
          </w:tcPr>
          <w:p>
            <w:pPr>
              <w:spacing w:line="440" w:lineRule="exact"/>
              <w:ind w:firstLine="0" w:firstLineChars="0"/>
              <w:jc w:val="center"/>
              <w:rPr>
                <w:rFonts w:hint="default" w:ascii="Arial" w:hAnsi="Arial" w:eastAsia="宋体" w:cs="Arial"/>
                <w:b/>
                <w:bCs/>
                <w:color w:val="auto"/>
                <w:sz w:val="32"/>
                <w:szCs w:val="32"/>
                <w:highlight w:val="none"/>
              </w:rPr>
            </w:pPr>
            <w:bookmarkStart w:id="26" w:name="_Hlk39311167"/>
            <w:r>
              <w:rPr>
                <w:rFonts w:hint="default" w:ascii="Arial" w:hAnsi="Arial" w:eastAsia="宋体" w:cs="Arial"/>
                <w:b/>
                <w:bCs/>
                <w:color w:val="auto"/>
                <w:sz w:val="32"/>
                <w:szCs w:val="32"/>
                <w:highlight w:val="none"/>
              </w:rPr>
              <w:t>建设单位：</w:t>
            </w:r>
          </w:p>
        </w:tc>
        <w:tc>
          <w:tcPr>
            <w:tcW w:w="5065" w:type="dxa"/>
            <w:vAlign w:val="top"/>
          </w:tcPr>
          <w:p>
            <w:pPr>
              <w:spacing w:line="440" w:lineRule="exact"/>
              <w:ind w:firstLine="0" w:firstLineChars="0"/>
              <w:jc w:val="center"/>
              <w:rPr>
                <w:rFonts w:hint="default" w:ascii="Arial" w:hAnsi="Arial" w:eastAsia="宋体" w:cs="Arial"/>
                <w:b/>
                <w:bCs/>
                <w:color w:val="auto"/>
                <w:sz w:val="32"/>
                <w:szCs w:val="32"/>
                <w:highlight w:val="none"/>
                <w:lang w:eastAsia="zh-CN"/>
              </w:rPr>
            </w:pPr>
            <w:r>
              <w:rPr>
                <w:rFonts w:hint="default" w:ascii="Arial" w:hAnsi="Arial" w:eastAsia="宋体" w:cs="Arial"/>
                <w:b/>
                <w:bCs/>
                <w:color w:val="auto"/>
                <w:sz w:val="32"/>
                <w:szCs w:val="32"/>
                <w:highlight w:val="none"/>
                <w:lang w:eastAsia="zh-CN"/>
              </w:rPr>
              <w:t>五原县天吉泰镇宏腾养殖专业合作社</w:t>
            </w:r>
          </w:p>
        </w:tc>
      </w:tr>
      <w:bookmarkEnd w:id="26"/>
      <w:tr>
        <w:tblPrEx>
          <w:tblCellMar>
            <w:top w:w="0" w:type="dxa"/>
            <w:left w:w="0" w:type="dxa"/>
            <w:bottom w:w="0" w:type="dxa"/>
            <w:right w:w="0" w:type="dxa"/>
          </w:tblCellMar>
        </w:tblPrEx>
        <w:trPr>
          <w:trHeight w:val="510" w:hRule="atLeast"/>
          <w:jc w:val="center"/>
        </w:trPr>
        <w:tc>
          <w:tcPr>
            <w:tcW w:w="1670" w:type="dxa"/>
            <w:vAlign w:val="top"/>
          </w:tcPr>
          <w:p>
            <w:pPr>
              <w:spacing w:line="440" w:lineRule="exact"/>
              <w:ind w:firstLine="0" w:firstLineChars="0"/>
              <w:jc w:val="center"/>
              <w:rPr>
                <w:rFonts w:hint="default" w:ascii="Arial" w:hAnsi="Arial" w:eastAsia="宋体" w:cs="Arial"/>
                <w:b/>
                <w:bCs/>
                <w:color w:val="auto"/>
                <w:sz w:val="32"/>
                <w:szCs w:val="32"/>
                <w:highlight w:val="none"/>
              </w:rPr>
            </w:pPr>
            <w:r>
              <w:rPr>
                <w:rFonts w:hint="default" w:ascii="Arial" w:hAnsi="Arial" w:eastAsia="宋体" w:cs="Arial"/>
                <w:b/>
                <w:bCs/>
                <w:color w:val="auto"/>
                <w:sz w:val="32"/>
                <w:szCs w:val="32"/>
                <w:highlight w:val="none"/>
              </w:rPr>
              <w:t>环评单位：</w:t>
            </w:r>
          </w:p>
        </w:tc>
        <w:tc>
          <w:tcPr>
            <w:tcW w:w="5065" w:type="dxa"/>
            <w:vAlign w:val="top"/>
          </w:tcPr>
          <w:p>
            <w:pPr>
              <w:spacing w:line="440" w:lineRule="exact"/>
              <w:ind w:firstLine="0" w:firstLineChars="0"/>
              <w:jc w:val="center"/>
              <w:rPr>
                <w:rFonts w:hint="default" w:ascii="Arial" w:hAnsi="Arial" w:eastAsia="宋体" w:cs="Arial"/>
                <w:b/>
                <w:bCs/>
                <w:color w:val="auto"/>
                <w:sz w:val="32"/>
                <w:szCs w:val="32"/>
                <w:highlight w:val="none"/>
                <w:lang w:eastAsia="zh-CN"/>
              </w:rPr>
            </w:pPr>
            <w:r>
              <w:rPr>
                <w:rFonts w:hint="default" w:ascii="Arial" w:hAnsi="Arial" w:eastAsia="宋体" w:cs="Arial"/>
                <w:b/>
                <w:bCs/>
                <w:color w:val="auto"/>
                <w:sz w:val="32"/>
                <w:szCs w:val="32"/>
                <w:highlight w:val="none"/>
                <w:lang w:eastAsia="zh-CN"/>
              </w:rPr>
              <w:t>内蒙古百霖环保科技有限公司</w:t>
            </w:r>
          </w:p>
        </w:tc>
      </w:tr>
      <w:tr>
        <w:tblPrEx>
          <w:tblCellMar>
            <w:top w:w="0" w:type="dxa"/>
            <w:left w:w="0" w:type="dxa"/>
            <w:bottom w:w="0" w:type="dxa"/>
            <w:right w:w="0" w:type="dxa"/>
          </w:tblCellMar>
        </w:tblPrEx>
        <w:trPr>
          <w:trHeight w:val="510" w:hRule="atLeast"/>
          <w:jc w:val="center"/>
        </w:trPr>
        <w:tc>
          <w:tcPr>
            <w:tcW w:w="1670" w:type="dxa"/>
            <w:vAlign w:val="top"/>
          </w:tcPr>
          <w:p>
            <w:pPr>
              <w:spacing w:line="440" w:lineRule="exact"/>
              <w:ind w:firstLine="0" w:firstLineChars="0"/>
              <w:jc w:val="center"/>
              <w:rPr>
                <w:rFonts w:hint="default" w:ascii="Arial" w:hAnsi="Arial" w:eastAsia="宋体" w:cs="Arial"/>
                <w:b/>
                <w:bCs/>
                <w:color w:val="auto"/>
                <w:sz w:val="32"/>
                <w:szCs w:val="32"/>
                <w:highlight w:val="none"/>
              </w:rPr>
            </w:pPr>
            <w:r>
              <w:rPr>
                <w:rFonts w:hint="default" w:ascii="Arial" w:hAnsi="Arial" w:eastAsia="宋体" w:cs="Arial"/>
                <w:b/>
                <w:bCs/>
                <w:color w:val="auto"/>
                <w:sz w:val="32"/>
                <w:szCs w:val="32"/>
                <w:highlight w:val="none"/>
              </w:rPr>
              <w:t>编制时间：</w:t>
            </w:r>
          </w:p>
        </w:tc>
        <w:tc>
          <w:tcPr>
            <w:tcW w:w="5065" w:type="dxa"/>
            <w:vAlign w:val="top"/>
          </w:tcPr>
          <w:p>
            <w:pPr>
              <w:spacing w:line="440" w:lineRule="exact"/>
              <w:ind w:firstLine="0" w:firstLineChars="0"/>
              <w:jc w:val="center"/>
              <w:rPr>
                <w:rFonts w:hint="default" w:ascii="Arial" w:hAnsi="Arial" w:eastAsia="宋体" w:cs="Arial"/>
                <w:b/>
                <w:bCs/>
                <w:color w:val="auto"/>
                <w:sz w:val="32"/>
                <w:szCs w:val="32"/>
                <w:highlight w:val="none"/>
              </w:rPr>
            </w:pPr>
            <w:r>
              <w:rPr>
                <w:rFonts w:hint="default" w:ascii="Arial" w:hAnsi="Arial" w:eastAsia="宋体" w:cs="Arial"/>
                <w:b/>
                <w:bCs/>
                <w:color w:val="auto"/>
                <w:sz w:val="32"/>
                <w:szCs w:val="32"/>
                <w:highlight w:val="none"/>
              </w:rPr>
              <w:t>二零二</w:t>
            </w:r>
            <w:r>
              <w:rPr>
                <w:rFonts w:hint="default" w:ascii="Arial" w:hAnsi="Arial" w:eastAsia="宋体" w:cs="Arial"/>
                <w:b/>
                <w:bCs/>
                <w:color w:val="auto"/>
                <w:sz w:val="32"/>
                <w:szCs w:val="32"/>
                <w:highlight w:val="none"/>
                <w:lang w:val="en-US" w:eastAsia="zh-CN"/>
              </w:rPr>
              <w:t>二</w:t>
            </w:r>
            <w:r>
              <w:rPr>
                <w:rFonts w:hint="default" w:ascii="Arial" w:hAnsi="Arial" w:eastAsia="宋体" w:cs="Arial"/>
                <w:b/>
                <w:bCs/>
                <w:color w:val="auto"/>
                <w:sz w:val="32"/>
                <w:szCs w:val="32"/>
                <w:highlight w:val="none"/>
              </w:rPr>
              <w:t>年</w:t>
            </w:r>
            <w:r>
              <w:rPr>
                <w:rFonts w:hint="default" w:ascii="Arial" w:hAnsi="Arial" w:eastAsia="宋体" w:cs="Arial"/>
                <w:b/>
                <w:bCs/>
                <w:color w:val="auto"/>
                <w:sz w:val="32"/>
                <w:szCs w:val="32"/>
                <w:highlight w:val="none"/>
                <w:lang w:val="en-US" w:eastAsia="zh-CN"/>
              </w:rPr>
              <w:t>二</w:t>
            </w:r>
            <w:r>
              <w:rPr>
                <w:rFonts w:hint="default" w:ascii="Arial" w:hAnsi="Arial" w:eastAsia="宋体" w:cs="Arial"/>
                <w:b/>
                <w:bCs/>
                <w:color w:val="auto"/>
                <w:sz w:val="32"/>
                <w:szCs w:val="32"/>
                <w:highlight w:val="none"/>
              </w:rPr>
              <w:t>月</w:t>
            </w:r>
          </w:p>
        </w:tc>
      </w:tr>
    </w:tbl>
    <w:p>
      <w:pPr>
        <w:spacing w:line="240" w:lineRule="auto"/>
        <w:ind w:firstLine="0" w:firstLineChars="0"/>
        <w:jc w:val="center"/>
        <w:rPr>
          <w:rFonts w:hint="default" w:ascii="Arial" w:hAnsi="Arial" w:eastAsia="宋体" w:cs="Arial"/>
          <w:color w:val="auto"/>
          <w:highlight w:val="none"/>
          <w:lang w:eastAsia="zh-CN"/>
        </w:rPr>
      </w:pPr>
    </w:p>
    <w:p>
      <w:pPr>
        <w:keepNext w:val="0"/>
        <w:keepLines w:val="0"/>
        <w:pageBreakBefore w:val="0"/>
        <w:widowControl w:val="0"/>
        <w:kinsoku/>
        <w:wordWrap/>
        <w:overflowPunct/>
        <w:topLinePunct/>
        <w:autoSpaceDE w:val="0"/>
        <w:autoSpaceDN/>
        <w:bidi w:val="0"/>
        <w:adjustRightInd/>
        <w:snapToGrid/>
        <w:spacing w:line="240" w:lineRule="auto"/>
        <w:ind w:firstLine="0" w:firstLineChars="0"/>
        <w:textAlignment w:val="auto"/>
        <w:rPr>
          <w:rFonts w:hint="default" w:ascii="Arial" w:hAnsi="Arial" w:eastAsia="宋体" w:cs="Arial"/>
          <w:color w:val="auto"/>
        </w:rPr>
      </w:pPr>
    </w:p>
    <w:p>
      <w:pPr>
        <w:keepNext w:val="0"/>
        <w:keepLines w:val="0"/>
        <w:pageBreakBefore w:val="0"/>
        <w:widowControl w:val="0"/>
        <w:kinsoku/>
        <w:wordWrap/>
        <w:overflowPunct/>
        <w:topLinePunct/>
        <w:autoSpaceDE w:val="0"/>
        <w:autoSpaceDN/>
        <w:bidi w:val="0"/>
        <w:adjustRightInd/>
        <w:snapToGrid/>
        <w:spacing w:line="240" w:lineRule="auto"/>
        <w:ind w:firstLine="0" w:firstLineChars="0"/>
        <w:textAlignment w:val="auto"/>
        <w:rPr>
          <w:rFonts w:hint="default" w:ascii="Arial" w:hAnsi="Arial" w:eastAsia="宋体" w:cs="Arial"/>
          <w:color w:val="auto"/>
        </w:rPr>
        <w:sectPr>
          <w:headerReference r:id="rId6" w:type="first"/>
          <w:footerReference r:id="rId8" w:type="first"/>
          <w:headerReference r:id="rId5" w:type="default"/>
          <w:footerReference r:id="rId7" w:type="default"/>
          <w:pgSz w:w="11906" w:h="16838"/>
          <w:pgMar w:top="1418" w:right="1418" w:bottom="1247" w:left="1701" w:header="851" w:footer="992" w:gutter="0"/>
          <w:pgBorders>
            <w:top w:val="none" w:sz="0" w:space="0"/>
            <w:left w:val="none" w:sz="0" w:space="0"/>
            <w:bottom w:val="none" w:sz="0" w:space="0"/>
            <w:right w:val="none" w:sz="0" w:space="0"/>
          </w:pgBorders>
          <w:pgNumType w:fmt="numberInDash" w:start="1"/>
          <w:cols w:space="425" w:num="1"/>
          <w:titlePg/>
          <w:docGrid w:linePitch="326" w:charSpace="0"/>
        </w:sectPr>
      </w:pPr>
    </w:p>
    <w:p>
      <w:pPr>
        <w:rPr>
          <w:rFonts w:hint="default" w:ascii="Arial" w:hAnsi="Arial" w:eastAsia="宋体" w:cs="Arial"/>
          <w:color w:val="auto"/>
        </w:rPr>
      </w:pPr>
    </w:p>
    <w:p>
      <w:pPr>
        <w:rPr>
          <w:rFonts w:hint="default" w:ascii="Arial" w:hAnsi="Arial" w:eastAsia="宋体" w:cs="Arial"/>
          <w:color w:val="auto"/>
        </w:rPr>
      </w:pPr>
    </w:p>
    <w:p>
      <w:pPr>
        <w:rPr>
          <w:rFonts w:hint="default" w:ascii="Arial" w:hAnsi="Arial" w:eastAsia="宋体" w:cs="Arial"/>
          <w:color w:val="auto"/>
        </w:rPr>
      </w:pPr>
    </w:p>
    <w:p>
      <w:pPr>
        <w:rPr>
          <w:rFonts w:hint="default" w:ascii="Arial" w:hAnsi="Arial" w:eastAsia="宋体" w:cs="Arial"/>
          <w:color w:val="auto"/>
        </w:rPr>
      </w:pPr>
    </w:p>
    <w:p>
      <w:pPr>
        <w:rPr>
          <w:rFonts w:hint="default" w:ascii="Arial" w:hAnsi="Arial" w:eastAsia="宋体" w:cs="Arial"/>
          <w:color w:val="auto"/>
          <w:highlight w:val="none"/>
        </w:rPr>
      </w:pPr>
    </w:p>
    <w:p>
      <w:pPr>
        <w:rPr>
          <w:rFonts w:hint="default" w:ascii="Arial" w:hAnsi="Arial" w:eastAsia="宋体" w:cs="Arial"/>
          <w:color w:val="auto"/>
          <w:highlight w:val="none"/>
        </w:rPr>
        <w:sectPr>
          <w:pgSz w:w="11906" w:h="16838"/>
          <w:pgMar w:top="1418" w:right="1418" w:bottom="1247" w:left="1701" w:header="851" w:footer="992" w:gutter="0"/>
          <w:pgBorders>
            <w:top w:val="none" w:sz="0" w:space="0"/>
            <w:left w:val="none" w:sz="0" w:space="0"/>
            <w:bottom w:val="none" w:sz="0" w:space="0"/>
            <w:right w:val="none" w:sz="0" w:space="0"/>
          </w:pgBorders>
          <w:pgNumType w:fmt="numberInDash" w:start="1"/>
          <w:cols w:space="425" w:num="1"/>
          <w:titlePg/>
          <w:docGrid w:linePitch="326" w:charSpace="0"/>
        </w:sectPr>
      </w:pPr>
    </w:p>
    <w:sdt>
      <w:sdtPr>
        <w:rPr>
          <w:rFonts w:hint="default" w:ascii="Arial" w:hAnsi="Arial" w:eastAsia="宋体" w:cs="Arial"/>
          <w:b/>
          <w:bCs/>
          <w:color w:val="auto"/>
          <w:highlight w:val="none"/>
          <w:lang w:val="zh-CN"/>
        </w:rPr>
        <w:id w:val="-1446458349"/>
        <w:docPartObj>
          <w:docPartGallery w:val="Table of Contents"/>
          <w:docPartUnique/>
        </w:docPartObj>
      </w:sdtPr>
      <w:sdtEndPr>
        <w:rPr>
          <w:rFonts w:hint="default" w:ascii="Arial" w:hAnsi="Arial" w:eastAsia="宋体" w:cs="Arial"/>
          <w:b w:val="0"/>
          <w:bCs w:val="0"/>
          <w:color w:val="auto"/>
          <w:highlight w:val="none"/>
          <w:lang w:val="zh-CN"/>
        </w:rPr>
      </w:sdtEndPr>
      <w:sdtContent>
        <w:p>
          <w:pPr>
            <w:tabs>
              <w:tab w:val="right" w:leader="dot" w:pos="8777"/>
            </w:tabs>
            <w:ind w:left="480" w:firstLine="482"/>
            <w:jc w:val="center"/>
            <w:outlineLvl w:val="0"/>
            <w:rPr>
              <w:rFonts w:hint="default" w:ascii="Arial" w:hAnsi="Arial" w:eastAsia="宋体" w:cs="Arial"/>
              <w:bCs/>
              <w:color w:val="auto"/>
              <w:kern w:val="2"/>
              <w:sz w:val="24"/>
              <w:szCs w:val="24"/>
              <w:highlight w:val="none"/>
              <w:lang w:val="zh-CN" w:eastAsia="zh-CN" w:bidi="ar-SA"/>
            </w:rPr>
          </w:pPr>
          <w:bookmarkStart w:id="27" w:name="_Toc22415"/>
          <w:bookmarkStart w:id="28" w:name="_Toc19199537"/>
          <w:bookmarkStart w:id="29" w:name="_Toc1742"/>
          <w:bookmarkStart w:id="30" w:name="_Toc10218"/>
          <w:bookmarkStart w:id="31" w:name="_Toc37776788"/>
          <w:bookmarkStart w:id="32" w:name="_Toc47974367"/>
          <w:bookmarkStart w:id="33" w:name="_Toc37774012"/>
          <w:bookmarkStart w:id="34" w:name="_Toc47981267"/>
          <w:bookmarkStart w:id="35" w:name="_Toc32436"/>
          <w:bookmarkStart w:id="36" w:name="_Toc48807253"/>
          <w:bookmarkStart w:id="37" w:name="_Toc48918340"/>
          <w:bookmarkStart w:id="38" w:name="_Toc36734621"/>
          <w:bookmarkStart w:id="39" w:name="_Toc43220347"/>
          <w:bookmarkStart w:id="40" w:name="_Toc47034171"/>
          <w:bookmarkStart w:id="41" w:name="_Toc19788685"/>
          <w:bookmarkStart w:id="42" w:name="_Toc19786707"/>
          <w:bookmarkStart w:id="43" w:name="_Toc22809926"/>
          <w:bookmarkStart w:id="44" w:name="_Toc47034409"/>
          <w:bookmarkStart w:id="45" w:name="_Toc20307"/>
          <w:bookmarkStart w:id="46" w:name="_Toc48828684"/>
          <w:bookmarkStart w:id="47" w:name="_Toc12333"/>
          <w:r>
            <w:rPr>
              <w:rFonts w:hint="default" w:ascii="Arial" w:hAnsi="Arial" w:eastAsia="宋体" w:cs="Arial"/>
              <w:color w:val="auto"/>
              <w:sz w:val="36"/>
              <w:szCs w:val="36"/>
              <w:highlight w:val="none"/>
              <w:lang w:val="zh-CN"/>
            </w:rPr>
            <w:t>目  录</w:t>
          </w:r>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r>
            <w:rPr>
              <w:rFonts w:hint="default" w:ascii="Arial" w:hAnsi="Arial" w:eastAsia="宋体" w:cs="Arial"/>
              <w:color w:val="auto"/>
              <w:szCs w:val="24"/>
              <w:highlight w:val="none"/>
            </w:rPr>
            <w:fldChar w:fldCharType="begin"/>
          </w:r>
          <w:r>
            <w:rPr>
              <w:rFonts w:hint="default" w:ascii="Arial" w:hAnsi="Arial" w:eastAsia="宋体" w:cs="Arial"/>
              <w:color w:val="auto"/>
              <w:szCs w:val="24"/>
              <w:highlight w:val="none"/>
            </w:rPr>
            <w:instrText xml:space="preserve"> TOC \o "1-3" \h \z \u </w:instrText>
          </w:r>
          <w:r>
            <w:rPr>
              <w:rFonts w:hint="default" w:ascii="Arial" w:hAnsi="Arial" w:eastAsia="宋体" w:cs="Arial"/>
              <w:color w:val="auto"/>
              <w:szCs w:val="24"/>
              <w:highlight w:val="none"/>
            </w:rPr>
            <w:fldChar w:fldCharType="separate"/>
          </w:r>
        </w:p>
        <w:p>
          <w:pPr>
            <w:pStyle w:val="30"/>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_Toc1245 </w:instrText>
          </w:r>
          <w:r>
            <w:rPr>
              <w:rFonts w:hint="default" w:ascii="Arial" w:hAnsi="Arial" w:eastAsia="宋体" w:cs="Arial"/>
              <w:bCs/>
              <w:szCs w:val="24"/>
              <w:highlight w:val="none"/>
              <w:lang w:val="zh-CN"/>
            </w:rPr>
            <w:fldChar w:fldCharType="separate"/>
          </w:r>
          <w:r>
            <w:rPr>
              <w:rFonts w:hint="default" w:ascii="Arial" w:hAnsi="Arial" w:eastAsia="宋体" w:cs="Arial"/>
              <w:bCs w:val="0"/>
              <w:szCs w:val="22"/>
              <w:highlight w:val="none"/>
            </w:rPr>
            <w:t>1概述</w:t>
          </w:r>
          <w:r>
            <w:tab/>
          </w:r>
          <w:r>
            <w:fldChar w:fldCharType="begin"/>
          </w:r>
          <w:r>
            <w:instrText xml:space="preserve"> PAGEREF _Toc1245 \h </w:instrText>
          </w:r>
          <w:r>
            <w:fldChar w:fldCharType="separate"/>
          </w:r>
          <w:r>
            <w:t>- 1 -</w:t>
          </w:r>
          <w:r>
            <w:fldChar w:fldCharType="end"/>
          </w:r>
          <w:r>
            <w:rPr>
              <w:rFonts w:hint="default" w:ascii="Arial" w:hAnsi="Arial" w:eastAsia="宋体" w:cs="Arial"/>
              <w:bCs/>
              <w:color w:val="auto"/>
              <w:szCs w:val="24"/>
              <w:highlight w:val="none"/>
              <w:lang w:val="zh-CN"/>
            </w:rPr>
            <w:fldChar w:fldCharType="end"/>
          </w:r>
        </w:p>
        <w:p>
          <w:pPr>
            <w:pStyle w:val="34"/>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_Toc26210 </w:instrText>
          </w:r>
          <w:r>
            <w:rPr>
              <w:rFonts w:hint="default" w:ascii="Arial" w:hAnsi="Arial" w:eastAsia="宋体" w:cs="Arial"/>
              <w:bCs/>
              <w:szCs w:val="24"/>
              <w:highlight w:val="none"/>
              <w:lang w:val="zh-CN"/>
            </w:rPr>
            <w:fldChar w:fldCharType="separate"/>
          </w:r>
          <w:r>
            <w:rPr>
              <w:rFonts w:hint="default" w:ascii="Arial" w:hAnsi="Arial" w:eastAsia="宋体" w:cs="Arial"/>
              <w:bCs w:val="0"/>
              <w:szCs w:val="22"/>
              <w:highlight w:val="none"/>
            </w:rPr>
            <w:t>1.1项目建设背景</w:t>
          </w:r>
          <w:r>
            <w:tab/>
          </w:r>
          <w:r>
            <w:fldChar w:fldCharType="begin"/>
          </w:r>
          <w:r>
            <w:instrText xml:space="preserve"> PAGEREF _Toc26210 \h </w:instrText>
          </w:r>
          <w:r>
            <w:fldChar w:fldCharType="separate"/>
          </w:r>
          <w:r>
            <w:t>- 1 -</w:t>
          </w:r>
          <w:r>
            <w:fldChar w:fldCharType="end"/>
          </w:r>
          <w:r>
            <w:rPr>
              <w:rFonts w:hint="default" w:ascii="Arial" w:hAnsi="Arial" w:eastAsia="宋体" w:cs="Arial"/>
              <w:bCs/>
              <w:color w:val="auto"/>
              <w:szCs w:val="24"/>
              <w:highlight w:val="none"/>
              <w:lang w:val="zh-CN"/>
            </w:rPr>
            <w:fldChar w:fldCharType="end"/>
          </w:r>
        </w:p>
        <w:p>
          <w:pPr>
            <w:pStyle w:val="34"/>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_Toc19824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1.2建设项目特点</w:t>
          </w:r>
          <w:r>
            <w:tab/>
          </w:r>
          <w:r>
            <w:fldChar w:fldCharType="begin"/>
          </w:r>
          <w:r>
            <w:instrText xml:space="preserve"> PAGEREF _Toc19824 \h </w:instrText>
          </w:r>
          <w:r>
            <w:fldChar w:fldCharType="separate"/>
          </w:r>
          <w:r>
            <w:t>- 1 -</w:t>
          </w:r>
          <w:r>
            <w:fldChar w:fldCharType="end"/>
          </w:r>
          <w:r>
            <w:rPr>
              <w:rFonts w:hint="default" w:ascii="Arial" w:hAnsi="Arial" w:eastAsia="宋体" w:cs="Arial"/>
              <w:bCs/>
              <w:color w:val="auto"/>
              <w:szCs w:val="24"/>
              <w:highlight w:val="none"/>
              <w:lang w:val="zh-CN"/>
            </w:rPr>
            <w:fldChar w:fldCharType="end"/>
          </w:r>
        </w:p>
        <w:p>
          <w:pPr>
            <w:pStyle w:val="34"/>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_Toc23969 </w:instrText>
          </w:r>
          <w:r>
            <w:rPr>
              <w:rFonts w:hint="default" w:ascii="Arial" w:hAnsi="Arial" w:eastAsia="宋体" w:cs="Arial"/>
              <w:bCs/>
              <w:szCs w:val="24"/>
              <w:highlight w:val="none"/>
              <w:lang w:val="zh-CN"/>
            </w:rPr>
            <w:fldChar w:fldCharType="separate"/>
          </w:r>
          <w:r>
            <w:rPr>
              <w:rFonts w:hint="default" w:ascii="Arial" w:hAnsi="Arial" w:eastAsia="宋体" w:cs="Arial"/>
              <w:bCs w:val="0"/>
              <w:szCs w:val="22"/>
              <w:highlight w:val="none"/>
            </w:rPr>
            <w:t>1.3环境影响评价的工作过程</w:t>
          </w:r>
          <w:r>
            <w:tab/>
          </w:r>
          <w:r>
            <w:fldChar w:fldCharType="begin"/>
          </w:r>
          <w:r>
            <w:instrText xml:space="preserve"> PAGEREF _Toc23969 \h </w:instrText>
          </w:r>
          <w:r>
            <w:fldChar w:fldCharType="separate"/>
          </w:r>
          <w:r>
            <w:t>- 2 -</w:t>
          </w:r>
          <w:r>
            <w:fldChar w:fldCharType="end"/>
          </w:r>
          <w:r>
            <w:rPr>
              <w:rFonts w:hint="default" w:ascii="Arial" w:hAnsi="Arial" w:eastAsia="宋体" w:cs="Arial"/>
              <w:bCs/>
              <w:color w:val="auto"/>
              <w:szCs w:val="24"/>
              <w:highlight w:val="none"/>
              <w:lang w:val="zh-CN"/>
            </w:rPr>
            <w:fldChar w:fldCharType="end"/>
          </w:r>
        </w:p>
        <w:p>
          <w:pPr>
            <w:pStyle w:val="34"/>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_Toc25709 </w:instrText>
          </w:r>
          <w:r>
            <w:rPr>
              <w:rFonts w:hint="default" w:ascii="Arial" w:hAnsi="Arial" w:eastAsia="宋体" w:cs="Arial"/>
              <w:bCs/>
              <w:szCs w:val="24"/>
              <w:highlight w:val="none"/>
              <w:lang w:val="zh-CN"/>
            </w:rPr>
            <w:fldChar w:fldCharType="separate"/>
          </w:r>
          <w:r>
            <w:rPr>
              <w:rFonts w:hint="default" w:ascii="Arial" w:hAnsi="Arial" w:eastAsia="宋体" w:cs="Arial"/>
              <w:bCs w:val="0"/>
              <w:szCs w:val="22"/>
              <w:highlight w:val="none"/>
            </w:rPr>
            <w:t>1.4项目可行性判定</w:t>
          </w:r>
          <w:r>
            <w:tab/>
          </w:r>
          <w:r>
            <w:fldChar w:fldCharType="begin"/>
          </w:r>
          <w:r>
            <w:instrText xml:space="preserve"> PAGEREF _Toc25709 \h </w:instrText>
          </w:r>
          <w:r>
            <w:fldChar w:fldCharType="separate"/>
          </w:r>
          <w:r>
            <w:t>- 3 -</w:t>
          </w:r>
          <w:r>
            <w:fldChar w:fldCharType="end"/>
          </w:r>
          <w:r>
            <w:rPr>
              <w:rFonts w:hint="default" w:ascii="Arial" w:hAnsi="Arial" w:eastAsia="宋体" w:cs="Arial"/>
              <w:bCs/>
              <w:color w:val="auto"/>
              <w:szCs w:val="24"/>
              <w:highlight w:val="none"/>
              <w:lang w:val="zh-CN"/>
            </w:rPr>
            <w:fldChar w:fldCharType="end"/>
          </w:r>
        </w:p>
        <w:p>
          <w:pPr>
            <w:pStyle w:val="21"/>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_Toc21406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1.4.1产业政策符合性分析</w:t>
          </w:r>
          <w:r>
            <w:tab/>
          </w:r>
          <w:r>
            <w:fldChar w:fldCharType="begin"/>
          </w:r>
          <w:r>
            <w:instrText xml:space="preserve"> PAGEREF _Toc21406 \h </w:instrText>
          </w:r>
          <w:r>
            <w:fldChar w:fldCharType="separate"/>
          </w:r>
          <w:r>
            <w:t>- 3 -</w:t>
          </w:r>
          <w:r>
            <w:fldChar w:fldCharType="end"/>
          </w:r>
          <w:r>
            <w:rPr>
              <w:rFonts w:hint="default" w:ascii="Arial" w:hAnsi="Arial" w:eastAsia="宋体" w:cs="Arial"/>
              <w:bCs/>
              <w:color w:val="auto"/>
              <w:szCs w:val="24"/>
              <w:highlight w:val="none"/>
              <w:lang w:val="zh-CN"/>
            </w:rPr>
            <w:fldChar w:fldCharType="end"/>
          </w:r>
        </w:p>
        <w:p>
          <w:pPr>
            <w:pStyle w:val="21"/>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_Toc15934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1.4.2项目选址合理性分析</w:t>
          </w:r>
          <w:r>
            <w:tab/>
          </w:r>
          <w:r>
            <w:fldChar w:fldCharType="begin"/>
          </w:r>
          <w:r>
            <w:instrText xml:space="preserve"> PAGEREF _Toc15934 \h </w:instrText>
          </w:r>
          <w:r>
            <w:fldChar w:fldCharType="separate"/>
          </w:r>
          <w:r>
            <w:t>- 4 -</w:t>
          </w:r>
          <w:r>
            <w:fldChar w:fldCharType="end"/>
          </w:r>
          <w:r>
            <w:rPr>
              <w:rFonts w:hint="default" w:ascii="Arial" w:hAnsi="Arial" w:eastAsia="宋体" w:cs="Arial"/>
              <w:bCs/>
              <w:color w:val="auto"/>
              <w:szCs w:val="24"/>
              <w:highlight w:val="none"/>
              <w:lang w:val="zh-CN"/>
            </w:rPr>
            <w:fldChar w:fldCharType="end"/>
          </w:r>
        </w:p>
        <w:p>
          <w:pPr>
            <w:pStyle w:val="21"/>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_Toc19699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1.4.3“三线一单”符合性分析</w:t>
          </w:r>
          <w:r>
            <w:tab/>
          </w:r>
          <w:r>
            <w:fldChar w:fldCharType="begin"/>
          </w:r>
          <w:r>
            <w:instrText xml:space="preserve"> PAGEREF _Toc19699 \h </w:instrText>
          </w:r>
          <w:r>
            <w:fldChar w:fldCharType="separate"/>
          </w:r>
          <w:r>
            <w:t>- 4 -</w:t>
          </w:r>
          <w:r>
            <w:fldChar w:fldCharType="end"/>
          </w:r>
          <w:r>
            <w:rPr>
              <w:rFonts w:hint="default" w:ascii="Arial" w:hAnsi="Arial" w:eastAsia="宋体" w:cs="Arial"/>
              <w:bCs/>
              <w:color w:val="auto"/>
              <w:szCs w:val="24"/>
              <w:highlight w:val="none"/>
              <w:lang w:val="zh-CN"/>
            </w:rPr>
            <w:fldChar w:fldCharType="end"/>
          </w:r>
        </w:p>
        <w:p>
          <w:pPr>
            <w:pStyle w:val="34"/>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_Toc3975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1.5重点关注环境问题及环境影响</w:t>
          </w:r>
          <w:r>
            <w:tab/>
          </w:r>
          <w:r>
            <w:fldChar w:fldCharType="begin"/>
          </w:r>
          <w:r>
            <w:instrText xml:space="preserve"> PAGEREF _Toc3975 \h </w:instrText>
          </w:r>
          <w:r>
            <w:fldChar w:fldCharType="separate"/>
          </w:r>
          <w:r>
            <w:t>- 6 -</w:t>
          </w:r>
          <w:r>
            <w:fldChar w:fldCharType="end"/>
          </w:r>
          <w:r>
            <w:rPr>
              <w:rFonts w:hint="default" w:ascii="Arial" w:hAnsi="Arial" w:eastAsia="宋体" w:cs="Arial"/>
              <w:bCs/>
              <w:color w:val="auto"/>
              <w:szCs w:val="24"/>
              <w:highlight w:val="none"/>
              <w:lang w:val="zh-CN"/>
            </w:rPr>
            <w:fldChar w:fldCharType="end"/>
          </w:r>
        </w:p>
        <w:p>
          <w:pPr>
            <w:pStyle w:val="34"/>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_Toc11358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1.6环境影响评价主要结论</w:t>
          </w:r>
          <w:r>
            <w:tab/>
          </w:r>
          <w:r>
            <w:fldChar w:fldCharType="begin"/>
          </w:r>
          <w:r>
            <w:instrText xml:space="preserve"> PAGEREF _Toc11358 \h </w:instrText>
          </w:r>
          <w:r>
            <w:fldChar w:fldCharType="separate"/>
          </w:r>
          <w:r>
            <w:t>- 7 -</w:t>
          </w:r>
          <w:r>
            <w:fldChar w:fldCharType="end"/>
          </w:r>
          <w:r>
            <w:rPr>
              <w:rFonts w:hint="default" w:ascii="Arial" w:hAnsi="Arial" w:eastAsia="宋体" w:cs="Arial"/>
              <w:bCs/>
              <w:color w:val="auto"/>
              <w:szCs w:val="24"/>
              <w:highlight w:val="none"/>
              <w:lang w:val="zh-CN"/>
            </w:rPr>
            <w:fldChar w:fldCharType="end"/>
          </w:r>
        </w:p>
        <w:p>
          <w:pPr>
            <w:pStyle w:val="30"/>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_Toc22035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2总则</w:t>
          </w:r>
          <w:r>
            <w:tab/>
          </w:r>
          <w:r>
            <w:fldChar w:fldCharType="begin"/>
          </w:r>
          <w:r>
            <w:instrText xml:space="preserve"> PAGEREF _Toc22035 \h </w:instrText>
          </w:r>
          <w:r>
            <w:fldChar w:fldCharType="separate"/>
          </w:r>
          <w:r>
            <w:t>- 8 -</w:t>
          </w:r>
          <w:r>
            <w:fldChar w:fldCharType="end"/>
          </w:r>
          <w:r>
            <w:rPr>
              <w:rFonts w:hint="default" w:ascii="Arial" w:hAnsi="Arial" w:eastAsia="宋体" w:cs="Arial"/>
              <w:bCs/>
              <w:color w:val="auto"/>
              <w:szCs w:val="24"/>
              <w:highlight w:val="none"/>
              <w:lang w:val="zh-CN"/>
            </w:rPr>
            <w:fldChar w:fldCharType="end"/>
          </w:r>
        </w:p>
        <w:p>
          <w:pPr>
            <w:pStyle w:val="34"/>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_Toc3708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2.1编制依据</w:t>
          </w:r>
          <w:r>
            <w:tab/>
          </w:r>
          <w:r>
            <w:fldChar w:fldCharType="begin"/>
          </w:r>
          <w:r>
            <w:instrText xml:space="preserve"> PAGEREF _Toc3708 \h </w:instrText>
          </w:r>
          <w:r>
            <w:fldChar w:fldCharType="separate"/>
          </w:r>
          <w:r>
            <w:t>- 8 -</w:t>
          </w:r>
          <w:r>
            <w:fldChar w:fldCharType="end"/>
          </w:r>
          <w:r>
            <w:rPr>
              <w:rFonts w:hint="default" w:ascii="Arial" w:hAnsi="Arial" w:eastAsia="宋体" w:cs="Arial"/>
              <w:bCs/>
              <w:color w:val="auto"/>
              <w:szCs w:val="24"/>
              <w:highlight w:val="none"/>
              <w:lang w:val="zh-CN"/>
            </w:rPr>
            <w:fldChar w:fldCharType="end"/>
          </w:r>
        </w:p>
        <w:p>
          <w:pPr>
            <w:pStyle w:val="21"/>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_Toc25111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2.1.1环境保护法律法规</w:t>
          </w:r>
          <w:r>
            <w:tab/>
          </w:r>
          <w:r>
            <w:fldChar w:fldCharType="begin"/>
          </w:r>
          <w:r>
            <w:instrText xml:space="preserve"> PAGEREF _Toc25111 \h </w:instrText>
          </w:r>
          <w:r>
            <w:fldChar w:fldCharType="separate"/>
          </w:r>
          <w:r>
            <w:t>- 8 -</w:t>
          </w:r>
          <w:r>
            <w:fldChar w:fldCharType="end"/>
          </w:r>
          <w:r>
            <w:rPr>
              <w:rFonts w:hint="default" w:ascii="Arial" w:hAnsi="Arial" w:eastAsia="宋体" w:cs="Arial"/>
              <w:bCs/>
              <w:color w:val="auto"/>
              <w:szCs w:val="24"/>
              <w:highlight w:val="none"/>
              <w:lang w:val="zh-CN"/>
            </w:rPr>
            <w:fldChar w:fldCharType="end"/>
          </w:r>
        </w:p>
        <w:p>
          <w:pPr>
            <w:pStyle w:val="21"/>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_Toc22643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2.1.2相关产业政策</w:t>
          </w:r>
          <w:r>
            <w:tab/>
          </w:r>
          <w:r>
            <w:fldChar w:fldCharType="begin"/>
          </w:r>
          <w:r>
            <w:instrText xml:space="preserve"> PAGEREF _Toc22643 \h </w:instrText>
          </w:r>
          <w:r>
            <w:fldChar w:fldCharType="separate"/>
          </w:r>
          <w:r>
            <w:t>- 9 -</w:t>
          </w:r>
          <w:r>
            <w:fldChar w:fldCharType="end"/>
          </w:r>
          <w:r>
            <w:rPr>
              <w:rFonts w:hint="default" w:ascii="Arial" w:hAnsi="Arial" w:eastAsia="宋体" w:cs="Arial"/>
              <w:bCs/>
              <w:color w:val="auto"/>
              <w:szCs w:val="24"/>
              <w:highlight w:val="none"/>
              <w:lang w:val="zh-CN"/>
            </w:rPr>
            <w:fldChar w:fldCharType="end"/>
          </w:r>
        </w:p>
        <w:p>
          <w:pPr>
            <w:pStyle w:val="21"/>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_Toc10950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2.1.3地方性法规及规范性文件</w:t>
          </w:r>
          <w:r>
            <w:tab/>
          </w:r>
          <w:r>
            <w:fldChar w:fldCharType="begin"/>
          </w:r>
          <w:r>
            <w:instrText xml:space="preserve"> PAGEREF _Toc10950 \h </w:instrText>
          </w:r>
          <w:r>
            <w:fldChar w:fldCharType="separate"/>
          </w:r>
          <w:r>
            <w:t>- 9 -</w:t>
          </w:r>
          <w:r>
            <w:fldChar w:fldCharType="end"/>
          </w:r>
          <w:r>
            <w:rPr>
              <w:rFonts w:hint="default" w:ascii="Arial" w:hAnsi="Arial" w:eastAsia="宋体" w:cs="Arial"/>
              <w:bCs/>
              <w:color w:val="auto"/>
              <w:szCs w:val="24"/>
              <w:highlight w:val="none"/>
              <w:lang w:val="zh-CN"/>
            </w:rPr>
            <w:fldChar w:fldCharType="end"/>
          </w:r>
        </w:p>
        <w:p>
          <w:pPr>
            <w:pStyle w:val="21"/>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_Toc14535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2.1.4技术导则和规范</w:t>
          </w:r>
          <w:r>
            <w:tab/>
          </w:r>
          <w:r>
            <w:fldChar w:fldCharType="begin"/>
          </w:r>
          <w:r>
            <w:instrText xml:space="preserve"> PAGEREF _Toc14535 \h </w:instrText>
          </w:r>
          <w:r>
            <w:fldChar w:fldCharType="separate"/>
          </w:r>
          <w:r>
            <w:t>- 10 -</w:t>
          </w:r>
          <w:r>
            <w:fldChar w:fldCharType="end"/>
          </w:r>
          <w:r>
            <w:rPr>
              <w:rFonts w:hint="default" w:ascii="Arial" w:hAnsi="Arial" w:eastAsia="宋体" w:cs="Arial"/>
              <w:bCs/>
              <w:color w:val="auto"/>
              <w:szCs w:val="24"/>
              <w:highlight w:val="none"/>
              <w:lang w:val="zh-CN"/>
            </w:rPr>
            <w:fldChar w:fldCharType="end"/>
          </w:r>
        </w:p>
        <w:p>
          <w:pPr>
            <w:pStyle w:val="21"/>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_Toc20552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2.1.5其他相关文件</w:t>
          </w:r>
          <w:r>
            <w:tab/>
          </w:r>
          <w:r>
            <w:fldChar w:fldCharType="begin"/>
          </w:r>
          <w:r>
            <w:instrText xml:space="preserve"> PAGEREF _Toc20552 \h </w:instrText>
          </w:r>
          <w:r>
            <w:fldChar w:fldCharType="separate"/>
          </w:r>
          <w:r>
            <w:t>- 11 -</w:t>
          </w:r>
          <w:r>
            <w:fldChar w:fldCharType="end"/>
          </w:r>
          <w:r>
            <w:rPr>
              <w:rFonts w:hint="default" w:ascii="Arial" w:hAnsi="Arial" w:eastAsia="宋体" w:cs="Arial"/>
              <w:bCs/>
              <w:color w:val="auto"/>
              <w:szCs w:val="24"/>
              <w:highlight w:val="none"/>
              <w:lang w:val="zh-CN"/>
            </w:rPr>
            <w:fldChar w:fldCharType="end"/>
          </w:r>
        </w:p>
        <w:p>
          <w:pPr>
            <w:pStyle w:val="34"/>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_Toc5096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2.2评价目的及评价重点</w:t>
          </w:r>
          <w:r>
            <w:tab/>
          </w:r>
          <w:r>
            <w:fldChar w:fldCharType="begin"/>
          </w:r>
          <w:r>
            <w:instrText xml:space="preserve"> PAGEREF _Toc5096 \h </w:instrText>
          </w:r>
          <w:r>
            <w:fldChar w:fldCharType="separate"/>
          </w:r>
          <w:r>
            <w:t>- 11 -</w:t>
          </w:r>
          <w:r>
            <w:fldChar w:fldCharType="end"/>
          </w:r>
          <w:r>
            <w:rPr>
              <w:rFonts w:hint="default" w:ascii="Arial" w:hAnsi="Arial" w:eastAsia="宋体" w:cs="Arial"/>
              <w:bCs/>
              <w:color w:val="auto"/>
              <w:szCs w:val="24"/>
              <w:highlight w:val="none"/>
              <w:lang w:val="zh-CN"/>
            </w:rPr>
            <w:fldChar w:fldCharType="end"/>
          </w:r>
        </w:p>
        <w:p>
          <w:pPr>
            <w:pStyle w:val="21"/>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_Toc32395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2.2.1评价目的</w:t>
          </w:r>
          <w:r>
            <w:tab/>
          </w:r>
          <w:r>
            <w:fldChar w:fldCharType="begin"/>
          </w:r>
          <w:r>
            <w:instrText xml:space="preserve"> PAGEREF _Toc32395 \h </w:instrText>
          </w:r>
          <w:r>
            <w:fldChar w:fldCharType="separate"/>
          </w:r>
          <w:r>
            <w:t>- 11 -</w:t>
          </w:r>
          <w:r>
            <w:fldChar w:fldCharType="end"/>
          </w:r>
          <w:r>
            <w:rPr>
              <w:rFonts w:hint="default" w:ascii="Arial" w:hAnsi="Arial" w:eastAsia="宋体" w:cs="Arial"/>
              <w:bCs/>
              <w:color w:val="auto"/>
              <w:szCs w:val="24"/>
              <w:highlight w:val="none"/>
              <w:lang w:val="zh-CN"/>
            </w:rPr>
            <w:fldChar w:fldCharType="end"/>
          </w:r>
        </w:p>
        <w:p>
          <w:pPr>
            <w:pStyle w:val="21"/>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_Toc25160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2.2.2评价重点</w:t>
          </w:r>
          <w:r>
            <w:tab/>
          </w:r>
          <w:r>
            <w:fldChar w:fldCharType="begin"/>
          </w:r>
          <w:r>
            <w:instrText xml:space="preserve"> PAGEREF _Toc25160 \h </w:instrText>
          </w:r>
          <w:r>
            <w:fldChar w:fldCharType="separate"/>
          </w:r>
          <w:r>
            <w:t>- 12 -</w:t>
          </w:r>
          <w:r>
            <w:fldChar w:fldCharType="end"/>
          </w:r>
          <w:r>
            <w:rPr>
              <w:rFonts w:hint="default" w:ascii="Arial" w:hAnsi="Arial" w:eastAsia="宋体" w:cs="Arial"/>
              <w:bCs/>
              <w:color w:val="auto"/>
              <w:szCs w:val="24"/>
              <w:highlight w:val="none"/>
              <w:lang w:val="zh-CN"/>
            </w:rPr>
            <w:fldChar w:fldCharType="end"/>
          </w:r>
        </w:p>
        <w:p>
          <w:pPr>
            <w:pStyle w:val="34"/>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_Toc16271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2.3环境影响识别</w:t>
          </w:r>
          <w:r>
            <w:tab/>
          </w:r>
          <w:r>
            <w:fldChar w:fldCharType="begin"/>
          </w:r>
          <w:r>
            <w:instrText xml:space="preserve"> PAGEREF _Toc16271 \h </w:instrText>
          </w:r>
          <w:r>
            <w:fldChar w:fldCharType="separate"/>
          </w:r>
          <w:r>
            <w:t>- 12 -</w:t>
          </w:r>
          <w:r>
            <w:fldChar w:fldCharType="end"/>
          </w:r>
          <w:r>
            <w:rPr>
              <w:rFonts w:hint="default" w:ascii="Arial" w:hAnsi="Arial" w:eastAsia="宋体" w:cs="Arial"/>
              <w:bCs/>
              <w:color w:val="auto"/>
              <w:szCs w:val="24"/>
              <w:highlight w:val="none"/>
              <w:lang w:val="zh-CN"/>
            </w:rPr>
            <w:fldChar w:fldCharType="end"/>
          </w:r>
        </w:p>
        <w:p>
          <w:pPr>
            <w:pStyle w:val="21"/>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_Toc29681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2.3.1环境影响因素识别</w:t>
          </w:r>
          <w:r>
            <w:tab/>
          </w:r>
          <w:r>
            <w:fldChar w:fldCharType="begin"/>
          </w:r>
          <w:r>
            <w:instrText xml:space="preserve"> PAGEREF _Toc29681 \h </w:instrText>
          </w:r>
          <w:r>
            <w:fldChar w:fldCharType="separate"/>
          </w:r>
          <w:r>
            <w:t>- 12 -</w:t>
          </w:r>
          <w:r>
            <w:fldChar w:fldCharType="end"/>
          </w:r>
          <w:r>
            <w:rPr>
              <w:rFonts w:hint="default" w:ascii="Arial" w:hAnsi="Arial" w:eastAsia="宋体" w:cs="Arial"/>
              <w:bCs/>
              <w:color w:val="auto"/>
              <w:szCs w:val="24"/>
              <w:highlight w:val="none"/>
              <w:lang w:val="zh-CN"/>
            </w:rPr>
            <w:fldChar w:fldCharType="end"/>
          </w:r>
        </w:p>
        <w:p>
          <w:pPr>
            <w:pStyle w:val="21"/>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_Toc280 </w:instrText>
          </w:r>
          <w:r>
            <w:rPr>
              <w:rFonts w:hint="default" w:ascii="Arial" w:hAnsi="Arial" w:eastAsia="宋体" w:cs="Arial"/>
              <w:bCs/>
              <w:szCs w:val="24"/>
              <w:highlight w:val="none"/>
              <w:lang w:val="zh-CN"/>
            </w:rPr>
            <w:fldChar w:fldCharType="separate"/>
          </w:r>
          <w:r>
            <w:rPr>
              <w:rFonts w:hint="default" w:ascii="Arial" w:hAnsi="Arial" w:eastAsia="宋体" w:cs="Arial"/>
              <w:bCs/>
              <w:highlight w:val="none"/>
            </w:rPr>
            <w:t>2.3.2环境影响评价因子识别</w:t>
          </w:r>
          <w:r>
            <w:tab/>
          </w:r>
          <w:r>
            <w:fldChar w:fldCharType="begin"/>
          </w:r>
          <w:r>
            <w:instrText xml:space="preserve"> PAGEREF _Toc280 \h </w:instrText>
          </w:r>
          <w:r>
            <w:fldChar w:fldCharType="separate"/>
          </w:r>
          <w:r>
            <w:t>- 13 -</w:t>
          </w:r>
          <w:r>
            <w:fldChar w:fldCharType="end"/>
          </w:r>
          <w:r>
            <w:rPr>
              <w:rFonts w:hint="default" w:ascii="Arial" w:hAnsi="Arial" w:eastAsia="宋体" w:cs="Arial"/>
              <w:bCs/>
              <w:color w:val="auto"/>
              <w:szCs w:val="24"/>
              <w:highlight w:val="none"/>
              <w:lang w:val="zh-CN"/>
            </w:rPr>
            <w:fldChar w:fldCharType="end"/>
          </w:r>
        </w:p>
        <w:p>
          <w:pPr>
            <w:pStyle w:val="21"/>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_Toc28144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2.3.3评价因子</w:t>
          </w:r>
          <w:r>
            <w:tab/>
          </w:r>
          <w:r>
            <w:fldChar w:fldCharType="begin"/>
          </w:r>
          <w:r>
            <w:instrText xml:space="preserve"> PAGEREF _Toc28144 \h </w:instrText>
          </w:r>
          <w:r>
            <w:fldChar w:fldCharType="separate"/>
          </w:r>
          <w:r>
            <w:t>- 13 -</w:t>
          </w:r>
          <w:r>
            <w:fldChar w:fldCharType="end"/>
          </w:r>
          <w:r>
            <w:rPr>
              <w:rFonts w:hint="default" w:ascii="Arial" w:hAnsi="Arial" w:eastAsia="宋体" w:cs="Arial"/>
              <w:bCs/>
              <w:color w:val="auto"/>
              <w:szCs w:val="24"/>
              <w:highlight w:val="none"/>
              <w:lang w:val="zh-CN"/>
            </w:rPr>
            <w:fldChar w:fldCharType="end"/>
          </w:r>
        </w:p>
        <w:p>
          <w:pPr>
            <w:pStyle w:val="34"/>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_Toc28908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2.4环境功能区划及评价标准</w:t>
          </w:r>
          <w:r>
            <w:tab/>
          </w:r>
          <w:r>
            <w:fldChar w:fldCharType="begin"/>
          </w:r>
          <w:r>
            <w:instrText xml:space="preserve"> PAGEREF _Toc28908 \h </w:instrText>
          </w:r>
          <w:r>
            <w:fldChar w:fldCharType="separate"/>
          </w:r>
          <w:r>
            <w:t>- 14 -</w:t>
          </w:r>
          <w:r>
            <w:fldChar w:fldCharType="end"/>
          </w:r>
          <w:r>
            <w:rPr>
              <w:rFonts w:hint="default" w:ascii="Arial" w:hAnsi="Arial" w:eastAsia="宋体" w:cs="Arial"/>
              <w:bCs/>
              <w:color w:val="auto"/>
              <w:szCs w:val="24"/>
              <w:highlight w:val="none"/>
              <w:lang w:val="zh-CN"/>
            </w:rPr>
            <w:fldChar w:fldCharType="end"/>
          </w:r>
        </w:p>
        <w:p>
          <w:pPr>
            <w:pStyle w:val="21"/>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_Toc14366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2.4.1环境功能区划</w:t>
          </w:r>
          <w:r>
            <w:tab/>
          </w:r>
          <w:r>
            <w:fldChar w:fldCharType="begin"/>
          </w:r>
          <w:r>
            <w:instrText xml:space="preserve"> PAGEREF _Toc14366 \h </w:instrText>
          </w:r>
          <w:r>
            <w:fldChar w:fldCharType="separate"/>
          </w:r>
          <w:r>
            <w:t>- 14 -</w:t>
          </w:r>
          <w:r>
            <w:fldChar w:fldCharType="end"/>
          </w:r>
          <w:r>
            <w:rPr>
              <w:rFonts w:hint="default" w:ascii="Arial" w:hAnsi="Arial" w:eastAsia="宋体" w:cs="Arial"/>
              <w:bCs/>
              <w:color w:val="auto"/>
              <w:szCs w:val="24"/>
              <w:highlight w:val="none"/>
              <w:lang w:val="zh-CN"/>
            </w:rPr>
            <w:fldChar w:fldCharType="end"/>
          </w:r>
        </w:p>
        <w:p>
          <w:pPr>
            <w:pStyle w:val="21"/>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_Toc11271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2.4.2环境质量标准</w:t>
          </w:r>
          <w:r>
            <w:tab/>
          </w:r>
          <w:r>
            <w:fldChar w:fldCharType="begin"/>
          </w:r>
          <w:r>
            <w:instrText xml:space="preserve"> PAGEREF _Toc11271 \h </w:instrText>
          </w:r>
          <w:r>
            <w:fldChar w:fldCharType="separate"/>
          </w:r>
          <w:r>
            <w:t>- 14 -</w:t>
          </w:r>
          <w:r>
            <w:fldChar w:fldCharType="end"/>
          </w:r>
          <w:r>
            <w:rPr>
              <w:rFonts w:hint="default" w:ascii="Arial" w:hAnsi="Arial" w:eastAsia="宋体" w:cs="Arial"/>
              <w:bCs/>
              <w:color w:val="auto"/>
              <w:szCs w:val="24"/>
              <w:highlight w:val="none"/>
              <w:lang w:val="zh-CN"/>
            </w:rPr>
            <w:fldChar w:fldCharType="end"/>
          </w:r>
        </w:p>
        <w:p>
          <w:pPr>
            <w:pStyle w:val="21"/>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_Toc1535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2.4.3污染物排放标准</w:t>
          </w:r>
          <w:r>
            <w:tab/>
          </w:r>
          <w:r>
            <w:fldChar w:fldCharType="begin"/>
          </w:r>
          <w:r>
            <w:instrText xml:space="preserve"> PAGEREF _Toc1535 \h </w:instrText>
          </w:r>
          <w:r>
            <w:fldChar w:fldCharType="separate"/>
          </w:r>
          <w:r>
            <w:t>- 17 -</w:t>
          </w:r>
          <w:r>
            <w:fldChar w:fldCharType="end"/>
          </w:r>
          <w:r>
            <w:rPr>
              <w:rFonts w:hint="default" w:ascii="Arial" w:hAnsi="Arial" w:eastAsia="宋体" w:cs="Arial"/>
              <w:bCs/>
              <w:color w:val="auto"/>
              <w:szCs w:val="24"/>
              <w:highlight w:val="none"/>
              <w:lang w:val="zh-CN"/>
            </w:rPr>
            <w:fldChar w:fldCharType="end"/>
          </w:r>
        </w:p>
        <w:p>
          <w:pPr>
            <w:pStyle w:val="34"/>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_Toc24685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2.5评价等级及评价范围</w:t>
          </w:r>
          <w:r>
            <w:tab/>
          </w:r>
          <w:r>
            <w:fldChar w:fldCharType="begin"/>
          </w:r>
          <w:r>
            <w:instrText xml:space="preserve"> PAGEREF _Toc24685 \h </w:instrText>
          </w:r>
          <w:r>
            <w:fldChar w:fldCharType="separate"/>
          </w:r>
          <w:r>
            <w:t>- 19 -</w:t>
          </w:r>
          <w:r>
            <w:fldChar w:fldCharType="end"/>
          </w:r>
          <w:r>
            <w:rPr>
              <w:rFonts w:hint="default" w:ascii="Arial" w:hAnsi="Arial" w:eastAsia="宋体" w:cs="Arial"/>
              <w:bCs/>
              <w:color w:val="auto"/>
              <w:szCs w:val="24"/>
              <w:highlight w:val="none"/>
              <w:lang w:val="zh-CN"/>
            </w:rPr>
            <w:fldChar w:fldCharType="end"/>
          </w:r>
        </w:p>
        <w:p>
          <w:pPr>
            <w:pStyle w:val="21"/>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_Toc15316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2.5.1大气环境</w:t>
          </w:r>
          <w:r>
            <w:tab/>
          </w:r>
          <w:r>
            <w:fldChar w:fldCharType="begin"/>
          </w:r>
          <w:r>
            <w:instrText xml:space="preserve"> PAGEREF _Toc15316 \h </w:instrText>
          </w:r>
          <w:r>
            <w:fldChar w:fldCharType="separate"/>
          </w:r>
          <w:r>
            <w:t>- 19 -</w:t>
          </w:r>
          <w:r>
            <w:fldChar w:fldCharType="end"/>
          </w:r>
          <w:r>
            <w:rPr>
              <w:rFonts w:hint="default" w:ascii="Arial" w:hAnsi="Arial" w:eastAsia="宋体" w:cs="Arial"/>
              <w:bCs/>
              <w:color w:val="auto"/>
              <w:szCs w:val="24"/>
              <w:highlight w:val="none"/>
              <w:lang w:val="zh-CN"/>
            </w:rPr>
            <w:fldChar w:fldCharType="end"/>
          </w:r>
        </w:p>
        <w:p>
          <w:pPr>
            <w:pStyle w:val="21"/>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_Toc15996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2.5.2地表水环境</w:t>
          </w:r>
          <w:r>
            <w:tab/>
          </w:r>
          <w:r>
            <w:fldChar w:fldCharType="begin"/>
          </w:r>
          <w:r>
            <w:instrText xml:space="preserve"> PAGEREF _Toc15996 \h </w:instrText>
          </w:r>
          <w:r>
            <w:fldChar w:fldCharType="separate"/>
          </w:r>
          <w:r>
            <w:t>- 21 -</w:t>
          </w:r>
          <w:r>
            <w:fldChar w:fldCharType="end"/>
          </w:r>
          <w:r>
            <w:rPr>
              <w:rFonts w:hint="default" w:ascii="Arial" w:hAnsi="Arial" w:eastAsia="宋体" w:cs="Arial"/>
              <w:bCs/>
              <w:color w:val="auto"/>
              <w:szCs w:val="24"/>
              <w:highlight w:val="none"/>
              <w:lang w:val="zh-CN"/>
            </w:rPr>
            <w:fldChar w:fldCharType="end"/>
          </w:r>
        </w:p>
        <w:p>
          <w:pPr>
            <w:pStyle w:val="21"/>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_Toc14618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2.5.3地下水环境</w:t>
          </w:r>
          <w:r>
            <w:tab/>
          </w:r>
          <w:r>
            <w:fldChar w:fldCharType="begin"/>
          </w:r>
          <w:r>
            <w:instrText xml:space="preserve"> PAGEREF _Toc14618 \h </w:instrText>
          </w:r>
          <w:r>
            <w:fldChar w:fldCharType="separate"/>
          </w:r>
          <w:r>
            <w:t>- 21 -</w:t>
          </w:r>
          <w:r>
            <w:fldChar w:fldCharType="end"/>
          </w:r>
          <w:r>
            <w:rPr>
              <w:rFonts w:hint="default" w:ascii="Arial" w:hAnsi="Arial" w:eastAsia="宋体" w:cs="Arial"/>
              <w:bCs/>
              <w:color w:val="auto"/>
              <w:szCs w:val="24"/>
              <w:highlight w:val="none"/>
              <w:lang w:val="zh-CN"/>
            </w:rPr>
            <w:fldChar w:fldCharType="end"/>
          </w:r>
        </w:p>
        <w:p>
          <w:pPr>
            <w:pStyle w:val="21"/>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_Toc15859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lang w:val="en-GB"/>
            </w:rPr>
            <w:t>2.5.4土壤环境</w:t>
          </w:r>
          <w:r>
            <w:tab/>
          </w:r>
          <w:r>
            <w:fldChar w:fldCharType="begin"/>
          </w:r>
          <w:r>
            <w:instrText xml:space="preserve"> PAGEREF _Toc15859 \h </w:instrText>
          </w:r>
          <w:r>
            <w:fldChar w:fldCharType="separate"/>
          </w:r>
          <w:r>
            <w:t>- 23 -</w:t>
          </w:r>
          <w:r>
            <w:fldChar w:fldCharType="end"/>
          </w:r>
          <w:r>
            <w:rPr>
              <w:rFonts w:hint="default" w:ascii="Arial" w:hAnsi="Arial" w:eastAsia="宋体" w:cs="Arial"/>
              <w:bCs/>
              <w:color w:val="auto"/>
              <w:szCs w:val="24"/>
              <w:highlight w:val="none"/>
              <w:lang w:val="zh-CN"/>
            </w:rPr>
            <w:fldChar w:fldCharType="end"/>
          </w:r>
        </w:p>
        <w:p>
          <w:pPr>
            <w:pStyle w:val="21"/>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_Toc7166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lang w:val="en-GB"/>
            </w:rPr>
            <w:t>2.5.5声环境</w:t>
          </w:r>
          <w:r>
            <w:tab/>
          </w:r>
          <w:r>
            <w:fldChar w:fldCharType="begin"/>
          </w:r>
          <w:r>
            <w:instrText xml:space="preserve"> PAGEREF _Toc7166 \h </w:instrText>
          </w:r>
          <w:r>
            <w:fldChar w:fldCharType="separate"/>
          </w:r>
          <w:r>
            <w:t>- 24 -</w:t>
          </w:r>
          <w:r>
            <w:fldChar w:fldCharType="end"/>
          </w:r>
          <w:r>
            <w:rPr>
              <w:rFonts w:hint="default" w:ascii="Arial" w:hAnsi="Arial" w:eastAsia="宋体" w:cs="Arial"/>
              <w:bCs/>
              <w:color w:val="auto"/>
              <w:szCs w:val="24"/>
              <w:highlight w:val="none"/>
              <w:lang w:val="zh-CN"/>
            </w:rPr>
            <w:fldChar w:fldCharType="end"/>
          </w:r>
        </w:p>
        <w:p>
          <w:pPr>
            <w:pStyle w:val="21"/>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_Toc7175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2.5.6环境风险</w:t>
          </w:r>
          <w:r>
            <w:tab/>
          </w:r>
          <w:r>
            <w:fldChar w:fldCharType="begin"/>
          </w:r>
          <w:r>
            <w:instrText xml:space="preserve"> PAGEREF _Toc7175 \h </w:instrText>
          </w:r>
          <w:r>
            <w:fldChar w:fldCharType="separate"/>
          </w:r>
          <w:r>
            <w:t>- 24 -</w:t>
          </w:r>
          <w:r>
            <w:fldChar w:fldCharType="end"/>
          </w:r>
          <w:r>
            <w:rPr>
              <w:rFonts w:hint="default" w:ascii="Arial" w:hAnsi="Arial" w:eastAsia="宋体" w:cs="Arial"/>
              <w:bCs/>
              <w:color w:val="auto"/>
              <w:szCs w:val="24"/>
              <w:highlight w:val="none"/>
              <w:lang w:val="zh-CN"/>
            </w:rPr>
            <w:fldChar w:fldCharType="end"/>
          </w:r>
        </w:p>
        <w:p>
          <w:pPr>
            <w:pStyle w:val="21"/>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_Toc28061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2.5.7生态环境</w:t>
          </w:r>
          <w:r>
            <w:tab/>
          </w:r>
          <w:r>
            <w:fldChar w:fldCharType="begin"/>
          </w:r>
          <w:r>
            <w:instrText xml:space="preserve"> PAGEREF _Toc28061 \h </w:instrText>
          </w:r>
          <w:r>
            <w:fldChar w:fldCharType="separate"/>
          </w:r>
          <w:r>
            <w:t>- 25 -</w:t>
          </w:r>
          <w:r>
            <w:fldChar w:fldCharType="end"/>
          </w:r>
          <w:r>
            <w:rPr>
              <w:rFonts w:hint="default" w:ascii="Arial" w:hAnsi="Arial" w:eastAsia="宋体" w:cs="Arial"/>
              <w:bCs/>
              <w:color w:val="auto"/>
              <w:szCs w:val="24"/>
              <w:highlight w:val="none"/>
              <w:lang w:val="zh-CN"/>
            </w:rPr>
            <w:fldChar w:fldCharType="end"/>
          </w:r>
        </w:p>
        <w:p>
          <w:pPr>
            <w:pStyle w:val="34"/>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_Toc25400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2.6环境保护目标</w:t>
          </w:r>
          <w:r>
            <w:tab/>
          </w:r>
          <w:r>
            <w:fldChar w:fldCharType="begin"/>
          </w:r>
          <w:r>
            <w:instrText xml:space="preserve"> PAGEREF _Toc25400 \h </w:instrText>
          </w:r>
          <w:r>
            <w:fldChar w:fldCharType="separate"/>
          </w:r>
          <w:r>
            <w:t>- 25 -</w:t>
          </w:r>
          <w:r>
            <w:fldChar w:fldCharType="end"/>
          </w:r>
          <w:r>
            <w:rPr>
              <w:rFonts w:hint="default" w:ascii="Arial" w:hAnsi="Arial" w:eastAsia="宋体" w:cs="Arial"/>
              <w:bCs/>
              <w:color w:val="auto"/>
              <w:szCs w:val="24"/>
              <w:highlight w:val="none"/>
              <w:lang w:val="zh-CN"/>
            </w:rPr>
            <w:fldChar w:fldCharType="end"/>
          </w:r>
        </w:p>
        <w:p>
          <w:pPr>
            <w:pStyle w:val="34"/>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_Toc25856 </w:instrText>
          </w:r>
          <w:r>
            <w:rPr>
              <w:rFonts w:hint="default" w:ascii="Arial" w:hAnsi="Arial" w:eastAsia="宋体" w:cs="Arial"/>
              <w:bCs/>
              <w:szCs w:val="24"/>
              <w:highlight w:val="none"/>
              <w:lang w:val="zh-CN"/>
            </w:rPr>
            <w:fldChar w:fldCharType="separate"/>
          </w:r>
          <w:r>
            <w:rPr>
              <w:rFonts w:hint="default" w:ascii="Arial" w:hAnsi="Arial" w:eastAsia="宋体" w:cs="Arial"/>
              <w:szCs w:val="32"/>
              <w:highlight w:val="none"/>
            </w:rPr>
            <w:t>2.7项目符合性分析</w:t>
          </w:r>
          <w:r>
            <w:tab/>
          </w:r>
          <w:r>
            <w:fldChar w:fldCharType="begin"/>
          </w:r>
          <w:r>
            <w:instrText xml:space="preserve"> PAGEREF _Toc25856 \h </w:instrText>
          </w:r>
          <w:r>
            <w:fldChar w:fldCharType="separate"/>
          </w:r>
          <w:r>
            <w:t>- 33 -</w:t>
          </w:r>
          <w:r>
            <w:fldChar w:fldCharType="end"/>
          </w:r>
          <w:r>
            <w:rPr>
              <w:rFonts w:hint="default" w:ascii="Arial" w:hAnsi="Arial" w:eastAsia="宋体" w:cs="Arial"/>
              <w:bCs/>
              <w:color w:val="auto"/>
              <w:szCs w:val="24"/>
              <w:highlight w:val="none"/>
              <w:lang w:val="zh-CN"/>
            </w:rPr>
            <w:fldChar w:fldCharType="end"/>
          </w:r>
        </w:p>
        <w:p>
          <w:pPr>
            <w:pStyle w:val="21"/>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_Toc4812 </w:instrText>
          </w:r>
          <w:r>
            <w:rPr>
              <w:rFonts w:hint="default" w:ascii="Arial" w:hAnsi="Arial" w:eastAsia="宋体" w:cs="Arial"/>
              <w:bCs/>
              <w:szCs w:val="24"/>
              <w:highlight w:val="none"/>
              <w:lang w:val="zh-CN"/>
            </w:rPr>
            <w:fldChar w:fldCharType="separate"/>
          </w:r>
          <w:r>
            <w:rPr>
              <w:rFonts w:hint="default" w:ascii="Arial" w:hAnsi="Arial" w:eastAsia="宋体" w:cs="Arial"/>
              <w:szCs w:val="32"/>
              <w:highlight w:val="none"/>
            </w:rPr>
            <w:t>2.7.1《产业结构调整指导目录（2019年本）》符合性</w:t>
          </w:r>
          <w:r>
            <w:tab/>
          </w:r>
          <w:r>
            <w:fldChar w:fldCharType="begin"/>
          </w:r>
          <w:r>
            <w:instrText xml:space="preserve"> PAGEREF _Toc4812 \h </w:instrText>
          </w:r>
          <w:r>
            <w:fldChar w:fldCharType="separate"/>
          </w:r>
          <w:r>
            <w:t>- 33 -</w:t>
          </w:r>
          <w:r>
            <w:fldChar w:fldCharType="end"/>
          </w:r>
          <w:r>
            <w:rPr>
              <w:rFonts w:hint="default" w:ascii="Arial" w:hAnsi="Arial" w:eastAsia="宋体" w:cs="Arial"/>
              <w:bCs/>
              <w:color w:val="auto"/>
              <w:szCs w:val="24"/>
              <w:highlight w:val="none"/>
              <w:lang w:val="zh-CN"/>
            </w:rPr>
            <w:fldChar w:fldCharType="end"/>
          </w:r>
        </w:p>
        <w:p>
          <w:pPr>
            <w:pStyle w:val="21"/>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_Toc7986 </w:instrText>
          </w:r>
          <w:r>
            <w:rPr>
              <w:rFonts w:hint="default" w:ascii="Arial" w:hAnsi="Arial" w:eastAsia="宋体" w:cs="Arial"/>
              <w:bCs/>
              <w:szCs w:val="24"/>
              <w:highlight w:val="none"/>
              <w:lang w:val="zh-CN"/>
            </w:rPr>
            <w:fldChar w:fldCharType="separate"/>
          </w:r>
          <w:r>
            <w:rPr>
              <w:rFonts w:hint="default" w:ascii="Arial" w:hAnsi="Arial" w:eastAsia="宋体" w:cs="Arial"/>
              <w:szCs w:val="32"/>
              <w:highlight w:val="none"/>
            </w:rPr>
            <w:t>2.7.2相关法律、法规的符合性</w:t>
          </w:r>
          <w:r>
            <w:tab/>
          </w:r>
          <w:r>
            <w:fldChar w:fldCharType="begin"/>
          </w:r>
          <w:r>
            <w:instrText xml:space="preserve"> PAGEREF _Toc7986 \h </w:instrText>
          </w:r>
          <w:r>
            <w:fldChar w:fldCharType="separate"/>
          </w:r>
          <w:r>
            <w:t>- 33 -</w:t>
          </w:r>
          <w:r>
            <w:fldChar w:fldCharType="end"/>
          </w:r>
          <w:r>
            <w:rPr>
              <w:rFonts w:hint="default" w:ascii="Arial" w:hAnsi="Arial" w:eastAsia="宋体" w:cs="Arial"/>
              <w:bCs/>
              <w:color w:val="auto"/>
              <w:szCs w:val="24"/>
              <w:highlight w:val="none"/>
              <w:lang w:val="zh-CN"/>
            </w:rPr>
            <w:fldChar w:fldCharType="end"/>
          </w:r>
        </w:p>
        <w:p>
          <w:pPr>
            <w:pStyle w:val="21"/>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_Toc27409 </w:instrText>
          </w:r>
          <w:r>
            <w:rPr>
              <w:rFonts w:hint="default" w:ascii="Arial" w:hAnsi="Arial" w:eastAsia="宋体" w:cs="Arial"/>
              <w:bCs/>
              <w:szCs w:val="24"/>
              <w:highlight w:val="none"/>
              <w:lang w:val="zh-CN"/>
            </w:rPr>
            <w:fldChar w:fldCharType="separate"/>
          </w:r>
          <w:r>
            <w:rPr>
              <w:rFonts w:hint="default" w:ascii="Arial" w:hAnsi="Arial" w:eastAsia="宋体" w:cs="Arial"/>
              <w:szCs w:val="32"/>
              <w:highlight w:val="none"/>
            </w:rPr>
            <w:t>2.7.3相关规范符合性分析</w:t>
          </w:r>
          <w:r>
            <w:tab/>
          </w:r>
          <w:r>
            <w:fldChar w:fldCharType="begin"/>
          </w:r>
          <w:r>
            <w:instrText xml:space="preserve"> PAGEREF _Toc27409 \h </w:instrText>
          </w:r>
          <w:r>
            <w:fldChar w:fldCharType="separate"/>
          </w:r>
          <w:r>
            <w:t>- 33 -</w:t>
          </w:r>
          <w:r>
            <w:fldChar w:fldCharType="end"/>
          </w:r>
          <w:r>
            <w:rPr>
              <w:rFonts w:hint="default" w:ascii="Arial" w:hAnsi="Arial" w:eastAsia="宋体" w:cs="Arial"/>
              <w:bCs/>
              <w:color w:val="auto"/>
              <w:szCs w:val="24"/>
              <w:highlight w:val="none"/>
              <w:lang w:val="zh-CN"/>
            </w:rPr>
            <w:fldChar w:fldCharType="end"/>
          </w:r>
        </w:p>
        <w:p>
          <w:pPr>
            <w:pStyle w:val="21"/>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_Toc23788 </w:instrText>
          </w:r>
          <w:r>
            <w:rPr>
              <w:rFonts w:hint="default" w:ascii="Arial" w:hAnsi="Arial" w:eastAsia="宋体" w:cs="Arial"/>
              <w:bCs/>
              <w:szCs w:val="24"/>
              <w:highlight w:val="none"/>
              <w:lang w:val="zh-CN"/>
            </w:rPr>
            <w:fldChar w:fldCharType="separate"/>
          </w:r>
          <w:r>
            <w:rPr>
              <w:rFonts w:hint="default" w:ascii="Arial" w:hAnsi="Arial" w:eastAsia="宋体" w:cs="Arial"/>
              <w:szCs w:val="32"/>
              <w:highlight w:val="none"/>
            </w:rPr>
            <w:t>2.7.4相关政策符合性分析</w:t>
          </w:r>
          <w:r>
            <w:tab/>
          </w:r>
          <w:r>
            <w:fldChar w:fldCharType="begin"/>
          </w:r>
          <w:r>
            <w:instrText xml:space="preserve"> PAGEREF _Toc23788 \h </w:instrText>
          </w:r>
          <w:r>
            <w:fldChar w:fldCharType="separate"/>
          </w:r>
          <w:r>
            <w:t>- 33 -</w:t>
          </w:r>
          <w:r>
            <w:fldChar w:fldCharType="end"/>
          </w:r>
          <w:r>
            <w:rPr>
              <w:rFonts w:hint="default" w:ascii="Arial" w:hAnsi="Arial" w:eastAsia="宋体" w:cs="Arial"/>
              <w:bCs/>
              <w:color w:val="auto"/>
              <w:szCs w:val="24"/>
              <w:highlight w:val="none"/>
              <w:lang w:val="zh-CN"/>
            </w:rPr>
            <w:fldChar w:fldCharType="end"/>
          </w:r>
        </w:p>
        <w:p>
          <w:pPr>
            <w:pStyle w:val="21"/>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_Toc19681 </w:instrText>
          </w:r>
          <w:r>
            <w:rPr>
              <w:rFonts w:hint="default" w:ascii="Arial" w:hAnsi="Arial" w:eastAsia="宋体" w:cs="Arial"/>
              <w:bCs/>
              <w:szCs w:val="24"/>
              <w:highlight w:val="none"/>
              <w:lang w:val="zh-CN"/>
            </w:rPr>
            <w:fldChar w:fldCharType="separate"/>
          </w:r>
          <w:r>
            <w:rPr>
              <w:rFonts w:hint="default" w:ascii="Arial" w:hAnsi="Arial" w:eastAsia="宋体" w:cs="Arial"/>
              <w:szCs w:val="32"/>
              <w:highlight w:val="none"/>
            </w:rPr>
            <w:t>2.7.5相关规划符合性分析</w:t>
          </w:r>
          <w:r>
            <w:tab/>
          </w:r>
          <w:r>
            <w:fldChar w:fldCharType="begin"/>
          </w:r>
          <w:r>
            <w:instrText xml:space="preserve"> PAGEREF _Toc19681 \h </w:instrText>
          </w:r>
          <w:r>
            <w:fldChar w:fldCharType="separate"/>
          </w:r>
          <w:r>
            <w:t>- 33 -</w:t>
          </w:r>
          <w:r>
            <w:fldChar w:fldCharType="end"/>
          </w:r>
          <w:r>
            <w:rPr>
              <w:rFonts w:hint="default" w:ascii="Arial" w:hAnsi="Arial" w:eastAsia="宋体" w:cs="Arial"/>
              <w:bCs/>
              <w:color w:val="auto"/>
              <w:szCs w:val="24"/>
              <w:highlight w:val="none"/>
              <w:lang w:val="zh-CN"/>
            </w:rPr>
            <w:fldChar w:fldCharType="end"/>
          </w:r>
        </w:p>
        <w:p>
          <w:pPr>
            <w:pStyle w:val="21"/>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_Toc6819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2.7.6选址合理性分析</w:t>
          </w:r>
          <w:r>
            <w:tab/>
          </w:r>
          <w:r>
            <w:fldChar w:fldCharType="begin"/>
          </w:r>
          <w:r>
            <w:instrText xml:space="preserve"> PAGEREF _Toc6819 \h </w:instrText>
          </w:r>
          <w:r>
            <w:fldChar w:fldCharType="separate"/>
          </w:r>
          <w:r>
            <w:t>- 44 -</w:t>
          </w:r>
          <w:r>
            <w:fldChar w:fldCharType="end"/>
          </w:r>
          <w:r>
            <w:rPr>
              <w:rFonts w:hint="default" w:ascii="Arial" w:hAnsi="Arial" w:eastAsia="宋体" w:cs="Arial"/>
              <w:bCs/>
              <w:color w:val="auto"/>
              <w:szCs w:val="24"/>
              <w:highlight w:val="none"/>
              <w:lang w:val="zh-CN"/>
            </w:rPr>
            <w:fldChar w:fldCharType="end"/>
          </w:r>
        </w:p>
        <w:p>
          <w:pPr>
            <w:pStyle w:val="34"/>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_Toc19953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2.8环境功能区符合性分析</w:t>
          </w:r>
          <w:r>
            <w:tab/>
          </w:r>
          <w:r>
            <w:fldChar w:fldCharType="begin"/>
          </w:r>
          <w:r>
            <w:instrText xml:space="preserve"> PAGEREF _Toc19953 \h </w:instrText>
          </w:r>
          <w:r>
            <w:fldChar w:fldCharType="separate"/>
          </w:r>
          <w:r>
            <w:t>- 49 -</w:t>
          </w:r>
          <w:r>
            <w:fldChar w:fldCharType="end"/>
          </w:r>
          <w:r>
            <w:rPr>
              <w:rFonts w:hint="default" w:ascii="Arial" w:hAnsi="Arial" w:eastAsia="宋体" w:cs="Arial"/>
              <w:bCs/>
              <w:color w:val="auto"/>
              <w:szCs w:val="24"/>
              <w:highlight w:val="none"/>
              <w:lang w:val="zh-CN"/>
            </w:rPr>
            <w:fldChar w:fldCharType="end"/>
          </w:r>
        </w:p>
        <w:p>
          <w:pPr>
            <w:pStyle w:val="21"/>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_Toc15865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2.8.1环境容量</w:t>
          </w:r>
          <w:r>
            <w:tab/>
          </w:r>
          <w:r>
            <w:fldChar w:fldCharType="begin"/>
          </w:r>
          <w:r>
            <w:instrText xml:space="preserve"> PAGEREF _Toc15865 \h </w:instrText>
          </w:r>
          <w:r>
            <w:fldChar w:fldCharType="separate"/>
          </w:r>
          <w:r>
            <w:t>- 49 -</w:t>
          </w:r>
          <w:r>
            <w:fldChar w:fldCharType="end"/>
          </w:r>
          <w:r>
            <w:rPr>
              <w:rFonts w:hint="default" w:ascii="Arial" w:hAnsi="Arial" w:eastAsia="宋体" w:cs="Arial"/>
              <w:bCs/>
              <w:color w:val="auto"/>
              <w:szCs w:val="24"/>
              <w:highlight w:val="none"/>
              <w:lang w:val="zh-CN"/>
            </w:rPr>
            <w:fldChar w:fldCharType="end"/>
          </w:r>
        </w:p>
        <w:p>
          <w:pPr>
            <w:pStyle w:val="21"/>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_Toc28919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2.8.2周边环境情况</w:t>
          </w:r>
          <w:r>
            <w:tab/>
          </w:r>
          <w:r>
            <w:fldChar w:fldCharType="begin"/>
          </w:r>
          <w:r>
            <w:instrText xml:space="preserve"> PAGEREF _Toc28919 \h </w:instrText>
          </w:r>
          <w:r>
            <w:fldChar w:fldCharType="separate"/>
          </w:r>
          <w:r>
            <w:t>- 49 -</w:t>
          </w:r>
          <w:r>
            <w:fldChar w:fldCharType="end"/>
          </w:r>
          <w:r>
            <w:rPr>
              <w:rFonts w:hint="default" w:ascii="Arial" w:hAnsi="Arial" w:eastAsia="宋体" w:cs="Arial"/>
              <w:bCs/>
              <w:color w:val="auto"/>
              <w:szCs w:val="24"/>
              <w:highlight w:val="none"/>
              <w:lang w:val="zh-CN"/>
            </w:rPr>
            <w:fldChar w:fldCharType="end"/>
          </w:r>
        </w:p>
        <w:p>
          <w:pPr>
            <w:pStyle w:val="30"/>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_Toc11244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3工程分析</w:t>
          </w:r>
          <w:r>
            <w:tab/>
          </w:r>
          <w:r>
            <w:fldChar w:fldCharType="begin"/>
          </w:r>
          <w:r>
            <w:instrText xml:space="preserve"> PAGEREF _Toc11244 \h </w:instrText>
          </w:r>
          <w:r>
            <w:fldChar w:fldCharType="separate"/>
          </w:r>
          <w:r>
            <w:t>- 51 -</w:t>
          </w:r>
          <w:r>
            <w:fldChar w:fldCharType="end"/>
          </w:r>
          <w:r>
            <w:rPr>
              <w:rFonts w:hint="default" w:ascii="Arial" w:hAnsi="Arial" w:eastAsia="宋体" w:cs="Arial"/>
              <w:bCs/>
              <w:color w:val="auto"/>
              <w:szCs w:val="24"/>
              <w:highlight w:val="none"/>
              <w:lang w:val="zh-CN"/>
            </w:rPr>
            <w:fldChar w:fldCharType="end"/>
          </w:r>
        </w:p>
        <w:p>
          <w:pPr>
            <w:pStyle w:val="34"/>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_Toc10159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3.1项目基本情况</w:t>
          </w:r>
          <w:r>
            <w:tab/>
          </w:r>
          <w:r>
            <w:fldChar w:fldCharType="begin"/>
          </w:r>
          <w:r>
            <w:instrText xml:space="preserve"> PAGEREF _Toc10159 \h </w:instrText>
          </w:r>
          <w:r>
            <w:fldChar w:fldCharType="separate"/>
          </w:r>
          <w:r>
            <w:t>- 51 -</w:t>
          </w:r>
          <w:r>
            <w:fldChar w:fldCharType="end"/>
          </w:r>
          <w:r>
            <w:rPr>
              <w:rFonts w:hint="default" w:ascii="Arial" w:hAnsi="Arial" w:eastAsia="宋体" w:cs="Arial"/>
              <w:bCs/>
              <w:color w:val="auto"/>
              <w:szCs w:val="24"/>
              <w:highlight w:val="none"/>
              <w:lang w:val="zh-CN"/>
            </w:rPr>
            <w:fldChar w:fldCharType="end"/>
          </w:r>
        </w:p>
        <w:p>
          <w:pPr>
            <w:pStyle w:val="21"/>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_Toc30001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3.1.1项目基本概况</w:t>
          </w:r>
          <w:r>
            <w:tab/>
          </w:r>
          <w:r>
            <w:fldChar w:fldCharType="begin"/>
          </w:r>
          <w:r>
            <w:instrText xml:space="preserve"> PAGEREF _Toc30001 \h </w:instrText>
          </w:r>
          <w:r>
            <w:fldChar w:fldCharType="separate"/>
          </w:r>
          <w:r>
            <w:t>- 51 -</w:t>
          </w:r>
          <w:r>
            <w:fldChar w:fldCharType="end"/>
          </w:r>
          <w:r>
            <w:rPr>
              <w:rFonts w:hint="default" w:ascii="Arial" w:hAnsi="Arial" w:eastAsia="宋体" w:cs="Arial"/>
              <w:bCs/>
              <w:color w:val="auto"/>
              <w:szCs w:val="24"/>
              <w:highlight w:val="none"/>
              <w:lang w:val="zh-CN"/>
            </w:rPr>
            <w:fldChar w:fldCharType="end"/>
          </w:r>
        </w:p>
        <w:p>
          <w:pPr>
            <w:pStyle w:val="21"/>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_Toc13885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3.1.2项目组成及建设内容</w:t>
          </w:r>
          <w:r>
            <w:tab/>
          </w:r>
          <w:r>
            <w:fldChar w:fldCharType="begin"/>
          </w:r>
          <w:r>
            <w:instrText xml:space="preserve"> PAGEREF _Toc13885 \h </w:instrText>
          </w:r>
          <w:r>
            <w:fldChar w:fldCharType="separate"/>
          </w:r>
          <w:r>
            <w:t>- 55 -</w:t>
          </w:r>
          <w:r>
            <w:fldChar w:fldCharType="end"/>
          </w:r>
          <w:r>
            <w:rPr>
              <w:rFonts w:hint="default" w:ascii="Arial" w:hAnsi="Arial" w:eastAsia="宋体" w:cs="Arial"/>
              <w:bCs/>
              <w:color w:val="auto"/>
              <w:szCs w:val="24"/>
              <w:highlight w:val="none"/>
              <w:lang w:val="zh-CN"/>
            </w:rPr>
            <w:fldChar w:fldCharType="end"/>
          </w:r>
        </w:p>
        <w:p>
          <w:pPr>
            <w:pStyle w:val="21"/>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_Toc29333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3.1.3产品方案及技术指标</w:t>
          </w:r>
          <w:r>
            <w:tab/>
          </w:r>
          <w:r>
            <w:fldChar w:fldCharType="begin"/>
          </w:r>
          <w:r>
            <w:instrText xml:space="preserve"> PAGEREF _Toc29333 \h </w:instrText>
          </w:r>
          <w:r>
            <w:fldChar w:fldCharType="separate"/>
          </w:r>
          <w:r>
            <w:t>- 56 -</w:t>
          </w:r>
          <w:r>
            <w:fldChar w:fldCharType="end"/>
          </w:r>
          <w:r>
            <w:rPr>
              <w:rFonts w:hint="default" w:ascii="Arial" w:hAnsi="Arial" w:eastAsia="宋体" w:cs="Arial"/>
              <w:bCs/>
              <w:color w:val="auto"/>
              <w:szCs w:val="24"/>
              <w:highlight w:val="none"/>
              <w:lang w:val="zh-CN"/>
            </w:rPr>
            <w:fldChar w:fldCharType="end"/>
          </w:r>
        </w:p>
        <w:p>
          <w:pPr>
            <w:pStyle w:val="21"/>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_Toc2697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3.1.4主要原辅料消耗能源消耗</w:t>
          </w:r>
          <w:r>
            <w:tab/>
          </w:r>
          <w:r>
            <w:fldChar w:fldCharType="begin"/>
          </w:r>
          <w:r>
            <w:instrText xml:space="preserve"> PAGEREF _Toc2697 \h </w:instrText>
          </w:r>
          <w:r>
            <w:fldChar w:fldCharType="separate"/>
          </w:r>
          <w:r>
            <w:t>- 57 -</w:t>
          </w:r>
          <w:r>
            <w:fldChar w:fldCharType="end"/>
          </w:r>
          <w:r>
            <w:rPr>
              <w:rFonts w:hint="default" w:ascii="Arial" w:hAnsi="Arial" w:eastAsia="宋体" w:cs="Arial"/>
              <w:bCs/>
              <w:color w:val="auto"/>
              <w:szCs w:val="24"/>
              <w:highlight w:val="none"/>
              <w:lang w:val="zh-CN"/>
            </w:rPr>
            <w:fldChar w:fldCharType="end"/>
          </w:r>
        </w:p>
        <w:p>
          <w:pPr>
            <w:pStyle w:val="21"/>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_Toc14697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3.1.5主要设备</w:t>
          </w:r>
          <w:r>
            <w:tab/>
          </w:r>
          <w:r>
            <w:fldChar w:fldCharType="begin"/>
          </w:r>
          <w:r>
            <w:instrText xml:space="preserve"> PAGEREF _Toc14697 \h </w:instrText>
          </w:r>
          <w:r>
            <w:fldChar w:fldCharType="separate"/>
          </w:r>
          <w:r>
            <w:t>- 57 -</w:t>
          </w:r>
          <w:r>
            <w:fldChar w:fldCharType="end"/>
          </w:r>
          <w:r>
            <w:rPr>
              <w:rFonts w:hint="default" w:ascii="Arial" w:hAnsi="Arial" w:eastAsia="宋体" w:cs="Arial"/>
              <w:bCs/>
              <w:color w:val="auto"/>
              <w:szCs w:val="24"/>
              <w:highlight w:val="none"/>
              <w:lang w:val="zh-CN"/>
            </w:rPr>
            <w:fldChar w:fldCharType="end"/>
          </w:r>
        </w:p>
        <w:p>
          <w:pPr>
            <w:pStyle w:val="21"/>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_Toc28545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3.1.6公用工程</w:t>
          </w:r>
          <w:r>
            <w:tab/>
          </w:r>
          <w:r>
            <w:fldChar w:fldCharType="begin"/>
          </w:r>
          <w:r>
            <w:instrText xml:space="preserve"> PAGEREF _Toc28545 \h </w:instrText>
          </w:r>
          <w:r>
            <w:fldChar w:fldCharType="separate"/>
          </w:r>
          <w:r>
            <w:t>- 58 -</w:t>
          </w:r>
          <w:r>
            <w:fldChar w:fldCharType="end"/>
          </w:r>
          <w:r>
            <w:rPr>
              <w:rFonts w:hint="default" w:ascii="Arial" w:hAnsi="Arial" w:eastAsia="宋体" w:cs="Arial"/>
              <w:bCs/>
              <w:color w:val="auto"/>
              <w:szCs w:val="24"/>
              <w:highlight w:val="none"/>
              <w:lang w:val="zh-CN"/>
            </w:rPr>
            <w:fldChar w:fldCharType="end"/>
          </w:r>
        </w:p>
        <w:p>
          <w:pPr>
            <w:pStyle w:val="21"/>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_Toc20542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3.1.</w:t>
          </w:r>
          <w:r>
            <w:rPr>
              <w:rFonts w:hint="default" w:ascii="Arial" w:hAnsi="Arial" w:eastAsia="宋体" w:cs="Arial"/>
              <w:highlight w:val="none"/>
              <w:lang w:val="en-US" w:eastAsia="zh-CN"/>
            </w:rPr>
            <w:t>7</w:t>
          </w:r>
          <w:r>
            <w:rPr>
              <w:rFonts w:hint="default" w:ascii="Arial" w:hAnsi="Arial" w:eastAsia="宋体" w:cs="Arial"/>
              <w:highlight w:val="none"/>
            </w:rPr>
            <w:t>储运工程</w:t>
          </w:r>
          <w:r>
            <w:tab/>
          </w:r>
          <w:r>
            <w:fldChar w:fldCharType="begin"/>
          </w:r>
          <w:r>
            <w:instrText xml:space="preserve"> PAGEREF _Toc20542 \h </w:instrText>
          </w:r>
          <w:r>
            <w:fldChar w:fldCharType="separate"/>
          </w:r>
          <w:r>
            <w:t>- 62 -</w:t>
          </w:r>
          <w:r>
            <w:fldChar w:fldCharType="end"/>
          </w:r>
          <w:r>
            <w:rPr>
              <w:rFonts w:hint="default" w:ascii="Arial" w:hAnsi="Arial" w:eastAsia="宋体" w:cs="Arial"/>
              <w:bCs/>
              <w:color w:val="auto"/>
              <w:szCs w:val="24"/>
              <w:highlight w:val="none"/>
              <w:lang w:val="zh-CN"/>
            </w:rPr>
            <w:fldChar w:fldCharType="end"/>
          </w:r>
        </w:p>
        <w:p>
          <w:pPr>
            <w:pStyle w:val="21"/>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_Toc872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3.1.</w:t>
          </w:r>
          <w:r>
            <w:rPr>
              <w:rFonts w:hint="default" w:ascii="Arial" w:hAnsi="Arial" w:eastAsia="宋体" w:cs="Arial"/>
              <w:highlight w:val="none"/>
              <w:lang w:val="en-US" w:eastAsia="zh-CN"/>
            </w:rPr>
            <w:t>8</w:t>
          </w:r>
          <w:r>
            <w:rPr>
              <w:rFonts w:hint="default" w:ascii="Arial" w:hAnsi="Arial" w:eastAsia="宋体" w:cs="Arial"/>
              <w:highlight w:val="none"/>
            </w:rPr>
            <w:t>总平面布置</w:t>
          </w:r>
          <w:r>
            <w:tab/>
          </w:r>
          <w:r>
            <w:fldChar w:fldCharType="begin"/>
          </w:r>
          <w:r>
            <w:instrText xml:space="preserve"> PAGEREF _Toc872 \h </w:instrText>
          </w:r>
          <w:r>
            <w:fldChar w:fldCharType="separate"/>
          </w:r>
          <w:r>
            <w:t>- 62 -</w:t>
          </w:r>
          <w:r>
            <w:fldChar w:fldCharType="end"/>
          </w:r>
          <w:r>
            <w:rPr>
              <w:rFonts w:hint="default" w:ascii="Arial" w:hAnsi="Arial" w:eastAsia="宋体" w:cs="Arial"/>
              <w:bCs/>
              <w:color w:val="auto"/>
              <w:szCs w:val="24"/>
              <w:highlight w:val="none"/>
              <w:lang w:val="zh-CN"/>
            </w:rPr>
            <w:fldChar w:fldCharType="end"/>
          </w:r>
        </w:p>
        <w:p>
          <w:pPr>
            <w:pStyle w:val="34"/>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_Toc3702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3.2项目污染影响因素分析</w:t>
          </w:r>
          <w:r>
            <w:tab/>
          </w:r>
          <w:r>
            <w:fldChar w:fldCharType="begin"/>
          </w:r>
          <w:r>
            <w:instrText xml:space="preserve"> PAGEREF _Toc3702 \h </w:instrText>
          </w:r>
          <w:r>
            <w:fldChar w:fldCharType="separate"/>
          </w:r>
          <w:r>
            <w:t>- 65 -</w:t>
          </w:r>
          <w:r>
            <w:fldChar w:fldCharType="end"/>
          </w:r>
          <w:r>
            <w:rPr>
              <w:rFonts w:hint="default" w:ascii="Arial" w:hAnsi="Arial" w:eastAsia="宋体" w:cs="Arial"/>
              <w:bCs/>
              <w:color w:val="auto"/>
              <w:szCs w:val="24"/>
              <w:highlight w:val="none"/>
              <w:lang w:val="zh-CN"/>
            </w:rPr>
            <w:fldChar w:fldCharType="end"/>
          </w:r>
        </w:p>
        <w:p>
          <w:pPr>
            <w:pStyle w:val="21"/>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_Toc20888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3.2.1青贮饲料制作、饲料拌合工艺流程简述</w:t>
          </w:r>
          <w:r>
            <w:tab/>
          </w:r>
          <w:r>
            <w:fldChar w:fldCharType="begin"/>
          </w:r>
          <w:r>
            <w:instrText xml:space="preserve"> PAGEREF _Toc20888 \h </w:instrText>
          </w:r>
          <w:r>
            <w:fldChar w:fldCharType="separate"/>
          </w:r>
          <w:r>
            <w:t>- 65 -</w:t>
          </w:r>
          <w:r>
            <w:fldChar w:fldCharType="end"/>
          </w:r>
          <w:r>
            <w:rPr>
              <w:rFonts w:hint="default" w:ascii="Arial" w:hAnsi="Arial" w:eastAsia="宋体" w:cs="Arial"/>
              <w:bCs/>
              <w:color w:val="auto"/>
              <w:szCs w:val="24"/>
              <w:highlight w:val="none"/>
              <w:lang w:val="zh-CN"/>
            </w:rPr>
            <w:fldChar w:fldCharType="end"/>
          </w:r>
        </w:p>
        <w:p>
          <w:pPr>
            <w:pStyle w:val="21"/>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_Toc9596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3.2.2牛群饲养流程简述</w:t>
          </w:r>
          <w:r>
            <w:tab/>
          </w:r>
          <w:r>
            <w:fldChar w:fldCharType="begin"/>
          </w:r>
          <w:r>
            <w:instrText xml:space="preserve"> PAGEREF _Toc9596 \h </w:instrText>
          </w:r>
          <w:r>
            <w:fldChar w:fldCharType="separate"/>
          </w:r>
          <w:r>
            <w:t>- 66 -</w:t>
          </w:r>
          <w:r>
            <w:fldChar w:fldCharType="end"/>
          </w:r>
          <w:r>
            <w:rPr>
              <w:rFonts w:hint="default" w:ascii="Arial" w:hAnsi="Arial" w:eastAsia="宋体" w:cs="Arial"/>
              <w:bCs/>
              <w:color w:val="auto"/>
              <w:szCs w:val="24"/>
              <w:highlight w:val="none"/>
              <w:lang w:val="zh-CN"/>
            </w:rPr>
            <w:fldChar w:fldCharType="end"/>
          </w:r>
        </w:p>
        <w:p>
          <w:pPr>
            <w:pStyle w:val="21"/>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_Toc13158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3.2.</w:t>
          </w:r>
          <w:r>
            <w:rPr>
              <w:rFonts w:hint="default" w:ascii="Arial" w:hAnsi="Arial" w:eastAsia="宋体" w:cs="Arial"/>
              <w:highlight w:val="none"/>
              <w:lang w:val="en-US" w:eastAsia="zh-CN"/>
            </w:rPr>
            <w:t>3</w:t>
          </w:r>
          <w:r>
            <w:rPr>
              <w:rFonts w:hint="default" w:ascii="Arial" w:hAnsi="Arial" w:eastAsia="宋体" w:cs="Arial"/>
              <w:highlight w:val="none"/>
            </w:rPr>
            <w:t>粪污清理工艺</w:t>
          </w:r>
          <w:r>
            <w:tab/>
          </w:r>
          <w:r>
            <w:fldChar w:fldCharType="begin"/>
          </w:r>
          <w:r>
            <w:instrText xml:space="preserve"> PAGEREF _Toc13158 \h </w:instrText>
          </w:r>
          <w:r>
            <w:fldChar w:fldCharType="separate"/>
          </w:r>
          <w:r>
            <w:t>- 66 -</w:t>
          </w:r>
          <w:r>
            <w:fldChar w:fldCharType="end"/>
          </w:r>
          <w:r>
            <w:rPr>
              <w:rFonts w:hint="default" w:ascii="Arial" w:hAnsi="Arial" w:eastAsia="宋体" w:cs="Arial"/>
              <w:bCs/>
              <w:color w:val="auto"/>
              <w:szCs w:val="24"/>
              <w:highlight w:val="none"/>
              <w:lang w:val="zh-CN"/>
            </w:rPr>
            <w:fldChar w:fldCharType="end"/>
          </w:r>
        </w:p>
        <w:p>
          <w:pPr>
            <w:pStyle w:val="21"/>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_Toc2206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3.2.</w:t>
          </w:r>
          <w:r>
            <w:rPr>
              <w:rFonts w:hint="default" w:ascii="Arial" w:hAnsi="Arial" w:eastAsia="宋体" w:cs="Arial"/>
              <w:highlight w:val="none"/>
              <w:lang w:val="en-US" w:eastAsia="zh-CN"/>
            </w:rPr>
            <w:t>4</w:t>
          </w:r>
          <w:r>
            <w:rPr>
              <w:rFonts w:hint="default" w:ascii="Arial" w:hAnsi="Arial" w:eastAsia="宋体" w:cs="Arial"/>
              <w:highlight w:val="none"/>
              <w:lang w:eastAsia="zh-CN"/>
            </w:rPr>
            <w:t>堆肥</w:t>
          </w:r>
          <w:r>
            <w:rPr>
              <w:rFonts w:hint="default" w:ascii="Arial" w:hAnsi="Arial" w:eastAsia="宋体" w:cs="Arial"/>
              <w:highlight w:val="none"/>
            </w:rPr>
            <w:t>工艺</w:t>
          </w:r>
          <w:r>
            <w:tab/>
          </w:r>
          <w:r>
            <w:fldChar w:fldCharType="begin"/>
          </w:r>
          <w:r>
            <w:instrText xml:space="preserve"> PAGEREF _Toc2206 \h </w:instrText>
          </w:r>
          <w:r>
            <w:fldChar w:fldCharType="separate"/>
          </w:r>
          <w:r>
            <w:t>- 67 -</w:t>
          </w:r>
          <w:r>
            <w:fldChar w:fldCharType="end"/>
          </w:r>
          <w:r>
            <w:rPr>
              <w:rFonts w:hint="default" w:ascii="Arial" w:hAnsi="Arial" w:eastAsia="宋体" w:cs="Arial"/>
              <w:bCs/>
              <w:color w:val="auto"/>
              <w:szCs w:val="24"/>
              <w:highlight w:val="none"/>
              <w:lang w:val="zh-CN"/>
            </w:rPr>
            <w:fldChar w:fldCharType="end"/>
          </w:r>
        </w:p>
        <w:p>
          <w:pPr>
            <w:pStyle w:val="21"/>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_Toc30977 </w:instrText>
          </w:r>
          <w:r>
            <w:rPr>
              <w:rFonts w:hint="default" w:ascii="Arial" w:hAnsi="Arial" w:eastAsia="宋体" w:cs="Arial"/>
              <w:bCs/>
              <w:szCs w:val="24"/>
              <w:highlight w:val="none"/>
              <w:lang w:val="zh-CN"/>
            </w:rPr>
            <w:fldChar w:fldCharType="separate"/>
          </w:r>
          <w:r>
            <w:rPr>
              <w:rFonts w:hint="default" w:ascii="Arial" w:hAnsi="Arial" w:eastAsia="宋体" w:cs="Arial"/>
              <w:szCs w:val="24"/>
              <w:lang w:val="en-US" w:eastAsia="zh-CN"/>
            </w:rPr>
            <w:t>3</w:t>
          </w:r>
          <w:r>
            <w:rPr>
              <w:rFonts w:hint="default" w:ascii="Arial" w:hAnsi="Arial" w:eastAsia="宋体" w:cs="Arial"/>
              <w:szCs w:val="24"/>
            </w:rPr>
            <w:t>.2.</w:t>
          </w:r>
          <w:r>
            <w:rPr>
              <w:rFonts w:hint="default" w:ascii="Arial" w:hAnsi="Arial" w:eastAsia="宋体" w:cs="Arial"/>
              <w:szCs w:val="24"/>
              <w:lang w:val="en-US" w:eastAsia="zh-CN"/>
            </w:rPr>
            <w:t>5</w:t>
          </w:r>
          <w:r>
            <w:rPr>
              <w:rFonts w:hint="default" w:ascii="Arial" w:hAnsi="Arial" w:eastAsia="宋体" w:cs="Arial"/>
              <w:szCs w:val="24"/>
              <w:lang w:eastAsia="zh-CN"/>
            </w:rPr>
            <w:t>牛舍、堆肥场除臭工艺</w:t>
          </w:r>
          <w:r>
            <w:tab/>
          </w:r>
          <w:r>
            <w:fldChar w:fldCharType="begin"/>
          </w:r>
          <w:r>
            <w:instrText xml:space="preserve"> PAGEREF _Toc30977 \h </w:instrText>
          </w:r>
          <w:r>
            <w:fldChar w:fldCharType="separate"/>
          </w:r>
          <w:r>
            <w:t>- 69 -</w:t>
          </w:r>
          <w:r>
            <w:fldChar w:fldCharType="end"/>
          </w:r>
          <w:r>
            <w:rPr>
              <w:rFonts w:hint="default" w:ascii="Arial" w:hAnsi="Arial" w:eastAsia="宋体" w:cs="Arial"/>
              <w:bCs/>
              <w:color w:val="auto"/>
              <w:szCs w:val="24"/>
              <w:highlight w:val="none"/>
              <w:lang w:val="zh-CN"/>
            </w:rPr>
            <w:fldChar w:fldCharType="end"/>
          </w:r>
        </w:p>
        <w:p>
          <w:pPr>
            <w:pStyle w:val="21"/>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_Toc20707 </w:instrText>
          </w:r>
          <w:r>
            <w:rPr>
              <w:rFonts w:hint="default" w:ascii="Arial" w:hAnsi="Arial" w:eastAsia="宋体" w:cs="Arial"/>
              <w:bCs/>
              <w:szCs w:val="24"/>
              <w:highlight w:val="none"/>
              <w:lang w:val="zh-CN"/>
            </w:rPr>
            <w:fldChar w:fldCharType="separate"/>
          </w:r>
          <w:r>
            <w:rPr>
              <w:rFonts w:hint="default" w:ascii="Arial" w:hAnsi="Arial" w:eastAsia="宋体" w:cs="Arial"/>
              <w:szCs w:val="24"/>
              <w:lang w:val="en-US" w:eastAsia="zh-CN"/>
            </w:rPr>
            <w:t>3</w:t>
          </w:r>
          <w:r>
            <w:rPr>
              <w:rFonts w:hint="default" w:ascii="Arial" w:hAnsi="Arial" w:eastAsia="宋体" w:cs="Arial"/>
              <w:szCs w:val="24"/>
            </w:rPr>
            <w:t>.2.</w:t>
          </w:r>
          <w:r>
            <w:rPr>
              <w:rFonts w:hint="default" w:ascii="Arial" w:hAnsi="Arial" w:eastAsia="宋体" w:cs="Arial"/>
              <w:szCs w:val="24"/>
              <w:lang w:val="en-US" w:eastAsia="zh-CN"/>
            </w:rPr>
            <w:t>6</w:t>
          </w:r>
          <w:r>
            <w:rPr>
              <w:rFonts w:hint="default" w:ascii="Arial" w:hAnsi="Arial" w:eastAsia="宋体" w:cs="Arial"/>
              <w:szCs w:val="24"/>
              <w:lang w:eastAsia="zh-CN"/>
            </w:rPr>
            <w:t>卫生防疫系统</w:t>
          </w:r>
          <w:r>
            <w:tab/>
          </w:r>
          <w:r>
            <w:fldChar w:fldCharType="begin"/>
          </w:r>
          <w:r>
            <w:instrText xml:space="preserve"> PAGEREF _Toc20707 \h </w:instrText>
          </w:r>
          <w:r>
            <w:fldChar w:fldCharType="separate"/>
          </w:r>
          <w:r>
            <w:t>- 69 -</w:t>
          </w:r>
          <w:r>
            <w:fldChar w:fldCharType="end"/>
          </w:r>
          <w:r>
            <w:rPr>
              <w:rFonts w:hint="default" w:ascii="Arial" w:hAnsi="Arial" w:eastAsia="宋体" w:cs="Arial"/>
              <w:bCs/>
              <w:color w:val="auto"/>
              <w:szCs w:val="24"/>
              <w:highlight w:val="none"/>
              <w:lang w:val="zh-CN"/>
            </w:rPr>
            <w:fldChar w:fldCharType="end"/>
          </w:r>
        </w:p>
        <w:p>
          <w:pPr>
            <w:pStyle w:val="34"/>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_Toc8845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3.3项目污染源源强核算</w:t>
          </w:r>
          <w:r>
            <w:tab/>
          </w:r>
          <w:r>
            <w:fldChar w:fldCharType="begin"/>
          </w:r>
          <w:r>
            <w:instrText xml:space="preserve"> PAGEREF _Toc8845 \h </w:instrText>
          </w:r>
          <w:r>
            <w:fldChar w:fldCharType="separate"/>
          </w:r>
          <w:r>
            <w:t>- 70 -</w:t>
          </w:r>
          <w:r>
            <w:fldChar w:fldCharType="end"/>
          </w:r>
          <w:r>
            <w:rPr>
              <w:rFonts w:hint="default" w:ascii="Arial" w:hAnsi="Arial" w:eastAsia="宋体" w:cs="Arial"/>
              <w:bCs/>
              <w:color w:val="auto"/>
              <w:szCs w:val="24"/>
              <w:highlight w:val="none"/>
              <w:lang w:val="zh-CN"/>
            </w:rPr>
            <w:fldChar w:fldCharType="end"/>
          </w:r>
        </w:p>
        <w:p>
          <w:pPr>
            <w:pStyle w:val="21"/>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_Toc25677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3.3.1大气污染物</w:t>
          </w:r>
          <w:r>
            <w:tab/>
          </w:r>
          <w:r>
            <w:fldChar w:fldCharType="begin"/>
          </w:r>
          <w:r>
            <w:instrText xml:space="preserve"> PAGEREF _Toc25677 \h </w:instrText>
          </w:r>
          <w:r>
            <w:fldChar w:fldCharType="separate"/>
          </w:r>
          <w:r>
            <w:t>- 70 -</w:t>
          </w:r>
          <w:r>
            <w:fldChar w:fldCharType="end"/>
          </w:r>
          <w:r>
            <w:rPr>
              <w:rFonts w:hint="default" w:ascii="Arial" w:hAnsi="Arial" w:eastAsia="宋体" w:cs="Arial"/>
              <w:bCs/>
              <w:color w:val="auto"/>
              <w:szCs w:val="24"/>
              <w:highlight w:val="none"/>
              <w:lang w:val="zh-CN"/>
            </w:rPr>
            <w:fldChar w:fldCharType="end"/>
          </w:r>
        </w:p>
        <w:p>
          <w:pPr>
            <w:pStyle w:val="21"/>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_Toc29381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3.3.2水污染物</w:t>
          </w:r>
          <w:r>
            <w:tab/>
          </w:r>
          <w:r>
            <w:fldChar w:fldCharType="begin"/>
          </w:r>
          <w:r>
            <w:instrText xml:space="preserve"> PAGEREF _Toc29381 \h </w:instrText>
          </w:r>
          <w:r>
            <w:fldChar w:fldCharType="separate"/>
          </w:r>
          <w:r>
            <w:t>- 74 -</w:t>
          </w:r>
          <w:r>
            <w:fldChar w:fldCharType="end"/>
          </w:r>
          <w:r>
            <w:rPr>
              <w:rFonts w:hint="default" w:ascii="Arial" w:hAnsi="Arial" w:eastAsia="宋体" w:cs="Arial"/>
              <w:bCs/>
              <w:color w:val="auto"/>
              <w:szCs w:val="24"/>
              <w:highlight w:val="none"/>
              <w:lang w:val="zh-CN"/>
            </w:rPr>
            <w:fldChar w:fldCharType="end"/>
          </w:r>
        </w:p>
        <w:p>
          <w:pPr>
            <w:pStyle w:val="21"/>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_Toc9316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3.3.3噪声</w:t>
          </w:r>
          <w:r>
            <w:tab/>
          </w:r>
          <w:r>
            <w:fldChar w:fldCharType="begin"/>
          </w:r>
          <w:r>
            <w:instrText xml:space="preserve"> PAGEREF _Toc9316 \h </w:instrText>
          </w:r>
          <w:r>
            <w:fldChar w:fldCharType="separate"/>
          </w:r>
          <w:r>
            <w:t>- 74 -</w:t>
          </w:r>
          <w:r>
            <w:fldChar w:fldCharType="end"/>
          </w:r>
          <w:r>
            <w:rPr>
              <w:rFonts w:hint="default" w:ascii="Arial" w:hAnsi="Arial" w:eastAsia="宋体" w:cs="Arial"/>
              <w:bCs/>
              <w:color w:val="auto"/>
              <w:szCs w:val="24"/>
              <w:highlight w:val="none"/>
              <w:lang w:val="zh-CN"/>
            </w:rPr>
            <w:fldChar w:fldCharType="end"/>
          </w:r>
        </w:p>
        <w:p>
          <w:pPr>
            <w:pStyle w:val="21"/>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_Toc12257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3.3.4固体废弃物</w:t>
          </w:r>
          <w:r>
            <w:tab/>
          </w:r>
          <w:r>
            <w:fldChar w:fldCharType="begin"/>
          </w:r>
          <w:r>
            <w:instrText xml:space="preserve"> PAGEREF _Toc12257 \h </w:instrText>
          </w:r>
          <w:r>
            <w:fldChar w:fldCharType="separate"/>
          </w:r>
          <w:r>
            <w:t>- 75 -</w:t>
          </w:r>
          <w:r>
            <w:fldChar w:fldCharType="end"/>
          </w:r>
          <w:r>
            <w:rPr>
              <w:rFonts w:hint="default" w:ascii="Arial" w:hAnsi="Arial" w:eastAsia="宋体" w:cs="Arial"/>
              <w:bCs/>
              <w:color w:val="auto"/>
              <w:szCs w:val="24"/>
              <w:highlight w:val="none"/>
              <w:lang w:val="zh-CN"/>
            </w:rPr>
            <w:fldChar w:fldCharType="end"/>
          </w:r>
        </w:p>
        <w:p>
          <w:pPr>
            <w:pStyle w:val="34"/>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_Toc17929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3.4粪污资源化利用综述</w:t>
          </w:r>
          <w:r>
            <w:tab/>
          </w:r>
          <w:r>
            <w:fldChar w:fldCharType="begin"/>
          </w:r>
          <w:r>
            <w:instrText xml:space="preserve"> PAGEREF _Toc17929 \h </w:instrText>
          </w:r>
          <w:r>
            <w:fldChar w:fldCharType="separate"/>
          </w:r>
          <w:r>
            <w:t>- 77 -</w:t>
          </w:r>
          <w:r>
            <w:fldChar w:fldCharType="end"/>
          </w:r>
          <w:r>
            <w:rPr>
              <w:rFonts w:hint="default" w:ascii="Arial" w:hAnsi="Arial" w:eastAsia="宋体" w:cs="Arial"/>
              <w:bCs/>
              <w:color w:val="auto"/>
              <w:szCs w:val="24"/>
              <w:highlight w:val="none"/>
              <w:lang w:val="zh-CN"/>
            </w:rPr>
            <w:fldChar w:fldCharType="end"/>
          </w:r>
        </w:p>
        <w:p>
          <w:pPr>
            <w:pStyle w:val="21"/>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_Toc19617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3.4.1有机肥产生量</w:t>
          </w:r>
          <w:r>
            <w:tab/>
          </w:r>
          <w:r>
            <w:fldChar w:fldCharType="begin"/>
          </w:r>
          <w:r>
            <w:instrText xml:space="preserve"> PAGEREF _Toc19617 \h </w:instrText>
          </w:r>
          <w:r>
            <w:fldChar w:fldCharType="separate"/>
          </w:r>
          <w:r>
            <w:t>- 77 -</w:t>
          </w:r>
          <w:r>
            <w:fldChar w:fldCharType="end"/>
          </w:r>
          <w:r>
            <w:rPr>
              <w:rFonts w:hint="default" w:ascii="Arial" w:hAnsi="Arial" w:eastAsia="宋体" w:cs="Arial"/>
              <w:bCs/>
              <w:color w:val="auto"/>
              <w:szCs w:val="24"/>
              <w:highlight w:val="none"/>
              <w:lang w:val="zh-CN"/>
            </w:rPr>
            <w:fldChar w:fldCharType="end"/>
          </w:r>
        </w:p>
        <w:p>
          <w:pPr>
            <w:pStyle w:val="21"/>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_Toc17626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3.4.2土地消纳能力</w:t>
          </w:r>
          <w:r>
            <w:tab/>
          </w:r>
          <w:r>
            <w:fldChar w:fldCharType="begin"/>
          </w:r>
          <w:r>
            <w:instrText xml:space="preserve"> PAGEREF _Toc17626 \h </w:instrText>
          </w:r>
          <w:r>
            <w:fldChar w:fldCharType="separate"/>
          </w:r>
          <w:r>
            <w:t>- 77 -</w:t>
          </w:r>
          <w:r>
            <w:fldChar w:fldCharType="end"/>
          </w:r>
          <w:r>
            <w:rPr>
              <w:rFonts w:hint="default" w:ascii="Arial" w:hAnsi="Arial" w:eastAsia="宋体" w:cs="Arial"/>
              <w:bCs/>
              <w:color w:val="auto"/>
              <w:szCs w:val="24"/>
              <w:highlight w:val="none"/>
              <w:lang w:val="zh-CN"/>
            </w:rPr>
            <w:fldChar w:fldCharType="end"/>
          </w:r>
        </w:p>
        <w:p>
          <w:pPr>
            <w:pStyle w:val="34"/>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_Toc17057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3.5污染物排放清单</w:t>
          </w:r>
          <w:r>
            <w:tab/>
          </w:r>
          <w:r>
            <w:fldChar w:fldCharType="begin"/>
          </w:r>
          <w:r>
            <w:instrText xml:space="preserve"> PAGEREF _Toc17057 \h </w:instrText>
          </w:r>
          <w:r>
            <w:fldChar w:fldCharType="separate"/>
          </w:r>
          <w:r>
            <w:t>- 77 -</w:t>
          </w:r>
          <w:r>
            <w:fldChar w:fldCharType="end"/>
          </w:r>
          <w:r>
            <w:rPr>
              <w:rFonts w:hint="default" w:ascii="Arial" w:hAnsi="Arial" w:eastAsia="宋体" w:cs="Arial"/>
              <w:bCs/>
              <w:color w:val="auto"/>
              <w:szCs w:val="24"/>
              <w:highlight w:val="none"/>
              <w:lang w:val="zh-CN"/>
            </w:rPr>
            <w:fldChar w:fldCharType="end"/>
          </w:r>
        </w:p>
        <w:p>
          <w:pPr>
            <w:pStyle w:val="30"/>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_Toc13992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4环境现状调查及评价</w:t>
          </w:r>
          <w:r>
            <w:tab/>
          </w:r>
          <w:r>
            <w:fldChar w:fldCharType="begin"/>
          </w:r>
          <w:r>
            <w:instrText xml:space="preserve"> PAGEREF _Toc13992 \h </w:instrText>
          </w:r>
          <w:r>
            <w:fldChar w:fldCharType="separate"/>
          </w:r>
          <w:r>
            <w:t>- 80 -</w:t>
          </w:r>
          <w:r>
            <w:fldChar w:fldCharType="end"/>
          </w:r>
          <w:r>
            <w:rPr>
              <w:rFonts w:hint="default" w:ascii="Arial" w:hAnsi="Arial" w:eastAsia="宋体" w:cs="Arial"/>
              <w:bCs/>
              <w:color w:val="auto"/>
              <w:szCs w:val="24"/>
              <w:highlight w:val="none"/>
              <w:lang w:val="zh-CN"/>
            </w:rPr>
            <w:fldChar w:fldCharType="end"/>
          </w:r>
        </w:p>
        <w:p>
          <w:pPr>
            <w:pStyle w:val="34"/>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_Toc28775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4.1自然环境现状调查与评价</w:t>
          </w:r>
          <w:r>
            <w:tab/>
          </w:r>
          <w:r>
            <w:fldChar w:fldCharType="begin"/>
          </w:r>
          <w:r>
            <w:instrText xml:space="preserve"> PAGEREF _Toc28775 \h </w:instrText>
          </w:r>
          <w:r>
            <w:fldChar w:fldCharType="separate"/>
          </w:r>
          <w:r>
            <w:t>- 80 -</w:t>
          </w:r>
          <w:r>
            <w:fldChar w:fldCharType="end"/>
          </w:r>
          <w:r>
            <w:rPr>
              <w:rFonts w:hint="default" w:ascii="Arial" w:hAnsi="Arial" w:eastAsia="宋体" w:cs="Arial"/>
              <w:bCs/>
              <w:color w:val="auto"/>
              <w:szCs w:val="24"/>
              <w:highlight w:val="none"/>
              <w:lang w:val="zh-CN"/>
            </w:rPr>
            <w:fldChar w:fldCharType="end"/>
          </w:r>
        </w:p>
        <w:p>
          <w:pPr>
            <w:pStyle w:val="21"/>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_Toc10207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4.1.1地理位置</w:t>
          </w:r>
          <w:r>
            <w:tab/>
          </w:r>
          <w:r>
            <w:fldChar w:fldCharType="begin"/>
          </w:r>
          <w:r>
            <w:instrText xml:space="preserve"> PAGEREF _Toc10207 \h </w:instrText>
          </w:r>
          <w:r>
            <w:fldChar w:fldCharType="separate"/>
          </w:r>
          <w:r>
            <w:t>- 80 -</w:t>
          </w:r>
          <w:r>
            <w:fldChar w:fldCharType="end"/>
          </w:r>
          <w:r>
            <w:rPr>
              <w:rFonts w:hint="default" w:ascii="Arial" w:hAnsi="Arial" w:eastAsia="宋体" w:cs="Arial"/>
              <w:bCs/>
              <w:color w:val="auto"/>
              <w:szCs w:val="24"/>
              <w:highlight w:val="none"/>
              <w:lang w:val="zh-CN"/>
            </w:rPr>
            <w:fldChar w:fldCharType="end"/>
          </w:r>
        </w:p>
        <w:p>
          <w:pPr>
            <w:pStyle w:val="21"/>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_Toc8395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4.1.2</w:t>
          </w:r>
          <w:r>
            <w:rPr>
              <w:rFonts w:hint="default" w:ascii="Arial" w:hAnsi="Arial" w:eastAsia="宋体" w:cs="Arial"/>
              <w:szCs w:val="22"/>
              <w:highlight w:val="none"/>
            </w:rPr>
            <w:t>地形地貌</w:t>
          </w:r>
          <w:r>
            <w:tab/>
          </w:r>
          <w:r>
            <w:fldChar w:fldCharType="begin"/>
          </w:r>
          <w:r>
            <w:instrText xml:space="preserve"> PAGEREF _Toc8395 \h </w:instrText>
          </w:r>
          <w:r>
            <w:fldChar w:fldCharType="separate"/>
          </w:r>
          <w:r>
            <w:t>- 80 -</w:t>
          </w:r>
          <w:r>
            <w:fldChar w:fldCharType="end"/>
          </w:r>
          <w:r>
            <w:rPr>
              <w:rFonts w:hint="default" w:ascii="Arial" w:hAnsi="Arial" w:eastAsia="宋体" w:cs="Arial"/>
              <w:bCs/>
              <w:color w:val="auto"/>
              <w:szCs w:val="24"/>
              <w:highlight w:val="none"/>
              <w:lang w:val="zh-CN"/>
            </w:rPr>
            <w:fldChar w:fldCharType="end"/>
          </w:r>
        </w:p>
        <w:p>
          <w:pPr>
            <w:pStyle w:val="21"/>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_Toc12225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4.1.3</w:t>
          </w:r>
          <w:r>
            <w:rPr>
              <w:rFonts w:hint="default" w:ascii="Arial" w:hAnsi="Arial" w:eastAsia="宋体" w:cs="Arial"/>
              <w:szCs w:val="22"/>
              <w:highlight w:val="none"/>
            </w:rPr>
            <w:t>气候特征</w:t>
          </w:r>
          <w:r>
            <w:tab/>
          </w:r>
          <w:r>
            <w:fldChar w:fldCharType="begin"/>
          </w:r>
          <w:r>
            <w:instrText xml:space="preserve"> PAGEREF _Toc12225 \h </w:instrText>
          </w:r>
          <w:r>
            <w:fldChar w:fldCharType="separate"/>
          </w:r>
          <w:r>
            <w:t>- 80 -</w:t>
          </w:r>
          <w:r>
            <w:fldChar w:fldCharType="end"/>
          </w:r>
          <w:r>
            <w:rPr>
              <w:rFonts w:hint="default" w:ascii="Arial" w:hAnsi="Arial" w:eastAsia="宋体" w:cs="Arial"/>
              <w:bCs/>
              <w:color w:val="auto"/>
              <w:szCs w:val="24"/>
              <w:highlight w:val="none"/>
              <w:lang w:val="zh-CN"/>
            </w:rPr>
            <w:fldChar w:fldCharType="end"/>
          </w:r>
        </w:p>
        <w:p>
          <w:pPr>
            <w:pStyle w:val="21"/>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_Toc20130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4.1.</w:t>
          </w:r>
          <w:r>
            <w:rPr>
              <w:rFonts w:hint="default" w:ascii="Arial" w:hAnsi="Arial" w:eastAsia="宋体" w:cs="Arial"/>
              <w:highlight w:val="none"/>
              <w:lang w:val="en-US" w:eastAsia="zh-CN"/>
            </w:rPr>
            <w:t>4</w:t>
          </w:r>
          <w:r>
            <w:rPr>
              <w:rFonts w:hint="default" w:ascii="Arial" w:hAnsi="Arial" w:eastAsia="宋体" w:cs="Arial"/>
              <w:highlight w:val="none"/>
            </w:rPr>
            <w:t>水文</w:t>
          </w:r>
          <w:r>
            <w:rPr>
              <w:rFonts w:hint="default" w:ascii="Arial" w:hAnsi="Arial" w:eastAsia="宋体" w:cs="Arial"/>
              <w:highlight w:val="none"/>
              <w:lang w:eastAsia="zh-CN"/>
            </w:rPr>
            <w:t>地质</w:t>
          </w:r>
          <w:r>
            <w:tab/>
          </w:r>
          <w:r>
            <w:fldChar w:fldCharType="begin"/>
          </w:r>
          <w:r>
            <w:instrText xml:space="preserve"> PAGEREF _Toc20130 \h </w:instrText>
          </w:r>
          <w:r>
            <w:fldChar w:fldCharType="separate"/>
          </w:r>
          <w:r>
            <w:t>- 80 -</w:t>
          </w:r>
          <w:r>
            <w:fldChar w:fldCharType="end"/>
          </w:r>
          <w:r>
            <w:rPr>
              <w:rFonts w:hint="default" w:ascii="Arial" w:hAnsi="Arial" w:eastAsia="宋体" w:cs="Arial"/>
              <w:bCs/>
              <w:color w:val="auto"/>
              <w:szCs w:val="24"/>
              <w:highlight w:val="none"/>
              <w:lang w:val="zh-CN"/>
            </w:rPr>
            <w:fldChar w:fldCharType="end"/>
          </w:r>
        </w:p>
        <w:p>
          <w:pPr>
            <w:pStyle w:val="21"/>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_Toc9188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4.1.</w:t>
          </w:r>
          <w:r>
            <w:rPr>
              <w:rFonts w:hint="default" w:ascii="Arial" w:hAnsi="Arial" w:eastAsia="宋体" w:cs="Arial"/>
              <w:highlight w:val="none"/>
              <w:lang w:val="en-US" w:eastAsia="zh-CN"/>
            </w:rPr>
            <w:t>5</w:t>
          </w:r>
          <w:r>
            <w:rPr>
              <w:rFonts w:hint="default" w:ascii="Arial" w:hAnsi="Arial" w:eastAsia="宋体" w:cs="Arial"/>
              <w:highlight w:val="none"/>
            </w:rPr>
            <w:t>土壤</w:t>
          </w:r>
          <w:r>
            <w:rPr>
              <w:rFonts w:hint="default" w:ascii="Arial" w:hAnsi="Arial" w:eastAsia="宋体" w:cs="Arial"/>
              <w:highlight w:val="none"/>
              <w:lang w:eastAsia="zh-CN"/>
            </w:rPr>
            <w:t>资源</w:t>
          </w:r>
          <w:r>
            <w:tab/>
          </w:r>
          <w:r>
            <w:fldChar w:fldCharType="begin"/>
          </w:r>
          <w:r>
            <w:instrText xml:space="preserve"> PAGEREF _Toc9188 \h </w:instrText>
          </w:r>
          <w:r>
            <w:fldChar w:fldCharType="separate"/>
          </w:r>
          <w:r>
            <w:t>- 81 -</w:t>
          </w:r>
          <w:r>
            <w:fldChar w:fldCharType="end"/>
          </w:r>
          <w:r>
            <w:rPr>
              <w:rFonts w:hint="default" w:ascii="Arial" w:hAnsi="Arial" w:eastAsia="宋体" w:cs="Arial"/>
              <w:bCs/>
              <w:color w:val="auto"/>
              <w:szCs w:val="24"/>
              <w:highlight w:val="none"/>
              <w:lang w:val="zh-CN"/>
            </w:rPr>
            <w:fldChar w:fldCharType="end"/>
          </w:r>
        </w:p>
        <w:p>
          <w:pPr>
            <w:pStyle w:val="21"/>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_Toc3806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4.1.</w:t>
          </w:r>
          <w:r>
            <w:rPr>
              <w:rFonts w:hint="default" w:ascii="Arial" w:hAnsi="Arial" w:eastAsia="宋体" w:cs="Arial"/>
              <w:highlight w:val="none"/>
              <w:lang w:val="en-US" w:eastAsia="zh-CN"/>
            </w:rPr>
            <w:t>6动植物资源</w:t>
          </w:r>
          <w:r>
            <w:tab/>
          </w:r>
          <w:r>
            <w:fldChar w:fldCharType="begin"/>
          </w:r>
          <w:r>
            <w:instrText xml:space="preserve"> PAGEREF _Toc3806 \h </w:instrText>
          </w:r>
          <w:r>
            <w:fldChar w:fldCharType="separate"/>
          </w:r>
          <w:r>
            <w:t>- 81 -</w:t>
          </w:r>
          <w:r>
            <w:fldChar w:fldCharType="end"/>
          </w:r>
          <w:r>
            <w:rPr>
              <w:rFonts w:hint="default" w:ascii="Arial" w:hAnsi="Arial" w:eastAsia="宋体" w:cs="Arial"/>
              <w:bCs/>
              <w:color w:val="auto"/>
              <w:szCs w:val="24"/>
              <w:highlight w:val="none"/>
              <w:lang w:val="zh-CN"/>
            </w:rPr>
            <w:fldChar w:fldCharType="end"/>
          </w:r>
        </w:p>
        <w:p>
          <w:pPr>
            <w:pStyle w:val="34"/>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_Toc19552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4.2环境质量现状调查与评价</w:t>
          </w:r>
          <w:r>
            <w:tab/>
          </w:r>
          <w:r>
            <w:fldChar w:fldCharType="begin"/>
          </w:r>
          <w:r>
            <w:instrText xml:space="preserve"> PAGEREF _Toc19552 \h </w:instrText>
          </w:r>
          <w:r>
            <w:fldChar w:fldCharType="separate"/>
          </w:r>
          <w:r>
            <w:t>- 81 -</w:t>
          </w:r>
          <w:r>
            <w:fldChar w:fldCharType="end"/>
          </w:r>
          <w:r>
            <w:rPr>
              <w:rFonts w:hint="default" w:ascii="Arial" w:hAnsi="Arial" w:eastAsia="宋体" w:cs="Arial"/>
              <w:bCs/>
              <w:color w:val="auto"/>
              <w:szCs w:val="24"/>
              <w:highlight w:val="none"/>
              <w:lang w:val="zh-CN"/>
            </w:rPr>
            <w:fldChar w:fldCharType="end"/>
          </w:r>
        </w:p>
        <w:p>
          <w:pPr>
            <w:pStyle w:val="21"/>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_Toc7289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4.2.1环境空气质量现状</w:t>
          </w:r>
          <w:r>
            <w:tab/>
          </w:r>
          <w:r>
            <w:fldChar w:fldCharType="begin"/>
          </w:r>
          <w:r>
            <w:instrText xml:space="preserve"> PAGEREF _Toc7289 \h </w:instrText>
          </w:r>
          <w:r>
            <w:fldChar w:fldCharType="separate"/>
          </w:r>
          <w:r>
            <w:t>- 81 -</w:t>
          </w:r>
          <w:r>
            <w:fldChar w:fldCharType="end"/>
          </w:r>
          <w:r>
            <w:rPr>
              <w:rFonts w:hint="default" w:ascii="Arial" w:hAnsi="Arial" w:eastAsia="宋体" w:cs="Arial"/>
              <w:bCs/>
              <w:color w:val="auto"/>
              <w:szCs w:val="24"/>
              <w:highlight w:val="none"/>
              <w:lang w:val="zh-CN"/>
            </w:rPr>
            <w:fldChar w:fldCharType="end"/>
          </w:r>
        </w:p>
        <w:p>
          <w:pPr>
            <w:pStyle w:val="21"/>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_Toc18049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4.2.2地下水质量现状调查与评价</w:t>
          </w:r>
          <w:r>
            <w:tab/>
          </w:r>
          <w:r>
            <w:fldChar w:fldCharType="begin"/>
          </w:r>
          <w:r>
            <w:instrText xml:space="preserve"> PAGEREF _Toc18049 \h </w:instrText>
          </w:r>
          <w:r>
            <w:fldChar w:fldCharType="separate"/>
          </w:r>
          <w:r>
            <w:t>- 85 -</w:t>
          </w:r>
          <w:r>
            <w:fldChar w:fldCharType="end"/>
          </w:r>
          <w:r>
            <w:rPr>
              <w:rFonts w:hint="default" w:ascii="Arial" w:hAnsi="Arial" w:eastAsia="宋体" w:cs="Arial"/>
              <w:bCs/>
              <w:color w:val="auto"/>
              <w:szCs w:val="24"/>
              <w:highlight w:val="none"/>
              <w:lang w:val="zh-CN"/>
            </w:rPr>
            <w:fldChar w:fldCharType="end"/>
          </w:r>
        </w:p>
        <w:p>
          <w:pPr>
            <w:pStyle w:val="21"/>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_Toc7395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4.2.3土壤环境质量现状调查与评价</w:t>
          </w:r>
          <w:r>
            <w:tab/>
          </w:r>
          <w:r>
            <w:fldChar w:fldCharType="begin"/>
          </w:r>
          <w:r>
            <w:instrText xml:space="preserve"> PAGEREF _Toc7395 \h </w:instrText>
          </w:r>
          <w:r>
            <w:fldChar w:fldCharType="separate"/>
          </w:r>
          <w:r>
            <w:t>- 95 -</w:t>
          </w:r>
          <w:r>
            <w:fldChar w:fldCharType="end"/>
          </w:r>
          <w:r>
            <w:rPr>
              <w:rFonts w:hint="default" w:ascii="Arial" w:hAnsi="Arial" w:eastAsia="宋体" w:cs="Arial"/>
              <w:bCs/>
              <w:color w:val="auto"/>
              <w:szCs w:val="24"/>
              <w:highlight w:val="none"/>
              <w:lang w:val="zh-CN"/>
            </w:rPr>
            <w:fldChar w:fldCharType="end"/>
          </w:r>
        </w:p>
        <w:p>
          <w:pPr>
            <w:pStyle w:val="21"/>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_Toc29182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4.2.4声环境质量现状调查与评价</w:t>
          </w:r>
          <w:r>
            <w:tab/>
          </w:r>
          <w:r>
            <w:fldChar w:fldCharType="begin"/>
          </w:r>
          <w:r>
            <w:instrText xml:space="preserve"> PAGEREF _Toc29182 \h </w:instrText>
          </w:r>
          <w:r>
            <w:fldChar w:fldCharType="separate"/>
          </w:r>
          <w:r>
            <w:t>- 97 -</w:t>
          </w:r>
          <w:r>
            <w:fldChar w:fldCharType="end"/>
          </w:r>
          <w:r>
            <w:rPr>
              <w:rFonts w:hint="default" w:ascii="Arial" w:hAnsi="Arial" w:eastAsia="宋体" w:cs="Arial"/>
              <w:bCs/>
              <w:color w:val="auto"/>
              <w:szCs w:val="24"/>
              <w:highlight w:val="none"/>
              <w:lang w:val="zh-CN"/>
            </w:rPr>
            <w:fldChar w:fldCharType="end"/>
          </w:r>
        </w:p>
        <w:p>
          <w:pPr>
            <w:pStyle w:val="21"/>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_Toc10454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4.2.5生态环境现状调查与评价</w:t>
          </w:r>
          <w:r>
            <w:tab/>
          </w:r>
          <w:r>
            <w:fldChar w:fldCharType="begin"/>
          </w:r>
          <w:r>
            <w:instrText xml:space="preserve"> PAGEREF _Toc10454 \h </w:instrText>
          </w:r>
          <w:r>
            <w:fldChar w:fldCharType="separate"/>
          </w:r>
          <w:r>
            <w:t>- 100 -</w:t>
          </w:r>
          <w:r>
            <w:fldChar w:fldCharType="end"/>
          </w:r>
          <w:r>
            <w:rPr>
              <w:rFonts w:hint="default" w:ascii="Arial" w:hAnsi="Arial" w:eastAsia="宋体" w:cs="Arial"/>
              <w:bCs/>
              <w:color w:val="auto"/>
              <w:szCs w:val="24"/>
              <w:highlight w:val="none"/>
              <w:lang w:val="zh-CN"/>
            </w:rPr>
            <w:fldChar w:fldCharType="end"/>
          </w:r>
        </w:p>
        <w:p>
          <w:pPr>
            <w:pStyle w:val="30"/>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_Toc25865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5环境影响预测与评价</w:t>
          </w:r>
          <w:r>
            <w:tab/>
          </w:r>
          <w:r>
            <w:fldChar w:fldCharType="begin"/>
          </w:r>
          <w:r>
            <w:instrText xml:space="preserve"> PAGEREF _Toc25865 \h </w:instrText>
          </w:r>
          <w:r>
            <w:fldChar w:fldCharType="separate"/>
          </w:r>
          <w:r>
            <w:t>- 104 -</w:t>
          </w:r>
          <w:r>
            <w:fldChar w:fldCharType="end"/>
          </w:r>
          <w:r>
            <w:rPr>
              <w:rFonts w:hint="default" w:ascii="Arial" w:hAnsi="Arial" w:eastAsia="宋体" w:cs="Arial"/>
              <w:bCs/>
              <w:color w:val="auto"/>
              <w:szCs w:val="24"/>
              <w:highlight w:val="none"/>
              <w:lang w:val="zh-CN"/>
            </w:rPr>
            <w:fldChar w:fldCharType="end"/>
          </w:r>
        </w:p>
        <w:p>
          <w:pPr>
            <w:pStyle w:val="34"/>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_Toc17582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5.1施工期环境影响分析</w:t>
          </w:r>
          <w:r>
            <w:tab/>
          </w:r>
          <w:r>
            <w:fldChar w:fldCharType="begin"/>
          </w:r>
          <w:r>
            <w:instrText xml:space="preserve"> PAGEREF _Toc17582 \h </w:instrText>
          </w:r>
          <w:r>
            <w:fldChar w:fldCharType="separate"/>
          </w:r>
          <w:r>
            <w:t>- 104 -</w:t>
          </w:r>
          <w:r>
            <w:fldChar w:fldCharType="end"/>
          </w:r>
          <w:r>
            <w:rPr>
              <w:rFonts w:hint="default" w:ascii="Arial" w:hAnsi="Arial" w:eastAsia="宋体" w:cs="Arial"/>
              <w:bCs/>
              <w:color w:val="auto"/>
              <w:szCs w:val="24"/>
              <w:highlight w:val="none"/>
              <w:lang w:val="zh-CN"/>
            </w:rPr>
            <w:fldChar w:fldCharType="end"/>
          </w:r>
        </w:p>
        <w:p>
          <w:pPr>
            <w:pStyle w:val="21"/>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_Toc1456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5.1.1大气环境影响分析</w:t>
          </w:r>
          <w:r>
            <w:tab/>
          </w:r>
          <w:r>
            <w:fldChar w:fldCharType="begin"/>
          </w:r>
          <w:r>
            <w:instrText xml:space="preserve"> PAGEREF _Toc1456 \h </w:instrText>
          </w:r>
          <w:r>
            <w:fldChar w:fldCharType="separate"/>
          </w:r>
          <w:r>
            <w:t>- 104 -</w:t>
          </w:r>
          <w:r>
            <w:fldChar w:fldCharType="end"/>
          </w:r>
          <w:r>
            <w:rPr>
              <w:rFonts w:hint="default" w:ascii="Arial" w:hAnsi="Arial" w:eastAsia="宋体" w:cs="Arial"/>
              <w:bCs/>
              <w:color w:val="auto"/>
              <w:szCs w:val="24"/>
              <w:highlight w:val="none"/>
              <w:lang w:val="zh-CN"/>
            </w:rPr>
            <w:fldChar w:fldCharType="end"/>
          </w:r>
        </w:p>
        <w:p>
          <w:pPr>
            <w:pStyle w:val="21"/>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_Toc3271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5.1.2水环境影响分析</w:t>
          </w:r>
          <w:r>
            <w:tab/>
          </w:r>
          <w:r>
            <w:fldChar w:fldCharType="begin"/>
          </w:r>
          <w:r>
            <w:instrText xml:space="preserve"> PAGEREF _Toc3271 \h </w:instrText>
          </w:r>
          <w:r>
            <w:fldChar w:fldCharType="separate"/>
          </w:r>
          <w:r>
            <w:t>- 107 -</w:t>
          </w:r>
          <w:r>
            <w:fldChar w:fldCharType="end"/>
          </w:r>
          <w:r>
            <w:rPr>
              <w:rFonts w:hint="default" w:ascii="Arial" w:hAnsi="Arial" w:eastAsia="宋体" w:cs="Arial"/>
              <w:bCs/>
              <w:color w:val="auto"/>
              <w:szCs w:val="24"/>
              <w:highlight w:val="none"/>
              <w:lang w:val="zh-CN"/>
            </w:rPr>
            <w:fldChar w:fldCharType="end"/>
          </w:r>
        </w:p>
        <w:p>
          <w:pPr>
            <w:pStyle w:val="21"/>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_Toc7010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5.1.3施工期声环境影响分析</w:t>
          </w:r>
          <w:r>
            <w:tab/>
          </w:r>
          <w:r>
            <w:fldChar w:fldCharType="begin"/>
          </w:r>
          <w:r>
            <w:instrText xml:space="preserve"> PAGEREF _Toc7010 \h </w:instrText>
          </w:r>
          <w:r>
            <w:fldChar w:fldCharType="separate"/>
          </w:r>
          <w:r>
            <w:t>- 108 -</w:t>
          </w:r>
          <w:r>
            <w:fldChar w:fldCharType="end"/>
          </w:r>
          <w:r>
            <w:rPr>
              <w:rFonts w:hint="default" w:ascii="Arial" w:hAnsi="Arial" w:eastAsia="宋体" w:cs="Arial"/>
              <w:bCs/>
              <w:color w:val="auto"/>
              <w:szCs w:val="24"/>
              <w:highlight w:val="none"/>
              <w:lang w:val="zh-CN"/>
            </w:rPr>
            <w:fldChar w:fldCharType="end"/>
          </w:r>
        </w:p>
        <w:p>
          <w:pPr>
            <w:pStyle w:val="21"/>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_Toc15714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5.1.4固废环境影响分析</w:t>
          </w:r>
          <w:r>
            <w:tab/>
          </w:r>
          <w:r>
            <w:fldChar w:fldCharType="begin"/>
          </w:r>
          <w:r>
            <w:instrText xml:space="preserve"> PAGEREF _Toc15714 \h </w:instrText>
          </w:r>
          <w:r>
            <w:fldChar w:fldCharType="separate"/>
          </w:r>
          <w:r>
            <w:t>- 108 -</w:t>
          </w:r>
          <w:r>
            <w:fldChar w:fldCharType="end"/>
          </w:r>
          <w:r>
            <w:rPr>
              <w:rFonts w:hint="default" w:ascii="Arial" w:hAnsi="Arial" w:eastAsia="宋体" w:cs="Arial"/>
              <w:bCs/>
              <w:color w:val="auto"/>
              <w:szCs w:val="24"/>
              <w:highlight w:val="none"/>
              <w:lang w:val="zh-CN"/>
            </w:rPr>
            <w:fldChar w:fldCharType="end"/>
          </w:r>
        </w:p>
        <w:p>
          <w:pPr>
            <w:pStyle w:val="21"/>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_Toc414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5.1.5施工期生态影响分析</w:t>
          </w:r>
          <w:r>
            <w:tab/>
          </w:r>
          <w:r>
            <w:fldChar w:fldCharType="begin"/>
          </w:r>
          <w:r>
            <w:instrText xml:space="preserve"> PAGEREF _Toc414 \h </w:instrText>
          </w:r>
          <w:r>
            <w:fldChar w:fldCharType="separate"/>
          </w:r>
          <w:r>
            <w:t>- 109 -</w:t>
          </w:r>
          <w:r>
            <w:fldChar w:fldCharType="end"/>
          </w:r>
          <w:r>
            <w:rPr>
              <w:rFonts w:hint="default" w:ascii="Arial" w:hAnsi="Arial" w:eastAsia="宋体" w:cs="Arial"/>
              <w:bCs/>
              <w:color w:val="auto"/>
              <w:szCs w:val="24"/>
              <w:highlight w:val="none"/>
              <w:lang w:val="zh-CN"/>
            </w:rPr>
            <w:fldChar w:fldCharType="end"/>
          </w:r>
        </w:p>
        <w:p>
          <w:pPr>
            <w:pStyle w:val="34"/>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_Toc15140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5.2运营期大气环境影响分析</w:t>
          </w:r>
          <w:r>
            <w:tab/>
          </w:r>
          <w:r>
            <w:fldChar w:fldCharType="begin"/>
          </w:r>
          <w:r>
            <w:instrText xml:space="preserve"> PAGEREF _Toc15140 \h </w:instrText>
          </w:r>
          <w:r>
            <w:fldChar w:fldCharType="separate"/>
          </w:r>
          <w:r>
            <w:t>- 111 -</w:t>
          </w:r>
          <w:r>
            <w:fldChar w:fldCharType="end"/>
          </w:r>
          <w:r>
            <w:rPr>
              <w:rFonts w:hint="default" w:ascii="Arial" w:hAnsi="Arial" w:eastAsia="宋体" w:cs="Arial"/>
              <w:bCs/>
              <w:color w:val="auto"/>
              <w:szCs w:val="24"/>
              <w:highlight w:val="none"/>
              <w:lang w:val="zh-CN"/>
            </w:rPr>
            <w:fldChar w:fldCharType="end"/>
          </w:r>
        </w:p>
        <w:p>
          <w:pPr>
            <w:pStyle w:val="21"/>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_Toc11539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5.2.1区域气象资料</w:t>
          </w:r>
          <w:r>
            <w:tab/>
          </w:r>
          <w:r>
            <w:fldChar w:fldCharType="begin"/>
          </w:r>
          <w:r>
            <w:instrText xml:space="preserve"> PAGEREF _Toc11539 \h </w:instrText>
          </w:r>
          <w:r>
            <w:fldChar w:fldCharType="separate"/>
          </w:r>
          <w:r>
            <w:t>- 111 -</w:t>
          </w:r>
          <w:r>
            <w:fldChar w:fldCharType="end"/>
          </w:r>
          <w:r>
            <w:rPr>
              <w:rFonts w:hint="default" w:ascii="Arial" w:hAnsi="Arial" w:eastAsia="宋体" w:cs="Arial"/>
              <w:bCs/>
              <w:color w:val="auto"/>
              <w:szCs w:val="24"/>
              <w:highlight w:val="none"/>
              <w:lang w:val="zh-CN"/>
            </w:rPr>
            <w:fldChar w:fldCharType="end"/>
          </w:r>
        </w:p>
        <w:p>
          <w:pPr>
            <w:pStyle w:val="21"/>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_Toc10291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5.2.2大气环境影响预测</w:t>
          </w:r>
          <w:r>
            <w:tab/>
          </w:r>
          <w:r>
            <w:fldChar w:fldCharType="begin"/>
          </w:r>
          <w:r>
            <w:instrText xml:space="preserve"> PAGEREF _Toc10291 \h </w:instrText>
          </w:r>
          <w:r>
            <w:fldChar w:fldCharType="separate"/>
          </w:r>
          <w:r>
            <w:t>- 117 -</w:t>
          </w:r>
          <w:r>
            <w:fldChar w:fldCharType="end"/>
          </w:r>
          <w:r>
            <w:rPr>
              <w:rFonts w:hint="default" w:ascii="Arial" w:hAnsi="Arial" w:eastAsia="宋体" w:cs="Arial"/>
              <w:bCs/>
              <w:color w:val="auto"/>
              <w:szCs w:val="24"/>
              <w:highlight w:val="none"/>
              <w:lang w:val="zh-CN"/>
            </w:rPr>
            <w:fldChar w:fldCharType="end"/>
          </w:r>
        </w:p>
        <w:p>
          <w:pPr>
            <w:pStyle w:val="21"/>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_Toc32439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5.2.3大气环境影响评价结论与建议</w:t>
          </w:r>
          <w:r>
            <w:tab/>
          </w:r>
          <w:r>
            <w:fldChar w:fldCharType="begin"/>
          </w:r>
          <w:r>
            <w:instrText xml:space="preserve"> PAGEREF _Toc32439 \h </w:instrText>
          </w:r>
          <w:r>
            <w:fldChar w:fldCharType="separate"/>
          </w:r>
          <w:r>
            <w:t>- 121 -</w:t>
          </w:r>
          <w:r>
            <w:fldChar w:fldCharType="end"/>
          </w:r>
          <w:r>
            <w:rPr>
              <w:rFonts w:hint="default" w:ascii="Arial" w:hAnsi="Arial" w:eastAsia="宋体" w:cs="Arial"/>
              <w:bCs/>
              <w:color w:val="auto"/>
              <w:szCs w:val="24"/>
              <w:highlight w:val="none"/>
              <w:lang w:val="zh-CN"/>
            </w:rPr>
            <w:fldChar w:fldCharType="end"/>
          </w:r>
        </w:p>
        <w:p>
          <w:pPr>
            <w:pStyle w:val="34"/>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_Toc13170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5.3运营期地表水环境影响分析</w:t>
          </w:r>
          <w:r>
            <w:tab/>
          </w:r>
          <w:r>
            <w:fldChar w:fldCharType="begin"/>
          </w:r>
          <w:r>
            <w:instrText xml:space="preserve"> PAGEREF _Toc13170 \h </w:instrText>
          </w:r>
          <w:r>
            <w:fldChar w:fldCharType="separate"/>
          </w:r>
          <w:r>
            <w:t>- 124 -</w:t>
          </w:r>
          <w:r>
            <w:fldChar w:fldCharType="end"/>
          </w:r>
          <w:r>
            <w:rPr>
              <w:rFonts w:hint="default" w:ascii="Arial" w:hAnsi="Arial" w:eastAsia="宋体" w:cs="Arial"/>
              <w:bCs/>
              <w:color w:val="auto"/>
              <w:szCs w:val="24"/>
              <w:highlight w:val="none"/>
              <w:lang w:val="zh-CN"/>
            </w:rPr>
            <w:fldChar w:fldCharType="end"/>
          </w:r>
        </w:p>
        <w:p>
          <w:pPr>
            <w:pStyle w:val="34"/>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_Toc31903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5.4运营期地下水环境影响</w:t>
          </w:r>
          <w:r>
            <w:tab/>
          </w:r>
          <w:r>
            <w:fldChar w:fldCharType="begin"/>
          </w:r>
          <w:r>
            <w:instrText xml:space="preserve"> PAGEREF _Toc31903 \h </w:instrText>
          </w:r>
          <w:r>
            <w:fldChar w:fldCharType="separate"/>
          </w:r>
          <w:r>
            <w:t>- 124 -</w:t>
          </w:r>
          <w:r>
            <w:fldChar w:fldCharType="end"/>
          </w:r>
          <w:r>
            <w:rPr>
              <w:rFonts w:hint="default" w:ascii="Arial" w:hAnsi="Arial" w:eastAsia="宋体" w:cs="Arial"/>
              <w:bCs/>
              <w:color w:val="auto"/>
              <w:szCs w:val="24"/>
              <w:highlight w:val="none"/>
              <w:lang w:val="zh-CN"/>
            </w:rPr>
            <w:fldChar w:fldCharType="end"/>
          </w:r>
        </w:p>
        <w:p>
          <w:pPr>
            <w:pStyle w:val="21"/>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_Toc31344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5.4.1环境水文地质条件</w:t>
          </w:r>
          <w:r>
            <w:tab/>
          </w:r>
          <w:r>
            <w:fldChar w:fldCharType="begin"/>
          </w:r>
          <w:r>
            <w:instrText xml:space="preserve"> PAGEREF _Toc31344 \h </w:instrText>
          </w:r>
          <w:r>
            <w:fldChar w:fldCharType="separate"/>
          </w:r>
          <w:r>
            <w:t>- 124 -</w:t>
          </w:r>
          <w:r>
            <w:fldChar w:fldCharType="end"/>
          </w:r>
          <w:r>
            <w:rPr>
              <w:rFonts w:hint="default" w:ascii="Arial" w:hAnsi="Arial" w:eastAsia="宋体" w:cs="Arial"/>
              <w:bCs/>
              <w:color w:val="auto"/>
              <w:szCs w:val="24"/>
              <w:highlight w:val="none"/>
              <w:lang w:val="zh-CN"/>
            </w:rPr>
            <w:fldChar w:fldCharType="end"/>
          </w:r>
        </w:p>
        <w:p>
          <w:pPr>
            <w:pStyle w:val="21"/>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_Toc1699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5.4.2地下水环境影响分析</w:t>
          </w:r>
          <w:r>
            <w:tab/>
          </w:r>
          <w:r>
            <w:fldChar w:fldCharType="begin"/>
          </w:r>
          <w:r>
            <w:instrText xml:space="preserve"> PAGEREF _Toc1699 \h </w:instrText>
          </w:r>
          <w:r>
            <w:fldChar w:fldCharType="separate"/>
          </w:r>
          <w:r>
            <w:t>- 126 -</w:t>
          </w:r>
          <w:r>
            <w:fldChar w:fldCharType="end"/>
          </w:r>
          <w:r>
            <w:rPr>
              <w:rFonts w:hint="default" w:ascii="Arial" w:hAnsi="Arial" w:eastAsia="宋体" w:cs="Arial"/>
              <w:bCs/>
              <w:color w:val="auto"/>
              <w:szCs w:val="24"/>
              <w:highlight w:val="none"/>
              <w:lang w:val="zh-CN"/>
            </w:rPr>
            <w:fldChar w:fldCharType="end"/>
          </w:r>
        </w:p>
        <w:p>
          <w:pPr>
            <w:pStyle w:val="21"/>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_Toc23559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5.4.3预测结果分析评价</w:t>
          </w:r>
          <w:r>
            <w:tab/>
          </w:r>
          <w:r>
            <w:fldChar w:fldCharType="begin"/>
          </w:r>
          <w:r>
            <w:instrText xml:space="preserve"> PAGEREF _Toc23559 \h </w:instrText>
          </w:r>
          <w:r>
            <w:fldChar w:fldCharType="separate"/>
          </w:r>
          <w:r>
            <w:t>- 127 -</w:t>
          </w:r>
          <w:r>
            <w:fldChar w:fldCharType="end"/>
          </w:r>
          <w:r>
            <w:rPr>
              <w:rFonts w:hint="default" w:ascii="Arial" w:hAnsi="Arial" w:eastAsia="宋体" w:cs="Arial"/>
              <w:bCs/>
              <w:color w:val="auto"/>
              <w:szCs w:val="24"/>
              <w:highlight w:val="none"/>
              <w:lang w:val="zh-CN"/>
            </w:rPr>
            <w:fldChar w:fldCharType="end"/>
          </w:r>
        </w:p>
        <w:p>
          <w:pPr>
            <w:pStyle w:val="34"/>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_Toc3346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5.5运营期土壤环境影响分析</w:t>
          </w:r>
          <w:r>
            <w:tab/>
          </w:r>
          <w:r>
            <w:fldChar w:fldCharType="begin"/>
          </w:r>
          <w:r>
            <w:instrText xml:space="preserve"> PAGEREF _Toc3346 \h </w:instrText>
          </w:r>
          <w:r>
            <w:fldChar w:fldCharType="separate"/>
          </w:r>
          <w:r>
            <w:t>- 128 -</w:t>
          </w:r>
          <w:r>
            <w:fldChar w:fldCharType="end"/>
          </w:r>
          <w:r>
            <w:rPr>
              <w:rFonts w:hint="default" w:ascii="Arial" w:hAnsi="Arial" w:eastAsia="宋体" w:cs="Arial"/>
              <w:bCs/>
              <w:color w:val="auto"/>
              <w:szCs w:val="24"/>
              <w:highlight w:val="none"/>
              <w:lang w:val="zh-CN"/>
            </w:rPr>
            <w:fldChar w:fldCharType="end"/>
          </w:r>
        </w:p>
        <w:p>
          <w:pPr>
            <w:pStyle w:val="21"/>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_Toc18624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5.5.</w:t>
          </w:r>
          <w:r>
            <w:rPr>
              <w:rFonts w:hint="default" w:ascii="Arial" w:hAnsi="Arial" w:eastAsia="宋体" w:cs="Arial"/>
              <w:highlight w:val="none"/>
              <w:lang w:val="en-US" w:eastAsia="zh-CN"/>
            </w:rPr>
            <w:t>1</w:t>
          </w:r>
          <w:r>
            <w:rPr>
              <w:rFonts w:hint="default" w:ascii="Arial" w:hAnsi="Arial" w:eastAsia="宋体" w:cs="Arial"/>
              <w:highlight w:val="none"/>
            </w:rPr>
            <w:t>环境影响识别</w:t>
          </w:r>
          <w:r>
            <w:tab/>
          </w:r>
          <w:r>
            <w:fldChar w:fldCharType="begin"/>
          </w:r>
          <w:r>
            <w:instrText xml:space="preserve"> PAGEREF _Toc18624 \h </w:instrText>
          </w:r>
          <w:r>
            <w:fldChar w:fldCharType="separate"/>
          </w:r>
          <w:r>
            <w:t>- 128 -</w:t>
          </w:r>
          <w:r>
            <w:fldChar w:fldCharType="end"/>
          </w:r>
          <w:r>
            <w:rPr>
              <w:rFonts w:hint="default" w:ascii="Arial" w:hAnsi="Arial" w:eastAsia="宋体" w:cs="Arial"/>
              <w:bCs/>
              <w:color w:val="auto"/>
              <w:szCs w:val="24"/>
              <w:highlight w:val="none"/>
              <w:lang w:val="zh-CN"/>
            </w:rPr>
            <w:fldChar w:fldCharType="end"/>
          </w:r>
        </w:p>
        <w:p>
          <w:pPr>
            <w:pStyle w:val="21"/>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_Toc16889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5.5.3理化调查与评价</w:t>
          </w:r>
          <w:r>
            <w:tab/>
          </w:r>
          <w:r>
            <w:fldChar w:fldCharType="begin"/>
          </w:r>
          <w:r>
            <w:instrText xml:space="preserve"> PAGEREF _Toc16889 \h </w:instrText>
          </w:r>
          <w:r>
            <w:fldChar w:fldCharType="separate"/>
          </w:r>
          <w:r>
            <w:t>- 129 -</w:t>
          </w:r>
          <w:r>
            <w:fldChar w:fldCharType="end"/>
          </w:r>
          <w:r>
            <w:rPr>
              <w:rFonts w:hint="default" w:ascii="Arial" w:hAnsi="Arial" w:eastAsia="宋体" w:cs="Arial"/>
              <w:bCs/>
              <w:color w:val="auto"/>
              <w:szCs w:val="24"/>
              <w:highlight w:val="none"/>
              <w:lang w:val="zh-CN"/>
            </w:rPr>
            <w:fldChar w:fldCharType="end"/>
          </w:r>
        </w:p>
        <w:p>
          <w:pPr>
            <w:pStyle w:val="21"/>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_Toc18287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5.5.4土壤环境影响预测与评价</w:t>
          </w:r>
          <w:r>
            <w:tab/>
          </w:r>
          <w:r>
            <w:fldChar w:fldCharType="begin"/>
          </w:r>
          <w:r>
            <w:instrText xml:space="preserve"> PAGEREF _Toc18287 \h </w:instrText>
          </w:r>
          <w:r>
            <w:fldChar w:fldCharType="separate"/>
          </w:r>
          <w:r>
            <w:t>- 129 -</w:t>
          </w:r>
          <w:r>
            <w:fldChar w:fldCharType="end"/>
          </w:r>
          <w:r>
            <w:rPr>
              <w:rFonts w:hint="default" w:ascii="Arial" w:hAnsi="Arial" w:eastAsia="宋体" w:cs="Arial"/>
              <w:bCs/>
              <w:color w:val="auto"/>
              <w:szCs w:val="24"/>
              <w:highlight w:val="none"/>
              <w:lang w:val="zh-CN"/>
            </w:rPr>
            <w:fldChar w:fldCharType="end"/>
          </w:r>
        </w:p>
        <w:p>
          <w:pPr>
            <w:pStyle w:val="21"/>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_Toc16857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5.5.5土壤影响评价结论</w:t>
          </w:r>
          <w:r>
            <w:tab/>
          </w:r>
          <w:r>
            <w:fldChar w:fldCharType="begin"/>
          </w:r>
          <w:r>
            <w:instrText xml:space="preserve"> PAGEREF _Toc16857 \h </w:instrText>
          </w:r>
          <w:r>
            <w:fldChar w:fldCharType="separate"/>
          </w:r>
          <w:r>
            <w:t>- 131 -</w:t>
          </w:r>
          <w:r>
            <w:fldChar w:fldCharType="end"/>
          </w:r>
          <w:r>
            <w:rPr>
              <w:rFonts w:hint="default" w:ascii="Arial" w:hAnsi="Arial" w:eastAsia="宋体" w:cs="Arial"/>
              <w:bCs/>
              <w:color w:val="auto"/>
              <w:szCs w:val="24"/>
              <w:highlight w:val="none"/>
              <w:lang w:val="zh-CN"/>
            </w:rPr>
            <w:fldChar w:fldCharType="end"/>
          </w:r>
        </w:p>
        <w:p>
          <w:pPr>
            <w:pStyle w:val="34"/>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_Toc22444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5.6运营期声环境影响分析</w:t>
          </w:r>
          <w:r>
            <w:tab/>
          </w:r>
          <w:r>
            <w:fldChar w:fldCharType="begin"/>
          </w:r>
          <w:r>
            <w:instrText xml:space="preserve"> PAGEREF _Toc22444 \h </w:instrText>
          </w:r>
          <w:r>
            <w:fldChar w:fldCharType="separate"/>
          </w:r>
          <w:r>
            <w:t>- 132 -</w:t>
          </w:r>
          <w:r>
            <w:fldChar w:fldCharType="end"/>
          </w:r>
          <w:r>
            <w:rPr>
              <w:rFonts w:hint="default" w:ascii="Arial" w:hAnsi="Arial" w:eastAsia="宋体" w:cs="Arial"/>
              <w:bCs/>
              <w:color w:val="auto"/>
              <w:szCs w:val="24"/>
              <w:highlight w:val="none"/>
              <w:lang w:val="zh-CN"/>
            </w:rPr>
            <w:fldChar w:fldCharType="end"/>
          </w:r>
        </w:p>
        <w:p>
          <w:pPr>
            <w:pStyle w:val="21"/>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_Toc22195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5.6.1主要声源源强</w:t>
          </w:r>
          <w:r>
            <w:tab/>
          </w:r>
          <w:r>
            <w:fldChar w:fldCharType="begin"/>
          </w:r>
          <w:r>
            <w:instrText xml:space="preserve"> PAGEREF _Toc22195 \h </w:instrText>
          </w:r>
          <w:r>
            <w:fldChar w:fldCharType="separate"/>
          </w:r>
          <w:r>
            <w:t>- 132 -</w:t>
          </w:r>
          <w:r>
            <w:fldChar w:fldCharType="end"/>
          </w:r>
          <w:r>
            <w:rPr>
              <w:rFonts w:hint="default" w:ascii="Arial" w:hAnsi="Arial" w:eastAsia="宋体" w:cs="Arial"/>
              <w:bCs/>
              <w:color w:val="auto"/>
              <w:szCs w:val="24"/>
              <w:highlight w:val="none"/>
              <w:lang w:val="zh-CN"/>
            </w:rPr>
            <w:fldChar w:fldCharType="end"/>
          </w:r>
        </w:p>
        <w:p>
          <w:pPr>
            <w:pStyle w:val="21"/>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_Toc26895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5.6.2声环境预测方法</w:t>
          </w:r>
          <w:r>
            <w:tab/>
          </w:r>
          <w:r>
            <w:fldChar w:fldCharType="begin"/>
          </w:r>
          <w:r>
            <w:instrText xml:space="preserve"> PAGEREF _Toc26895 \h </w:instrText>
          </w:r>
          <w:r>
            <w:fldChar w:fldCharType="separate"/>
          </w:r>
          <w:r>
            <w:t>- 132 -</w:t>
          </w:r>
          <w:r>
            <w:fldChar w:fldCharType="end"/>
          </w:r>
          <w:r>
            <w:rPr>
              <w:rFonts w:hint="default" w:ascii="Arial" w:hAnsi="Arial" w:eastAsia="宋体" w:cs="Arial"/>
              <w:bCs/>
              <w:color w:val="auto"/>
              <w:szCs w:val="24"/>
              <w:highlight w:val="none"/>
              <w:lang w:val="zh-CN"/>
            </w:rPr>
            <w:fldChar w:fldCharType="end"/>
          </w:r>
        </w:p>
        <w:p>
          <w:pPr>
            <w:pStyle w:val="21"/>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_Toc20694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5.6.3声环境预测结果及结论</w:t>
          </w:r>
          <w:r>
            <w:tab/>
          </w:r>
          <w:r>
            <w:fldChar w:fldCharType="begin"/>
          </w:r>
          <w:r>
            <w:instrText xml:space="preserve"> PAGEREF _Toc20694 \h </w:instrText>
          </w:r>
          <w:r>
            <w:fldChar w:fldCharType="separate"/>
          </w:r>
          <w:r>
            <w:t>- 134 -</w:t>
          </w:r>
          <w:r>
            <w:fldChar w:fldCharType="end"/>
          </w:r>
          <w:r>
            <w:rPr>
              <w:rFonts w:hint="default" w:ascii="Arial" w:hAnsi="Arial" w:eastAsia="宋体" w:cs="Arial"/>
              <w:bCs/>
              <w:color w:val="auto"/>
              <w:szCs w:val="24"/>
              <w:highlight w:val="none"/>
              <w:lang w:val="zh-CN"/>
            </w:rPr>
            <w:fldChar w:fldCharType="end"/>
          </w:r>
        </w:p>
        <w:p>
          <w:pPr>
            <w:pStyle w:val="34"/>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_Toc5469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5.7运营期固体废物环境影响分析</w:t>
          </w:r>
          <w:r>
            <w:tab/>
          </w:r>
          <w:r>
            <w:fldChar w:fldCharType="begin"/>
          </w:r>
          <w:r>
            <w:instrText xml:space="preserve"> PAGEREF _Toc5469 \h </w:instrText>
          </w:r>
          <w:r>
            <w:fldChar w:fldCharType="separate"/>
          </w:r>
          <w:r>
            <w:t>- 135 -</w:t>
          </w:r>
          <w:r>
            <w:fldChar w:fldCharType="end"/>
          </w:r>
          <w:r>
            <w:rPr>
              <w:rFonts w:hint="default" w:ascii="Arial" w:hAnsi="Arial" w:eastAsia="宋体" w:cs="Arial"/>
              <w:bCs/>
              <w:color w:val="auto"/>
              <w:szCs w:val="24"/>
              <w:highlight w:val="none"/>
              <w:lang w:val="zh-CN"/>
            </w:rPr>
            <w:fldChar w:fldCharType="end"/>
          </w:r>
        </w:p>
        <w:p>
          <w:pPr>
            <w:pStyle w:val="21"/>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_Toc2783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5.7.1固体废物环境影响特点</w:t>
          </w:r>
          <w:r>
            <w:tab/>
          </w:r>
          <w:r>
            <w:fldChar w:fldCharType="begin"/>
          </w:r>
          <w:r>
            <w:instrText xml:space="preserve"> PAGEREF _Toc2783 \h </w:instrText>
          </w:r>
          <w:r>
            <w:fldChar w:fldCharType="separate"/>
          </w:r>
          <w:r>
            <w:t>- 135 -</w:t>
          </w:r>
          <w:r>
            <w:fldChar w:fldCharType="end"/>
          </w:r>
          <w:r>
            <w:rPr>
              <w:rFonts w:hint="default" w:ascii="Arial" w:hAnsi="Arial" w:eastAsia="宋体" w:cs="Arial"/>
              <w:bCs/>
              <w:color w:val="auto"/>
              <w:szCs w:val="24"/>
              <w:highlight w:val="none"/>
              <w:lang w:val="zh-CN"/>
            </w:rPr>
            <w:fldChar w:fldCharType="end"/>
          </w:r>
        </w:p>
        <w:p>
          <w:pPr>
            <w:pStyle w:val="21"/>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_Toc32008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5.7.2固体废物污染途径</w:t>
          </w:r>
          <w:r>
            <w:tab/>
          </w:r>
          <w:r>
            <w:fldChar w:fldCharType="begin"/>
          </w:r>
          <w:r>
            <w:instrText xml:space="preserve"> PAGEREF _Toc32008 \h </w:instrText>
          </w:r>
          <w:r>
            <w:fldChar w:fldCharType="separate"/>
          </w:r>
          <w:r>
            <w:t>- 135 -</w:t>
          </w:r>
          <w:r>
            <w:fldChar w:fldCharType="end"/>
          </w:r>
          <w:r>
            <w:rPr>
              <w:rFonts w:hint="default" w:ascii="Arial" w:hAnsi="Arial" w:eastAsia="宋体" w:cs="Arial"/>
              <w:bCs/>
              <w:color w:val="auto"/>
              <w:szCs w:val="24"/>
              <w:highlight w:val="none"/>
              <w:lang w:val="zh-CN"/>
            </w:rPr>
            <w:fldChar w:fldCharType="end"/>
          </w:r>
        </w:p>
        <w:p>
          <w:pPr>
            <w:pStyle w:val="21"/>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_Toc6836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5.7.3固废影响分析</w:t>
          </w:r>
          <w:r>
            <w:tab/>
          </w:r>
          <w:r>
            <w:fldChar w:fldCharType="begin"/>
          </w:r>
          <w:r>
            <w:instrText xml:space="preserve"> PAGEREF _Toc6836 \h </w:instrText>
          </w:r>
          <w:r>
            <w:fldChar w:fldCharType="separate"/>
          </w:r>
          <w:r>
            <w:t>- 136 -</w:t>
          </w:r>
          <w:r>
            <w:fldChar w:fldCharType="end"/>
          </w:r>
          <w:r>
            <w:rPr>
              <w:rFonts w:hint="default" w:ascii="Arial" w:hAnsi="Arial" w:eastAsia="宋体" w:cs="Arial"/>
              <w:bCs/>
              <w:color w:val="auto"/>
              <w:szCs w:val="24"/>
              <w:highlight w:val="none"/>
              <w:lang w:val="zh-CN"/>
            </w:rPr>
            <w:fldChar w:fldCharType="end"/>
          </w:r>
        </w:p>
        <w:p>
          <w:pPr>
            <w:pStyle w:val="34"/>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_Toc24743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5.8运营期生态环境影响分析</w:t>
          </w:r>
          <w:r>
            <w:tab/>
          </w:r>
          <w:r>
            <w:fldChar w:fldCharType="begin"/>
          </w:r>
          <w:r>
            <w:instrText xml:space="preserve"> PAGEREF _Toc24743 \h </w:instrText>
          </w:r>
          <w:r>
            <w:fldChar w:fldCharType="separate"/>
          </w:r>
          <w:r>
            <w:t>- 136 -</w:t>
          </w:r>
          <w:r>
            <w:fldChar w:fldCharType="end"/>
          </w:r>
          <w:r>
            <w:rPr>
              <w:rFonts w:hint="default" w:ascii="Arial" w:hAnsi="Arial" w:eastAsia="宋体" w:cs="Arial"/>
              <w:bCs/>
              <w:color w:val="auto"/>
              <w:szCs w:val="24"/>
              <w:highlight w:val="none"/>
              <w:lang w:val="zh-CN"/>
            </w:rPr>
            <w:fldChar w:fldCharType="end"/>
          </w:r>
        </w:p>
        <w:p>
          <w:pPr>
            <w:pStyle w:val="21"/>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_Toc32663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5.8.1土地利用影响评价</w:t>
          </w:r>
          <w:r>
            <w:tab/>
          </w:r>
          <w:r>
            <w:fldChar w:fldCharType="begin"/>
          </w:r>
          <w:r>
            <w:instrText xml:space="preserve"> PAGEREF _Toc32663 \h </w:instrText>
          </w:r>
          <w:r>
            <w:fldChar w:fldCharType="separate"/>
          </w:r>
          <w:r>
            <w:t>- 136 -</w:t>
          </w:r>
          <w:r>
            <w:fldChar w:fldCharType="end"/>
          </w:r>
          <w:r>
            <w:rPr>
              <w:rFonts w:hint="default" w:ascii="Arial" w:hAnsi="Arial" w:eastAsia="宋体" w:cs="Arial"/>
              <w:bCs/>
              <w:color w:val="auto"/>
              <w:szCs w:val="24"/>
              <w:highlight w:val="none"/>
              <w:lang w:val="zh-CN"/>
            </w:rPr>
            <w:fldChar w:fldCharType="end"/>
          </w:r>
        </w:p>
        <w:p>
          <w:pPr>
            <w:pStyle w:val="21"/>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_Toc10078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5.8.2对动植物的影响分析</w:t>
          </w:r>
          <w:r>
            <w:tab/>
          </w:r>
          <w:r>
            <w:fldChar w:fldCharType="begin"/>
          </w:r>
          <w:r>
            <w:instrText xml:space="preserve"> PAGEREF _Toc10078 \h </w:instrText>
          </w:r>
          <w:r>
            <w:fldChar w:fldCharType="separate"/>
          </w:r>
          <w:r>
            <w:t>- 136 -</w:t>
          </w:r>
          <w:r>
            <w:fldChar w:fldCharType="end"/>
          </w:r>
          <w:r>
            <w:rPr>
              <w:rFonts w:hint="default" w:ascii="Arial" w:hAnsi="Arial" w:eastAsia="宋体" w:cs="Arial"/>
              <w:bCs/>
              <w:color w:val="auto"/>
              <w:szCs w:val="24"/>
              <w:highlight w:val="none"/>
              <w:lang w:val="zh-CN"/>
            </w:rPr>
            <w:fldChar w:fldCharType="end"/>
          </w:r>
        </w:p>
        <w:p>
          <w:pPr>
            <w:pStyle w:val="21"/>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_Toc23928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5.8.3对土壤的污染影响分析</w:t>
          </w:r>
          <w:r>
            <w:tab/>
          </w:r>
          <w:r>
            <w:fldChar w:fldCharType="begin"/>
          </w:r>
          <w:r>
            <w:instrText xml:space="preserve"> PAGEREF _Toc23928 \h </w:instrText>
          </w:r>
          <w:r>
            <w:fldChar w:fldCharType="separate"/>
          </w:r>
          <w:r>
            <w:t>- 136 -</w:t>
          </w:r>
          <w:r>
            <w:fldChar w:fldCharType="end"/>
          </w:r>
          <w:r>
            <w:rPr>
              <w:rFonts w:hint="default" w:ascii="Arial" w:hAnsi="Arial" w:eastAsia="宋体" w:cs="Arial"/>
              <w:bCs/>
              <w:color w:val="auto"/>
              <w:szCs w:val="24"/>
              <w:highlight w:val="none"/>
              <w:lang w:val="zh-CN"/>
            </w:rPr>
            <w:fldChar w:fldCharType="end"/>
          </w:r>
        </w:p>
        <w:p>
          <w:pPr>
            <w:pStyle w:val="30"/>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_Toc16711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6环境风险评价</w:t>
          </w:r>
          <w:r>
            <w:tab/>
          </w:r>
          <w:r>
            <w:fldChar w:fldCharType="begin"/>
          </w:r>
          <w:r>
            <w:instrText xml:space="preserve"> PAGEREF _Toc16711 \h </w:instrText>
          </w:r>
          <w:r>
            <w:fldChar w:fldCharType="separate"/>
          </w:r>
          <w:r>
            <w:t>- 138 -</w:t>
          </w:r>
          <w:r>
            <w:fldChar w:fldCharType="end"/>
          </w:r>
          <w:r>
            <w:rPr>
              <w:rFonts w:hint="default" w:ascii="Arial" w:hAnsi="Arial" w:eastAsia="宋体" w:cs="Arial"/>
              <w:bCs/>
              <w:color w:val="auto"/>
              <w:szCs w:val="24"/>
              <w:highlight w:val="none"/>
              <w:lang w:val="zh-CN"/>
            </w:rPr>
            <w:fldChar w:fldCharType="end"/>
          </w:r>
        </w:p>
        <w:p>
          <w:pPr>
            <w:pStyle w:val="34"/>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_Toc6194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6.1风险评价目的</w:t>
          </w:r>
          <w:r>
            <w:tab/>
          </w:r>
          <w:r>
            <w:fldChar w:fldCharType="begin"/>
          </w:r>
          <w:r>
            <w:instrText xml:space="preserve"> PAGEREF _Toc6194 \h </w:instrText>
          </w:r>
          <w:r>
            <w:fldChar w:fldCharType="separate"/>
          </w:r>
          <w:r>
            <w:t>- 138 -</w:t>
          </w:r>
          <w:r>
            <w:fldChar w:fldCharType="end"/>
          </w:r>
          <w:r>
            <w:rPr>
              <w:rFonts w:hint="default" w:ascii="Arial" w:hAnsi="Arial" w:eastAsia="宋体" w:cs="Arial"/>
              <w:bCs/>
              <w:color w:val="auto"/>
              <w:szCs w:val="24"/>
              <w:highlight w:val="none"/>
              <w:lang w:val="zh-CN"/>
            </w:rPr>
            <w:fldChar w:fldCharType="end"/>
          </w:r>
        </w:p>
        <w:p>
          <w:pPr>
            <w:pStyle w:val="34"/>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_Toc3674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6.2风险调查</w:t>
          </w:r>
          <w:r>
            <w:tab/>
          </w:r>
          <w:r>
            <w:fldChar w:fldCharType="begin"/>
          </w:r>
          <w:r>
            <w:instrText xml:space="preserve"> PAGEREF _Toc3674 \h </w:instrText>
          </w:r>
          <w:r>
            <w:fldChar w:fldCharType="separate"/>
          </w:r>
          <w:r>
            <w:t>- 138 -</w:t>
          </w:r>
          <w:r>
            <w:fldChar w:fldCharType="end"/>
          </w:r>
          <w:r>
            <w:rPr>
              <w:rFonts w:hint="default" w:ascii="Arial" w:hAnsi="Arial" w:eastAsia="宋体" w:cs="Arial"/>
              <w:bCs/>
              <w:color w:val="auto"/>
              <w:szCs w:val="24"/>
              <w:highlight w:val="none"/>
              <w:lang w:val="zh-CN"/>
            </w:rPr>
            <w:fldChar w:fldCharType="end"/>
          </w:r>
        </w:p>
        <w:p>
          <w:pPr>
            <w:pStyle w:val="21"/>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_Toc30041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6.2.1建设项目风险源调查</w:t>
          </w:r>
          <w:r>
            <w:tab/>
          </w:r>
          <w:r>
            <w:fldChar w:fldCharType="begin"/>
          </w:r>
          <w:r>
            <w:instrText xml:space="preserve"> PAGEREF _Toc30041 \h </w:instrText>
          </w:r>
          <w:r>
            <w:fldChar w:fldCharType="separate"/>
          </w:r>
          <w:r>
            <w:t>- 138 -</w:t>
          </w:r>
          <w:r>
            <w:fldChar w:fldCharType="end"/>
          </w:r>
          <w:r>
            <w:rPr>
              <w:rFonts w:hint="default" w:ascii="Arial" w:hAnsi="Arial" w:eastAsia="宋体" w:cs="Arial"/>
              <w:bCs/>
              <w:color w:val="auto"/>
              <w:szCs w:val="24"/>
              <w:highlight w:val="none"/>
              <w:lang w:val="zh-CN"/>
            </w:rPr>
            <w:fldChar w:fldCharType="end"/>
          </w:r>
        </w:p>
        <w:p>
          <w:pPr>
            <w:pStyle w:val="21"/>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_Toc30057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6.2.2环境敏感目标调查</w:t>
          </w:r>
          <w:r>
            <w:tab/>
          </w:r>
          <w:r>
            <w:fldChar w:fldCharType="begin"/>
          </w:r>
          <w:r>
            <w:instrText xml:space="preserve"> PAGEREF _Toc30057 \h </w:instrText>
          </w:r>
          <w:r>
            <w:fldChar w:fldCharType="separate"/>
          </w:r>
          <w:r>
            <w:t>- 138 -</w:t>
          </w:r>
          <w:r>
            <w:fldChar w:fldCharType="end"/>
          </w:r>
          <w:r>
            <w:rPr>
              <w:rFonts w:hint="default" w:ascii="Arial" w:hAnsi="Arial" w:eastAsia="宋体" w:cs="Arial"/>
              <w:bCs/>
              <w:color w:val="auto"/>
              <w:szCs w:val="24"/>
              <w:highlight w:val="none"/>
              <w:lang w:val="zh-CN"/>
            </w:rPr>
            <w:fldChar w:fldCharType="end"/>
          </w:r>
        </w:p>
        <w:p>
          <w:pPr>
            <w:pStyle w:val="34"/>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_Toc25020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6.3评价等级划分及评价范围</w:t>
          </w:r>
          <w:r>
            <w:tab/>
          </w:r>
          <w:r>
            <w:fldChar w:fldCharType="begin"/>
          </w:r>
          <w:r>
            <w:instrText xml:space="preserve"> PAGEREF _Toc25020 \h </w:instrText>
          </w:r>
          <w:r>
            <w:fldChar w:fldCharType="separate"/>
          </w:r>
          <w:r>
            <w:t>- 139 -</w:t>
          </w:r>
          <w:r>
            <w:fldChar w:fldCharType="end"/>
          </w:r>
          <w:r>
            <w:rPr>
              <w:rFonts w:hint="default" w:ascii="Arial" w:hAnsi="Arial" w:eastAsia="宋体" w:cs="Arial"/>
              <w:bCs/>
              <w:color w:val="auto"/>
              <w:szCs w:val="24"/>
              <w:highlight w:val="none"/>
              <w:lang w:val="zh-CN"/>
            </w:rPr>
            <w:fldChar w:fldCharType="end"/>
          </w:r>
        </w:p>
        <w:p>
          <w:pPr>
            <w:pStyle w:val="21"/>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_Toc29740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6.3.1危险物质及工艺系统危险性（P）的分级确定</w:t>
          </w:r>
          <w:r>
            <w:tab/>
          </w:r>
          <w:r>
            <w:fldChar w:fldCharType="begin"/>
          </w:r>
          <w:r>
            <w:instrText xml:space="preserve"> PAGEREF _Toc29740 \h </w:instrText>
          </w:r>
          <w:r>
            <w:fldChar w:fldCharType="separate"/>
          </w:r>
          <w:r>
            <w:t>- 139 -</w:t>
          </w:r>
          <w:r>
            <w:fldChar w:fldCharType="end"/>
          </w:r>
          <w:r>
            <w:rPr>
              <w:rFonts w:hint="default" w:ascii="Arial" w:hAnsi="Arial" w:eastAsia="宋体" w:cs="Arial"/>
              <w:bCs/>
              <w:color w:val="auto"/>
              <w:szCs w:val="24"/>
              <w:highlight w:val="none"/>
              <w:lang w:val="zh-CN"/>
            </w:rPr>
            <w:fldChar w:fldCharType="end"/>
          </w:r>
        </w:p>
        <w:p>
          <w:pPr>
            <w:pStyle w:val="21"/>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_Toc8146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6.3.2环境影响评价等级及评价范围</w:t>
          </w:r>
          <w:r>
            <w:tab/>
          </w:r>
          <w:r>
            <w:fldChar w:fldCharType="begin"/>
          </w:r>
          <w:r>
            <w:instrText xml:space="preserve"> PAGEREF _Toc8146 \h </w:instrText>
          </w:r>
          <w:r>
            <w:fldChar w:fldCharType="separate"/>
          </w:r>
          <w:r>
            <w:t>- 139 -</w:t>
          </w:r>
          <w:r>
            <w:fldChar w:fldCharType="end"/>
          </w:r>
          <w:r>
            <w:rPr>
              <w:rFonts w:hint="default" w:ascii="Arial" w:hAnsi="Arial" w:eastAsia="宋体" w:cs="Arial"/>
              <w:bCs/>
              <w:color w:val="auto"/>
              <w:szCs w:val="24"/>
              <w:highlight w:val="none"/>
              <w:lang w:val="zh-CN"/>
            </w:rPr>
            <w:fldChar w:fldCharType="end"/>
          </w:r>
        </w:p>
        <w:p>
          <w:pPr>
            <w:pStyle w:val="34"/>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_Toc30830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6.4环境风险分析</w:t>
          </w:r>
          <w:r>
            <w:tab/>
          </w:r>
          <w:r>
            <w:fldChar w:fldCharType="begin"/>
          </w:r>
          <w:r>
            <w:instrText xml:space="preserve"> PAGEREF _Toc30830 \h </w:instrText>
          </w:r>
          <w:r>
            <w:fldChar w:fldCharType="separate"/>
          </w:r>
          <w:r>
            <w:t>- 140 -</w:t>
          </w:r>
          <w:r>
            <w:fldChar w:fldCharType="end"/>
          </w:r>
          <w:r>
            <w:rPr>
              <w:rFonts w:hint="default" w:ascii="Arial" w:hAnsi="Arial" w:eastAsia="宋体" w:cs="Arial"/>
              <w:bCs/>
              <w:color w:val="auto"/>
              <w:szCs w:val="24"/>
              <w:highlight w:val="none"/>
              <w:lang w:val="zh-CN"/>
            </w:rPr>
            <w:fldChar w:fldCharType="end"/>
          </w:r>
        </w:p>
        <w:p>
          <w:pPr>
            <w:pStyle w:val="21"/>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_Toc3748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6.4.1物质危险性识别</w:t>
          </w:r>
          <w:r>
            <w:tab/>
          </w:r>
          <w:r>
            <w:fldChar w:fldCharType="begin"/>
          </w:r>
          <w:r>
            <w:instrText xml:space="preserve"> PAGEREF _Toc3748 \h </w:instrText>
          </w:r>
          <w:r>
            <w:fldChar w:fldCharType="separate"/>
          </w:r>
          <w:r>
            <w:t>- 140 -</w:t>
          </w:r>
          <w:r>
            <w:fldChar w:fldCharType="end"/>
          </w:r>
          <w:r>
            <w:rPr>
              <w:rFonts w:hint="default" w:ascii="Arial" w:hAnsi="Arial" w:eastAsia="宋体" w:cs="Arial"/>
              <w:bCs/>
              <w:color w:val="auto"/>
              <w:szCs w:val="24"/>
              <w:highlight w:val="none"/>
              <w:lang w:val="zh-CN"/>
            </w:rPr>
            <w:fldChar w:fldCharType="end"/>
          </w:r>
        </w:p>
        <w:p>
          <w:pPr>
            <w:pStyle w:val="21"/>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_Toc5077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6.4.2生产系统危险性识别</w:t>
          </w:r>
          <w:r>
            <w:tab/>
          </w:r>
          <w:r>
            <w:fldChar w:fldCharType="begin"/>
          </w:r>
          <w:r>
            <w:instrText xml:space="preserve"> PAGEREF _Toc5077 \h </w:instrText>
          </w:r>
          <w:r>
            <w:fldChar w:fldCharType="separate"/>
          </w:r>
          <w:r>
            <w:t>- 140 -</w:t>
          </w:r>
          <w:r>
            <w:fldChar w:fldCharType="end"/>
          </w:r>
          <w:r>
            <w:rPr>
              <w:rFonts w:hint="default" w:ascii="Arial" w:hAnsi="Arial" w:eastAsia="宋体" w:cs="Arial"/>
              <w:bCs/>
              <w:color w:val="auto"/>
              <w:szCs w:val="24"/>
              <w:highlight w:val="none"/>
              <w:lang w:val="zh-CN"/>
            </w:rPr>
            <w:fldChar w:fldCharType="end"/>
          </w:r>
        </w:p>
        <w:p>
          <w:pPr>
            <w:pStyle w:val="34"/>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_Toc29941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6.5风险事故情形分析</w:t>
          </w:r>
          <w:r>
            <w:tab/>
          </w:r>
          <w:r>
            <w:fldChar w:fldCharType="begin"/>
          </w:r>
          <w:r>
            <w:instrText xml:space="preserve"> PAGEREF _Toc29941 \h </w:instrText>
          </w:r>
          <w:r>
            <w:fldChar w:fldCharType="separate"/>
          </w:r>
          <w:r>
            <w:t>- 140 -</w:t>
          </w:r>
          <w:r>
            <w:fldChar w:fldCharType="end"/>
          </w:r>
          <w:r>
            <w:rPr>
              <w:rFonts w:hint="default" w:ascii="Arial" w:hAnsi="Arial" w:eastAsia="宋体" w:cs="Arial"/>
              <w:bCs/>
              <w:color w:val="auto"/>
              <w:szCs w:val="24"/>
              <w:highlight w:val="none"/>
              <w:lang w:val="zh-CN"/>
            </w:rPr>
            <w:fldChar w:fldCharType="end"/>
          </w:r>
        </w:p>
        <w:p>
          <w:pPr>
            <w:pStyle w:val="34"/>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_Toc26347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6.6环境风险管理</w:t>
          </w:r>
          <w:r>
            <w:tab/>
          </w:r>
          <w:r>
            <w:fldChar w:fldCharType="begin"/>
          </w:r>
          <w:r>
            <w:instrText xml:space="preserve"> PAGEREF _Toc26347 \h </w:instrText>
          </w:r>
          <w:r>
            <w:fldChar w:fldCharType="separate"/>
          </w:r>
          <w:r>
            <w:t>- 142 -</w:t>
          </w:r>
          <w:r>
            <w:fldChar w:fldCharType="end"/>
          </w:r>
          <w:r>
            <w:rPr>
              <w:rFonts w:hint="default" w:ascii="Arial" w:hAnsi="Arial" w:eastAsia="宋体" w:cs="Arial"/>
              <w:bCs/>
              <w:color w:val="auto"/>
              <w:szCs w:val="24"/>
              <w:highlight w:val="none"/>
              <w:lang w:val="zh-CN"/>
            </w:rPr>
            <w:fldChar w:fldCharType="end"/>
          </w:r>
        </w:p>
        <w:p>
          <w:pPr>
            <w:pStyle w:val="21"/>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_Toc23221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6.6.1环境风险防范措施</w:t>
          </w:r>
          <w:r>
            <w:tab/>
          </w:r>
          <w:r>
            <w:fldChar w:fldCharType="begin"/>
          </w:r>
          <w:r>
            <w:instrText xml:space="preserve"> PAGEREF _Toc23221 \h </w:instrText>
          </w:r>
          <w:r>
            <w:fldChar w:fldCharType="separate"/>
          </w:r>
          <w:r>
            <w:t>- 142 -</w:t>
          </w:r>
          <w:r>
            <w:fldChar w:fldCharType="end"/>
          </w:r>
          <w:r>
            <w:rPr>
              <w:rFonts w:hint="default" w:ascii="Arial" w:hAnsi="Arial" w:eastAsia="宋体" w:cs="Arial"/>
              <w:bCs/>
              <w:color w:val="auto"/>
              <w:szCs w:val="24"/>
              <w:highlight w:val="none"/>
              <w:lang w:val="zh-CN"/>
            </w:rPr>
            <w:fldChar w:fldCharType="end"/>
          </w:r>
        </w:p>
        <w:p>
          <w:pPr>
            <w:pStyle w:val="21"/>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_Toc17732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6.6.2突发环境事件应急预案编制要求</w:t>
          </w:r>
          <w:r>
            <w:tab/>
          </w:r>
          <w:r>
            <w:fldChar w:fldCharType="begin"/>
          </w:r>
          <w:r>
            <w:instrText xml:space="preserve"> PAGEREF _Toc17732 \h </w:instrText>
          </w:r>
          <w:r>
            <w:fldChar w:fldCharType="separate"/>
          </w:r>
          <w:r>
            <w:t>- 143 -</w:t>
          </w:r>
          <w:r>
            <w:fldChar w:fldCharType="end"/>
          </w:r>
          <w:r>
            <w:rPr>
              <w:rFonts w:hint="default" w:ascii="Arial" w:hAnsi="Arial" w:eastAsia="宋体" w:cs="Arial"/>
              <w:bCs/>
              <w:color w:val="auto"/>
              <w:szCs w:val="24"/>
              <w:highlight w:val="none"/>
              <w:lang w:val="zh-CN"/>
            </w:rPr>
            <w:fldChar w:fldCharType="end"/>
          </w:r>
        </w:p>
        <w:p>
          <w:pPr>
            <w:pStyle w:val="34"/>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_Toc2818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6.7结论与建议</w:t>
          </w:r>
          <w:r>
            <w:tab/>
          </w:r>
          <w:r>
            <w:fldChar w:fldCharType="begin"/>
          </w:r>
          <w:r>
            <w:instrText xml:space="preserve"> PAGEREF _Toc2818 \h </w:instrText>
          </w:r>
          <w:r>
            <w:fldChar w:fldCharType="separate"/>
          </w:r>
          <w:r>
            <w:t>- 143 -</w:t>
          </w:r>
          <w:r>
            <w:fldChar w:fldCharType="end"/>
          </w:r>
          <w:r>
            <w:rPr>
              <w:rFonts w:hint="default" w:ascii="Arial" w:hAnsi="Arial" w:eastAsia="宋体" w:cs="Arial"/>
              <w:bCs/>
              <w:color w:val="auto"/>
              <w:szCs w:val="24"/>
              <w:highlight w:val="none"/>
              <w:lang w:val="zh-CN"/>
            </w:rPr>
            <w:fldChar w:fldCharType="end"/>
          </w:r>
        </w:p>
        <w:p>
          <w:pPr>
            <w:pStyle w:val="21"/>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_Toc25589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6.7.1结论</w:t>
          </w:r>
          <w:r>
            <w:tab/>
          </w:r>
          <w:r>
            <w:fldChar w:fldCharType="begin"/>
          </w:r>
          <w:r>
            <w:instrText xml:space="preserve"> PAGEREF _Toc25589 \h </w:instrText>
          </w:r>
          <w:r>
            <w:fldChar w:fldCharType="separate"/>
          </w:r>
          <w:r>
            <w:t>- 143 -</w:t>
          </w:r>
          <w:r>
            <w:fldChar w:fldCharType="end"/>
          </w:r>
          <w:r>
            <w:rPr>
              <w:rFonts w:hint="default" w:ascii="Arial" w:hAnsi="Arial" w:eastAsia="宋体" w:cs="Arial"/>
              <w:bCs/>
              <w:color w:val="auto"/>
              <w:szCs w:val="24"/>
              <w:highlight w:val="none"/>
              <w:lang w:val="zh-CN"/>
            </w:rPr>
            <w:fldChar w:fldCharType="end"/>
          </w:r>
        </w:p>
        <w:p>
          <w:pPr>
            <w:pStyle w:val="21"/>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_Toc27463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6.7.2建议</w:t>
          </w:r>
          <w:r>
            <w:tab/>
          </w:r>
          <w:r>
            <w:fldChar w:fldCharType="begin"/>
          </w:r>
          <w:r>
            <w:instrText xml:space="preserve"> PAGEREF _Toc27463 \h </w:instrText>
          </w:r>
          <w:r>
            <w:fldChar w:fldCharType="separate"/>
          </w:r>
          <w:r>
            <w:t>- 144 -</w:t>
          </w:r>
          <w:r>
            <w:fldChar w:fldCharType="end"/>
          </w:r>
          <w:r>
            <w:rPr>
              <w:rFonts w:hint="default" w:ascii="Arial" w:hAnsi="Arial" w:eastAsia="宋体" w:cs="Arial"/>
              <w:bCs/>
              <w:color w:val="auto"/>
              <w:szCs w:val="24"/>
              <w:highlight w:val="none"/>
              <w:lang w:val="zh-CN"/>
            </w:rPr>
            <w:fldChar w:fldCharType="end"/>
          </w:r>
        </w:p>
        <w:p>
          <w:pPr>
            <w:pStyle w:val="30"/>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_Toc11455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7环境保护措施及其可行性论证</w:t>
          </w:r>
          <w:r>
            <w:tab/>
          </w:r>
          <w:r>
            <w:fldChar w:fldCharType="begin"/>
          </w:r>
          <w:r>
            <w:instrText xml:space="preserve"> PAGEREF _Toc11455 \h </w:instrText>
          </w:r>
          <w:r>
            <w:fldChar w:fldCharType="separate"/>
          </w:r>
          <w:r>
            <w:t>- 145 -</w:t>
          </w:r>
          <w:r>
            <w:fldChar w:fldCharType="end"/>
          </w:r>
          <w:r>
            <w:rPr>
              <w:rFonts w:hint="default" w:ascii="Arial" w:hAnsi="Arial" w:eastAsia="宋体" w:cs="Arial"/>
              <w:bCs/>
              <w:color w:val="auto"/>
              <w:szCs w:val="24"/>
              <w:highlight w:val="none"/>
              <w:lang w:val="zh-CN"/>
            </w:rPr>
            <w:fldChar w:fldCharType="end"/>
          </w:r>
        </w:p>
        <w:p>
          <w:pPr>
            <w:pStyle w:val="34"/>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_Toc30776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7.1施工期环境保护措施</w:t>
          </w:r>
          <w:r>
            <w:tab/>
          </w:r>
          <w:r>
            <w:fldChar w:fldCharType="begin"/>
          </w:r>
          <w:r>
            <w:instrText xml:space="preserve"> PAGEREF _Toc30776 \h </w:instrText>
          </w:r>
          <w:r>
            <w:fldChar w:fldCharType="separate"/>
          </w:r>
          <w:r>
            <w:t>- 145 -</w:t>
          </w:r>
          <w:r>
            <w:fldChar w:fldCharType="end"/>
          </w:r>
          <w:r>
            <w:rPr>
              <w:rFonts w:hint="default" w:ascii="Arial" w:hAnsi="Arial" w:eastAsia="宋体" w:cs="Arial"/>
              <w:bCs/>
              <w:color w:val="auto"/>
              <w:szCs w:val="24"/>
              <w:highlight w:val="none"/>
              <w:lang w:val="zh-CN"/>
            </w:rPr>
            <w:fldChar w:fldCharType="end"/>
          </w:r>
        </w:p>
        <w:p>
          <w:pPr>
            <w:pStyle w:val="21"/>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_Toc25500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7.1.1施工期大气环境保护措施</w:t>
          </w:r>
          <w:r>
            <w:tab/>
          </w:r>
          <w:r>
            <w:fldChar w:fldCharType="begin"/>
          </w:r>
          <w:r>
            <w:instrText xml:space="preserve"> PAGEREF _Toc25500 \h </w:instrText>
          </w:r>
          <w:r>
            <w:fldChar w:fldCharType="separate"/>
          </w:r>
          <w:r>
            <w:t>- 145 -</w:t>
          </w:r>
          <w:r>
            <w:fldChar w:fldCharType="end"/>
          </w:r>
          <w:r>
            <w:rPr>
              <w:rFonts w:hint="default" w:ascii="Arial" w:hAnsi="Arial" w:eastAsia="宋体" w:cs="Arial"/>
              <w:bCs/>
              <w:color w:val="auto"/>
              <w:szCs w:val="24"/>
              <w:highlight w:val="none"/>
              <w:lang w:val="zh-CN"/>
            </w:rPr>
            <w:fldChar w:fldCharType="end"/>
          </w:r>
        </w:p>
        <w:p>
          <w:pPr>
            <w:pStyle w:val="21"/>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_Toc32695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7.1.2施工期水环境保护措施</w:t>
          </w:r>
          <w:r>
            <w:tab/>
          </w:r>
          <w:r>
            <w:fldChar w:fldCharType="begin"/>
          </w:r>
          <w:r>
            <w:instrText xml:space="preserve"> PAGEREF _Toc32695 \h </w:instrText>
          </w:r>
          <w:r>
            <w:fldChar w:fldCharType="separate"/>
          </w:r>
          <w:r>
            <w:t>- 146 -</w:t>
          </w:r>
          <w:r>
            <w:fldChar w:fldCharType="end"/>
          </w:r>
          <w:r>
            <w:rPr>
              <w:rFonts w:hint="default" w:ascii="Arial" w:hAnsi="Arial" w:eastAsia="宋体" w:cs="Arial"/>
              <w:bCs/>
              <w:color w:val="auto"/>
              <w:szCs w:val="24"/>
              <w:highlight w:val="none"/>
              <w:lang w:val="zh-CN"/>
            </w:rPr>
            <w:fldChar w:fldCharType="end"/>
          </w:r>
        </w:p>
        <w:p>
          <w:pPr>
            <w:pStyle w:val="21"/>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_Toc31109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7.1.3施工期声环境保护措施</w:t>
          </w:r>
          <w:r>
            <w:tab/>
          </w:r>
          <w:r>
            <w:fldChar w:fldCharType="begin"/>
          </w:r>
          <w:r>
            <w:instrText xml:space="preserve"> PAGEREF _Toc31109 \h </w:instrText>
          </w:r>
          <w:r>
            <w:fldChar w:fldCharType="separate"/>
          </w:r>
          <w:r>
            <w:t>- 146 -</w:t>
          </w:r>
          <w:r>
            <w:fldChar w:fldCharType="end"/>
          </w:r>
          <w:r>
            <w:rPr>
              <w:rFonts w:hint="default" w:ascii="Arial" w:hAnsi="Arial" w:eastAsia="宋体" w:cs="Arial"/>
              <w:bCs/>
              <w:color w:val="auto"/>
              <w:szCs w:val="24"/>
              <w:highlight w:val="none"/>
              <w:lang w:val="zh-CN"/>
            </w:rPr>
            <w:fldChar w:fldCharType="end"/>
          </w:r>
        </w:p>
        <w:p>
          <w:pPr>
            <w:pStyle w:val="21"/>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_Toc9963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7.1.4施工期固体废物处理措施</w:t>
          </w:r>
          <w:r>
            <w:tab/>
          </w:r>
          <w:r>
            <w:fldChar w:fldCharType="begin"/>
          </w:r>
          <w:r>
            <w:instrText xml:space="preserve"> PAGEREF _Toc9963 \h </w:instrText>
          </w:r>
          <w:r>
            <w:fldChar w:fldCharType="separate"/>
          </w:r>
          <w:r>
            <w:t>- 146 -</w:t>
          </w:r>
          <w:r>
            <w:fldChar w:fldCharType="end"/>
          </w:r>
          <w:r>
            <w:rPr>
              <w:rFonts w:hint="default" w:ascii="Arial" w:hAnsi="Arial" w:eastAsia="宋体" w:cs="Arial"/>
              <w:bCs/>
              <w:color w:val="auto"/>
              <w:szCs w:val="24"/>
              <w:highlight w:val="none"/>
              <w:lang w:val="zh-CN"/>
            </w:rPr>
            <w:fldChar w:fldCharType="end"/>
          </w:r>
        </w:p>
        <w:p>
          <w:pPr>
            <w:pStyle w:val="21"/>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_Toc32437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7.1.5施工期生态环境保护措施</w:t>
          </w:r>
          <w:r>
            <w:tab/>
          </w:r>
          <w:r>
            <w:fldChar w:fldCharType="begin"/>
          </w:r>
          <w:r>
            <w:instrText xml:space="preserve"> PAGEREF _Toc32437 \h </w:instrText>
          </w:r>
          <w:r>
            <w:fldChar w:fldCharType="separate"/>
          </w:r>
          <w:r>
            <w:t>- 147 -</w:t>
          </w:r>
          <w:r>
            <w:fldChar w:fldCharType="end"/>
          </w:r>
          <w:r>
            <w:rPr>
              <w:rFonts w:hint="default" w:ascii="Arial" w:hAnsi="Arial" w:eastAsia="宋体" w:cs="Arial"/>
              <w:bCs/>
              <w:color w:val="auto"/>
              <w:szCs w:val="24"/>
              <w:highlight w:val="none"/>
              <w:lang w:val="zh-CN"/>
            </w:rPr>
            <w:fldChar w:fldCharType="end"/>
          </w:r>
        </w:p>
        <w:p>
          <w:pPr>
            <w:pStyle w:val="21"/>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_Toc1556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7.1.6小结</w:t>
          </w:r>
          <w:r>
            <w:tab/>
          </w:r>
          <w:r>
            <w:fldChar w:fldCharType="begin"/>
          </w:r>
          <w:r>
            <w:instrText xml:space="preserve"> PAGEREF _Toc1556 \h </w:instrText>
          </w:r>
          <w:r>
            <w:fldChar w:fldCharType="separate"/>
          </w:r>
          <w:r>
            <w:t>- 148 -</w:t>
          </w:r>
          <w:r>
            <w:fldChar w:fldCharType="end"/>
          </w:r>
          <w:r>
            <w:rPr>
              <w:rFonts w:hint="default" w:ascii="Arial" w:hAnsi="Arial" w:eastAsia="宋体" w:cs="Arial"/>
              <w:bCs/>
              <w:color w:val="auto"/>
              <w:szCs w:val="24"/>
              <w:highlight w:val="none"/>
              <w:lang w:val="zh-CN"/>
            </w:rPr>
            <w:fldChar w:fldCharType="end"/>
          </w:r>
        </w:p>
        <w:p>
          <w:pPr>
            <w:pStyle w:val="34"/>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_Toc30642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7.2运营期大气污染防治措施及可行性</w:t>
          </w:r>
          <w:r>
            <w:tab/>
          </w:r>
          <w:r>
            <w:fldChar w:fldCharType="begin"/>
          </w:r>
          <w:r>
            <w:instrText xml:space="preserve"> PAGEREF _Toc30642 \h </w:instrText>
          </w:r>
          <w:r>
            <w:fldChar w:fldCharType="separate"/>
          </w:r>
          <w:r>
            <w:t>- 148 -</w:t>
          </w:r>
          <w:r>
            <w:fldChar w:fldCharType="end"/>
          </w:r>
          <w:r>
            <w:rPr>
              <w:rFonts w:hint="default" w:ascii="Arial" w:hAnsi="Arial" w:eastAsia="宋体" w:cs="Arial"/>
              <w:bCs/>
              <w:color w:val="auto"/>
              <w:szCs w:val="24"/>
              <w:highlight w:val="none"/>
              <w:lang w:val="zh-CN"/>
            </w:rPr>
            <w:fldChar w:fldCharType="end"/>
          </w:r>
        </w:p>
        <w:p>
          <w:pPr>
            <w:pStyle w:val="21"/>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_Toc12247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7.2.1恶臭污染防治措施</w:t>
          </w:r>
          <w:r>
            <w:tab/>
          </w:r>
          <w:r>
            <w:fldChar w:fldCharType="begin"/>
          </w:r>
          <w:r>
            <w:instrText xml:space="preserve"> PAGEREF _Toc12247 \h </w:instrText>
          </w:r>
          <w:r>
            <w:fldChar w:fldCharType="separate"/>
          </w:r>
          <w:r>
            <w:t>- 148 -</w:t>
          </w:r>
          <w:r>
            <w:fldChar w:fldCharType="end"/>
          </w:r>
          <w:r>
            <w:rPr>
              <w:rFonts w:hint="default" w:ascii="Arial" w:hAnsi="Arial" w:eastAsia="宋体" w:cs="Arial"/>
              <w:bCs/>
              <w:color w:val="auto"/>
              <w:szCs w:val="24"/>
              <w:highlight w:val="none"/>
              <w:lang w:val="zh-CN"/>
            </w:rPr>
            <w:fldChar w:fldCharType="end"/>
          </w:r>
        </w:p>
        <w:p>
          <w:pPr>
            <w:pStyle w:val="21"/>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_Toc13277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7.2.2饲料配置粉尘</w:t>
          </w:r>
          <w:r>
            <w:tab/>
          </w:r>
          <w:r>
            <w:fldChar w:fldCharType="begin"/>
          </w:r>
          <w:r>
            <w:instrText xml:space="preserve"> PAGEREF _Toc13277 \h </w:instrText>
          </w:r>
          <w:r>
            <w:fldChar w:fldCharType="separate"/>
          </w:r>
          <w:r>
            <w:t>- 151 -</w:t>
          </w:r>
          <w:r>
            <w:fldChar w:fldCharType="end"/>
          </w:r>
          <w:r>
            <w:rPr>
              <w:rFonts w:hint="default" w:ascii="Arial" w:hAnsi="Arial" w:eastAsia="宋体" w:cs="Arial"/>
              <w:bCs/>
              <w:color w:val="auto"/>
              <w:szCs w:val="24"/>
              <w:highlight w:val="none"/>
              <w:lang w:val="zh-CN"/>
            </w:rPr>
            <w:fldChar w:fldCharType="end"/>
          </w:r>
        </w:p>
        <w:p>
          <w:pPr>
            <w:pStyle w:val="21"/>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_Toc26651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7.2.3餐饮油烟</w:t>
          </w:r>
          <w:r>
            <w:tab/>
          </w:r>
          <w:r>
            <w:fldChar w:fldCharType="begin"/>
          </w:r>
          <w:r>
            <w:instrText xml:space="preserve"> PAGEREF _Toc26651 \h </w:instrText>
          </w:r>
          <w:r>
            <w:fldChar w:fldCharType="separate"/>
          </w:r>
          <w:r>
            <w:t>- 152 -</w:t>
          </w:r>
          <w:r>
            <w:fldChar w:fldCharType="end"/>
          </w:r>
          <w:r>
            <w:rPr>
              <w:rFonts w:hint="default" w:ascii="Arial" w:hAnsi="Arial" w:eastAsia="宋体" w:cs="Arial"/>
              <w:bCs/>
              <w:color w:val="auto"/>
              <w:szCs w:val="24"/>
              <w:highlight w:val="none"/>
              <w:lang w:val="zh-CN"/>
            </w:rPr>
            <w:fldChar w:fldCharType="end"/>
          </w:r>
        </w:p>
        <w:p>
          <w:pPr>
            <w:pStyle w:val="34"/>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_Toc31074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7.3运营期水污染防治措施及可行性</w:t>
          </w:r>
          <w:r>
            <w:tab/>
          </w:r>
          <w:r>
            <w:fldChar w:fldCharType="begin"/>
          </w:r>
          <w:r>
            <w:instrText xml:space="preserve"> PAGEREF _Toc31074 \h </w:instrText>
          </w:r>
          <w:r>
            <w:fldChar w:fldCharType="separate"/>
          </w:r>
          <w:r>
            <w:t>- 152 -</w:t>
          </w:r>
          <w:r>
            <w:fldChar w:fldCharType="end"/>
          </w:r>
          <w:r>
            <w:rPr>
              <w:rFonts w:hint="default" w:ascii="Arial" w:hAnsi="Arial" w:eastAsia="宋体" w:cs="Arial"/>
              <w:bCs/>
              <w:color w:val="auto"/>
              <w:szCs w:val="24"/>
              <w:highlight w:val="none"/>
              <w:lang w:val="zh-CN"/>
            </w:rPr>
            <w:fldChar w:fldCharType="end"/>
          </w:r>
        </w:p>
        <w:p>
          <w:pPr>
            <w:pStyle w:val="21"/>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_Toc11956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7.3.1最高允许排水量</w:t>
          </w:r>
          <w:r>
            <w:tab/>
          </w:r>
          <w:r>
            <w:fldChar w:fldCharType="begin"/>
          </w:r>
          <w:r>
            <w:instrText xml:space="preserve"> PAGEREF _Toc11956 \h </w:instrText>
          </w:r>
          <w:r>
            <w:fldChar w:fldCharType="separate"/>
          </w:r>
          <w:r>
            <w:t>- 152 -</w:t>
          </w:r>
          <w:r>
            <w:fldChar w:fldCharType="end"/>
          </w:r>
          <w:r>
            <w:rPr>
              <w:rFonts w:hint="default" w:ascii="Arial" w:hAnsi="Arial" w:eastAsia="宋体" w:cs="Arial"/>
              <w:bCs/>
              <w:color w:val="auto"/>
              <w:szCs w:val="24"/>
              <w:highlight w:val="none"/>
              <w:lang w:val="zh-CN"/>
            </w:rPr>
            <w:fldChar w:fldCharType="end"/>
          </w:r>
        </w:p>
        <w:p>
          <w:pPr>
            <w:pStyle w:val="21"/>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_Toc14778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7.3.2雨污分流措施</w:t>
          </w:r>
          <w:r>
            <w:tab/>
          </w:r>
          <w:r>
            <w:fldChar w:fldCharType="begin"/>
          </w:r>
          <w:r>
            <w:instrText xml:space="preserve"> PAGEREF _Toc14778 \h </w:instrText>
          </w:r>
          <w:r>
            <w:fldChar w:fldCharType="separate"/>
          </w:r>
          <w:r>
            <w:t>- 152 -</w:t>
          </w:r>
          <w:r>
            <w:fldChar w:fldCharType="end"/>
          </w:r>
          <w:r>
            <w:rPr>
              <w:rFonts w:hint="default" w:ascii="Arial" w:hAnsi="Arial" w:eastAsia="宋体" w:cs="Arial"/>
              <w:bCs/>
              <w:color w:val="auto"/>
              <w:szCs w:val="24"/>
              <w:highlight w:val="none"/>
              <w:lang w:val="zh-CN"/>
            </w:rPr>
            <w:fldChar w:fldCharType="end"/>
          </w:r>
        </w:p>
        <w:p>
          <w:pPr>
            <w:pStyle w:val="34"/>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_Toc9318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7.4运营期地下水防治措施可行性</w:t>
          </w:r>
          <w:r>
            <w:tab/>
          </w:r>
          <w:r>
            <w:fldChar w:fldCharType="begin"/>
          </w:r>
          <w:r>
            <w:instrText xml:space="preserve"> PAGEREF _Toc9318 \h </w:instrText>
          </w:r>
          <w:r>
            <w:fldChar w:fldCharType="separate"/>
          </w:r>
          <w:r>
            <w:t>- 152 -</w:t>
          </w:r>
          <w:r>
            <w:fldChar w:fldCharType="end"/>
          </w:r>
          <w:r>
            <w:rPr>
              <w:rFonts w:hint="default" w:ascii="Arial" w:hAnsi="Arial" w:eastAsia="宋体" w:cs="Arial"/>
              <w:bCs/>
              <w:color w:val="auto"/>
              <w:szCs w:val="24"/>
              <w:highlight w:val="none"/>
              <w:lang w:val="zh-CN"/>
            </w:rPr>
            <w:fldChar w:fldCharType="end"/>
          </w:r>
        </w:p>
        <w:p>
          <w:pPr>
            <w:pStyle w:val="21"/>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_Toc23321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7.4.1防治原则</w:t>
          </w:r>
          <w:r>
            <w:tab/>
          </w:r>
          <w:r>
            <w:fldChar w:fldCharType="begin"/>
          </w:r>
          <w:r>
            <w:instrText xml:space="preserve"> PAGEREF _Toc23321 \h </w:instrText>
          </w:r>
          <w:r>
            <w:fldChar w:fldCharType="separate"/>
          </w:r>
          <w:r>
            <w:t>- 152 -</w:t>
          </w:r>
          <w:r>
            <w:fldChar w:fldCharType="end"/>
          </w:r>
          <w:r>
            <w:rPr>
              <w:rFonts w:hint="default" w:ascii="Arial" w:hAnsi="Arial" w:eastAsia="宋体" w:cs="Arial"/>
              <w:bCs/>
              <w:color w:val="auto"/>
              <w:szCs w:val="24"/>
              <w:highlight w:val="none"/>
              <w:lang w:val="zh-CN"/>
            </w:rPr>
            <w:fldChar w:fldCharType="end"/>
          </w:r>
        </w:p>
        <w:p>
          <w:pPr>
            <w:pStyle w:val="21"/>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_Toc17675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7.4.2污染物控制对策</w:t>
          </w:r>
          <w:r>
            <w:tab/>
          </w:r>
          <w:r>
            <w:fldChar w:fldCharType="begin"/>
          </w:r>
          <w:r>
            <w:instrText xml:space="preserve"> PAGEREF _Toc17675 \h </w:instrText>
          </w:r>
          <w:r>
            <w:fldChar w:fldCharType="separate"/>
          </w:r>
          <w:r>
            <w:t>- 153 -</w:t>
          </w:r>
          <w:r>
            <w:fldChar w:fldCharType="end"/>
          </w:r>
          <w:r>
            <w:rPr>
              <w:rFonts w:hint="default" w:ascii="Arial" w:hAnsi="Arial" w:eastAsia="宋体" w:cs="Arial"/>
              <w:bCs/>
              <w:color w:val="auto"/>
              <w:szCs w:val="24"/>
              <w:highlight w:val="none"/>
              <w:lang w:val="zh-CN"/>
            </w:rPr>
            <w:fldChar w:fldCharType="end"/>
          </w:r>
        </w:p>
        <w:p>
          <w:pPr>
            <w:pStyle w:val="21"/>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_Toc18052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7.4.3措施可行性</w:t>
          </w:r>
          <w:r>
            <w:tab/>
          </w:r>
          <w:r>
            <w:fldChar w:fldCharType="begin"/>
          </w:r>
          <w:r>
            <w:instrText xml:space="preserve"> PAGEREF _Toc18052 \h </w:instrText>
          </w:r>
          <w:r>
            <w:fldChar w:fldCharType="separate"/>
          </w:r>
          <w:r>
            <w:t>- 160 -</w:t>
          </w:r>
          <w:r>
            <w:fldChar w:fldCharType="end"/>
          </w:r>
          <w:r>
            <w:rPr>
              <w:rFonts w:hint="default" w:ascii="Arial" w:hAnsi="Arial" w:eastAsia="宋体" w:cs="Arial"/>
              <w:bCs/>
              <w:color w:val="auto"/>
              <w:szCs w:val="24"/>
              <w:highlight w:val="none"/>
              <w:lang w:val="zh-CN"/>
            </w:rPr>
            <w:fldChar w:fldCharType="end"/>
          </w:r>
        </w:p>
        <w:p>
          <w:pPr>
            <w:pStyle w:val="34"/>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_Toc2016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7.5运营期土壤环境防治措施</w:t>
          </w:r>
          <w:r>
            <w:tab/>
          </w:r>
          <w:r>
            <w:fldChar w:fldCharType="begin"/>
          </w:r>
          <w:r>
            <w:instrText xml:space="preserve"> PAGEREF _Toc2016 \h </w:instrText>
          </w:r>
          <w:r>
            <w:fldChar w:fldCharType="separate"/>
          </w:r>
          <w:r>
            <w:t>- 160 -</w:t>
          </w:r>
          <w:r>
            <w:fldChar w:fldCharType="end"/>
          </w:r>
          <w:r>
            <w:rPr>
              <w:rFonts w:hint="default" w:ascii="Arial" w:hAnsi="Arial" w:eastAsia="宋体" w:cs="Arial"/>
              <w:bCs/>
              <w:color w:val="auto"/>
              <w:szCs w:val="24"/>
              <w:highlight w:val="none"/>
              <w:lang w:val="zh-CN"/>
            </w:rPr>
            <w:fldChar w:fldCharType="end"/>
          </w:r>
        </w:p>
        <w:p>
          <w:pPr>
            <w:pStyle w:val="21"/>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_Toc10083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7.5.1源头控制措施</w:t>
          </w:r>
          <w:r>
            <w:tab/>
          </w:r>
          <w:r>
            <w:fldChar w:fldCharType="begin"/>
          </w:r>
          <w:r>
            <w:instrText xml:space="preserve"> PAGEREF _Toc10083 \h </w:instrText>
          </w:r>
          <w:r>
            <w:fldChar w:fldCharType="separate"/>
          </w:r>
          <w:r>
            <w:t>- 160 -</w:t>
          </w:r>
          <w:r>
            <w:fldChar w:fldCharType="end"/>
          </w:r>
          <w:r>
            <w:rPr>
              <w:rFonts w:hint="default" w:ascii="Arial" w:hAnsi="Arial" w:eastAsia="宋体" w:cs="Arial"/>
              <w:bCs/>
              <w:color w:val="auto"/>
              <w:szCs w:val="24"/>
              <w:highlight w:val="none"/>
              <w:lang w:val="zh-CN"/>
            </w:rPr>
            <w:fldChar w:fldCharType="end"/>
          </w:r>
        </w:p>
        <w:p>
          <w:pPr>
            <w:pStyle w:val="21"/>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_Toc16199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7.5.2过程控制措施</w:t>
          </w:r>
          <w:r>
            <w:tab/>
          </w:r>
          <w:r>
            <w:fldChar w:fldCharType="begin"/>
          </w:r>
          <w:r>
            <w:instrText xml:space="preserve"> PAGEREF _Toc16199 \h </w:instrText>
          </w:r>
          <w:r>
            <w:fldChar w:fldCharType="separate"/>
          </w:r>
          <w:r>
            <w:t>- 161 -</w:t>
          </w:r>
          <w:r>
            <w:fldChar w:fldCharType="end"/>
          </w:r>
          <w:r>
            <w:rPr>
              <w:rFonts w:hint="default" w:ascii="Arial" w:hAnsi="Arial" w:eastAsia="宋体" w:cs="Arial"/>
              <w:bCs/>
              <w:color w:val="auto"/>
              <w:szCs w:val="24"/>
              <w:highlight w:val="none"/>
              <w:lang w:val="zh-CN"/>
            </w:rPr>
            <w:fldChar w:fldCharType="end"/>
          </w:r>
        </w:p>
        <w:p>
          <w:pPr>
            <w:pStyle w:val="21"/>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_Toc28868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7.5.3末端控制措施</w:t>
          </w:r>
          <w:r>
            <w:tab/>
          </w:r>
          <w:r>
            <w:fldChar w:fldCharType="begin"/>
          </w:r>
          <w:r>
            <w:instrText xml:space="preserve"> PAGEREF _Toc28868 \h </w:instrText>
          </w:r>
          <w:r>
            <w:fldChar w:fldCharType="separate"/>
          </w:r>
          <w:r>
            <w:t>- 161 -</w:t>
          </w:r>
          <w:r>
            <w:fldChar w:fldCharType="end"/>
          </w:r>
          <w:r>
            <w:rPr>
              <w:rFonts w:hint="default" w:ascii="Arial" w:hAnsi="Arial" w:eastAsia="宋体" w:cs="Arial"/>
              <w:bCs/>
              <w:color w:val="auto"/>
              <w:szCs w:val="24"/>
              <w:highlight w:val="none"/>
              <w:lang w:val="zh-CN"/>
            </w:rPr>
            <w:fldChar w:fldCharType="end"/>
          </w:r>
        </w:p>
        <w:p>
          <w:pPr>
            <w:pStyle w:val="21"/>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_Toc7036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7.5.</w:t>
          </w:r>
          <w:r>
            <w:rPr>
              <w:rFonts w:hint="default" w:ascii="Arial" w:hAnsi="Arial" w:eastAsia="宋体" w:cs="Arial"/>
              <w:highlight w:val="none"/>
              <w:lang w:val="en-US" w:eastAsia="zh-CN"/>
            </w:rPr>
            <w:t>4</w:t>
          </w:r>
          <w:r>
            <w:rPr>
              <w:rFonts w:hint="default" w:ascii="Arial" w:hAnsi="Arial" w:eastAsia="宋体" w:cs="Arial"/>
              <w:highlight w:val="none"/>
            </w:rPr>
            <w:t>应急响应措施</w:t>
          </w:r>
          <w:r>
            <w:tab/>
          </w:r>
          <w:r>
            <w:fldChar w:fldCharType="begin"/>
          </w:r>
          <w:r>
            <w:instrText xml:space="preserve"> PAGEREF _Toc7036 \h </w:instrText>
          </w:r>
          <w:r>
            <w:fldChar w:fldCharType="separate"/>
          </w:r>
          <w:r>
            <w:t>- 161 -</w:t>
          </w:r>
          <w:r>
            <w:fldChar w:fldCharType="end"/>
          </w:r>
          <w:r>
            <w:rPr>
              <w:rFonts w:hint="default" w:ascii="Arial" w:hAnsi="Arial" w:eastAsia="宋体" w:cs="Arial"/>
              <w:bCs/>
              <w:color w:val="auto"/>
              <w:szCs w:val="24"/>
              <w:highlight w:val="none"/>
              <w:lang w:val="zh-CN"/>
            </w:rPr>
            <w:fldChar w:fldCharType="end"/>
          </w:r>
        </w:p>
        <w:p>
          <w:pPr>
            <w:pStyle w:val="34"/>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_Toc7607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7.6运营期声环境防治措施</w:t>
          </w:r>
          <w:r>
            <w:tab/>
          </w:r>
          <w:r>
            <w:fldChar w:fldCharType="begin"/>
          </w:r>
          <w:r>
            <w:instrText xml:space="preserve"> PAGEREF _Toc7607 \h </w:instrText>
          </w:r>
          <w:r>
            <w:fldChar w:fldCharType="separate"/>
          </w:r>
          <w:r>
            <w:t>- 161 -</w:t>
          </w:r>
          <w:r>
            <w:fldChar w:fldCharType="end"/>
          </w:r>
          <w:r>
            <w:rPr>
              <w:rFonts w:hint="default" w:ascii="Arial" w:hAnsi="Arial" w:eastAsia="宋体" w:cs="Arial"/>
              <w:bCs/>
              <w:color w:val="auto"/>
              <w:szCs w:val="24"/>
              <w:highlight w:val="none"/>
              <w:lang w:val="zh-CN"/>
            </w:rPr>
            <w:fldChar w:fldCharType="end"/>
          </w:r>
        </w:p>
        <w:p>
          <w:pPr>
            <w:pStyle w:val="34"/>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_Toc4111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7.7运营期固体废物污染防治措施</w:t>
          </w:r>
          <w:r>
            <w:tab/>
          </w:r>
          <w:r>
            <w:fldChar w:fldCharType="begin"/>
          </w:r>
          <w:r>
            <w:instrText xml:space="preserve"> PAGEREF _Toc4111 \h </w:instrText>
          </w:r>
          <w:r>
            <w:fldChar w:fldCharType="separate"/>
          </w:r>
          <w:r>
            <w:t>- 162 -</w:t>
          </w:r>
          <w:r>
            <w:fldChar w:fldCharType="end"/>
          </w:r>
          <w:r>
            <w:rPr>
              <w:rFonts w:hint="default" w:ascii="Arial" w:hAnsi="Arial" w:eastAsia="宋体" w:cs="Arial"/>
              <w:bCs/>
              <w:color w:val="auto"/>
              <w:szCs w:val="24"/>
              <w:highlight w:val="none"/>
              <w:lang w:val="zh-CN"/>
            </w:rPr>
            <w:fldChar w:fldCharType="end"/>
          </w:r>
        </w:p>
        <w:p>
          <w:pPr>
            <w:pStyle w:val="21"/>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_Toc3420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7.7.1固体废物处置合理性分析</w:t>
          </w:r>
          <w:r>
            <w:tab/>
          </w:r>
          <w:r>
            <w:fldChar w:fldCharType="begin"/>
          </w:r>
          <w:r>
            <w:instrText xml:space="preserve"> PAGEREF _Toc3420 \h </w:instrText>
          </w:r>
          <w:r>
            <w:fldChar w:fldCharType="separate"/>
          </w:r>
          <w:r>
            <w:t>- 162 -</w:t>
          </w:r>
          <w:r>
            <w:fldChar w:fldCharType="end"/>
          </w:r>
          <w:r>
            <w:rPr>
              <w:rFonts w:hint="default" w:ascii="Arial" w:hAnsi="Arial" w:eastAsia="宋体" w:cs="Arial"/>
              <w:bCs/>
              <w:color w:val="auto"/>
              <w:szCs w:val="24"/>
              <w:highlight w:val="none"/>
              <w:lang w:val="zh-CN"/>
            </w:rPr>
            <w:fldChar w:fldCharType="end"/>
          </w:r>
        </w:p>
        <w:p>
          <w:pPr>
            <w:pStyle w:val="21"/>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_Toc6695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7.7.2危险废物管理</w:t>
          </w:r>
          <w:r>
            <w:tab/>
          </w:r>
          <w:r>
            <w:fldChar w:fldCharType="begin"/>
          </w:r>
          <w:r>
            <w:instrText xml:space="preserve"> PAGEREF _Toc6695 \h </w:instrText>
          </w:r>
          <w:r>
            <w:fldChar w:fldCharType="separate"/>
          </w:r>
          <w:r>
            <w:t>- 164 -</w:t>
          </w:r>
          <w:r>
            <w:fldChar w:fldCharType="end"/>
          </w:r>
          <w:r>
            <w:rPr>
              <w:rFonts w:hint="default" w:ascii="Arial" w:hAnsi="Arial" w:eastAsia="宋体" w:cs="Arial"/>
              <w:bCs/>
              <w:color w:val="auto"/>
              <w:szCs w:val="24"/>
              <w:highlight w:val="none"/>
              <w:lang w:val="zh-CN"/>
            </w:rPr>
            <w:fldChar w:fldCharType="end"/>
          </w:r>
        </w:p>
        <w:p>
          <w:pPr>
            <w:pStyle w:val="34"/>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_Toc8353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7.8粪污资源化利用措施可行性分析</w:t>
          </w:r>
          <w:r>
            <w:tab/>
          </w:r>
          <w:r>
            <w:fldChar w:fldCharType="begin"/>
          </w:r>
          <w:r>
            <w:instrText xml:space="preserve"> PAGEREF _Toc8353 \h </w:instrText>
          </w:r>
          <w:r>
            <w:fldChar w:fldCharType="separate"/>
          </w:r>
          <w:r>
            <w:t>- 165 -</w:t>
          </w:r>
          <w:r>
            <w:fldChar w:fldCharType="end"/>
          </w:r>
          <w:r>
            <w:rPr>
              <w:rFonts w:hint="default" w:ascii="Arial" w:hAnsi="Arial" w:eastAsia="宋体" w:cs="Arial"/>
              <w:bCs/>
              <w:color w:val="auto"/>
              <w:szCs w:val="24"/>
              <w:highlight w:val="none"/>
              <w:lang w:val="zh-CN"/>
            </w:rPr>
            <w:fldChar w:fldCharType="end"/>
          </w:r>
        </w:p>
        <w:p>
          <w:pPr>
            <w:pStyle w:val="21"/>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_Toc5587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7.8.1粪污资源化利用可行性</w:t>
          </w:r>
          <w:r>
            <w:tab/>
          </w:r>
          <w:r>
            <w:fldChar w:fldCharType="begin"/>
          </w:r>
          <w:r>
            <w:instrText xml:space="preserve"> PAGEREF _Toc5587 \h </w:instrText>
          </w:r>
          <w:r>
            <w:fldChar w:fldCharType="separate"/>
          </w:r>
          <w:r>
            <w:t>- 165 -</w:t>
          </w:r>
          <w:r>
            <w:fldChar w:fldCharType="end"/>
          </w:r>
          <w:r>
            <w:rPr>
              <w:rFonts w:hint="default" w:ascii="Arial" w:hAnsi="Arial" w:eastAsia="宋体" w:cs="Arial"/>
              <w:bCs/>
              <w:color w:val="auto"/>
              <w:szCs w:val="24"/>
              <w:highlight w:val="none"/>
              <w:lang w:val="zh-CN"/>
            </w:rPr>
            <w:fldChar w:fldCharType="end"/>
          </w:r>
        </w:p>
        <w:p>
          <w:pPr>
            <w:pStyle w:val="21"/>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_Toc11976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7.8.2粪污农肥还田利用合规性分析</w:t>
          </w:r>
          <w:r>
            <w:tab/>
          </w:r>
          <w:r>
            <w:fldChar w:fldCharType="begin"/>
          </w:r>
          <w:r>
            <w:instrText xml:space="preserve"> PAGEREF _Toc11976 \h </w:instrText>
          </w:r>
          <w:r>
            <w:fldChar w:fldCharType="separate"/>
          </w:r>
          <w:r>
            <w:t>- 166 -</w:t>
          </w:r>
          <w:r>
            <w:fldChar w:fldCharType="end"/>
          </w:r>
          <w:r>
            <w:rPr>
              <w:rFonts w:hint="default" w:ascii="Arial" w:hAnsi="Arial" w:eastAsia="宋体" w:cs="Arial"/>
              <w:bCs/>
              <w:color w:val="auto"/>
              <w:szCs w:val="24"/>
              <w:highlight w:val="none"/>
              <w:lang w:val="zh-CN"/>
            </w:rPr>
            <w:fldChar w:fldCharType="end"/>
          </w:r>
        </w:p>
        <w:p>
          <w:pPr>
            <w:pStyle w:val="21"/>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_Toc763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7.8.3粪污资源化工艺可行性分析</w:t>
          </w:r>
          <w:r>
            <w:tab/>
          </w:r>
          <w:r>
            <w:fldChar w:fldCharType="begin"/>
          </w:r>
          <w:r>
            <w:instrText xml:space="preserve"> PAGEREF _Toc763 \h </w:instrText>
          </w:r>
          <w:r>
            <w:fldChar w:fldCharType="separate"/>
          </w:r>
          <w:r>
            <w:t>- 167 -</w:t>
          </w:r>
          <w:r>
            <w:fldChar w:fldCharType="end"/>
          </w:r>
          <w:r>
            <w:rPr>
              <w:rFonts w:hint="default" w:ascii="Arial" w:hAnsi="Arial" w:eastAsia="宋体" w:cs="Arial"/>
              <w:bCs/>
              <w:color w:val="auto"/>
              <w:szCs w:val="24"/>
              <w:highlight w:val="none"/>
              <w:lang w:val="zh-CN"/>
            </w:rPr>
            <w:fldChar w:fldCharType="end"/>
          </w:r>
        </w:p>
        <w:p>
          <w:pPr>
            <w:pStyle w:val="21"/>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_Toc20257 </w:instrText>
          </w:r>
          <w:r>
            <w:rPr>
              <w:rFonts w:hint="default" w:ascii="Arial" w:hAnsi="Arial" w:eastAsia="宋体" w:cs="Arial"/>
              <w:bCs/>
              <w:szCs w:val="24"/>
              <w:highlight w:val="none"/>
              <w:lang w:val="zh-CN"/>
            </w:rPr>
            <w:fldChar w:fldCharType="separate"/>
          </w:r>
          <w:r>
            <w:rPr>
              <w:rFonts w:hint="default" w:ascii="Arial" w:hAnsi="Arial" w:eastAsia="宋体" w:cs="Arial"/>
              <w:szCs w:val="24"/>
              <w:highlight w:val="none"/>
            </w:rPr>
            <w:t>7.8.4还田利用可行性分析</w:t>
          </w:r>
          <w:r>
            <w:tab/>
          </w:r>
          <w:r>
            <w:fldChar w:fldCharType="begin"/>
          </w:r>
          <w:r>
            <w:instrText xml:space="preserve"> PAGEREF _Toc20257 \h </w:instrText>
          </w:r>
          <w:r>
            <w:fldChar w:fldCharType="separate"/>
          </w:r>
          <w:r>
            <w:t>- 168 -</w:t>
          </w:r>
          <w:r>
            <w:fldChar w:fldCharType="end"/>
          </w:r>
          <w:r>
            <w:rPr>
              <w:rFonts w:hint="default" w:ascii="Arial" w:hAnsi="Arial" w:eastAsia="宋体" w:cs="Arial"/>
              <w:bCs/>
              <w:color w:val="auto"/>
              <w:szCs w:val="24"/>
              <w:highlight w:val="none"/>
              <w:lang w:val="zh-CN"/>
            </w:rPr>
            <w:fldChar w:fldCharType="end"/>
          </w:r>
        </w:p>
        <w:p>
          <w:pPr>
            <w:pStyle w:val="21"/>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_Toc24229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7.8.</w:t>
          </w:r>
          <w:r>
            <w:rPr>
              <w:rFonts w:hint="eastAsia" w:ascii="Arial" w:hAnsi="Arial" w:eastAsia="宋体" w:cs="Arial"/>
              <w:highlight w:val="none"/>
              <w:lang w:val="en-US" w:eastAsia="zh-CN"/>
            </w:rPr>
            <w:t>5</w:t>
          </w:r>
          <w:r>
            <w:rPr>
              <w:rFonts w:hint="default" w:ascii="Arial" w:hAnsi="Arial" w:eastAsia="宋体" w:cs="Arial"/>
              <w:highlight w:val="none"/>
            </w:rPr>
            <w:t>土地承载力分析</w:t>
          </w:r>
          <w:r>
            <w:tab/>
          </w:r>
          <w:r>
            <w:fldChar w:fldCharType="begin"/>
          </w:r>
          <w:r>
            <w:instrText xml:space="preserve"> PAGEREF _Toc24229 \h </w:instrText>
          </w:r>
          <w:r>
            <w:fldChar w:fldCharType="separate"/>
          </w:r>
          <w:r>
            <w:t>- 169 -</w:t>
          </w:r>
          <w:r>
            <w:fldChar w:fldCharType="end"/>
          </w:r>
          <w:r>
            <w:rPr>
              <w:rFonts w:hint="default" w:ascii="Arial" w:hAnsi="Arial" w:eastAsia="宋体" w:cs="Arial"/>
              <w:bCs/>
              <w:color w:val="auto"/>
              <w:szCs w:val="24"/>
              <w:highlight w:val="none"/>
              <w:lang w:val="zh-CN"/>
            </w:rPr>
            <w:fldChar w:fldCharType="end"/>
          </w:r>
        </w:p>
        <w:p>
          <w:pPr>
            <w:pStyle w:val="34"/>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_Toc10659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7.9运营期生态环境保护措施</w:t>
          </w:r>
          <w:r>
            <w:tab/>
          </w:r>
          <w:r>
            <w:fldChar w:fldCharType="begin"/>
          </w:r>
          <w:r>
            <w:instrText xml:space="preserve"> PAGEREF _Toc10659 \h </w:instrText>
          </w:r>
          <w:r>
            <w:fldChar w:fldCharType="separate"/>
          </w:r>
          <w:r>
            <w:t>- 170 -</w:t>
          </w:r>
          <w:r>
            <w:fldChar w:fldCharType="end"/>
          </w:r>
          <w:r>
            <w:rPr>
              <w:rFonts w:hint="default" w:ascii="Arial" w:hAnsi="Arial" w:eastAsia="宋体" w:cs="Arial"/>
              <w:bCs/>
              <w:color w:val="auto"/>
              <w:szCs w:val="24"/>
              <w:highlight w:val="none"/>
              <w:lang w:val="zh-CN"/>
            </w:rPr>
            <w:fldChar w:fldCharType="end"/>
          </w:r>
        </w:p>
        <w:p>
          <w:pPr>
            <w:pStyle w:val="34"/>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_Toc7093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7.10营运期人群健康保护措施</w:t>
          </w:r>
          <w:r>
            <w:tab/>
          </w:r>
          <w:r>
            <w:fldChar w:fldCharType="begin"/>
          </w:r>
          <w:r>
            <w:instrText xml:space="preserve"> PAGEREF _Toc7093 \h </w:instrText>
          </w:r>
          <w:r>
            <w:fldChar w:fldCharType="separate"/>
          </w:r>
          <w:r>
            <w:t>- 173 -</w:t>
          </w:r>
          <w:r>
            <w:fldChar w:fldCharType="end"/>
          </w:r>
          <w:r>
            <w:rPr>
              <w:rFonts w:hint="default" w:ascii="Arial" w:hAnsi="Arial" w:eastAsia="宋体" w:cs="Arial"/>
              <w:bCs/>
              <w:color w:val="auto"/>
              <w:szCs w:val="24"/>
              <w:highlight w:val="none"/>
              <w:lang w:val="zh-CN"/>
            </w:rPr>
            <w:fldChar w:fldCharType="end"/>
          </w:r>
        </w:p>
        <w:p>
          <w:pPr>
            <w:pStyle w:val="34"/>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_Toc19790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7.11运营期污染防治对策和措施及环保投资汇总</w:t>
          </w:r>
          <w:r>
            <w:tab/>
          </w:r>
          <w:r>
            <w:fldChar w:fldCharType="begin"/>
          </w:r>
          <w:r>
            <w:instrText xml:space="preserve"> PAGEREF _Toc19790 \h </w:instrText>
          </w:r>
          <w:r>
            <w:fldChar w:fldCharType="separate"/>
          </w:r>
          <w:r>
            <w:t>- 173 -</w:t>
          </w:r>
          <w:r>
            <w:fldChar w:fldCharType="end"/>
          </w:r>
          <w:r>
            <w:rPr>
              <w:rFonts w:hint="default" w:ascii="Arial" w:hAnsi="Arial" w:eastAsia="宋体" w:cs="Arial"/>
              <w:bCs/>
              <w:color w:val="auto"/>
              <w:szCs w:val="24"/>
              <w:highlight w:val="none"/>
              <w:lang w:val="zh-CN"/>
            </w:rPr>
            <w:fldChar w:fldCharType="end"/>
          </w:r>
        </w:p>
        <w:p>
          <w:pPr>
            <w:pStyle w:val="30"/>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_Toc24139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8环境影响经济损益分析</w:t>
          </w:r>
          <w:r>
            <w:tab/>
          </w:r>
          <w:r>
            <w:fldChar w:fldCharType="begin"/>
          </w:r>
          <w:r>
            <w:instrText xml:space="preserve"> PAGEREF _Toc24139 \h </w:instrText>
          </w:r>
          <w:r>
            <w:fldChar w:fldCharType="separate"/>
          </w:r>
          <w:r>
            <w:t>- 177 -</w:t>
          </w:r>
          <w:r>
            <w:fldChar w:fldCharType="end"/>
          </w:r>
          <w:r>
            <w:rPr>
              <w:rFonts w:hint="default" w:ascii="Arial" w:hAnsi="Arial" w:eastAsia="宋体" w:cs="Arial"/>
              <w:bCs/>
              <w:color w:val="auto"/>
              <w:szCs w:val="24"/>
              <w:highlight w:val="none"/>
              <w:lang w:val="zh-CN"/>
            </w:rPr>
            <w:fldChar w:fldCharType="end"/>
          </w:r>
        </w:p>
        <w:p>
          <w:pPr>
            <w:pStyle w:val="34"/>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_Toc17005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8.1经济效益分析</w:t>
          </w:r>
          <w:r>
            <w:tab/>
          </w:r>
          <w:r>
            <w:fldChar w:fldCharType="begin"/>
          </w:r>
          <w:r>
            <w:instrText xml:space="preserve"> PAGEREF _Toc17005 \h </w:instrText>
          </w:r>
          <w:r>
            <w:fldChar w:fldCharType="separate"/>
          </w:r>
          <w:r>
            <w:t>- 177 -</w:t>
          </w:r>
          <w:r>
            <w:fldChar w:fldCharType="end"/>
          </w:r>
          <w:r>
            <w:rPr>
              <w:rFonts w:hint="default" w:ascii="Arial" w:hAnsi="Arial" w:eastAsia="宋体" w:cs="Arial"/>
              <w:bCs/>
              <w:color w:val="auto"/>
              <w:szCs w:val="24"/>
              <w:highlight w:val="none"/>
              <w:lang w:val="zh-CN"/>
            </w:rPr>
            <w:fldChar w:fldCharType="end"/>
          </w:r>
        </w:p>
        <w:p>
          <w:pPr>
            <w:pStyle w:val="34"/>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_Toc30569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8.2社会效益分析</w:t>
          </w:r>
          <w:r>
            <w:tab/>
          </w:r>
          <w:r>
            <w:fldChar w:fldCharType="begin"/>
          </w:r>
          <w:r>
            <w:instrText xml:space="preserve"> PAGEREF _Toc30569 \h </w:instrText>
          </w:r>
          <w:r>
            <w:fldChar w:fldCharType="separate"/>
          </w:r>
          <w:r>
            <w:t>- 177 -</w:t>
          </w:r>
          <w:r>
            <w:fldChar w:fldCharType="end"/>
          </w:r>
          <w:r>
            <w:rPr>
              <w:rFonts w:hint="default" w:ascii="Arial" w:hAnsi="Arial" w:eastAsia="宋体" w:cs="Arial"/>
              <w:bCs/>
              <w:color w:val="auto"/>
              <w:szCs w:val="24"/>
              <w:highlight w:val="none"/>
              <w:lang w:val="zh-CN"/>
            </w:rPr>
            <w:fldChar w:fldCharType="end"/>
          </w:r>
        </w:p>
        <w:p>
          <w:pPr>
            <w:pStyle w:val="34"/>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_Toc62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8.3环境效益分析</w:t>
          </w:r>
          <w:r>
            <w:tab/>
          </w:r>
          <w:r>
            <w:fldChar w:fldCharType="begin"/>
          </w:r>
          <w:r>
            <w:instrText xml:space="preserve"> PAGEREF _Toc62 \h </w:instrText>
          </w:r>
          <w:r>
            <w:fldChar w:fldCharType="separate"/>
          </w:r>
          <w:r>
            <w:t>- 177 -</w:t>
          </w:r>
          <w:r>
            <w:fldChar w:fldCharType="end"/>
          </w:r>
          <w:r>
            <w:rPr>
              <w:rFonts w:hint="default" w:ascii="Arial" w:hAnsi="Arial" w:eastAsia="宋体" w:cs="Arial"/>
              <w:bCs/>
              <w:color w:val="auto"/>
              <w:szCs w:val="24"/>
              <w:highlight w:val="none"/>
              <w:lang w:val="zh-CN"/>
            </w:rPr>
            <w:fldChar w:fldCharType="end"/>
          </w:r>
        </w:p>
        <w:p>
          <w:pPr>
            <w:pStyle w:val="21"/>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_Toc19090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8.3.1环保投资费用</w:t>
          </w:r>
          <w:r>
            <w:tab/>
          </w:r>
          <w:r>
            <w:fldChar w:fldCharType="begin"/>
          </w:r>
          <w:r>
            <w:instrText xml:space="preserve"> PAGEREF _Toc19090 \h </w:instrText>
          </w:r>
          <w:r>
            <w:fldChar w:fldCharType="separate"/>
          </w:r>
          <w:r>
            <w:t>- 177 -</w:t>
          </w:r>
          <w:r>
            <w:fldChar w:fldCharType="end"/>
          </w:r>
          <w:r>
            <w:rPr>
              <w:rFonts w:hint="default" w:ascii="Arial" w:hAnsi="Arial" w:eastAsia="宋体" w:cs="Arial"/>
              <w:bCs/>
              <w:color w:val="auto"/>
              <w:szCs w:val="24"/>
              <w:highlight w:val="none"/>
              <w:lang w:val="zh-CN"/>
            </w:rPr>
            <w:fldChar w:fldCharType="end"/>
          </w:r>
        </w:p>
        <w:p>
          <w:pPr>
            <w:pStyle w:val="21"/>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_Toc26763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8.3.2环保设施运行费用</w:t>
          </w:r>
          <w:r>
            <w:tab/>
          </w:r>
          <w:r>
            <w:fldChar w:fldCharType="begin"/>
          </w:r>
          <w:r>
            <w:instrText xml:space="preserve"> PAGEREF _Toc26763 \h </w:instrText>
          </w:r>
          <w:r>
            <w:fldChar w:fldCharType="separate"/>
          </w:r>
          <w:r>
            <w:t>- 178 -</w:t>
          </w:r>
          <w:r>
            <w:fldChar w:fldCharType="end"/>
          </w:r>
          <w:r>
            <w:rPr>
              <w:rFonts w:hint="default" w:ascii="Arial" w:hAnsi="Arial" w:eastAsia="宋体" w:cs="Arial"/>
              <w:bCs/>
              <w:color w:val="auto"/>
              <w:szCs w:val="24"/>
              <w:highlight w:val="none"/>
              <w:lang w:val="zh-CN"/>
            </w:rPr>
            <w:fldChar w:fldCharType="end"/>
          </w:r>
        </w:p>
        <w:p>
          <w:pPr>
            <w:pStyle w:val="21"/>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_Toc21876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8.3.3环保效益估算</w:t>
          </w:r>
          <w:r>
            <w:tab/>
          </w:r>
          <w:r>
            <w:fldChar w:fldCharType="begin"/>
          </w:r>
          <w:r>
            <w:instrText xml:space="preserve"> PAGEREF _Toc21876 \h </w:instrText>
          </w:r>
          <w:r>
            <w:fldChar w:fldCharType="separate"/>
          </w:r>
          <w:r>
            <w:t>- 178 -</w:t>
          </w:r>
          <w:r>
            <w:fldChar w:fldCharType="end"/>
          </w:r>
          <w:r>
            <w:rPr>
              <w:rFonts w:hint="default" w:ascii="Arial" w:hAnsi="Arial" w:eastAsia="宋体" w:cs="Arial"/>
              <w:bCs/>
              <w:color w:val="auto"/>
              <w:szCs w:val="24"/>
              <w:highlight w:val="none"/>
              <w:lang w:val="zh-CN"/>
            </w:rPr>
            <w:fldChar w:fldCharType="end"/>
          </w:r>
        </w:p>
        <w:p>
          <w:pPr>
            <w:pStyle w:val="21"/>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_Toc16682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8.3.4经济效益分析</w:t>
          </w:r>
          <w:r>
            <w:tab/>
          </w:r>
          <w:r>
            <w:fldChar w:fldCharType="begin"/>
          </w:r>
          <w:r>
            <w:instrText xml:space="preserve"> PAGEREF _Toc16682 \h </w:instrText>
          </w:r>
          <w:r>
            <w:fldChar w:fldCharType="separate"/>
          </w:r>
          <w:r>
            <w:t>- 179 -</w:t>
          </w:r>
          <w:r>
            <w:fldChar w:fldCharType="end"/>
          </w:r>
          <w:r>
            <w:rPr>
              <w:rFonts w:hint="default" w:ascii="Arial" w:hAnsi="Arial" w:eastAsia="宋体" w:cs="Arial"/>
              <w:bCs/>
              <w:color w:val="auto"/>
              <w:szCs w:val="24"/>
              <w:highlight w:val="none"/>
              <w:lang w:val="zh-CN"/>
            </w:rPr>
            <w:fldChar w:fldCharType="end"/>
          </w:r>
        </w:p>
        <w:p>
          <w:pPr>
            <w:pStyle w:val="34"/>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_Toc4581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8.4小结</w:t>
          </w:r>
          <w:r>
            <w:tab/>
          </w:r>
          <w:r>
            <w:fldChar w:fldCharType="begin"/>
          </w:r>
          <w:r>
            <w:instrText xml:space="preserve"> PAGEREF _Toc4581 \h </w:instrText>
          </w:r>
          <w:r>
            <w:fldChar w:fldCharType="separate"/>
          </w:r>
          <w:r>
            <w:t>- 179 -</w:t>
          </w:r>
          <w:r>
            <w:fldChar w:fldCharType="end"/>
          </w:r>
          <w:r>
            <w:rPr>
              <w:rFonts w:hint="default" w:ascii="Arial" w:hAnsi="Arial" w:eastAsia="宋体" w:cs="Arial"/>
              <w:bCs/>
              <w:color w:val="auto"/>
              <w:szCs w:val="24"/>
              <w:highlight w:val="none"/>
              <w:lang w:val="zh-CN"/>
            </w:rPr>
            <w:fldChar w:fldCharType="end"/>
          </w:r>
        </w:p>
        <w:p>
          <w:pPr>
            <w:pStyle w:val="30"/>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_Toc8847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9环境管理与监测计划</w:t>
          </w:r>
          <w:r>
            <w:tab/>
          </w:r>
          <w:r>
            <w:fldChar w:fldCharType="begin"/>
          </w:r>
          <w:r>
            <w:instrText xml:space="preserve"> PAGEREF _Toc8847 \h </w:instrText>
          </w:r>
          <w:r>
            <w:fldChar w:fldCharType="separate"/>
          </w:r>
          <w:r>
            <w:t>- 180 -</w:t>
          </w:r>
          <w:r>
            <w:fldChar w:fldCharType="end"/>
          </w:r>
          <w:r>
            <w:rPr>
              <w:rFonts w:hint="default" w:ascii="Arial" w:hAnsi="Arial" w:eastAsia="宋体" w:cs="Arial"/>
              <w:bCs/>
              <w:color w:val="auto"/>
              <w:szCs w:val="24"/>
              <w:highlight w:val="none"/>
              <w:lang w:val="zh-CN"/>
            </w:rPr>
            <w:fldChar w:fldCharType="end"/>
          </w:r>
        </w:p>
        <w:p>
          <w:pPr>
            <w:pStyle w:val="34"/>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_Toc27827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9.1污染物总量控制分析</w:t>
          </w:r>
          <w:r>
            <w:tab/>
          </w:r>
          <w:r>
            <w:fldChar w:fldCharType="begin"/>
          </w:r>
          <w:r>
            <w:instrText xml:space="preserve"> PAGEREF _Toc27827 \h </w:instrText>
          </w:r>
          <w:r>
            <w:fldChar w:fldCharType="separate"/>
          </w:r>
          <w:r>
            <w:t>- 180 -</w:t>
          </w:r>
          <w:r>
            <w:fldChar w:fldCharType="end"/>
          </w:r>
          <w:r>
            <w:rPr>
              <w:rFonts w:hint="default" w:ascii="Arial" w:hAnsi="Arial" w:eastAsia="宋体" w:cs="Arial"/>
              <w:bCs/>
              <w:color w:val="auto"/>
              <w:szCs w:val="24"/>
              <w:highlight w:val="none"/>
              <w:lang w:val="zh-CN"/>
            </w:rPr>
            <w:fldChar w:fldCharType="end"/>
          </w:r>
        </w:p>
        <w:p>
          <w:pPr>
            <w:pStyle w:val="21"/>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_Toc19406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9.1.1原则和目标</w:t>
          </w:r>
          <w:r>
            <w:tab/>
          </w:r>
          <w:r>
            <w:fldChar w:fldCharType="begin"/>
          </w:r>
          <w:r>
            <w:instrText xml:space="preserve"> PAGEREF _Toc19406 \h </w:instrText>
          </w:r>
          <w:r>
            <w:fldChar w:fldCharType="separate"/>
          </w:r>
          <w:r>
            <w:t>- 180 -</w:t>
          </w:r>
          <w:r>
            <w:fldChar w:fldCharType="end"/>
          </w:r>
          <w:r>
            <w:rPr>
              <w:rFonts w:hint="default" w:ascii="Arial" w:hAnsi="Arial" w:eastAsia="宋体" w:cs="Arial"/>
              <w:bCs/>
              <w:color w:val="auto"/>
              <w:szCs w:val="24"/>
              <w:highlight w:val="none"/>
              <w:lang w:val="zh-CN"/>
            </w:rPr>
            <w:fldChar w:fldCharType="end"/>
          </w:r>
        </w:p>
        <w:p>
          <w:pPr>
            <w:pStyle w:val="21"/>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_Toc8221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9.1.2总量控制区域</w:t>
          </w:r>
          <w:r>
            <w:tab/>
          </w:r>
          <w:r>
            <w:fldChar w:fldCharType="begin"/>
          </w:r>
          <w:r>
            <w:instrText xml:space="preserve"> PAGEREF _Toc8221 \h </w:instrText>
          </w:r>
          <w:r>
            <w:fldChar w:fldCharType="separate"/>
          </w:r>
          <w:r>
            <w:t>- 180 -</w:t>
          </w:r>
          <w:r>
            <w:fldChar w:fldCharType="end"/>
          </w:r>
          <w:r>
            <w:rPr>
              <w:rFonts w:hint="default" w:ascii="Arial" w:hAnsi="Arial" w:eastAsia="宋体" w:cs="Arial"/>
              <w:bCs/>
              <w:color w:val="auto"/>
              <w:szCs w:val="24"/>
              <w:highlight w:val="none"/>
              <w:lang w:val="zh-CN"/>
            </w:rPr>
            <w:fldChar w:fldCharType="end"/>
          </w:r>
        </w:p>
        <w:p>
          <w:pPr>
            <w:pStyle w:val="21"/>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_Toc4026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9.1.3总量控制因子</w:t>
          </w:r>
          <w:r>
            <w:tab/>
          </w:r>
          <w:r>
            <w:fldChar w:fldCharType="begin"/>
          </w:r>
          <w:r>
            <w:instrText xml:space="preserve"> PAGEREF _Toc4026 \h </w:instrText>
          </w:r>
          <w:r>
            <w:fldChar w:fldCharType="separate"/>
          </w:r>
          <w:r>
            <w:t>- 180 -</w:t>
          </w:r>
          <w:r>
            <w:fldChar w:fldCharType="end"/>
          </w:r>
          <w:r>
            <w:rPr>
              <w:rFonts w:hint="default" w:ascii="Arial" w:hAnsi="Arial" w:eastAsia="宋体" w:cs="Arial"/>
              <w:bCs/>
              <w:color w:val="auto"/>
              <w:szCs w:val="24"/>
              <w:highlight w:val="none"/>
              <w:lang w:val="zh-CN"/>
            </w:rPr>
            <w:fldChar w:fldCharType="end"/>
          </w:r>
        </w:p>
        <w:p>
          <w:pPr>
            <w:pStyle w:val="21"/>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_Toc30450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9.1.4总量核算</w:t>
          </w:r>
          <w:r>
            <w:tab/>
          </w:r>
          <w:r>
            <w:fldChar w:fldCharType="begin"/>
          </w:r>
          <w:r>
            <w:instrText xml:space="preserve"> PAGEREF _Toc30450 \h </w:instrText>
          </w:r>
          <w:r>
            <w:fldChar w:fldCharType="separate"/>
          </w:r>
          <w:r>
            <w:t>- 180 -</w:t>
          </w:r>
          <w:r>
            <w:fldChar w:fldCharType="end"/>
          </w:r>
          <w:r>
            <w:rPr>
              <w:rFonts w:hint="default" w:ascii="Arial" w:hAnsi="Arial" w:eastAsia="宋体" w:cs="Arial"/>
              <w:bCs/>
              <w:color w:val="auto"/>
              <w:szCs w:val="24"/>
              <w:highlight w:val="none"/>
              <w:lang w:val="zh-CN"/>
            </w:rPr>
            <w:fldChar w:fldCharType="end"/>
          </w:r>
        </w:p>
        <w:p>
          <w:pPr>
            <w:pStyle w:val="21"/>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_Toc27663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9.1.5污染物总量控制指标</w:t>
          </w:r>
          <w:r>
            <w:tab/>
          </w:r>
          <w:r>
            <w:fldChar w:fldCharType="begin"/>
          </w:r>
          <w:r>
            <w:instrText xml:space="preserve"> PAGEREF _Toc27663 \h </w:instrText>
          </w:r>
          <w:r>
            <w:fldChar w:fldCharType="separate"/>
          </w:r>
          <w:r>
            <w:t>- 180 -</w:t>
          </w:r>
          <w:r>
            <w:fldChar w:fldCharType="end"/>
          </w:r>
          <w:r>
            <w:rPr>
              <w:rFonts w:hint="default" w:ascii="Arial" w:hAnsi="Arial" w:eastAsia="宋体" w:cs="Arial"/>
              <w:bCs/>
              <w:color w:val="auto"/>
              <w:szCs w:val="24"/>
              <w:highlight w:val="none"/>
              <w:lang w:val="zh-CN"/>
            </w:rPr>
            <w:fldChar w:fldCharType="end"/>
          </w:r>
        </w:p>
        <w:p>
          <w:pPr>
            <w:pStyle w:val="34"/>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_Toc26011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9.2环境管理</w:t>
          </w:r>
          <w:r>
            <w:tab/>
          </w:r>
          <w:r>
            <w:fldChar w:fldCharType="begin"/>
          </w:r>
          <w:r>
            <w:instrText xml:space="preserve"> PAGEREF _Toc26011 \h </w:instrText>
          </w:r>
          <w:r>
            <w:fldChar w:fldCharType="separate"/>
          </w:r>
          <w:r>
            <w:t>- 180 -</w:t>
          </w:r>
          <w:r>
            <w:fldChar w:fldCharType="end"/>
          </w:r>
          <w:r>
            <w:rPr>
              <w:rFonts w:hint="default" w:ascii="Arial" w:hAnsi="Arial" w:eastAsia="宋体" w:cs="Arial"/>
              <w:bCs/>
              <w:color w:val="auto"/>
              <w:szCs w:val="24"/>
              <w:highlight w:val="none"/>
              <w:lang w:val="zh-CN"/>
            </w:rPr>
            <w:fldChar w:fldCharType="end"/>
          </w:r>
        </w:p>
        <w:p>
          <w:pPr>
            <w:pStyle w:val="21"/>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_Toc8895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9.2.1环境管理制度及组织机构</w:t>
          </w:r>
          <w:r>
            <w:tab/>
          </w:r>
          <w:r>
            <w:fldChar w:fldCharType="begin"/>
          </w:r>
          <w:r>
            <w:instrText xml:space="preserve"> PAGEREF _Toc8895 \h </w:instrText>
          </w:r>
          <w:r>
            <w:fldChar w:fldCharType="separate"/>
          </w:r>
          <w:r>
            <w:t>- 180 -</w:t>
          </w:r>
          <w:r>
            <w:fldChar w:fldCharType="end"/>
          </w:r>
          <w:r>
            <w:rPr>
              <w:rFonts w:hint="default" w:ascii="Arial" w:hAnsi="Arial" w:eastAsia="宋体" w:cs="Arial"/>
              <w:bCs/>
              <w:color w:val="auto"/>
              <w:szCs w:val="24"/>
              <w:highlight w:val="none"/>
              <w:lang w:val="zh-CN"/>
            </w:rPr>
            <w:fldChar w:fldCharType="end"/>
          </w:r>
        </w:p>
        <w:p>
          <w:pPr>
            <w:pStyle w:val="21"/>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_Toc4263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9.2.2排污许可证申领</w:t>
          </w:r>
          <w:r>
            <w:tab/>
          </w:r>
          <w:r>
            <w:fldChar w:fldCharType="begin"/>
          </w:r>
          <w:r>
            <w:instrText xml:space="preserve"> PAGEREF _Toc4263 \h </w:instrText>
          </w:r>
          <w:r>
            <w:fldChar w:fldCharType="separate"/>
          </w:r>
          <w:r>
            <w:t>- 181 -</w:t>
          </w:r>
          <w:r>
            <w:fldChar w:fldCharType="end"/>
          </w:r>
          <w:r>
            <w:rPr>
              <w:rFonts w:hint="default" w:ascii="Arial" w:hAnsi="Arial" w:eastAsia="宋体" w:cs="Arial"/>
              <w:bCs/>
              <w:color w:val="auto"/>
              <w:szCs w:val="24"/>
              <w:highlight w:val="none"/>
              <w:lang w:val="zh-CN"/>
            </w:rPr>
            <w:fldChar w:fldCharType="end"/>
          </w:r>
        </w:p>
        <w:p>
          <w:pPr>
            <w:pStyle w:val="21"/>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_Toc12000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9.2.3环保竣工验收</w:t>
          </w:r>
          <w:r>
            <w:tab/>
          </w:r>
          <w:r>
            <w:fldChar w:fldCharType="begin"/>
          </w:r>
          <w:r>
            <w:instrText xml:space="preserve"> PAGEREF _Toc12000 \h </w:instrText>
          </w:r>
          <w:r>
            <w:fldChar w:fldCharType="separate"/>
          </w:r>
          <w:r>
            <w:t>- 182 -</w:t>
          </w:r>
          <w:r>
            <w:fldChar w:fldCharType="end"/>
          </w:r>
          <w:r>
            <w:rPr>
              <w:rFonts w:hint="default" w:ascii="Arial" w:hAnsi="Arial" w:eastAsia="宋体" w:cs="Arial"/>
              <w:bCs/>
              <w:color w:val="auto"/>
              <w:szCs w:val="24"/>
              <w:highlight w:val="none"/>
              <w:lang w:val="zh-CN"/>
            </w:rPr>
            <w:fldChar w:fldCharType="end"/>
          </w:r>
        </w:p>
        <w:p>
          <w:pPr>
            <w:pStyle w:val="21"/>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_Toc21652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9.2.4排污口规范化管理</w:t>
          </w:r>
          <w:r>
            <w:tab/>
          </w:r>
          <w:r>
            <w:fldChar w:fldCharType="begin"/>
          </w:r>
          <w:r>
            <w:instrText xml:space="preserve"> PAGEREF _Toc21652 \h </w:instrText>
          </w:r>
          <w:r>
            <w:fldChar w:fldCharType="separate"/>
          </w:r>
          <w:r>
            <w:t>- 182 -</w:t>
          </w:r>
          <w:r>
            <w:fldChar w:fldCharType="end"/>
          </w:r>
          <w:r>
            <w:rPr>
              <w:rFonts w:hint="default" w:ascii="Arial" w:hAnsi="Arial" w:eastAsia="宋体" w:cs="Arial"/>
              <w:bCs/>
              <w:color w:val="auto"/>
              <w:szCs w:val="24"/>
              <w:highlight w:val="none"/>
              <w:lang w:val="zh-CN"/>
            </w:rPr>
            <w:fldChar w:fldCharType="end"/>
          </w:r>
        </w:p>
        <w:p>
          <w:pPr>
            <w:pStyle w:val="21"/>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_Toc31178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9.2.5环境风险应急</w:t>
          </w:r>
          <w:r>
            <w:tab/>
          </w:r>
          <w:r>
            <w:fldChar w:fldCharType="begin"/>
          </w:r>
          <w:r>
            <w:instrText xml:space="preserve"> PAGEREF _Toc31178 \h </w:instrText>
          </w:r>
          <w:r>
            <w:fldChar w:fldCharType="separate"/>
          </w:r>
          <w:r>
            <w:t>- 184 -</w:t>
          </w:r>
          <w:r>
            <w:fldChar w:fldCharType="end"/>
          </w:r>
          <w:r>
            <w:rPr>
              <w:rFonts w:hint="default" w:ascii="Arial" w:hAnsi="Arial" w:eastAsia="宋体" w:cs="Arial"/>
              <w:bCs/>
              <w:color w:val="auto"/>
              <w:szCs w:val="24"/>
              <w:highlight w:val="none"/>
              <w:lang w:val="zh-CN"/>
            </w:rPr>
            <w:fldChar w:fldCharType="end"/>
          </w:r>
        </w:p>
        <w:p>
          <w:pPr>
            <w:pStyle w:val="21"/>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_Toc16609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9.2.6向生态环境主管部门报告制度</w:t>
          </w:r>
          <w:r>
            <w:tab/>
          </w:r>
          <w:r>
            <w:fldChar w:fldCharType="begin"/>
          </w:r>
          <w:r>
            <w:instrText xml:space="preserve"> PAGEREF _Toc16609 \h </w:instrText>
          </w:r>
          <w:r>
            <w:fldChar w:fldCharType="separate"/>
          </w:r>
          <w:r>
            <w:t>- 184 -</w:t>
          </w:r>
          <w:r>
            <w:fldChar w:fldCharType="end"/>
          </w:r>
          <w:r>
            <w:rPr>
              <w:rFonts w:hint="default" w:ascii="Arial" w:hAnsi="Arial" w:eastAsia="宋体" w:cs="Arial"/>
              <w:bCs/>
              <w:color w:val="auto"/>
              <w:szCs w:val="24"/>
              <w:highlight w:val="none"/>
              <w:lang w:val="zh-CN"/>
            </w:rPr>
            <w:fldChar w:fldCharType="end"/>
          </w:r>
        </w:p>
        <w:p>
          <w:pPr>
            <w:pStyle w:val="21"/>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_Toc6758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9.2.7企业环境信息公开</w:t>
          </w:r>
          <w:r>
            <w:tab/>
          </w:r>
          <w:r>
            <w:fldChar w:fldCharType="begin"/>
          </w:r>
          <w:r>
            <w:instrText xml:space="preserve"> PAGEREF _Toc6758 \h </w:instrText>
          </w:r>
          <w:r>
            <w:fldChar w:fldCharType="separate"/>
          </w:r>
          <w:r>
            <w:t>- 184 -</w:t>
          </w:r>
          <w:r>
            <w:fldChar w:fldCharType="end"/>
          </w:r>
          <w:r>
            <w:rPr>
              <w:rFonts w:hint="default" w:ascii="Arial" w:hAnsi="Arial" w:eastAsia="宋体" w:cs="Arial"/>
              <w:bCs/>
              <w:color w:val="auto"/>
              <w:szCs w:val="24"/>
              <w:highlight w:val="none"/>
              <w:lang w:val="zh-CN"/>
            </w:rPr>
            <w:fldChar w:fldCharType="end"/>
          </w:r>
        </w:p>
        <w:p>
          <w:pPr>
            <w:pStyle w:val="21"/>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_Toc18605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9.2.8日常环境管理台账</w:t>
          </w:r>
          <w:r>
            <w:tab/>
          </w:r>
          <w:r>
            <w:fldChar w:fldCharType="begin"/>
          </w:r>
          <w:r>
            <w:instrText xml:space="preserve"> PAGEREF _Toc18605 \h </w:instrText>
          </w:r>
          <w:r>
            <w:fldChar w:fldCharType="separate"/>
          </w:r>
          <w:r>
            <w:t>- 185 -</w:t>
          </w:r>
          <w:r>
            <w:fldChar w:fldCharType="end"/>
          </w:r>
          <w:r>
            <w:rPr>
              <w:rFonts w:hint="default" w:ascii="Arial" w:hAnsi="Arial" w:eastAsia="宋体" w:cs="Arial"/>
              <w:bCs/>
              <w:color w:val="auto"/>
              <w:szCs w:val="24"/>
              <w:highlight w:val="none"/>
              <w:lang w:val="zh-CN"/>
            </w:rPr>
            <w:fldChar w:fldCharType="end"/>
          </w:r>
        </w:p>
        <w:p>
          <w:pPr>
            <w:pStyle w:val="34"/>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_Toc30657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9.3监测计划</w:t>
          </w:r>
          <w:r>
            <w:tab/>
          </w:r>
          <w:r>
            <w:fldChar w:fldCharType="begin"/>
          </w:r>
          <w:r>
            <w:instrText xml:space="preserve"> PAGEREF _Toc30657 \h </w:instrText>
          </w:r>
          <w:r>
            <w:fldChar w:fldCharType="separate"/>
          </w:r>
          <w:r>
            <w:t>- 185 -</w:t>
          </w:r>
          <w:r>
            <w:fldChar w:fldCharType="end"/>
          </w:r>
          <w:r>
            <w:rPr>
              <w:rFonts w:hint="default" w:ascii="Arial" w:hAnsi="Arial" w:eastAsia="宋体" w:cs="Arial"/>
              <w:bCs/>
              <w:color w:val="auto"/>
              <w:szCs w:val="24"/>
              <w:highlight w:val="none"/>
              <w:lang w:val="zh-CN"/>
            </w:rPr>
            <w:fldChar w:fldCharType="end"/>
          </w:r>
        </w:p>
        <w:p>
          <w:pPr>
            <w:pStyle w:val="21"/>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_Toc15739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9.3.1废气监测计划</w:t>
          </w:r>
          <w:r>
            <w:tab/>
          </w:r>
          <w:r>
            <w:fldChar w:fldCharType="begin"/>
          </w:r>
          <w:r>
            <w:instrText xml:space="preserve"> PAGEREF _Toc15739 \h </w:instrText>
          </w:r>
          <w:r>
            <w:fldChar w:fldCharType="separate"/>
          </w:r>
          <w:r>
            <w:t>- 185 -</w:t>
          </w:r>
          <w:r>
            <w:fldChar w:fldCharType="end"/>
          </w:r>
          <w:r>
            <w:rPr>
              <w:rFonts w:hint="default" w:ascii="Arial" w:hAnsi="Arial" w:eastAsia="宋体" w:cs="Arial"/>
              <w:bCs/>
              <w:color w:val="auto"/>
              <w:szCs w:val="24"/>
              <w:highlight w:val="none"/>
              <w:lang w:val="zh-CN"/>
            </w:rPr>
            <w:fldChar w:fldCharType="end"/>
          </w:r>
        </w:p>
        <w:p>
          <w:pPr>
            <w:pStyle w:val="21"/>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_Toc12634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9.3.2地下水监测计划</w:t>
          </w:r>
          <w:r>
            <w:tab/>
          </w:r>
          <w:r>
            <w:fldChar w:fldCharType="begin"/>
          </w:r>
          <w:r>
            <w:instrText xml:space="preserve"> PAGEREF _Toc12634 \h </w:instrText>
          </w:r>
          <w:r>
            <w:fldChar w:fldCharType="separate"/>
          </w:r>
          <w:r>
            <w:t>- 186 -</w:t>
          </w:r>
          <w:r>
            <w:fldChar w:fldCharType="end"/>
          </w:r>
          <w:r>
            <w:rPr>
              <w:rFonts w:hint="default" w:ascii="Arial" w:hAnsi="Arial" w:eastAsia="宋体" w:cs="Arial"/>
              <w:bCs/>
              <w:color w:val="auto"/>
              <w:szCs w:val="24"/>
              <w:highlight w:val="none"/>
              <w:lang w:val="zh-CN"/>
            </w:rPr>
            <w:fldChar w:fldCharType="end"/>
          </w:r>
        </w:p>
        <w:p>
          <w:pPr>
            <w:pStyle w:val="21"/>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_Toc3272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9.3.</w:t>
          </w:r>
          <w:r>
            <w:rPr>
              <w:rFonts w:hint="default" w:ascii="Arial" w:hAnsi="Arial" w:eastAsia="宋体" w:cs="Arial"/>
              <w:highlight w:val="none"/>
              <w:lang w:val="en-US" w:eastAsia="zh-CN"/>
            </w:rPr>
            <w:t>3</w:t>
          </w:r>
          <w:r>
            <w:rPr>
              <w:rFonts w:hint="default" w:ascii="Arial" w:hAnsi="Arial" w:eastAsia="宋体" w:cs="Arial"/>
              <w:highlight w:val="none"/>
            </w:rPr>
            <w:t>噪声监测计划</w:t>
          </w:r>
          <w:r>
            <w:tab/>
          </w:r>
          <w:r>
            <w:fldChar w:fldCharType="begin"/>
          </w:r>
          <w:r>
            <w:instrText xml:space="preserve"> PAGEREF _Toc3272 \h </w:instrText>
          </w:r>
          <w:r>
            <w:fldChar w:fldCharType="separate"/>
          </w:r>
          <w:r>
            <w:t>- 186 -</w:t>
          </w:r>
          <w:r>
            <w:fldChar w:fldCharType="end"/>
          </w:r>
          <w:r>
            <w:rPr>
              <w:rFonts w:hint="default" w:ascii="Arial" w:hAnsi="Arial" w:eastAsia="宋体" w:cs="Arial"/>
              <w:bCs/>
              <w:color w:val="auto"/>
              <w:szCs w:val="24"/>
              <w:highlight w:val="none"/>
              <w:lang w:val="zh-CN"/>
            </w:rPr>
            <w:fldChar w:fldCharType="end"/>
          </w:r>
        </w:p>
        <w:p>
          <w:pPr>
            <w:pStyle w:val="34"/>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_Toc714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9.4环保设施“三同时”竣工验收</w:t>
          </w:r>
          <w:r>
            <w:tab/>
          </w:r>
          <w:r>
            <w:fldChar w:fldCharType="begin"/>
          </w:r>
          <w:r>
            <w:instrText xml:space="preserve"> PAGEREF _Toc714 \h </w:instrText>
          </w:r>
          <w:r>
            <w:fldChar w:fldCharType="separate"/>
          </w:r>
          <w:r>
            <w:t>- 186 -</w:t>
          </w:r>
          <w:r>
            <w:fldChar w:fldCharType="end"/>
          </w:r>
          <w:r>
            <w:rPr>
              <w:rFonts w:hint="default" w:ascii="Arial" w:hAnsi="Arial" w:eastAsia="宋体" w:cs="Arial"/>
              <w:bCs/>
              <w:color w:val="auto"/>
              <w:szCs w:val="24"/>
              <w:highlight w:val="none"/>
              <w:lang w:val="zh-CN"/>
            </w:rPr>
            <w:fldChar w:fldCharType="end"/>
          </w:r>
        </w:p>
        <w:p>
          <w:pPr>
            <w:pStyle w:val="30"/>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_Toc16277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10结论及建议</w:t>
          </w:r>
          <w:r>
            <w:tab/>
          </w:r>
          <w:r>
            <w:fldChar w:fldCharType="begin"/>
          </w:r>
          <w:r>
            <w:instrText xml:space="preserve"> PAGEREF _Toc16277 \h </w:instrText>
          </w:r>
          <w:r>
            <w:fldChar w:fldCharType="separate"/>
          </w:r>
          <w:r>
            <w:t>- 193 -</w:t>
          </w:r>
          <w:r>
            <w:fldChar w:fldCharType="end"/>
          </w:r>
          <w:r>
            <w:rPr>
              <w:rFonts w:hint="default" w:ascii="Arial" w:hAnsi="Arial" w:eastAsia="宋体" w:cs="Arial"/>
              <w:bCs/>
              <w:color w:val="auto"/>
              <w:szCs w:val="24"/>
              <w:highlight w:val="none"/>
              <w:lang w:val="zh-CN"/>
            </w:rPr>
            <w:fldChar w:fldCharType="end"/>
          </w:r>
        </w:p>
        <w:p>
          <w:pPr>
            <w:pStyle w:val="34"/>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_Toc17840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10.1建设项目概况</w:t>
          </w:r>
          <w:r>
            <w:tab/>
          </w:r>
          <w:r>
            <w:fldChar w:fldCharType="begin"/>
          </w:r>
          <w:r>
            <w:instrText xml:space="preserve"> PAGEREF _Toc17840 \h </w:instrText>
          </w:r>
          <w:r>
            <w:fldChar w:fldCharType="separate"/>
          </w:r>
          <w:r>
            <w:t>- 193 -</w:t>
          </w:r>
          <w:r>
            <w:fldChar w:fldCharType="end"/>
          </w:r>
          <w:r>
            <w:rPr>
              <w:rFonts w:hint="default" w:ascii="Arial" w:hAnsi="Arial" w:eastAsia="宋体" w:cs="Arial"/>
              <w:bCs/>
              <w:color w:val="auto"/>
              <w:szCs w:val="24"/>
              <w:highlight w:val="none"/>
              <w:lang w:val="zh-CN"/>
            </w:rPr>
            <w:fldChar w:fldCharType="end"/>
          </w:r>
        </w:p>
        <w:p>
          <w:pPr>
            <w:pStyle w:val="34"/>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_Toc29469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10.2环境可行性结论</w:t>
          </w:r>
          <w:r>
            <w:tab/>
          </w:r>
          <w:r>
            <w:fldChar w:fldCharType="begin"/>
          </w:r>
          <w:r>
            <w:instrText xml:space="preserve"> PAGEREF _Toc29469 \h </w:instrText>
          </w:r>
          <w:r>
            <w:fldChar w:fldCharType="separate"/>
          </w:r>
          <w:r>
            <w:t>- 193 -</w:t>
          </w:r>
          <w:r>
            <w:fldChar w:fldCharType="end"/>
          </w:r>
          <w:r>
            <w:rPr>
              <w:rFonts w:hint="default" w:ascii="Arial" w:hAnsi="Arial" w:eastAsia="宋体" w:cs="Arial"/>
              <w:bCs/>
              <w:color w:val="auto"/>
              <w:szCs w:val="24"/>
              <w:highlight w:val="none"/>
              <w:lang w:val="zh-CN"/>
            </w:rPr>
            <w:fldChar w:fldCharType="end"/>
          </w:r>
        </w:p>
        <w:p>
          <w:pPr>
            <w:pStyle w:val="21"/>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_Toc3085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10.2.1产业政策符合性分析</w:t>
          </w:r>
          <w:r>
            <w:tab/>
          </w:r>
          <w:r>
            <w:fldChar w:fldCharType="begin"/>
          </w:r>
          <w:r>
            <w:instrText xml:space="preserve"> PAGEREF _Toc3085 \h </w:instrText>
          </w:r>
          <w:r>
            <w:fldChar w:fldCharType="separate"/>
          </w:r>
          <w:r>
            <w:t>- 193 -</w:t>
          </w:r>
          <w:r>
            <w:fldChar w:fldCharType="end"/>
          </w:r>
          <w:r>
            <w:rPr>
              <w:rFonts w:hint="default" w:ascii="Arial" w:hAnsi="Arial" w:eastAsia="宋体" w:cs="Arial"/>
              <w:bCs/>
              <w:color w:val="auto"/>
              <w:szCs w:val="24"/>
              <w:highlight w:val="none"/>
              <w:lang w:val="zh-CN"/>
            </w:rPr>
            <w:fldChar w:fldCharType="end"/>
          </w:r>
        </w:p>
        <w:p>
          <w:pPr>
            <w:pStyle w:val="21"/>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_Toc31812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10.2.2选址与相关规划符合性分析结论</w:t>
          </w:r>
          <w:r>
            <w:tab/>
          </w:r>
          <w:r>
            <w:fldChar w:fldCharType="begin"/>
          </w:r>
          <w:r>
            <w:instrText xml:space="preserve"> PAGEREF _Toc31812 \h </w:instrText>
          </w:r>
          <w:r>
            <w:fldChar w:fldCharType="separate"/>
          </w:r>
          <w:r>
            <w:t>- 193 -</w:t>
          </w:r>
          <w:r>
            <w:fldChar w:fldCharType="end"/>
          </w:r>
          <w:r>
            <w:rPr>
              <w:rFonts w:hint="default" w:ascii="Arial" w:hAnsi="Arial" w:eastAsia="宋体" w:cs="Arial"/>
              <w:bCs/>
              <w:color w:val="auto"/>
              <w:szCs w:val="24"/>
              <w:highlight w:val="none"/>
              <w:lang w:val="zh-CN"/>
            </w:rPr>
            <w:fldChar w:fldCharType="end"/>
          </w:r>
        </w:p>
        <w:p>
          <w:pPr>
            <w:pStyle w:val="21"/>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_Toc24182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10.2.3平面布局合理性分析结论</w:t>
          </w:r>
          <w:r>
            <w:tab/>
          </w:r>
          <w:r>
            <w:fldChar w:fldCharType="begin"/>
          </w:r>
          <w:r>
            <w:instrText xml:space="preserve"> PAGEREF _Toc24182 \h </w:instrText>
          </w:r>
          <w:r>
            <w:fldChar w:fldCharType="separate"/>
          </w:r>
          <w:r>
            <w:t>- 194 -</w:t>
          </w:r>
          <w:r>
            <w:fldChar w:fldCharType="end"/>
          </w:r>
          <w:r>
            <w:rPr>
              <w:rFonts w:hint="default" w:ascii="Arial" w:hAnsi="Arial" w:eastAsia="宋体" w:cs="Arial"/>
              <w:bCs/>
              <w:color w:val="auto"/>
              <w:szCs w:val="24"/>
              <w:highlight w:val="none"/>
              <w:lang w:val="zh-CN"/>
            </w:rPr>
            <w:fldChar w:fldCharType="end"/>
          </w:r>
        </w:p>
        <w:p>
          <w:pPr>
            <w:pStyle w:val="34"/>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_Toc13196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10.3环境质量现状</w:t>
          </w:r>
          <w:r>
            <w:tab/>
          </w:r>
          <w:r>
            <w:fldChar w:fldCharType="begin"/>
          </w:r>
          <w:r>
            <w:instrText xml:space="preserve"> PAGEREF _Toc13196 \h </w:instrText>
          </w:r>
          <w:r>
            <w:fldChar w:fldCharType="separate"/>
          </w:r>
          <w:r>
            <w:t>- 194 -</w:t>
          </w:r>
          <w:r>
            <w:fldChar w:fldCharType="end"/>
          </w:r>
          <w:r>
            <w:rPr>
              <w:rFonts w:hint="default" w:ascii="Arial" w:hAnsi="Arial" w:eastAsia="宋体" w:cs="Arial"/>
              <w:bCs/>
              <w:color w:val="auto"/>
              <w:szCs w:val="24"/>
              <w:highlight w:val="none"/>
              <w:lang w:val="zh-CN"/>
            </w:rPr>
            <w:fldChar w:fldCharType="end"/>
          </w:r>
        </w:p>
        <w:p>
          <w:pPr>
            <w:pStyle w:val="34"/>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_Toc17595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10.4环境影响分析结论</w:t>
          </w:r>
          <w:r>
            <w:tab/>
          </w:r>
          <w:r>
            <w:fldChar w:fldCharType="begin"/>
          </w:r>
          <w:r>
            <w:instrText xml:space="preserve"> PAGEREF _Toc17595 \h </w:instrText>
          </w:r>
          <w:r>
            <w:fldChar w:fldCharType="separate"/>
          </w:r>
          <w:r>
            <w:t>- 195 -</w:t>
          </w:r>
          <w:r>
            <w:fldChar w:fldCharType="end"/>
          </w:r>
          <w:r>
            <w:rPr>
              <w:rFonts w:hint="default" w:ascii="Arial" w:hAnsi="Arial" w:eastAsia="宋体" w:cs="Arial"/>
              <w:bCs/>
              <w:color w:val="auto"/>
              <w:szCs w:val="24"/>
              <w:highlight w:val="none"/>
              <w:lang w:val="zh-CN"/>
            </w:rPr>
            <w:fldChar w:fldCharType="end"/>
          </w:r>
        </w:p>
        <w:p>
          <w:pPr>
            <w:pStyle w:val="21"/>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_Toc5513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10.4.1施工期环境影响</w:t>
          </w:r>
          <w:r>
            <w:tab/>
          </w:r>
          <w:r>
            <w:fldChar w:fldCharType="begin"/>
          </w:r>
          <w:r>
            <w:instrText xml:space="preserve"> PAGEREF _Toc5513 \h </w:instrText>
          </w:r>
          <w:r>
            <w:fldChar w:fldCharType="separate"/>
          </w:r>
          <w:r>
            <w:t>- 195 -</w:t>
          </w:r>
          <w:r>
            <w:fldChar w:fldCharType="end"/>
          </w:r>
          <w:r>
            <w:rPr>
              <w:rFonts w:hint="default" w:ascii="Arial" w:hAnsi="Arial" w:eastAsia="宋体" w:cs="Arial"/>
              <w:bCs/>
              <w:color w:val="auto"/>
              <w:szCs w:val="24"/>
              <w:highlight w:val="none"/>
              <w:lang w:val="zh-CN"/>
            </w:rPr>
            <w:fldChar w:fldCharType="end"/>
          </w:r>
        </w:p>
        <w:p>
          <w:pPr>
            <w:pStyle w:val="21"/>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_Toc13566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10.4.2运营期环境影响</w:t>
          </w:r>
          <w:r>
            <w:tab/>
          </w:r>
          <w:r>
            <w:fldChar w:fldCharType="begin"/>
          </w:r>
          <w:r>
            <w:instrText xml:space="preserve"> PAGEREF _Toc13566 \h </w:instrText>
          </w:r>
          <w:r>
            <w:fldChar w:fldCharType="separate"/>
          </w:r>
          <w:r>
            <w:t>- 195 -</w:t>
          </w:r>
          <w:r>
            <w:fldChar w:fldCharType="end"/>
          </w:r>
          <w:r>
            <w:rPr>
              <w:rFonts w:hint="default" w:ascii="Arial" w:hAnsi="Arial" w:eastAsia="宋体" w:cs="Arial"/>
              <w:bCs/>
              <w:color w:val="auto"/>
              <w:szCs w:val="24"/>
              <w:highlight w:val="none"/>
              <w:lang w:val="zh-CN"/>
            </w:rPr>
            <w:fldChar w:fldCharType="end"/>
          </w:r>
        </w:p>
        <w:p>
          <w:pPr>
            <w:pStyle w:val="34"/>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_Toc1073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10.5污染防治措施</w:t>
          </w:r>
          <w:r>
            <w:tab/>
          </w:r>
          <w:r>
            <w:fldChar w:fldCharType="begin"/>
          </w:r>
          <w:r>
            <w:instrText xml:space="preserve"> PAGEREF _Toc1073 \h </w:instrText>
          </w:r>
          <w:r>
            <w:fldChar w:fldCharType="separate"/>
          </w:r>
          <w:r>
            <w:t>- 196 -</w:t>
          </w:r>
          <w:r>
            <w:fldChar w:fldCharType="end"/>
          </w:r>
          <w:r>
            <w:rPr>
              <w:rFonts w:hint="default" w:ascii="Arial" w:hAnsi="Arial" w:eastAsia="宋体" w:cs="Arial"/>
              <w:bCs/>
              <w:color w:val="auto"/>
              <w:szCs w:val="24"/>
              <w:highlight w:val="none"/>
              <w:lang w:val="zh-CN"/>
            </w:rPr>
            <w:fldChar w:fldCharType="end"/>
          </w:r>
        </w:p>
        <w:p>
          <w:pPr>
            <w:pStyle w:val="34"/>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_Toc9295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10.6总量控制指标</w:t>
          </w:r>
          <w:r>
            <w:tab/>
          </w:r>
          <w:r>
            <w:fldChar w:fldCharType="begin"/>
          </w:r>
          <w:r>
            <w:instrText xml:space="preserve"> PAGEREF _Toc9295 \h </w:instrText>
          </w:r>
          <w:r>
            <w:fldChar w:fldCharType="separate"/>
          </w:r>
          <w:r>
            <w:t>- 197 -</w:t>
          </w:r>
          <w:r>
            <w:fldChar w:fldCharType="end"/>
          </w:r>
          <w:r>
            <w:rPr>
              <w:rFonts w:hint="default" w:ascii="Arial" w:hAnsi="Arial" w:eastAsia="宋体" w:cs="Arial"/>
              <w:bCs/>
              <w:color w:val="auto"/>
              <w:szCs w:val="24"/>
              <w:highlight w:val="none"/>
              <w:lang w:val="zh-CN"/>
            </w:rPr>
            <w:fldChar w:fldCharType="end"/>
          </w:r>
        </w:p>
        <w:p>
          <w:pPr>
            <w:pStyle w:val="34"/>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_Toc6016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10.7环境影响经济损益分析</w:t>
          </w:r>
          <w:r>
            <w:tab/>
          </w:r>
          <w:r>
            <w:fldChar w:fldCharType="begin"/>
          </w:r>
          <w:r>
            <w:instrText xml:space="preserve"> PAGEREF _Toc6016 \h </w:instrText>
          </w:r>
          <w:r>
            <w:fldChar w:fldCharType="separate"/>
          </w:r>
          <w:r>
            <w:t>- 197 -</w:t>
          </w:r>
          <w:r>
            <w:fldChar w:fldCharType="end"/>
          </w:r>
          <w:r>
            <w:rPr>
              <w:rFonts w:hint="default" w:ascii="Arial" w:hAnsi="Arial" w:eastAsia="宋体" w:cs="Arial"/>
              <w:bCs/>
              <w:color w:val="auto"/>
              <w:szCs w:val="24"/>
              <w:highlight w:val="none"/>
              <w:lang w:val="zh-CN"/>
            </w:rPr>
            <w:fldChar w:fldCharType="end"/>
          </w:r>
        </w:p>
        <w:p>
          <w:pPr>
            <w:pStyle w:val="34"/>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_Toc3391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10.8环境管理和监测计划</w:t>
          </w:r>
          <w:r>
            <w:tab/>
          </w:r>
          <w:r>
            <w:fldChar w:fldCharType="begin"/>
          </w:r>
          <w:r>
            <w:instrText xml:space="preserve"> PAGEREF _Toc3391 \h </w:instrText>
          </w:r>
          <w:r>
            <w:fldChar w:fldCharType="separate"/>
          </w:r>
          <w:r>
            <w:t>- 197 -</w:t>
          </w:r>
          <w:r>
            <w:fldChar w:fldCharType="end"/>
          </w:r>
          <w:r>
            <w:rPr>
              <w:rFonts w:hint="default" w:ascii="Arial" w:hAnsi="Arial" w:eastAsia="宋体" w:cs="Arial"/>
              <w:bCs/>
              <w:color w:val="auto"/>
              <w:szCs w:val="24"/>
              <w:highlight w:val="none"/>
              <w:lang w:val="zh-CN"/>
            </w:rPr>
            <w:fldChar w:fldCharType="end"/>
          </w:r>
        </w:p>
        <w:p>
          <w:pPr>
            <w:pStyle w:val="34"/>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_Toc8250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10.9公众参与情况</w:t>
          </w:r>
          <w:r>
            <w:tab/>
          </w:r>
          <w:r>
            <w:fldChar w:fldCharType="begin"/>
          </w:r>
          <w:r>
            <w:instrText xml:space="preserve"> PAGEREF _Toc8250 \h </w:instrText>
          </w:r>
          <w:r>
            <w:fldChar w:fldCharType="separate"/>
          </w:r>
          <w:r>
            <w:t>- 197 -</w:t>
          </w:r>
          <w:r>
            <w:fldChar w:fldCharType="end"/>
          </w:r>
          <w:r>
            <w:rPr>
              <w:rFonts w:hint="default" w:ascii="Arial" w:hAnsi="Arial" w:eastAsia="宋体" w:cs="Arial"/>
              <w:bCs/>
              <w:color w:val="auto"/>
              <w:szCs w:val="24"/>
              <w:highlight w:val="none"/>
              <w:lang w:val="zh-CN"/>
            </w:rPr>
            <w:fldChar w:fldCharType="end"/>
          </w:r>
        </w:p>
        <w:p>
          <w:pPr>
            <w:pStyle w:val="34"/>
            <w:tabs>
              <w:tab w:val="right" w:leader="dot" w:pos="8787"/>
            </w:tabs>
          </w:pPr>
          <w:r>
            <w:rPr>
              <w:rFonts w:hint="default" w:ascii="Arial" w:hAnsi="Arial" w:eastAsia="宋体" w:cs="Arial"/>
              <w:bCs/>
              <w:color w:val="auto"/>
              <w:szCs w:val="24"/>
              <w:highlight w:val="none"/>
              <w:lang w:val="zh-CN"/>
            </w:rPr>
            <w:fldChar w:fldCharType="begin"/>
          </w:r>
          <w:r>
            <w:rPr>
              <w:rFonts w:hint="default" w:ascii="Arial" w:hAnsi="Arial" w:eastAsia="宋体" w:cs="Arial"/>
              <w:bCs/>
              <w:szCs w:val="24"/>
              <w:highlight w:val="none"/>
              <w:lang w:val="zh-CN"/>
            </w:rPr>
            <w:instrText xml:space="preserve"> HYPERLINK \l _Toc9236 </w:instrText>
          </w:r>
          <w:r>
            <w:rPr>
              <w:rFonts w:hint="default" w:ascii="Arial" w:hAnsi="Arial" w:eastAsia="宋体" w:cs="Arial"/>
              <w:bCs/>
              <w:szCs w:val="24"/>
              <w:highlight w:val="none"/>
              <w:lang w:val="zh-CN"/>
            </w:rPr>
            <w:fldChar w:fldCharType="separate"/>
          </w:r>
          <w:r>
            <w:rPr>
              <w:rFonts w:hint="default" w:ascii="Arial" w:hAnsi="Arial" w:eastAsia="宋体" w:cs="Arial"/>
              <w:highlight w:val="none"/>
            </w:rPr>
            <w:t>10.10总结论</w:t>
          </w:r>
          <w:r>
            <w:tab/>
          </w:r>
          <w:r>
            <w:fldChar w:fldCharType="begin"/>
          </w:r>
          <w:r>
            <w:instrText xml:space="preserve"> PAGEREF _Toc9236 \h </w:instrText>
          </w:r>
          <w:r>
            <w:fldChar w:fldCharType="separate"/>
          </w:r>
          <w:r>
            <w:t>- 197 -</w:t>
          </w:r>
          <w:r>
            <w:fldChar w:fldCharType="end"/>
          </w:r>
          <w:r>
            <w:rPr>
              <w:rFonts w:hint="default" w:ascii="Arial" w:hAnsi="Arial" w:eastAsia="宋体" w:cs="Arial"/>
              <w:bCs/>
              <w:color w:val="auto"/>
              <w:szCs w:val="24"/>
              <w:highlight w:val="none"/>
              <w:lang w:val="zh-CN"/>
            </w:rPr>
            <w:fldChar w:fldCharType="end"/>
          </w:r>
        </w:p>
        <w:p>
          <w:pPr>
            <w:pStyle w:val="34"/>
            <w:tabs>
              <w:tab w:val="right" w:leader="dot" w:pos="8777"/>
            </w:tabs>
            <w:ind w:left="480" w:firstLine="480"/>
            <w:jc w:val="center"/>
            <w:outlineLvl w:val="0"/>
            <w:rPr>
              <w:rFonts w:hint="default" w:ascii="Arial" w:hAnsi="Arial" w:eastAsia="宋体" w:cs="Arial"/>
              <w:color w:val="auto"/>
              <w:highlight w:val="none"/>
            </w:rPr>
          </w:pPr>
          <w:r>
            <w:rPr>
              <w:rFonts w:hint="default" w:ascii="Arial" w:hAnsi="Arial" w:eastAsia="宋体" w:cs="Arial"/>
              <w:bCs/>
              <w:color w:val="auto"/>
              <w:szCs w:val="24"/>
              <w:highlight w:val="none"/>
              <w:lang w:val="zh-CN"/>
            </w:rPr>
            <w:fldChar w:fldCharType="end"/>
          </w:r>
        </w:p>
      </w:sdtContent>
    </w:sdt>
    <w:p>
      <w:pPr>
        <w:keepNext w:val="0"/>
        <w:keepLines w:val="0"/>
        <w:pageBreakBefore w:val="0"/>
        <w:widowControl w:val="0"/>
        <w:kinsoku/>
        <w:wordWrap/>
        <w:topLinePunct/>
        <w:autoSpaceDN/>
        <w:bidi w:val="0"/>
        <w:adjustRightInd/>
        <w:snapToGrid/>
        <w:spacing w:line="360" w:lineRule="auto"/>
        <w:ind w:firstLine="0" w:firstLineChars="0"/>
        <w:textAlignment w:val="auto"/>
        <w:rPr>
          <w:rFonts w:hint="default" w:ascii="Arial" w:hAnsi="Arial" w:eastAsia="宋体" w:cs="Arial"/>
          <w:b/>
          <w:color w:val="auto"/>
          <w:sz w:val="32"/>
          <w:szCs w:val="32"/>
          <w:highlight w:val="none"/>
        </w:rPr>
      </w:pPr>
      <w:bookmarkStart w:id="48" w:name="_Toc521342071"/>
      <w:bookmarkStart w:id="49" w:name="_Toc521341562"/>
      <w:bookmarkStart w:id="50" w:name="_Toc523322238"/>
      <w:r>
        <w:rPr>
          <w:rFonts w:hint="default" w:ascii="Arial" w:hAnsi="Arial" w:eastAsia="宋体" w:cs="Arial"/>
          <w:b/>
          <w:color w:val="auto"/>
          <w:sz w:val="32"/>
          <w:szCs w:val="32"/>
          <w:highlight w:val="none"/>
        </w:rPr>
        <w:t>附件：</w:t>
      </w:r>
      <w:bookmarkEnd w:id="48"/>
      <w:bookmarkEnd w:id="49"/>
      <w:bookmarkEnd w:id="50"/>
    </w:p>
    <w:p>
      <w:pPr>
        <w:keepNext w:val="0"/>
        <w:keepLines w:val="0"/>
        <w:pageBreakBefore w:val="0"/>
        <w:widowControl w:val="0"/>
        <w:kinsoku/>
        <w:wordWrap/>
        <w:overflowPunct w:val="0"/>
        <w:topLinePunct/>
        <w:autoSpaceDE/>
        <w:autoSpaceDN/>
        <w:bidi w:val="0"/>
        <w:adjustRightInd/>
        <w:snapToGrid/>
        <w:spacing w:line="360" w:lineRule="auto"/>
        <w:ind w:firstLine="480"/>
        <w:textAlignment w:val="auto"/>
        <w:rPr>
          <w:rFonts w:hint="default" w:ascii="Arial" w:hAnsi="Arial" w:eastAsia="宋体" w:cs="Arial"/>
          <w:bCs/>
          <w:color w:val="auto"/>
          <w:szCs w:val="21"/>
          <w:highlight w:val="none"/>
        </w:rPr>
      </w:pPr>
      <w:r>
        <w:rPr>
          <w:rFonts w:hint="default" w:ascii="Arial" w:hAnsi="Arial" w:eastAsia="宋体" w:cs="Arial"/>
          <w:color w:val="auto"/>
          <w:szCs w:val="24"/>
          <w:highlight w:val="none"/>
        </w:rPr>
        <w:t>附件1    委托书</w:t>
      </w:r>
    </w:p>
    <w:p>
      <w:pPr>
        <w:keepNext w:val="0"/>
        <w:keepLines w:val="0"/>
        <w:pageBreakBefore w:val="0"/>
        <w:widowControl w:val="0"/>
        <w:kinsoku/>
        <w:wordWrap/>
        <w:overflowPunct w:val="0"/>
        <w:topLinePunct/>
        <w:autoSpaceDE/>
        <w:autoSpaceDN/>
        <w:bidi w:val="0"/>
        <w:adjustRightInd/>
        <w:snapToGrid/>
        <w:spacing w:line="360" w:lineRule="auto"/>
        <w:ind w:firstLine="480"/>
        <w:textAlignment w:val="auto"/>
        <w:rPr>
          <w:rFonts w:hint="default" w:ascii="Arial" w:hAnsi="Arial" w:eastAsia="宋体" w:cs="Arial"/>
          <w:bCs/>
          <w:color w:val="auto"/>
          <w:szCs w:val="21"/>
          <w:highlight w:val="none"/>
          <w:lang w:eastAsia="zh-CN"/>
        </w:rPr>
      </w:pPr>
      <w:r>
        <w:rPr>
          <w:rFonts w:hint="default" w:ascii="Arial" w:hAnsi="Arial" w:eastAsia="宋体" w:cs="Arial"/>
          <w:color w:val="auto"/>
          <w:szCs w:val="24"/>
          <w:highlight w:val="none"/>
        </w:rPr>
        <w:t>附件</w:t>
      </w:r>
      <w:r>
        <w:rPr>
          <w:rFonts w:hint="default" w:ascii="Arial" w:hAnsi="Arial" w:eastAsia="宋体" w:cs="Arial"/>
          <w:color w:val="auto"/>
          <w:szCs w:val="24"/>
          <w:highlight w:val="none"/>
          <w:lang w:val="en-US" w:eastAsia="zh-CN"/>
        </w:rPr>
        <w:t>2</w:t>
      </w:r>
      <w:r>
        <w:rPr>
          <w:rFonts w:hint="default" w:ascii="Arial" w:hAnsi="Arial" w:eastAsia="宋体" w:cs="Arial"/>
          <w:color w:val="auto"/>
          <w:szCs w:val="24"/>
          <w:highlight w:val="none"/>
        </w:rPr>
        <w:t xml:space="preserve">    </w:t>
      </w:r>
      <w:r>
        <w:rPr>
          <w:rFonts w:hint="default" w:ascii="Arial" w:hAnsi="Arial" w:eastAsia="宋体" w:cs="Arial"/>
          <w:color w:val="auto"/>
          <w:szCs w:val="24"/>
          <w:highlight w:val="none"/>
          <w:lang w:eastAsia="zh-CN"/>
        </w:rPr>
        <w:t>项目备案告知书</w:t>
      </w:r>
    </w:p>
    <w:p>
      <w:pPr>
        <w:keepNext w:val="0"/>
        <w:keepLines w:val="0"/>
        <w:pageBreakBefore w:val="0"/>
        <w:widowControl w:val="0"/>
        <w:kinsoku/>
        <w:wordWrap/>
        <w:overflowPunct w:val="0"/>
        <w:topLinePunct/>
        <w:autoSpaceDE/>
        <w:autoSpaceDN/>
        <w:bidi w:val="0"/>
        <w:adjustRightInd/>
        <w:snapToGrid/>
        <w:spacing w:line="360" w:lineRule="auto"/>
        <w:ind w:firstLine="480"/>
        <w:textAlignment w:val="auto"/>
        <w:rPr>
          <w:rFonts w:hint="default" w:ascii="Arial" w:hAnsi="Arial" w:eastAsia="宋体" w:cs="Arial"/>
          <w:bCs/>
          <w:color w:val="auto"/>
          <w:szCs w:val="21"/>
          <w:highlight w:val="none"/>
          <w:lang w:eastAsia="zh-CN"/>
        </w:rPr>
      </w:pPr>
      <w:r>
        <w:rPr>
          <w:rFonts w:hint="default" w:ascii="Arial" w:hAnsi="Arial" w:eastAsia="宋体" w:cs="Arial"/>
          <w:color w:val="auto"/>
          <w:szCs w:val="24"/>
          <w:highlight w:val="none"/>
        </w:rPr>
        <w:t>附件</w:t>
      </w:r>
      <w:r>
        <w:rPr>
          <w:rFonts w:hint="default" w:ascii="Arial" w:hAnsi="Arial" w:eastAsia="宋体" w:cs="Arial"/>
          <w:color w:val="auto"/>
          <w:szCs w:val="24"/>
          <w:highlight w:val="none"/>
          <w:lang w:val="en-US" w:eastAsia="zh-CN"/>
        </w:rPr>
        <w:t>3</w:t>
      </w:r>
      <w:r>
        <w:rPr>
          <w:rFonts w:hint="default" w:ascii="Arial" w:hAnsi="Arial" w:eastAsia="宋体" w:cs="Arial"/>
          <w:color w:val="auto"/>
          <w:szCs w:val="24"/>
          <w:highlight w:val="none"/>
        </w:rPr>
        <w:t xml:space="preserve">    </w:t>
      </w:r>
      <w:r>
        <w:rPr>
          <w:rFonts w:hint="default" w:ascii="Arial" w:hAnsi="Arial" w:eastAsia="宋体" w:cs="Arial"/>
          <w:color w:val="auto"/>
          <w:szCs w:val="24"/>
          <w:highlight w:val="none"/>
          <w:lang w:eastAsia="zh-CN"/>
        </w:rPr>
        <w:t>五原县人民政府县长办公会议纪要</w:t>
      </w:r>
    </w:p>
    <w:p>
      <w:pPr>
        <w:keepNext w:val="0"/>
        <w:keepLines w:val="0"/>
        <w:pageBreakBefore w:val="0"/>
        <w:widowControl w:val="0"/>
        <w:kinsoku/>
        <w:wordWrap/>
        <w:overflowPunct w:val="0"/>
        <w:topLinePunct/>
        <w:autoSpaceDE/>
        <w:autoSpaceDN/>
        <w:bidi w:val="0"/>
        <w:adjustRightInd/>
        <w:snapToGrid/>
        <w:spacing w:line="360" w:lineRule="auto"/>
        <w:ind w:firstLine="480"/>
        <w:textAlignment w:val="auto"/>
        <w:rPr>
          <w:rFonts w:hint="default" w:ascii="Arial" w:hAnsi="Arial" w:eastAsia="宋体" w:cs="Arial"/>
          <w:bCs/>
          <w:color w:val="auto"/>
          <w:szCs w:val="21"/>
          <w:highlight w:val="none"/>
          <w:lang w:eastAsia="zh-CN"/>
        </w:rPr>
      </w:pPr>
      <w:r>
        <w:rPr>
          <w:rFonts w:hint="default" w:ascii="Arial" w:hAnsi="Arial" w:eastAsia="宋体" w:cs="Arial"/>
          <w:color w:val="auto"/>
          <w:szCs w:val="24"/>
          <w:highlight w:val="none"/>
        </w:rPr>
        <w:t>附件</w:t>
      </w:r>
      <w:r>
        <w:rPr>
          <w:rFonts w:hint="default" w:ascii="Arial" w:hAnsi="Arial" w:eastAsia="宋体" w:cs="Arial"/>
          <w:color w:val="auto"/>
          <w:szCs w:val="24"/>
          <w:highlight w:val="none"/>
          <w:lang w:val="en-US" w:eastAsia="zh-CN"/>
        </w:rPr>
        <w:t>4</w:t>
      </w:r>
      <w:r>
        <w:rPr>
          <w:rFonts w:hint="default" w:ascii="Arial" w:hAnsi="Arial" w:eastAsia="宋体" w:cs="Arial"/>
          <w:color w:val="auto"/>
          <w:szCs w:val="24"/>
          <w:highlight w:val="none"/>
        </w:rPr>
        <w:t xml:space="preserve">    </w:t>
      </w:r>
      <w:r>
        <w:rPr>
          <w:rFonts w:hint="default" w:ascii="Arial" w:hAnsi="Arial" w:eastAsia="宋体" w:cs="Arial"/>
          <w:color w:val="auto"/>
          <w:szCs w:val="24"/>
          <w:highlight w:val="none"/>
          <w:lang w:eastAsia="zh-CN"/>
        </w:rPr>
        <w:t>天吉泰镇二合永村五社未利用荒地流转协议</w:t>
      </w:r>
    </w:p>
    <w:p>
      <w:pPr>
        <w:keepNext w:val="0"/>
        <w:keepLines w:val="0"/>
        <w:pageBreakBefore w:val="0"/>
        <w:widowControl w:val="0"/>
        <w:kinsoku/>
        <w:wordWrap/>
        <w:overflowPunct w:val="0"/>
        <w:topLinePunct/>
        <w:autoSpaceDE/>
        <w:autoSpaceDN/>
        <w:bidi w:val="0"/>
        <w:adjustRightInd/>
        <w:snapToGrid/>
        <w:spacing w:line="360" w:lineRule="auto"/>
        <w:ind w:firstLine="480"/>
        <w:textAlignment w:val="auto"/>
        <w:rPr>
          <w:rFonts w:hint="default" w:ascii="Arial" w:hAnsi="Arial" w:eastAsia="宋体" w:cs="Arial"/>
          <w:bCs/>
          <w:color w:val="auto"/>
          <w:szCs w:val="21"/>
          <w:highlight w:val="none"/>
          <w:lang w:eastAsia="zh-CN"/>
        </w:rPr>
      </w:pPr>
      <w:r>
        <w:rPr>
          <w:rFonts w:hint="default" w:ascii="Arial" w:hAnsi="Arial" w:eastAsia="宋体" w:cs="Arial"/>
          <w:color w:val="auto"/>
          <w:szCs w:val="24"/>
          <w:highlight w:val="none"/>
        </w:rPr>
        <w:t>附件</w:t>
      </w:r>
      <w:r>
        <w:rPr>
          <w:rFonts w:hint="default" w:ascii="Arial" w:hAnsi="Arial" w:eastAsia="宋体" w:cs="Arial"/>
          <w:color w:val="auto"/>
          <w:szCs w:val="24"/>
          <w:highlight w:val="none"/>
          <w:lang w:val="en-US" w:eastAsia="zh-CN"/>
        </w:rPr>
        <w:t>5</w:t>
      </w:r>
      <w:r>
        <w:rPr>
          <w:rFonts w:hint="default" w:ascii="Arial" w:hAnsi="Arial" w:eastAsia="宋体" w:cs="Arial"/>
          <w:color w:val="auto"/>
          <w:szCs w:val="24"/>
          <w:highlight w:val="none"/>
        </w:rPr>
        <w:t xml:space="preserve">    环境质量现状监测报告</w:t>
      </w:r>
    </w:p>
    <w:p>
      <w:pPr>
        <w:widowControl/>
        <w:topLinePunct w:val="0"/>
        <w:autoSpaceDE/>
        <w:spacing w:before="120" w:after="120"/>
        <w:ind w:firstLine="0" w:firstLineChars="0"/>
        <w:rPr>
          <w:rFonts w:hint="default" w:ascii="Arial" w:hAnsi="Arial" w:eastAsia="宋体" w:cs="Arial"/>
          <w:color w:val="auto"/>
          <w:highlight w:val="none"/>
        </w:rPr>
      </w:pPr>
    </w:p>
    <w:p>
      <w:pPr>
        <w:pStyle w:val="47"/>
        <w:ind w:left="0" w:leftChars="0" w:firstLine="0" w:firstLineChars="0"/>
        <w:rPr>
          <w:rFonts w:hint="default" w:ascii="Arial" w:hAnsi="Arial" w:eastAsia="宋体" w:cs="Arial"/>
          <w:color w:val="auto"/>
          <w:highlight w:val="none"/>
        </w:rPr>
      </w:pPr>
    </w:p>
    <w:p>
      <w:pPr>
        <w:pStyle w:val="47"/>
        <w:rPr>
          <w:rFonts w:hint="default" w:ascii="Arial" w:hAnsi="Arial" w:eastAsia="宋体" w:cs="Arial"/>
          <w:color w:val="auto"/>
          <w:highlight w:val="none"/>
        </w:rPr>
        <w:sectPr>
          <w:footerReference r:id="rId9" w:type="default"/>
          <w:pgSz w:w="11906" w:h="16838"/>
          <w:pgMar w:top="1418" w:right="1418" w:bottom="1247" w:left="1701" w:header="851" w:footer="680" w:gutter="0"/>
          <w:pgBorders>
            <w:top w:val="none" w:sz="0" w:space="0"/>
            <w:left w:val="none" w:sz="0" w:space="0"/>
            <w:bottom w:val="none" w:sz="0" w:space="0"/>
            <w:right w:val="none" w:sz="0" w:space="0"/>
          </w:pgBorders>
          <w:pgNumType w:fmt="upperRoman" w:start="1"/>
          <w:cols w:space="425" w:num="1"/>
          <w:docGrid w:linePitch="326" w:charSpace="0"/>
        </w:sectPr>
      </w:pPr>
    </w:p>
    <w:p>
      <w:pPr>
        <w:pStyle w:val="4"/>
        <w:pageBreakBefore w:val="0"/>
        <w:widowControl w:val="0"/>
        <w:kinsoku/>
        <w:wordWrap/>
        <w:overflowPunct w:val="0"/>
        <w:topLinePunct/>
        <w:autoSpaceDE w:val="0"/>
        <w:autoSpaceDN/>
        <w:bidi w:val="0"/>
        <w:adjustRightInd/>
        <w:snapToGrid/>
        <w:textAlignment w:val="auto"/>
        <w:rPr>
          <w:rFonts w:hint="default" w:ascii="Arial" w:hAnsi="Arial" w:eastAsia="宋体" w:cs="Arial"/>
          <w:bCs w:val="0"/>
          <w:color w:val="auto"/>
          <w:szCs w:val="22"/>
          <w:highlight w:val="none"/>
        </w:rPr>
      </w:pPr>
      <w:bookmarkStart w:id="51" w:name="_Toc1245"/>
      <w:r>
        <w:rPr>
          <w:rFonts w:hint="default" w:ascii="Arial" w:hAnsi="Arial" w:eastAsia="宋体" w:cs="Arial"/>
          <w:bCs w:val="0"/>
          <w:color w:val="auto"/>
          <w:szCs w:val="22"/>
          <w:highlight w:val="none"/>
        </w:rPr>
        <w:t>1概述</w:t>
      </w:r>
      <w:bookmarkEnd w:id="51"/>
    </w:p>
    <w:p>
      <w:pPr>
        <w:pStyle w:val="5"/>
        <w:pageBreakBefore w:val="0"/>
        <w:widowControl w:val="0"/>
        <w:kinsoku/>
        <w:wordWrap/>
        <w:overflowPunct w:val="0"/>
        <w:topLinePunct/>
        <w:autoSpaceDE w:val="0"/>
        <w:autoSpaceDN/>
        <w:bidi w:val="0"/>
        <w:adjustRightInd/>
        <w:snapToGrid/>
        <w:textAlignment w:val="auto"/>
        <w:rPr>
          <w:rFonts w:hint="default" w:ascii="Arial" w:hAnsi="Arial" w:eastAsia="宋体" w:cs="Arial"/>
          <w:bCs w:val="0"/>
          <w:color w:val="auto"/>
          <w:szCs w:val="22"/>
          <w:highlight w:val="none"/>
        </w:rPr>
      </w:pPr>
      <w:bookmarkStart w:id="52" w:name="_Toc26210"/>
      <w:bookmarkStart w:id="53" w:name="_Toc512871513"/>
      <w:r>
        <w:rPr>
          <w:rFonts w:hint="default" w:ascii="Arial" w:hAnsi="Arial" w:eastAsia="宋体" w:cs="Arial"/>
          <w:bCs w:val="0"/>
          <w:color w:val="auto"/>
          <w:szCs w:val="22"/>
          <w:highlight w:val="none"/>
        </w:rPr>
        <w:t>1.1项目建设背景</w:t>
      </w:r>
      <w:bookmarkEnd w:id="52"/>
      <w:bookmarkEnd w:id="53"/>
    </w:p>
    <w:p>
      <w:pPr>
        <w:pageBreakBefore w:val="0"/>
        <w:widowControl w:val="0"/>
        <w:kinsoku/>
        <w:wordWrap/>
        <w:topLinePunct/>
        <w:autoSpaceDE w:val="0"/>
        <w:autoSpaceDN/>
        <w:bidi w:val="0"/>
        <w:adjustRightInd/>
        <w:snapToGrid/>
        <w:ind w:firstLine="480"/>
        <w:textAlignment w:val="auto"/>
        <w:rPr>
          <w:rFonts w:hint="default" w:ascii="Arial" w:hAnsi="Arial" w:eastAsia="宋体" w:cs="Arial"/>
          <w:color w:val="auto"/>
        </w:rPr>
      </w:pPr>
      <w:r>
        <w:rPr>
          <w:rFonts w:hint="default" w:ascii="Arial" w:hAnsi="Arial" w:eastAsia="宋体" w:cs="Arial"/>
          <w:color w:val="auto"/>
        </w:rPr>
        <w:t>近年来，我国畜牧业取得了长足发展，综合生产能力显著提高，肉、蛋、奶等主要畜产品产量居世界前列，畜牧业已经成为我国农业农村经济的支柱产业和农民收入的重要来源，进入了一个生产不断发展、质量稳步提高、综合生产能力不断增强的新阶段。但我国畜牧业发展中也存在生产方式落后，产业结构和布局不合理，组织化程度低，市场竞争力不强，支持保障体系不健全，抵御风险能力弱，优良种畜的比例有待进一步提高等问题。</w:t>
      </w:r>
    </w:p>
    <w:p>
      <w:pPr>
        <w:pageBreakBefore w:val="0"/>
        <w:widowControl w:val="0"/>
        <w:kinsoku/>
        <w:wordWrap/>
        <w:topLinePunct/>
        <w:autoSpaceDE w:val="0"/>
        <w:autoSpaceDN/>
        <w:bidi w:val="0"/>
        <w:adjustRightInd/>
        <w:snapToGrid/>
        <w:ind w:firstLine="480"/>
        <w:textAlignment w:val="auto"/>
        <w:rPr>
          <w:rFonts w:hint="default" w:ascii="Arial" w:hAnsi="Arial" w:eastAsia="宋体" w:cs="Arial"/>
          <w:color w:val="auto"/>
        </w:rPr>
      </w:pPr>
      <w:r>
        <w:rPr>
          <w:rFonts w:hint="default" w:ascii="Arial" w:hAnsi="Arial" w:eastAsia="宋体" w:cs="Arial"/>
          <w:color w:val="auto"/>
        </w:rPr>
        <w:t>其中，肉牛养殖是国家大力提倡、扶持发展的重点发展产业，支持规模化饲养，加强品种改良，符合国家农业政策。配合我国种植业结构逐步调整为“粮、经、饲”三元结构，增产饲料的潜力巨大，为发展肉牛产业提供了强大的资源保障。据中华人民共和国2019年国民经济和社会发展统计公报发布的信息，初步核算我国2019年全年国内生产总值990865亿元，比上年增长6.1%。其中，第一产业增加值70467亿元，增长3.1%，我国已然是一个畜牧业大国，肉类、禽蛋总产量均居世界首位。</w:t>
      </w:r>
    </w:p>
    <w:p>
      <w:pPr>
        <w:pageBreakBefore w:val="0"/>
        <w:widowControl w:val="0"/>
        <w:kinsoku/>
        <w:wordWrap/>
        <w:topLinePunct/>
        <w:autoSpaceDE w:val="0"/>
        <w:autoSpaceDN/>
        <w:bidi w:val="0"/>
        <w:adjustRightInd/>
        <w:snapToGrid/>
        <w:ind w:firstLine="480"/>
        <w:textAlignment w:val="auto"/>
        <w:rPr>
          <w:rFonts w:hint="default" w:ascii="Arial" w:hAnsi="Arial" w:eastAsia="宋体" w:cs="Arial"/>
          <w:color w:val="auto"/>
          <w:lang w:eastAsia="zh-CN"/>
        </w:rPr>
      </w:pPr>
      <w:r>
        <w:rPr>
          <w:rFonts w:hint="default" w:ascii="Arial" w:hAnsi="Arial" w:eastAsia="宋体" w:cs="Arial"/>
          <w:color w:val="auto"/>
        </w:rPr>
        <w:t>受产业扶贫和部分省份“增羊增牛”政策带动，</w:t>
      </w:r>
      <w:r>
        <w:rPr>
          <w:rFonts w:hint="default" w:ascii="Arial" w:hAnsi="Arial" w:eastAsia="宋体" w:cs="Arial"/>
          <w:color w:val="auto"/>
          <w:lang w:eastAsia="zh-CN"/>
        </w:rPr>
        <w:t>近年来</w:t>
      </w:r>
      <w:r>
        <w:rPr>
          <w:rFonts w:hint="default" w:ascii="Arial" w:hAnsi="Arial" w:eastAsia="宋体" w:cs="Arial"/>
          <w:color w:val="auto"/>
        </w:rPr>
        <w:t>肉牛产业发展整体平稳，牛肉产量小幅增加，占肉类总产量的8.72%，养殖效益显著提升，牛肉消费需求持续增长，进口量进一步增加，肉牛产品价格保持高位运行</w:t>
      </w:r>
      <w:r>
        <w:rPr>
          <w:rFonts w:hint="default" w:ascii="Arial" w:hAnsi="Arial" w:eastAsia="宋体" w:cs="Arial"/>
          <w:color w:val="auto"/>
          <w:lang w:eastAsia="zh-CN"/>
        </w:rPr>
        <w:t>。</w:t>
      </w:r>
    </w:p>
    <w:p>
      <w:pPr>
        <w:pageBreakBefore w:val="0"/>
        <w:widowControl w:val="0"/>
        <w:kinsoku/>
        <w:wordWrap/>
        <w:topLinePunct/>
        <w:autoSpaceDE w:val="0"/>
        <w:autoSpaceDN/>
        <w:bidi w:val="0"/>
        <w:adjustRightInd/>
        <w:snapToGrid/>
        <w:ind w:firstLine="480"/>
        <w:textAlignment w:val="auto"/>
        <w:rPr>
          <w:rFonts w:hint="default" w:ascii="Arial" w:hAnsi="Arial" w:eastAsia="宋体" w:cs="Arial"/>
          <w:color w:val="auto"/>
          <w:lang w:val="en-US" w:eastAsia="zh-CN"/>
        </w:rPr>
      </w:pPr>
      <w:r>
        <w:rPr>
          <w:rFonts w:hint="default" w:ascii="Arial" w:hAnsi="Arial" w:eastAsia="宋体" w:cs="Arial"/>
          <w:color w:val="auto"/>
        </w:rPr>
        <w:t>在此背景下</w:t>
      </w:r>
      <w:r>
        <w:rPr>
          <w:rFonts w:hint="default" w:ascii="Arial" w:hAnsi="Arial" w:eastAsia="宋体" w:cs="Arial"/>
          <w:color w:val="auto"/>
          <w:lang w:eastAsia="zh-CN"/>
        </w:rPr>
        <w:t>五原县天吉泰镇宏腾养殖专业合作社</w:t>
      </w:r>
      <w:r>
        <w:rPr>
          <w:rFonts w:hint="default" w:ascii="Arial" w:hAnsi="Arial" w:eastAsia="宋体" w:cs="Arial"/>
          <w:color w:val="auto"/>
        </w:rPr>
        <w:t>利用当地养殖业的资源优势</w:t>
      </w:r>
      <w:r>
        <w:rPr>
          <w:rFonts w:hint="default" w:ascii="Arial" w:hAnsi="Arial" w:eastAsia="宋体" w:cs="Arial"/>
          <w:color w:val="auto"/>
          <w:lang w:eastAsia="zh-CN"/>
        </w:rPr>
        <w:t>，</w:t>
      </w:r>
      <w:r>
        <w:rPr>
          <w:rFonts w:hint="default" w:ascii="Arial" w:hAnsi="Arial" w:eastAsia="宋体" w:cs="Arial"/>
          <w:color w:val="auto"/>
        </w:rPr>
        <w:t>拟在巴彦淖尔市五原县天吉泰镇二合永村五社建设</w:t>
      </w:r>
      <w:r>
        <w:rPr>
          <w:rFonts w:hint="default" w:ascii="Arial" w:hAnsi="Arial" w:eastAsia="宋体" w:cs="Arial"/>
          <w:color w:val="auto"/>
          <w:lang w:eastAsia="zh-CN"/>
        </w:rPr>
        <w:t>“五原县天吉泰镇宏腾肉牛养殖示范基地建设项目”</w:t>
      </w:r>
      <w:r>
        <w:rPr>
          <w:rFonts w:hint="default" w:ascii="Arial" w:hAnsi="Arial" w:eastAsia="宋体" w:cs="Arial"/>
          <w:color w:val="auto"/>
        </w:rPr>
        <w:t>，主要建设</w:t>
      </w:r>
      <w:r>
        <w:rPr>
          <w:rFonts w:hint="default" w:ascii="Arial" w:hAnsi="Arial" w:eastAsia="宋体" w:cs="Arial"/>
          <w:color w:val="auto"/>
          <w:lang w:eastAsia="zh-CN"/>
        </w:rPr>
        <w:t>存栏</w:t>
      </w:r>
      <w:r>
        <w:rPr>
          <w:rFonts w:hint="default" w:ascii="Arial" w:hAnsi="Arial" w:eastAsia="宋体" w:cs="Arial"/>
          <w:color w:val="auto"/>
          <w:lang w:val="en-US" w:eastAsia="zh-CN"/>
        </w:rPr>
        <w:t>10000只肉牛，</w:t>
      </w:r>
      <w:r>
        <w:rPr>
          <w:rFonts w:hint="default" w:ascii="Arial" w:hAnsi="Arial" w:eastAsia="宋体" w:cs="Arial"/>
          <w:color w:val="auto"/>
        </w:rPr>
        <w:t>年</w:t>
      </w:r>
      <w:r>
        <w:rPr>
          <w:rFonts w:hint="default" w:ascii="Arial" w:hAnsi="Arial" w:eastAsia="宋体" w:cs="Arial"/>
          <w:color w:val="auto"/>
          <w:lang w:eastAsia="zh-CN"/>
        </w:rPr>
        <w:t>出栏</w:t>
      </w:r>
      <w:r>
        <w:rPr>
          <w:rFonts w:hint="default" w:ascii="Arial" w:hAnsi="Arial" w:eastAsia="宋体" w:cs="Arial"/>
          <w:color w:val="auto"/>
          <w:lang w:val="en-US" w:eastAsia="zh-CN"/>
        </w:rPr>
        <w:t>5000头肉牛，养殖场占地总面积为216200m</w:t>
      </w:r>
      <w:r>
        <w:rPr>
          <w:rFonts w:hint="default" w:ascii="Arial" w:hAnsi="Arial" w:eastAsia="宋体" w:cs="Arial"/>
          <w:color w:val="auto"/>
          <w:vertAlign w:val="superscript"/>
          <w:lang w:val="en-US" w:eastAsia="zh-CN"/>
        </w:rPr>
        <w:t>2</w:t>
      </w:r>
      <w:r>
        <w:rPr>
          <w:rFonts w:hint="default" w:ascii="Arial" w:hAnsi="Arial" w:eastAsia="宋体" w:cs="Arial"/>
          <w:color w:val="auto"/>
        </w:rPr>
        <w:t>，</w:t>
      </w:r>
      <w:r>
        <w:rPr>
          <w:rFonts w:hint="default" w:ascii="Arial" w:hAnsi="Arial" w:eastAsia="宋体" w:cs="Arial"/>
          <w:color w:val="auto"/>
          <w:lang w:eastAsia="zh-CN"/>
        </w:rPr>
        <w:t>建设</w:t>
      </w:r>
      <w:r>
        <w:rPr>
          <w:rFonts w:hint="default" w:ascii="Arial" w:hAnsi="Arial" w:eastAsia="宋体" w:cs="Arial"/>
          <w:color w:val="auto"/>
          <w:lang w:val="en-US" w:eastAsia="zh-CN"/>
        </w:rPr>
        <w:t>8个标准化单元区：每个单元区建设养殖圈舍25000m</w:t>
      </w:r>
      <w:r>
        <w:rPr>
          <w:rFonts w:hint="default" w:ascii="Arial" w:hAnsi="Arial" w:eastAsia="宋体" w:cs="Arial"/>
          <w:color w:val="auto"/>
          <w:vertAlign w:val="superscript"/>
          <w:lang w:val="en-US" w:eastAsia="zh-CN"/>
        </w:rPr>
        <w:t>2</w:t>
      </w:r>
      <w:r>
        <w:rPr>
          <w:rFonts w:hint="default" w:ascii="Arial" w:hAnsi="Arial" w:eastAsia="宋体" w:cs="Arial"/>
          <w:color w:val="auto"/>
          <w:lang w:val="en-US" w:eastAsia="zh-CN"/>
        </w:rPr>
        <w:t>，饲草料库房1000m</w:t>
      </w:r>
      <w:r>
        <w:rPr>
          <w:rFonts w:hint="default" w:ascii="Arial" w:hAnsi="Arial" w:eastAsia="宋体" w:cs="Arial"/>
          <w:color w:val="auto"/>
          <w:vertAlign w:val="superscript"/>
          <w:lang w:val="en-US" w:eastAsia="zh-CN"/>
        </w:rPr>
        <w:t>2</w:t>
      </w:r>
      <w:r>
        <w:rPr>
          <w:rFonts w:hint="default" w:ascii="Arial" w:hAnsi="Arial" w:eastAsia="宋体" w:cs="Arial"/>
          <w:color w:val="auto"/>
          <w:lang w:val="en-US" w:eastAsia="zh-CN"/>
        </w:rPr>
        <w:t>，办公区150m</w:t>
      </w:r>
      <w:r>
        <w:rPr>
          <w:rFonts w:hint="default" w:ascii="Arial" w:hAnsi="Arial" w:eastAsia="宋体" w:cs="Arial"/>
          <w:color w:val="auto"/>
          <w:vertAlign w:val="superscript"/>
          <w:lang w:val="en-US" w:eastAsia="zh-CN"/>
        </w:rPr>
        <w:t>2</w:t>
      </w:r>
      <w:r>
        <w:rPr>
          <w:rFonts w:hint="default" w:ascii="Arial" w:hAnsi="Arial" w:eastAsia="宋体" w:cs="Arial"/>
          <w:color w:val="auto"/>
          <w:lang w:val="en-US" w:eastAsia="zh-CN"/>
        </w:rPr>
        <w:t>，青贮池容积750m</w:t>
      </w:r>
      <w:r>
        <w:rPr>
          <w:rFonts w:hint="default" w:ascii="Arial" w:hAnsi="Arial" w:eastAsia="宋体" w:cs="Arial"/>
          <w:color w:val="auto"/>
          <w:vertAlign w:val="superscript"/>
          <w:lang w:val="en-US" w:eastAsia="zh-CN"/>
        </w:rPr>
        <w:t>2</w:t>
      </w:r>
      <w:r>
        <w:rPr>
          <w:rFonts w:hint="default" w:ascii="Arial" w:hAnsi="Arial" w:eastAsia="宋体" w:cs="Arial"/>
          <w:color w:val="auto"/>
          <w:lang w:eastAsia="zh-CN"/>
        </w:rPr>
        <w:t>；</w:t>
      </w:r>
      <w:r>
        <w:rPr>
          <w:rFonts w:hint="default" w:ascii="Arial" w:hAnsi="Arial" w:eastAsia="宋体" w:cs="Arial"/>
          <w:color w:val="auto"/>
          <w:lang w:val="en-US" w:eastAsia="zh-CN"/>
        </w:rPr>
        <w:t>并进行相应的给排水，供电，供暖，通风，消防，道路及地面硬化，绿化等配套设施建设。</w:t>
      </w:r>
    </w:p>
    <w:p>
      <w:pPr>
        <w:pStyle w:val="5"/>
        <w:pageBreakBefore w:val="0"/>
        <w:widowControl w:val="0"/>
        <w:kinsoku/>
        <w:wordWrap/>
        <w:topLinePunct/>
        <w:autoSpaceDE w:val="0"/>
        <w:autoSpaceDN/>
        <w:bidi w:val="0"/>
        <w:adjustRightInd/>
        <w:snapToGrid/>
        <w:textAlignment w:val="auto"/>
        <w:rPr>
          <w:rFonts w:hint="default" w:ascii="Arial" w:hAnsi="Arial" w:eastAsia="宋体" w:cs="Arial"/>
          <w:color w:val="auto"/>
          <w:highlight w:val="none"/>
        </w:rPr>
      </w:pPr>
      <w:bookmarkStart w:id="54" w:name="_Toc19824"/>
      <w:bookmarkStart w:id="55" w:name="_Toc512871514"/>
      <w:r>
        <w:rPr>
          <w:rFonts w:hint="default" w:ascii="Arial" w:hAnsi="Arial" w:eastAsia="宋体" w:cs="Arial"/>
          <w:color w:val="auto"/>
          <w:highlight w:val="none"/>
        </w:rPr>
        <w:t>1.2建设项目特点</w:t>
      </w:r>
      <w:bookmarkEnd w:id="54"/>
      <w:bookmarkEnd w:id="55"/>
    </w:p>
    <w:p>
      <w:pPr>
        <w:pageBreakBefore w:val="0"/>
        <w:widowControl w:val="0"/>
        <w:kinsoku/>
        <w:wordWrap/>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（1）本项目</w:t>
      </w:r>
      <w:r>
        <w:rPr>
          <w:rFonts w:hint="default" w:ascii="Arial" w:hAnsi="Arial" w:eastAsia="宋体" w:cs="Arial"/>
          <w:color w:val="auto"/>
          <w:highlight w:val="none"/>
          <w:lang w:eastAsia="zh-CN"/>
        </w:rPr>
        <w:t>为规模化肉牛养殖项目</w:t>
      </w:r>
      <w:r>
        <w:rPr>
          <w:rFonts w:hint="default" w:ascii="Arial" w:hAnsi="Arial" w:eastAsia="宋体" w:cs="Arial"/>
          <w:color w:val="auto"/>
          <w:highlight w:val="none"/>
        </w:rPr>
        <w:t>，属于《国民经济行业分类》（GB/T4754-2017）中“A0311牛的饲养”；</w:t>
      </w:r>
    </w:p>
    <w:p>
      <w:pPr>
        <w:pageBreakBefore w:val="0"/>
        <w:widowControl w:val="0"/>
        <w:kinsoku/>
        <w:wordWrap/>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（2）关注的主要环境问题为</w:t>
      </w:r>
      <w:r>
        <w:rPr>
          <w:rFonts w:hint="default" w:ascii="Arial" w:hAnsi="Arial" w:eastAsia="宋体" w:cs="Arial"/>
          <w:color w:val="auto"/>
          <w:highlight w:val="none"/>
          <w:lang w:eastAsia="zh-CN"/>
        </w:rPr>
        <w:t>：本</w:t>
      </w:r>
      <w:r>
        <w:rPr>
          <w:rFonts w:hint="default" w:ascii="Arial" w:hAnsi="Arial" w:eastAsia="宋体" w:cs="Arial"/>
          <w:color w:val="auto"/>
          <w:highlight w:val="none"/>
        </w:rPr>
        <w:t>项目</w:t>
      </w:r>
      <w:r>
        <w:rPr>
          <w:rFonts w:hint="default" w:ascii="Arial" w:hAnsi="Arial" w:eastAsia="宋体" w:cs="Arial"/>
          <w:color w:val="auto"/>
          <w:highlight w:val="none"/>
          <w:lang w:eastAsia="zh-CN"/>
        </w:rPr>
        <w:t>实施</w:t>
      </w:r>
      <w:r>
        <w:rPr>
          <w:rFonts w:hint="default" w:ascii="Arial" w:hAnsi="Arial" w:eastAsia="宋体" w:cs="Arial"/>
          <w:color w:val="auto"/>
          <w:highlight w:val="none"/>
        </w:rPr>
        <w:t>后产生的恶臭污染物</w:t>
      </w:r>
      <w:r>
        <w:rPr>
          <w:rFonts w:hint="default" w:ascii="Arial" w:hAnsi="Arial" w:eastAsia="宋体" w:cs="Arial"/>
          <w:color w:val="auto"/>
          <w:highlight w:val="none"/>
          <w:lang w:eastAsia="zh-CN"/>
        </w:rPr>
        <w:t>经环保</w:t>
      </w:r>
      <w:r>
        <w:rPr>
          <w:rFonts w:hint="default" w:ascii="Arial" w:hAnsi="Arial" w:eastAsia="宋体" w:cs="Arial"/>
          <w:color w:val="auto"/>
          <w:highlight w:val="none"/>
        </w:rPr>
        <w:t>措施</w:t>
      </w:r>
      <w:r>
        <w:rPr>
          <w:rFonts w:hint="default" w:ascii="Arial" w:hAnsi="Arial" w:eastAsia="宋体" w:cs="Arial"/>
          <w:color w:val="auto"/>
          <w:highlight w:val="none"/>
          <w:lang w:eastAsia="zh-CN"/>
        </w:rPr>
        <w:t>处理</w:t>
      </w:r>
      <w:r>
        <w:rPr>
          <w:rFonts w:hint="default" w:ascii="Arial" w:hAnsi="Arial" w:eastAsia="宋体" w:cs="Arial"/>
          <w:color w:val="auto"/>
          <w:highlight w:val="none"/>
        </w:rPr>
        <w:t>后</w:t>
      </w:r>
      <w:r>
        <w:rPr>
          <w:rFonts w:hint="default" w:ascii="Arial" w:hAnsi="Arial" w:eastAsia="宋体" w:cs="Arial"/>
          <w:color w:val="auto"/>
          <w:highlight w:val="none"/>
          <w:lang w:eastAsia="zh-CN"/>
        </w:rPr>
        <w:t>，</w:t>
      </w:r>
      <w:r>
        <w:rPr>
          <w:rFonts w:hint="default" w:ascii="Arial" w:hAnsi="Arial" w:eastAsia="宋体" w:cs="Arial"/>
          <w:color w:val="auto"/>
          <w:highlight w:val="none"/>
        </w:rPr>
        <w:t>能否达标排放；</w:t>
      </w:r>
      <w:r>
        <w:rPr>
          <w:rFonts w:hint="default" w:ascii="Arial" w:hAnsi="Arial" w:eastAsia="宋体" w:cs="Arial"/>
          <w:color w:val="auto"/>
          <w:highlight w:val="none"/>
          <w:lang w:eastAsia="zh-CN"/>
        </w:rPr>
        <w:t>养殖过程产生的</w:t>
      </w:r>
      <w:r>
        <w:rPr>
          <w:rFonts w:hint="default" w:ascii="Arial" w:hAnsi="Arial" w:eastAsia="宋体" w:cs="Arial"/>
          <w:color w:val="auto"/>
          <w:highlight w:val="none"/>
        </w:rPr>
        <w:t>粪污</w:t>
      </w:r>
      <w:r>
        <w:rPr>
          <w:rFonts w:hint="default" w:ascii="Arial" w:hAnsi="Arial" w:eastAsia="宋体" w:cs="Arial"/>
          <w:color w:val="auto"/>
          <w:highlight w:val="none"/>
          <w:lang w:eastAsia="zh-CN"/>
        </w:rPr>
        <w:t>经环保</w:t>
      </w:r>
      <w:r>
        <w:rPr>
          <w:rFonts w:hint="default" w:ascii="Arial" w:hAnsi="Arial" w:eastAsia="宋体" w:cs="Arial"/>
          <w:color w:val="auto"/>
          <w:highlight w:val="none"/>
        </w:rPr>
        <w:t>措施</w:t>
      </w:r>
      <w:r>
        <w:rPr>
          <w:rFonts w:hint="default" w:ascii="Arial" w:hAnsi="Arial" w:eastAsia="宋体" w:cs="Arial"/>
          <w:color w:val="auto"/>
          <w:highlight w:val="none"/>
          <w:lang w:eastAsia="zh-CN"/>
        </w:rPr>
        <w:t>处理</w:t>
      </w:r>
      <w:r>
        <w:rPr>
          <w:rFonts w:hint="default" w:ascii="Arial" w:hAnsi="Arial" w:eastAsia="宋体" w:cs="Arial"/>
          <w:color w:val="auto"/>
          <w:highlight w:val="none"/>
        </w:rPr>
        <w:t>后</w:t>
      </w:r>
      <w:r>
        <w:rPr>
          <w:rFonts w:hint="default" w:ascii="Arial" w:hAnsi="Arial" w:eastAsia="宋体" w:cs="Arial"/>
          <w:color w:val="auto"/>
          <w:highlight w:val="none"/>
          <w:lang w:eastAsia="zh-CN"/>
        </w:rPr>
        <w:t>，</w:t>
      </w:r>
      <w:r>
        <w:rPr>
          <w:rFonts w:hint="default" w:ascii="Arial" w:hAnsi="Arial" w:eastAsia="宋体" w:cs="Arial"/>
          <w:color w:val="auto"/>
          <w:highlight w:val="none"/>
        </w:rPr>
        <w:t>作为有机肥能否合理还田</w:t>
      </w:r>
      <w:r>
        <w:rPr>
          <w:rFonts w:hint="default" w:ascii="Arial" w:hAnsi="Arial" w:eastAsia="宋体" w:cs="Arial"/>
          <w:color w:val="auto"/>
          <w:highlight w:val="none"/>
          <w:lang w:eastAsia="zh-CN"/>
        </w:rPr>
        <w:t>综合利用</w:t>
      </w:r>
      <w:r>
        <w:rPr>
          <w:rFonts w:hint="default" w:ascii="Arial" w:hAnsi="Arial" w:eastAsia="宋体" w:cs="Arial"/>
          <w:color w:val="auto"/>
          <w:highlight w:val="none"/>
        </w:rPr>
        <w:t>，对满足资源化利用的可行性进行分析论证。</w:t>
      </w:r>
    </w:p>
    <w:p>
      <w:pPr>
        <w:pStyle w:val="5"/>
        <w:pageBreakBefore w:val="0"/>
        <w:widowControl w:val="0"/>
        <w:kinsoku/>
        <w:wordWrap/>
        <w:overflowPunct w:val="0"/>
        <w:topLinePunct/>
        <w:autoSpaceDE w:val="0"/>
        <w:autoSpaceDN/>
        <w:bidi w:val="0"/>
        <w:adjustRightInd/>
        <w:snapToGrid/>
        <w:textAlignment w:val="auto"/>
        <w:rPr>
          <w:rFonts w:hint="default" w:ascii="Arial" w:hAnsi="Arial" w:eastAsia="宋体" w:cs="Arial"/>
          <w:bCs w:val="0"/>
          <w:color w:val="auto"/>
          <w:szCs w:val="22"/>
          <w:highlight w:val="none"/>
        </w:rPr>
      </w:pPr>
      <w:bookmarkStart w:id="56" w:name="_Toc23969"/>
      <w:bookmarkStart w:id="57" w:name="_Toc512871515"/>
      <w:r>
        <w:rPr>
          <w:rFonts w:hint="default" w:ascii="Arial" w:hAnsi="Arial" w:eastAsia="宋体" w:cs="Arial"/>
          <w:bCs w:val="0"/>
          <w:color w:val="auto"/>
          <w:szCs w:val="22"/>
          <w:highlight w:val="none"/>
        </w:rPr>
        <w:t>1.3环境影响评价的工作过程</w:t>
      </w:r>
      <w:bookmarkEnd w:id="56"/>
      <w:bookmarkEnd w:id="57"/>
    </w:p>
    <w:p>
      <w:pPr>
        <w:pageBreakBefore w:val="0"/>
        <w:widowControl w:val="0"/>
        <w:kinsoku/>
        <w:wordWrap/>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为保证建设项目与环境保护的协调发展，根据《中华人民共和国环境影响评价法》和国务院颁发的《建设项目环境保护管理条例》中的有关规定，</w:t>
      </w:r>
      <w:r>
        <w:rPr>
          <w:rFonts w:hint="default" w:ascii="Arial" w:hAnsi="Arial" w:eastAsia="宋体" w:cs="Arial"/>
          <w:color w:val="auto"/>
          <w:highlight w:val="none"/>
          <w:lang w:eastAsia="zh-CN"/>
        </w:rPr>
        <w:t>五原县天吉泰镇宏腾养殖专业合作社</w:t>
      </w:r>
      <w:r>
        <w:rPr>
          <w:rFonts w:hint="default" w:ascii="Arial" w:hAnsi="Arial" w:eastAsia="宋体" w:cs="Arial"/>
          <w:color w:val="auto"/>
          <w:highlight w:val="none"/>
        </w:rPr>
        <w:t>于202</w:t>
      </w:r>
      <w:r>
        <w:rPr>
          <w:rFonts w:hint="default" w:ascii="Arial" w:hAnsi="Arial" w:eastAsia="宋体" w:cs="Arial"/>
          <w:color w:val="auto"/>
          <w:highlight w:val="none"/>
          <w:lang w:val="en-US" w:eastAsia="zh-CN"/>
        </w:rPr>
        <w:t>2</w:t>
      </w:r>
      <w:r>
        <w:rPr>
          <w:rFonts w:hint="default" w:ascii="Arial" w:hAnsi="Arial" w:eastAsia="宋体" w:cs="Arial"/>
          <w:color w:val="auto"/>
          <w:highlight w:val="none"/>
        </w:rPr>
        <w:t>年</w:t>
      </w:r>
      <w:r>
        <w:rPr>
          <w:rFonts w:hint="default" w:ascii="Arial" w:hAnsi="Arial" w:eastAsia="宋体" w:cs="Arial"/>
          <w:color w:val="auto"/>
          <w:highlight w:val="none"/>
          <w:lang w:val="en-US" w:eastAsia="zh-CN"/>
        </w:rPr>
        <w:t>1</w:t>
      </w:r>
      <w:r>
        <w:rPr>
          <w:rFonts w:hint="default" w:ascii="Arial" w:hAnsi="Arial" w:eastAsia="宋体" w:cs="Arial"/>
          <w:color w:val="auto"/>
          <w:highlight w:val="none"/>
        </w:rPr>
        <w:t>月委托</w:t>
      </w:r>
      <w:r>
        <w:rPr>
          <w:rFonts w:hint="default" w:ascii="Arial" w:hAnsi="Arial" w:eastAsia="宋体" w:cs="Arial"/>
          <w:color w:val="auto"/>
          <w:highlight w:val="none"/>
          <w:lang w:eastAsia="zh-CN"/>
        </w:rPr>
        <w:t>内蒙古百霖环保科技有限公司</w:t>
      </w:r>
      <w:r>
        <w:rPr>
          <w:rFonts w:hint="default" w:ascii="Arial" w:hAnsi="Arial" w:eastAsia="宋体" w:cs="Arial"/>
          <w:color w:val="auto"/>
          <w:highlight w:val="none"/>
        </w:rPr>
        <w:t>承担该项目的环境影响评价工作。本项目为</w:t>
      </w:r>
      <w:r>
        <w:rPr>
          <w:rFonts w:hint="default" w:ascii="Arial" w:hAnsi="Arial" w:eastAsia="宋体" w:cs="Arial"/>
          <w:color w:val="auto"/>
          <w:highlight w:val="none"/>
          <w:lang w:eastAsia="zh-CN"/>
        </w:rPr>
        <w:t>规模化肉牛养殖项目，</w:t>
      </w:r>
      <w:r>
        <w:rPr>
          <w:rFonts w:hint="default" w:ascii="Arial" w:hAnsi="Arial" w:eastAsia="宋体" w:cs="Arial"/>
          <w:color w:val="auto"/>
          <w:highlight w:val="none"/>
          <w:lang w:val="en-US" w:eastAsia="zh-CN"/>
        </w:rPr>
        <w:t>养殖基地内</w:t>
      </w:r>
      <w:r>
        <w:rPr>
          <w:rFonts w:hint="default" w:ascii="Arial" w:hAnsi="Arial" w:eastAsia="宋体" w:cs="Arial"/>
          <w:color w:val="auto"/>
          <w:highlight w:val="none"/>
          <w:lang w:eastAsia="zh-CN"/>
        </w:rPr>
        <w:t>肉牛存栏量为</w:t>
      </w:r>
      <w:r>
        <w:rPr>
          <w:rFonts w:hint="default" w:ascii="Arial" w:hAnsi="Arial" w:eastAsia="宋体" w:cs="Arial"/>
          <w:color w:val="auto"/>
          <w:highlight w:val="none"/>
          <w:lang w:val="en-US" w:eastAsia="zh-CN"/>
        </w:rPr>
        <w:t>10</w:t>
      </w:r>
      <w:r>
        <w:rPr>
          <w:rFonts w:hint="default" w:ascii="Arial" w:hAnsi="Arial" w:eastAsia="宋体" w:cs="Arial"/>
          <w:color w:val="auto"/>
          <w:highlight w:val="none"/>
          <w:lang w:eastAsia="zh-CN"/>
        </w:rPr>
        <w:t>000头，</w:t>
      </w:r>
      <w:r>
        <w:rPr>
          <w:rFonts w:hint="default" w:ascii="Arial" w:hAnsi="Arial" w:eastAsia="宋体" w:cs="Arial"/>
          <w:color w:val="auto"/>
          <w:sz w:val="24"/>
          <w:szCs w:val="24"/>
        </w:rPr>
        <w:t>根据《畜禽养殖业污染物排放标准》（GB18596-2001）</w:t>
      </w:r>
      <w:r>
        <w:rPr>
          <w:rFonts w:hint="default" w:ascii="Arial" w:hAnsi="Arial" w:eastAsia="宋体" w:cs="Arial"/>
          <w:color w:val="auto"/>
          <w:sz w:val="24"/>
          <w:szCs w:val="24"/>
          <w:lang w:eastAsia="zh-CN"/>
        </w:rPr>
        <w:t>中</w:t>
      </w:r>
      <w:r>
        <w:rPr>
          <w:rFonts w:hint="default" w:ascii="Arial" w:hAnsi="Arial" w:eastAsia="宋体" w:cs="Arial"/>
          <w:color w:val="auto"/>
          <w:sz w:val="24"/>
          <w:szCs w:val="24"/>
        </w:rPr>
        <w:t>“1头肉牛折算成5头猪”</w:t>
      </w:r>
      <w:r>
        <w:rPr>
          <w:rFonts w:hint="default" w:ascii="Arial" w:hAnsi="Arial" w:eastAsia="宋体" w:cs="Arial"/>
          <w:color w:val="auto"/>
          <w:sz w:val="24"/>
          <w:szCs w:val="24"/>
          <w:lang w:eastAsia="zh-CN"/>
        </w:rPr>
        <w:t>，则本项目</w:t>
      </w:r>
      <w:r>
        <w:rPr>
          <w:rFonts w:hint="default" w:ascii="Arial" w:hAnsi="Arial" w:eastAsia="宋体" w:cs="Arial"/>
          <w:color w:val="auto"/>
          <w:highlight w:val="none"/>
        </w:rPr>
        <w:t>折合</w:t>
      </w:r>
      <w:r>
        <w:rPr>
          <w:rFonts w:hint="default" w:ascii="Arial" w:hAnsi="Arial" w:eastAsia="宋体" w:cs="Arial"/>
          <w:color w:val="auto"/>
          <w:highlight w:val="none"/>
          <w:lang w:val="en-US" w:eastAsia="zh-CN"/>
        </w:rPr>
        <w:t>存栏</w:t>
      </w:r>
      <w:r>
        <w:rPr>
          <w:rFonts w:hint="default" w:ascii="Arial" w:hAnsi="Arial" w:eastAsia="宋体" w:cs="Arial"/>
          <w:color w:val="auto"/>
          <w:highlight w:val="none"/>
        </w:rPr>
        <w:t>生猪</w:t>
      </w:r>
      <w:r>
        <w:rPr>
          <w:rFonts w:hint="default" w:ascii="Arial" w:hAnsi="Arial" w:eastAsia="宋体" w:cs="Arial"/>
          <w:color w:val="auto"/>
          <w:highlight w:val="none"/>
          <w:lang w:val="en-US" w:eastAsia="zh-CN"/>
        </w:rPr>
        <w:t>5</w:t>
      </w:r>
      <w:r>
        <w:rPr>
          <w:rFonts w:hint="default" w:ascii="Arial" w:hAnsi="Arial" w:eastAsia="宋体" w:cs="Arial"/>
          <w:color w:val="auto"/>
          <w:highlight w:val="none"/>
        </w:rPr>
        <w:t>万头</w:t>
      </w:r>
      <w:r>
        <w:rPr>
          <w:rFonts w:hint="default" w:ascii="Arial" w:hAnsi="Arial" w:eastAsia="宋体" w:cs="Arial"/>
          <w:color w:val="auto"/>
          <w:highlight w:val="none"/>
          <w:lang w:eastAsia="zh-CN"/>
        </w:rPr>
        <w:t>，</w:t>
      </w:r>
      <w:r>
        <w:rPr>
          <w:rFonts w:hint="default" w:ascii="Arial" w:hAnsi="Arial" w:eastAsia="宋体" w:cs="Arial"/>
          <w:color w:val="auto"/>
          <w:highlight w:val="none"/>
        </w:rPr>
        <w:t>根据《建设项目环境影响评价分类管理名录》（</w:t>
      </w:r>
      <w:r>
        <w:rPr>
          <w:rFonts w:hint="default" w:ascii="Arial" w:hAnsi="Arial" w:eastAsia="宋体" w:cs="Arial"/>
          <w:color w:val="auto"/>
          <w:highlight w:val="none"/>
          <w:lang w:val="en-US" w:eastAsia="zh-CN"/>
        </w:rPr>
        <w:t>2021年版</w:t>
      </w:r>
      <w:r>
        <w:rPr>
          <w:rFonts w:hint="default" w:ascii="Arial" w:hAnsi="Arial" w:eastAsia="宋体" w:cs="Arial"/>
          <w:color w:val="auto"/>
          <w:highlight w:val="none"/>
        </w:rPr>
        <w:t>），本项目属于</w:t>
      </w:r>
      <w:r>
        <w:rPr>
          <w:rFonts w:hint="default" w:ascii="Arial" w:hAnsi="Arial" w:eastAsia="宋体" w:cs="Arial"/>
          <w:color w:val="auto"/>
          <w:highlight w:val="none"/>
          <w:lang w:eastAsia="zh-CN"/>
        </w:rPr>
        <w:t>“二</w:t>
      </w:r>
      <w:r>
        <w:rPr>
          <w:rFonts w:hint="default" w:ascii="Arial" w:hAnsi="Arial" w:eastAsia="宋体" w:cs="Arial"/>
          <w:color w:val="auto"/>
          <w:highlight w:val="none"/>
        </w:rPr>
        <w:t>、畜牧业</w:t>
      </w:r>
      <w:r>
        <w:rPr>
          <w:rFonts w:hint="default" w:ascii="Arial" w:hAnsi="Arial" w:eastAsia="宋体" w:cs="Arial"/>
          <w:color w:val="auto"/>
          <w:highlight w:val="none"/>
          <w:lang w:val="en-US" w:eastAsia="zh-CN"/>
        </w:rPr>
        <w:t>--3、</w:t>
      </w:r>
      <w:r>
        <w:rPr>
          <w:rFonts w:hint="default" w:ascii="Arial" w:hAnsi="Arial" w:eastAsia="宋体" w:cs="Arial"/>
          <w:color w:val="auto"/>
          <w:highlight w:val="none"/>
          <w:lang w:eastAsia="zh-CN"/>
        </w:rPr>
        <w:t>牲畜饲养</w:t>
      </w:r>
      <w:r>
        <w:rPr>
          <w:rFonts w:hint="default" w:ascii="Arial" w:hAnsi="Arial" w:eastAsia="宋体" w:cs="Arial"/>
          <w:color w:val="auto"/>
          <w:highlight w:val="none"/>
          <w:lang w:val="en-US" w:eastAsia="zh-CN"/>
        </w:rPr>
        <w:t>--年出栏生猪5000头（其他畜禽种类折合猪的养殖量）及以上的规模化畜禽养殖”</w:t>
      </w:r>
      <w:r>
        <w:rPr>
          <w:rFonts w:hint="default" w:ascii="Arial" w:hAnsi="Arial" w:eastAsia="宋体" w:cs="Arial"/>
          <w:color w:val="auto"/>
          <w:highlight w:val="none"/>
        </w:rPr>
        <w:t>，应编制环境影响报告书。</w:t>
      </w:r>
    </w:p>
    <w:p>
      <w:pPr>
        <w:pageBreakBefore w:val="0"/>
        <w:widowControl w:val="0"/>
        <w:kinsoku/>
        <w:wordWrap/>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接收委托后，我公司组织工程技术人员进行了现场调研、实地踏勘及进行资料收集，并依据工程有关的技术资料及《环境影响评价技术导则》（HJ2.1-2016、HJ2.2-2018、HJ2.3-2018、HJ2.4-2009、HJ610-2016和HJ169-2018）中的有关要求，编制完成了《</w:t>
      </w:r>
      <w:r>
        <w:rPr>
          <w:rFonts w:hint="default" w:ascii="Arial" w:hAnsi="Arial" w:eastAsia="宋体" w:cs="Arial"/>
          <w:color w:val="auto"/>
          <w:highlight w:val="none"/>
          <w:lang w:eastAsia="zh-CN"/>
        </w:rPr>
        <w:t>五原县天吉泰镇宏腾肉牛养殖示范基地建设项目</w:t>
      </w:r>
      <w:r>
        <w:rPr>
          <w:rFonts w:hint="default" w:ascii="Arial" w:hAnsi="Arial" w:eastAsia="宋体" w:cs="Arial"/>
          <w:color w:val="auto"/>
          <w:highlight w:val="none"/>
        </w:rPr>
        <w:t>环境影响报告书》。</w:t>
      </w:r>
    </w:p>
    <w:p>
      <w:pPr>
        <w:pageBreakBefore w:val="0"/>
        <w:widowControl w:val="0"/>
        <w:kinsoku/>
        <w:wordWrap/>
        <w:topLinePunct/>
        <w:autoSpaceDE w:val="0"/>
        <w:autoSpaceDN/>
        <w:bidi w:val="0"/>
        <w:adjustRightInd/>
        <w:snapToGrid/>
        <w:ind w:firstLine="480"/>
        <w:textAlignment w:val="auto"/>
        <w:rPr>
          <w:rFonts w:hint="default" w:ascii="Arial" w:hAnsi="Arial" w:eastAsia="宋体" w:cs="Arial"/>
          <w:color w:val="auto"/>
          <w:highlight w:val="none"/>
          <w:lang w:eastAsia="zh-CN"/>
        </w:rPr>
      </w:pPr>
      <w:r>
        <w:rPr>
          <w:rFonts w:hint="default" w:ascii="Arial" w:hAnsi="Arial" w:eastAsia="宋体" w:cs="Arial"/>
          <w:color w:val="auto"/>
          <w:highlight w:val="none"/>
        </w:rPr>
        <w:t>本次环境影响评价工作分为三个阶段，第一个阶段为调查分析和工作方案制定阶段，主要工作为研究有关设计资料等与项目相关的文件，进行初步的工程分析和环境现状调查，筛选重点评价因子，确定各环境要素环境影响评价的工作等级；第二阶段为分析论证和预测评价阶段，其主要工作为进一步做工程分析和环境现状调查，并进行环境影响预测和评价环境影响；第三阶段为报告书编制阶段，其主要工作为汇总、分析第二阶段工作所行的各种资料、数据，给出结论，完成环境影响报告书的编制。具体流程如图1.3-1所示</w:t>
      </w:r>
      <w:r>
        <w:rPr>
          <w:rFonts w:hint="default" w:ascii="Arial" w:hAnsi="Arial" w:eastAsia="宋体" w:cs="Arial"/>
          <w:color w:val="auto"/>
          <w:highlight w:val="none"/>
          <w:lang w:eastAsia="zh-CN"/>
        </w:rPr>
        <w:t>。</w:t>
      </w:r>
    </w:p>
    <w:p>
      <w:pPr>
        <w:bidi w:val="0"/>
        <w:rPr>
          <w:rFonts w:hint="default" w:ascii="Arial" w:hAnsi="Arial" w:eastAsia="宋体" w:cs="Arial"/>
          <w:color w:val="auto"/>
        </w:rPr>
      </w:pPr>
    </w:p>
    <w:p>
      <w:pPr>
        <w:bidi w:val="0"/>
        <w:rPr>
          <w:rFonts w:hint="default" w:ascii="Arial" w:hAnsi="Arial" w:eastAsia="宋体" w:cs="Arial"/>
          <w:color w:val="auto"/>
          <w:lang w:val="en-US" w:eastAsia="zh-CN"/>
        </w:rPr>
      </w:pPr>
    </w:p>
    <w:p>
      <w:pPr>
        <w:bidi w:val="0"/>
        <w:rPr>
          <w:rFonts w:hint="default" w:ascii="Arial" w:hAnsi="Arial" w:eastAsia="宋体" w:cs="Arial"/>
          <w:color w:val="auto"/>
          <w:lang w:val="en-US" w:eastAsia="zh-CN"/>
        </w:rPr>
      </w:pPr>
    </w:p>
    <w:p>
      <w:pPr>
        <w:bidi w:val="0"/>
        <w:rPr>
          <w:rFonts w:hint="default" w:ascii="Arial" w:hAnsi="Arial" w:eastAsia="宋体" w:cs="Arial"/>
          <w:color w:val="auto"/>
          <w:lang w:val="en-US" w:eastAsia="zh-CN"/>
        </w:rPr>
      </w:pPr>
    </w:p>
    <w:p>
      <w:pPr>
        <w:bidi w:val="0"/>
        <w:rPr>
          <w:rFonts w:hint="default" w:ascii="Arial" w:hAnsi="Arial" w:eastAsia="宋体" w:cs="Arial"/>
          <w:color w:val="auto"/>
          <w:lang w:val="en-US" w:eastAsia="zh-CN"/>
        </w:rPr>
      </w:pPr>
    </w:p>
    <w:p>
      <w:pPr>
        <w:bidi w:val="0"/>
        <w:rPr>
          <w:rFonts w:hint="default" w:ascii="Arial" w:hAnsi="Arial" w:eastAsia="宋体" w:cs="Arial"/>
          <w:color w:val="auto"/>
          <w:lang w:val="en-US" w:eastAsia="zh-CN"/>
        </w:rPr>
      </w:pPr>
    </w:p>
    <w:p>
      <w:pPr>
        <w:bidi w:val="0"/>
        <w:ind w:left="0" w:leftChars="0" w:firstLine="0" w:firstLineChars="0"/>
        <w:rPr>
          <w:rFonts w:hint="default" w:ascii="Arial" w:hAnsi="Arial" w:eastAsia="宋体" w:cs="Arial"/>
          <w:color w:val="auto"/>
          <w:lang w:val="en-US" w:eastAsia="zh-CN"/>
        </w:rPr>
      </w:pPr>
    </w:p>
    <w:p>
      <w:pPr>
        <w:bidi w:val="0"/>
        <w:ind w:left="0" w:leftChars="0" w:firstLine="0" w:firstLineChars="0"/>
        <w:rPr>
          <w:rFonts w:hint="default" w:ascii="Arial" w:hAnsi="Arial" w:eastAsia="宋体" w:cs="Arial"/>
          <w:color w:val="auto"/>
          <w:lang w:val="en-US" w:eastAsia="zh-CN"/>
        </w:rPr>
      </w:pPr>
    </w:p>
    <w:p>
      <w:pPr>
        <w:bidi w:val="0"/>
        <w:rPr>
          <w:rFonts w:hint="default" w:ascii="Arial" w:hAnsi="Arial" w:eastAsia="宋体" w:cs="Arial"/>
          <w:color w:val="auto"/>
        </w:rPr>
      </w:pPr>
      <w:r>
        <w:rPr>
          <w:rFonts w:hint="default" w:ascii="Arial" w:hAnsi="Arial" w:eastAsia="宋体" w:cs="Arial"/>
          <w:color w:val="auto"/>
          <w:highlight w:val="none"/>
          <w:lang w:eastAsia="zh-CN"/>
        </w:rPr>
        <w:drawing>
          <wp:anchor distT="0" distB="0" distL="114300" distR="114300" simplePos="0" relativeHeight="251672576" behindDoc="0" locked="0" layoutInCell="1" allowOverlap="1">
            <wp:simplePos x="0" y="0"/>
            <wp:positionH relativeFrom="column">
              <wp:posOffset>24130</wp:posOffset>
            </wp:positionH>
            <wp:positionV relativeFrom="paragraph">
              <wp:posOffset>64135</wp:posOffset>
            </wp:positionV>
            <wp:extent cx="5563870" cy="5400040"/>
            <wp:effectExtent l="0" t="0" r="17780" b="10160"/>
            <wp:wrapNone/>
            <wp:docPr id="11" name="图片 11"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图片1"/>
                    <pic:cNvPicPr>
                      <a:picLocks noChangeAspect="1"/>
                    </pic:cNvPicPr>
                  </pic:nvPicPr>
                  <pic:blipFill>
                    <a:blip r:embed="rId12"/>
                    <a:stretch>
                      <a:fillRect/>
                    </a:stretch>
                  </pic:blipFill>
                  <pic:spPr>
                    <a:xfrm>
                      <a:off x="0" y="0"/>
                      <a:ext cx="5563870" cy="5400040"/>
                    </a:xfrm>
                    <a:prstGeom prst="rect">
                      <a:avLst/>
                    </a:prstGeom>
                  </pic:spPr>
                </pic:pic>
              </a:graphicData>
            </a:graphic>
          </wp:anchor>
        </w:drawing>
      </w:r>
    </w:p>
    <w:p>
      <w:pPr>
        <w:keepNext w:val="0"/>
        <w:keepLines w:val="0"/>
        <w:pageBreakBefore w:val="0"/>
        <w:widowControl w:val="0"/>
        <w:kinsoku/>
        <w:wordWrap/>
        <w:overflowPunct/>
        <w:topLinePunct/>
        <w:autoSpaceDE w:val="0"/>
        <w:autoSpaceDN/>
        <w:bidi w:val="0"/>
        <w:adjustRightInd/>
        <w:snapToGrid/>
        <w:ind w:firstLine="0" w:firstLineChars="0"/>
        <w:jc w:val="center"/>
        <w:textAlignment w:val="auto"/>
        <w:rPr>
          <w:rFonts w:hint="default" w:ascii="Arial" w:hAnsi="Arial" w:eastAsia="宋体" w:cs="Arial"/>
          <w:color w:val="auto"/>
          <w:highlight w:val="none"/>
        </w:rPr>
      </w:pPr>
    </w:p>
    <w:p>
      <w:pPr>
        <w:keepNext w:val="0"/>
        <w:keepLines w:val="0"/>
        <w:pageBreakBefore w:val="0"/>
        <w:widowControl w:val="0"/>
        <w:kinsoku/>
        <w:wordWrap/>
        <w:overflowPunct/>
        <w:topLinePunct/>
        <w:autoSpaceDE w:val="0"/>
        <w:autoSpaceDN/>
        <w:bidi w:val="0"/>
        <w:adjustRightInd/>
        <w:snapToGrid/>
        <w:ind w:firstLine="0" w:firstLineChars="0"/>
        <w:jc w:val="center"/>
        <w:textAlignment w:val="auto"/>
        <w:rPr>
          <w:rFonts w:hint="default" w:ascii="Arial" w:hAnsi="Arial" w:eastAsia="宋体" w:cs="Arial"/>
          <w:color w:val="auto"/>
          <w:highlight w:val="none"/>
        </w:rPr>
      </w:pPr>
    </w:p>
    <w:p>
      <w:pPr>
        <w:keepNext w:val="0"/>
        <w:keepLines w:val="0"/>
        <w:pageBreakBefore w:val="0"/>
        <w:widowControl w:val="0"/>
        <w:kinsoku/>
        <w:wordWrap/>
        <w:overflowPunct/>
        <w:topLinePunct/>
        <w:autoSpaceDE w:val="0"/>
        <w:autoSpaceDN/>
        <w:bidi w:val="0"/>
        <w:adjustRightInd/>
        <w:snapToGrid/>
        <w:ind w:firstLine="0" w:firstLineChars="0"/>
        <w:jc w:val="center"/>
        <w:textAlignment w:val="auto"/>
        <w:rPr>
          <w:rFonts w:hint="default" w:ascii="Arial" w:hAnsi="Arial" w:eastAsia="宋体" w:cs="Arial"/>
          <w:color w:val="auto"/>
          <w:highlight w:val="none"/>
        </w:rPr>
      </w:pPr>
    </w:p>
    <w:p>
      <w:pPr>
        <w:keepNext w:val="0"/>
        <w:keepLines w:val="0"/>
        <w:pageBreakBefore w:val="0"/>
        <w:widowControl w:val="0"/>
        <w:kinsoku/>
        <w:wordWrap/>
        <w:overflowPunct/>
        <w:topLinePunct/>
        <w:autoSpaceDE w:val="0"/>
        <w:autoSpaceDN/>
        <w:bidi w:val="0"/>
        <w:adjustRightInd/>
        <w:snapToGrid/>
        <w:ind w:firstLine="0" w:firstLineChars="0"/>
        <w:jc w:val="center"/>
        <w:textAlignment w:val="auto"/>
        <w:rPr>
          <w:rFonts w:hint="default" w:ascii="Arial" w:hAnsi="Arial" w:eastAsia="宋体" w:cs="Arial"/>
          <w:color w:val="auto"/>
          <w:highlight w:val="none"/>
        </w:rPr>
      </w:pPr>
    </w:p>
    <w:p>
      <w:pPr>
        <w:keepNext w:val="0"/>
        <w:keepLines w:val="0"/>
        <w:pageBreakBefore w:val="0"/>
        <w:widowControl w:val="0"/>
        <w:kinsoku/>
        <w:wordWrap/>
        <w:overflowPunct/>
        <w:topLinePunct/>
        <w:autoSpaceDE w:val="0"/>
        <w:autoSpaceDN/>
        <w:bidi w:val="0"/>
        <w:adjustRightInd/>
        <w:snapToGrid/>
        <w:ind w:firstLine="0" w:firstLineChars="0"/>
        <w:jc w:val="center"/>
        <w:textAlignment w:val="auto"/>
        <w:rPr>
          <w:rFonts w:hint="default" w:ascii="Arial" w:hAnsi="Arial" w:eastAsia="宋体" w:cs="Arial"/>
          <w:color w:val="auto"/>
          <w:highlight w:val="none"/>
        </w:rPr>
      </w:pPr>
    </w:p>
    <w:p>
      <w:pPr>
        <w:keepNext w:val="0"/>
        <w:keepLines w:val="0"/>
        <w:pageBreakBefore w:val="0"/>
        <w:widowControl w:val="0"/>
        <w:kinsoku/>
        <w:wordWrap/>
        <w:overflowPunct/>
        <w:topLinePunct/>
        <w:autoSpaceDE w:val="0"/>
        <w:autoSpaceDN/>
        <w:bidi w:val="0"/>
        <w:adjustRightInd/>
        <w:snapToGrid/>
        <w:ind w:firstLine="0" w:firstLineChars="0"/>
        <w:jc w:val="center"/>
        <w:textAlignment w:val="auto"/>
        <w:rPr>
          <w:rFonts w:hint="default" w:ascii="Arial" w:hAnsi="Arial" w:eastAsia="宋体" w:cs="Arial"/>
          <w:color w:val="auto"/>
          <w:highlight w:val="none"/>
        </w:rPr>
      </w:pPr>
    </w:p>
    <w:p>
      <w:pPr>
        <w:keepNext w:val="0"/>
        <w:keepLines w:val="0"/>
        <w:pageBreakBefore w:val="0"/>
        <w:widowControl w:val="0"/>
        <w:kinsoku/>
        <w:wordWrap/>
        <w:overflowPunct/>
        <w:topLinePunct/>
        <w:autoSpaceDE w:val="0"/>
        <w:autoSpaceDN/>
        <w:bidi w:val="0"/>
        <w:adjustRightInd/>
        <w:snapToGrid/>
        <w:ind w:firstLine="0" w:firstLineChars="0"/>
        <w:jc w:val="center"/>
        <w:textAlignment w:val="auto"/>
        <w:rPr>
          <w:rFonts w:hint="default" w:ascii="Arial" w:hAnsi="Arial" w:eastAsia="宋体" w:cs="Arial"/>
          <w:color w:val="auto"/>
          <w:highlight w:val="none"/>
        </w:rPr>
      </w:pPr>
    </w:p>
    <w:p>
      <w:pPr>
        <w:keepNext w:val="0"/>
        <w:keepLines w:val="0"/>
        <w:pageBreakBefore w:val="0"/>
        <w:widowControl w:val="0"/>
        <w:kinsoku/>
        <w:wordWrap/>
        <w:overflowPunct/>
        <w:topLinePunct/>
        <w:autoSpaceDE w:val="0"/>
        <w:autoSpaceDN/>
        <w:bidi w:val="0"/>
        <w:adjustRightInd/>
        <w:snapToGrid/>
        <w:ind w:firstLine="0" w:firstLineChars="0"/>
        <w:jc w:val="center"/>
        <w:textAlignment w:val="auto"/>
        <w:rPr>
          <w:rFonts w:hint="default" w:ascii="Arial" w:hAnsi="Arial" w:eastAsia="宋体" w:cs="Arial"/>
          <w:color w:val="auto"/>
          <w:highlight w:val="none"/>
        </w:rPr>
      </w:pPr>
    </w:p>
    <w:p>
      <w:pPr>
        <w:keepNext w:val="0"/>
        <w:keepLines w:val="0"/>
        <w:pageBreakBefore w:val="0"/>
        <w:widowControl w:val="0"/>
        <w:kinsoku/>
        <w:wordWrap/>
        <w:overflowPunct/>
        <w:topLinePunct/>
        <w:autoSpaceDE w:val="0"/>
        <w:autoSpaceDN/>
        <w:bidi w:val="0"/>
        <w:adjustRightInd/>
        <w:snapToGrid/>
        <w:ind w:firstLine="0" w:firstLineChars="0"/>
        <w:jc w:val="center"/>
        <w:textAlignment w:val="auto"/>
        <w:rPr>
          <w:rFonts w:hint="default" w:ascii="Arial" w:hAnsi="Arial" w:eastAsia="宋体" w:cs="Arial"/>
          <w:color w:val="auto"/>
          <w:highlight w:val="none"/>
        </w:rPr>
      </w:pPr>
    </w:p>
    <w:p>
      <w:pPr>
        <w:keepNext w:val="0"/>
        <w:keepLines w:val="0"/>
        <w:pageBreakBefore w:val="0"/>
        <w:widowControl w:val="0"/>
        <w:kinsoku/>
        <w:wordWrap/>
        <w:overflowPunct/>
        <w:topLinePunct/>
        <w:autoSpaceDE w:val="0"/>
        <w:autoSpaceDN/>
        <w:bidi w:val="0"/>
        <w:adjustRightInd/>
        <w:snapToGrid/>
        <w:ind w:firstLine="0" w:firstLineChars="0"/>
        <w:jc w:val="center"/>
        <w:textAlignment w:val="auto"/>
        <w:rPr>
          <w:rFonts w:hint="default" w:ascii="Arial" w:hAnsi="Arial" w:eastAsia="宋体" w:cs="Arial"/>
          <w:color w:val="auto"/>
          <w:highlight w:val="none"/>
        </w:rPr>
      </w:pPr>
    </w:p>
    <w:p>
      <w:pPr>
        <w:keepNext w:val="0"/>
        <w:keepLines w:val="0"/>
        <w:pageBreakBefore w:val="0"/>
        <w:widowControl w:val="0"/>
        <w:kinsoku/>
        <w:wordWrap/>
        <w:overflowPunct/>
        <w:topLinePunct/>
        <w:autoSpaceDE w:val="0"/>
        <w:autoSpaceDN/>
        <w:bidi w:val="0"/>
        <w:adjustRightInd/>
        <w:snapToGrid/>
        <w:ind w:firstLine="0" w:firstLineChars="0"/>
        <w:jc w:val="center"/>
        <w:textAlignment w:val="auto"/>
        <w:rPr>
          <w:rFonts w:hint="default" w:ascii="Arial" w:hAnsi="Arial" w:eastAsia="宋体" w:cs="Arial"/>
          <w:color w:val="auto"/>
          <w:highlight w:val="none"/>
        </w:rPr>
      </w:pPr>
    </w:p>
    <w:p>
      <w:pPr>
        <w:keepNext w:val="0"/>
        <w:keepLines w:val="0"/>
        <w:pageBreakBefore w:val="0"/>
        <w:widowControl w:val="0"/>
        <w:kinsoku/>
        <w:wordWrap/>
        <w:overflowPunct/>
        <w:topLinePunct/>
        <w:autoSpaceDE w:val="0"/>
        <w:autoSpaceDN/>
        <w:bidi w:val="0"/>
        <w:adjustRightInd/>
        <w:snapToGrid/>
        <w:ind w:firstLine="0" w:firstLineChars="0"/>
        <w:jc w:val="center"/>
        <w:textAlignment w:val="auto"/>
        <w:rPr>
          <w:rFonts w:hint="default" w:ascii="Arial" w:hAnsi="Arial" w:eastAsia="宋体" w:cs="Arial"/>
          <w:color w:val="auto"/>
          <w:highlight w:val="none"/>
        </w:rPr>
      </w:pPr>
    </w:p>
    <w:p>
      <w:pPr>
        <w:keepNext w:val="0"/>
        <w:keepLines w:val="0"/>
        <w:pageBreakBefore w:val="0"/>
        <w:widowControl w:val="0"/>
        <w:kinsoku/>
        <w:wordWrap/>
        <w:overflowPunct/>
        <w:topLinePunct/>
        <w:autoSpaceDE w:val="0"/>
        <w:autoSpaceDN/>
        <w:bidi w:val="0"/>
        <w:adjustRightInd/>
        <w:snapToGrid/>
        <w:ind w:firstLine="0" w:firstLineChars="0"/>
        <w:jc w:val="center"/>
        <w:textAlignment w:val="auto"/>
        <w:rPr>
          <w:rFonts w:hint="default" w:ascii="Arial" w:hAnsi="Arial" w:eastAsia="宋体" w:cs="Arial"/>
          <w:color w:val="auto"/>
          <w:highlight w:val="none"/>
        </w:rPr>
      </w:pPr>
    </w:p>
    <w:p>
      <w:pPr>
        <w:keepNext w:val="0"/>
        <w:keepLines w:val="0"/>
        <w:pageBreakBefore w:val="0"/>
        <w:widowControl w:val="0"/>
        <w:kinsoku/>
        <w:wordWrap/>
        <w:overflowPunct/>
        <w:topLinePunct/>
        <w:autoSpaceDE w:val="0"/>
        <w:autoSpaceDN/>
        <w:bidi w:val="0"/>
        <w:adjustRightInd/>
        <w:snapToGrid/>
        <w:ind w:firstLine="0" w:firstLineChars="0"/>
        <w:jc w:val="center"/>
        <w:textAlignment w:val="auto"/>
        <w:rPr>
          <w:rFonts w:hint="default" w:ascii="Arial" w:hAnsi="Arial" w:eastAsia="宋体" w:cs="Arial"/>
          <w:color w:val="auto"/>
          <w:highlight w:val="none"/>
        </w:rPr>
      </w:pPr>
    </w:p>
    <w:p>
      <w:pPr>
        <w:keepNext w:val="0"/>
        <w:keepLines w:val="0"/>
        <w:pageBreakBefore w:val="0"/>
        <w:widowControl w:val="0"/>
        <w:kinsoku/>
        <w:wordWrap/>
        <w:overflowPunct/>
        <w:topLinePunct/>
        <w:autoSpaceDE w:val="0"/>
        <w:autoSpaceDN/>
        <w:bidi w:val="0"/>
        <w:adjustRightInd/>
        <w:snapToGrid/>
        <w:ind w:firstLine="0" w:firstLineChars="0"/>
        <w:jc w:val="center"/>
        <w:textAlignment w:val="auto"/>
        <w:rPr>
          <w:rFonts w:hint="default" w:ascii="Arial" w:hAnsi="Arial" w:eastAsia="宋体" w:cs="Arial"/>
          <w:color w:val="auto"/>
          <w:highlight w:val="none"/>
        </w:rPr>
      </w:pPr>
    </w:p>
    <w:p>
      <w:pPr>
        <w:keepNext w:val="0"/>
        <w:keepLines w:val="0"/>
        <w:pageBreakBefore w:val="0"/>
        <w:widowControl w:val="0"/>
        <w:kinsoku/>
        <w:wordWrap/>
        <w:overflowPunct/>
        <w:topLinePunct/>
        <w:autoSpaceDE w:val="0"/>
        <w:autoSpaceDN/>
        <w:bidi w:val="0"/>
        <w:adjustRightInd/>
        <w:snapToGrid/>
        <w:ind w:firstLine="0" w:firstLineChars="0"/>
        <w:jc w:val="center"/>
        <w:textAlignment w:val="auto"/>
        <w:rPr>
          <w:rFonts w:hint="default" w:ascii="Arial" w:hAnsi="Arial" w:eastAsia="宋体" w:cs="Arial"/>
          <w:color w:val="auto"/>
          <w:highlight w:val="none"/>
        </w:rPr>
      </w:pPr>
    </w:p>
    <w:p>
      <w:pPr>
        <w:keepNext w:val="0"/>
        <w:keepLines w:val="0"/>
        <w:pageBreakBefore w:val="0"/>
        <w:widowControl w:val="0"/>
        <w:kinsoku/>
        <w:wordWrap/>
        <w:overflowPunct/>
        <w:topLinePunct/>
        <w:autoSpaceDE w:val="0"/>
        <w:autoSpaceDN/>
        <w:bidi w:val="0"/>
        <w:adjustRightInd/>
        <w:snapToGrid/>
        <w:ind w:firstLine="0" w:firstLineChars="0"/>
        <w:jc w:val="both"/>
        <w:textAlignment w:val="auto"/>
        <w:rPr>
          <w:rFonts w:hint="default" w:ascii="Arial" w:hAnsi="Arial" w:eastAsia="宋体" w:cs="Arial"/>
          <w:color w:val="auto"/>
          <w:highlight w:val="none"/>
        </w:rPr>
      </w:pPr>
    </w:p>
    <w:p>
      <w:pPr>
        <w:keepNext w:val="0"/>
        <w:keepLines w:val="0"/>
        <w:pageBreakBefore w:val="0"/>
        <w:widowControl w:val="0"/>
        <w:kinsoku/>
        <w:wordWrap/>
        <w:overflowPunct/>
        <w:topLinePunct/>
        <w:autoSpaceDE w:val="0"/>
        <w:autoSpaceDN/>
        <w:bidi w:val="0"/>
        <w:adjustRightInd/>
        <w:snapToGrid/>
        <w:spacing w:line="480" w:lineRule="exact"/>
        <w:ind w:firstLine="0" w:firstLineChars="0"/>
        <w:jc w:val="center"/>
        <w:textAlignment w:val="auto"/>
        <w:rPr>
          <w:rFonts w:hint="default" w:ascii="Arial" w:hAnsi="Arial" w:eastAsia="宋体" w:cs="Arial"/>
          <w:b/>
          <w:bCs/>
          <w:color w:val="auto"/>
          <w:highlight w:val="none"/>
        </w:rPr>
      </w:pPr>
      <w:r>
        <w:rPr>
          <w:rFonts w:hint="default" w:ascii="Arial" w:hAnsi="Arial" w:eastAsia="宋体" w:cs="Arial"/>
          <w:b/>
          <w:bCs/>
          <w:color w:val="auto"/>
          <w:highlight w:val="none"/>
        </w:rPr>
        <w:t>图1.3-1    本项目环境影响评价工作程序图</w:t>
      </w:r>
    </w:p>
    <w:p>
      <w:pPr>
        <w:pStyle w:val="5"/>
        <w:pageBreakBefore w:val="0"/>
        <w:widowControl w:val="0"/>
        <w:kinsoku/>
        <w:wordWrap/>
        <w:overflowPunct w:val="0"/>
        <w:topLinePunct/>
        <w:autoSpaceDN/>
        <w:bidi w:val="0"/>
        <w:adjustRightInd/>
        <w:snapToGrid/>
        <w:spacing w:line="480" w:lineRule="exact"/>
        <w:textAlignment w:val="auto"/>
        <w:rPr>
          <w:rFonts w:hint="default" w:ascii="Arial" w:hAnsi="Arial" w:eastAsia="宋体" w:cs="Arial"/>
          <w:bCs w:val="0"/>
          <w:color w:val="auto"/>
          <w:szCs w:val="22"/>
          <w:highlight w:val="none"/>
        </w:rPr>
      </w:pPr>
      <w:bookmarkStart w:id="58" w:name="_Toc25709"/>
      <w:bookmarkStart w:id="59" w:name="_Toc512871516"/>
      <w:r>
        <w:rPr>
          <w:rFonts w:hint="default" w:ascii="Arial" w:hAnsi="Arial" w:eastAsia="宋体" w:cs="Arial"/>
          <w:bCs w:val="0"/>
          <w:color w:val="auto"/>
          <w:szCs w:val="22"/>
          <w:highlight w:val="none"/>
        </w:rPr>
        <w:t>1.4项目可行性判定</w:t>
      </w:r>
      <w:bookmarkEnd w:id="58"/>
      <w:bookmarkEnd w:id="59"/>
    </w:p>
    <w:p>
      <w:pPr>
        <w:pStyle w:val="6"/>
        <w:pageBreakBefore w:val="0"/>
        <w:widowControl w:val="0"/>
        <w:kinsoku/>
        <w:wordWrap/>
        <w:topLinePunct/>
        <w:autoSpaceDN/>
        <w:bidi w:val="0"/>
        <w:adjustRightInd/>
        <w:snapToGrid/>
        <w:spacing w:line="480" w:lineRule="exact"/>
        <w:textAlignment w:val="auto"/>
        <w:rPr>
          <w:rFonts w:hint="default" w:ascii="Arial" w:hAnsi="Arial" w:eastAsia="宋体" w:cs="Arial"/>
          <w:color w:val="auto"/>
          <w:highlight w:val="none"/>
        </w:rPr>
      </w:pPr>
      <w:bookmarkStart w:id="60" w:name="_Toc21406"/>
      <w:r>
        <w:rPr>
          <w:rFonts w:hint="default" w:ascii="Arial" w:hAnsi="Arial" w:eastAsia="宋体" w:cs="Arial"/>
          <w:color w:val="auto"/>
          <w:highlight w:val="none"/>
        </w:rPr>
        <w:t>1.4.1产业政策符合性分析</w:t>
      </w:r>
      <w:bookmarkEnd w:id="60"/>
    </w:p>
    <w:p>
      <w:pPr>
        <w:pageBreakBefore w:val="0"/>
        <w:widowControl w:val="0"/>
        <w:kinsoku/>
        <w:wordWrap/>
        <w:topLinePunct/>
        <w:autoSpaceDN/>
        <w:bidi w:val="0"/>
        <w:adjustRightInd/>
        <w:snapToGrid/>
        <w:spacing w:line="480" w:lineRule="exact"/>
        <w:ind w:firstLine="480"/>
        <w:textAlignment w:val="auto"/>
        <w:rPr>
          <w:rFonts w:hint="default" w:ascii="Arial" w:hAnsi="Arial" w:eastAsia="宋体" w:cs="Arial"/>
          <w:color w:val="auto"/>
          <w:highlight w:val="none"/>
          <w:lang w:val="en-US" w:eastAsia="zh-CN"/>
        </w:rPr>
      </w:pPr>
      <w:r>
        <w:rPr>
          <w:rFonts w:hint="default" w:ascii="Arial" w:hAnsi="Arial" w:eastAsia="宋体" w:cs="Arial"/>
          <w:color w:val="auto"/>
          <w:highlight w:val="none"/>
        </w:rPr>
        <w:t>本项目为</w:t>
      </w:r>
      <w:r>
        <w:rPr>
          <w:rFonts w:hint="default" w:ascii="Arial" w:hAnsi="Arial" w:eastAsia="宋体" w:cs="Arial"/>
          <w:color w:val="auto"/>
          <w:highlight w:val="none"/>
          <w:lang w:eastAsia="zh-CN"/>
        </w:rPr>
        <w:t>规模化肉牛养殖项目</w:t>
      </w:r>
      <w:r>
        <w:rPr>
          <w:rFonts w:hint="default" w:ascii="Arial" w:hAnsi="Arial" w:eastAsia="宋体" w:cs="Arial"/>
          <w:color w:val="auto"/>
          <w:highlight w:val="none"/>
        </w:rPr>
        <w:t>，根据《产业结构调整指导目录（2019年本）》（中华人民共和国国家发展和改革委员会令</w:t>
      </w:r>
      <w:r>
        <w:rPr>
          <w:rFonts w:hint="default" w:ascii="Arial" w:hAnsi="Arial" w:eastAsia="宋体" w:cs="Arial"/>
          <w:color w:val="auto"/>
          <w:highlight w:val="none"/>
          <w:lang w:val="en-US" w:eastAsia="zh-CN"/>
        </w:rPr>
        <w:t xml:space="preserve"> </w:t>
      </w:r>
      <w:r>
        <w:rPr>
          <w:rFonts w:hint="default" w:ascii="Arial" w:hAnsi="Arial" w:eastAsia="宋体" w:cs="Arial"/>
          <w:color w:val="auto"/>
          <w:highlight w:val="none"/>
        </w:rPr>
        <w:t>第29号），</w:t>
      </w:r>
      <w:r>
        <w:rPr>
          <w:rFonts w:hint="default" w:ascii="Arial" w:hAnsi="Arial" w:eastAsia="宋体" w:cs="Arial"/>
          <w:color w:val="auto"/>
          <w:highlight w:val="none"/>
          <w:lang w:eastAsia="zh-CN"/>
        </w:rPr>
        <w:t>本</w:t>
      </w:r>
      <w:r>
        <w:rPr>
          <w:rFonts w:hint="default" w:ascii="Arial" w:hAnsi="Arial" w:eastAsia="宋体" w:cs="Arial"/>
          <w:color w:val="auto"/>
          <w:highlight w:val="none"/>
        </w:rPr>
        <w:t>项目属于</w:t>
      </w:r>
      <w:r>
        <w:rPr>
          <w:rFonts w:hint="default" w:ascii="Arial" w:hAnsi="Arial" w:eastAsia="宋体" w:cs="Arial"/>
          <w:color w:val="auto"/>
          <w:highlight w:val="none"/>
          <w:lang w:eastAsia="zh-CN"/>
        </w:rPr>
        <w:t>“第一类</w:t>
      </w:r>
      <w:r>
        <w:rPr>
          <w:rFonts w:hint="default" w:ascii="Arial" w:hAnsi="Arial" w:eastAsia="宋体" w:cs="Arial"/>
          <w:color w:val="auto"/>
          <w:highlight w:val="none"/>
          <w:lang w:val="en-US" w:eastAsia="zh-CN"/>
        </w:rPr>
        <w:t xml:space="preserve"> </w:t>
      </w:r>
      <w:r>
        <w:rPr>
          <w:rFonts w:hint="default" w:ascii="Arial" w:hAnsi="Arial" w:eastAsia="宋体" w:cs="Arial"/>
          <w:color w:val="auto"/>
          <w:highlight w:val="none"/>
        </w:rPr>
        <w:t>鼓励类</w:t>
      </w:r>
      <w:r>
        <w:rPr>
          <w:rFonts w:hint="default" w:ascii="Arial" w:hAnsi="Arial" w:eastAsia="宋体" w:cs="Arial"/>
          <w:color w:val="auto"/>
          <w:highlight w:val="none"/>
          <w:lang w:eastAsia="zh-CN"/>
        </w:rPr>
        <w:t>”中“一、农林业</w:t>
      </w:r>
      <w:r>
        <w:rPr>
          <w:rFonts w:hint="default" w:ascii="Arial" w:hAnsi="Arial" w:eastAsia="宋体" w:cs="Arial"/>
          <w:color w:val="auto"/>
          <w:highlight w:val="none"/>
          <w:lang w:val="en-US" w:eastAsia="zh-CN"/>
        </w:rPr>
        <w:t>--4、</w:t>
      </w:r>
      <w:r>
        <w:rPr>
          <w:rFonts w:hint="default" w:ascii="Arial" w:hAnsi="Arial" w:eastAsia="宋体" w:cs="Arial"/>
          <w:color w:val="auto"/>
          <w:highlight w:val="none"/>
        </w:rPr>
        <w:t>畜禽标准化规模养殖技术开发与应用</w:t>
      </w:r>
      <w:r>
        <w:rPr>
          <w:rFonts w:hint="default" w:ascii="Arial" w:hAnsi="Arial" w:eastAsia="宋体" w:cs="Arial"/>
          <w:color w:val="auto"/>
          <w:highlight w:val="none"/>
          <w:lang w:eastAsia="zh-CN"/>
        </w:rPr>
        <w:t>”。</w:t>
      </w:r>
    </w:p>
    <w:p>
      <w:pPr>
        <w:pageBreakBefore w:val="0"/>
        <w:widowControl w:val="0"/>
        <w:kinsoku/>
        <w:wordWrap/>
        <w:topLinePunct/>
        <w:autoSpaceDN/>
        <w:bidi w:val="0"/>
        <w:adjustRightInd/>
        <w:snapToGrid/>
        <w:spacing w:line="480" w:lineRule="exact"/>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lang w:eastAsia="zh-CN"/>
        </w:rPr>
        <w:t>本</w:t>
      </w:r>
      <w:r>
        <w:rPr>
          <w:rFonts w:hint="default" w:ascii="Arial" w:hAnsi="Arial" w:eastAsia="宋体" w:cs="Arial"/>
          <w:color w:val="auto"/>
          <w:highlight w:val="none"/>
        </w:rPr>
        <w:t>项目</w:t>
      </w:r>
      <w:r>
        <w:rPr>
          <w:rFonts w:hint="default" w:ascii="Arial" w:hAnsi="Arial" w:eastAsia="宋体" w:cs="Arial"/>
          <w:bCs/>
          <w:color w:val="auto"/>
          <w:szCs w:val="21"/>
          <w:highlight w:val="none"/>
          <w:lang w:val="en-US" w:eastAsia="zh-CN"/>
        </w:rPr>
        <w:t>于2022年2月17日</w:t>
      </w:r>
      <w:r>
        <w:rPr>
          <w:rFonts w:hint="default" w:ascii="Arial" w:hAnsi="Arial" w:eastAsia="宋体" w:cs="Arial"/>
          <w:color w:val="auto"/>
          <w:highlight w:val="none"/>
        </w:rPr>
        <w:t>取得</w:t>
      </w:r>
      <w:r>
        <w:rPr>
          <w:rFonts w:hint="default" w:ascii="Arial" w:hAnsi="Arial" w:eastAsia="宋体" w:cs="Arial"/>
          <w:color w:val="auto"/>
          <w:highlight w:val="none"/>
          <w:lang w:eastAsia="zh-CN"/>
        </w:rPr>
        <w:t>了五原县</w:t>
      </w:r>
      <w:r>
        <w:rPr>
          <w:rFonts w:hint="default" w:ascii="Arial" w:hAnsi="Arial" w:eastAsia="宋体" w:cs="Arial"/>
          <w:color w:val="auto"/>
          <w:highlight w:val="none"/>
        </w:rPr>
        <w:t>发展和改革委员会</w:t>
      </w:r>
      <w:r>
        <w:rPr>
          <w:rFonts w:hint="default" w:ascii="Arial" w:hAnsi="Arial" w:eastAsia="宋体" w:cs="Arial"/>
          <w:color w:val="auto"/>
          <w:highlight w:val="none"/>
          <w:lang w:eastAsia="zh-CN"/>
        </w:rPr>
        <w:t>出具的</w:t>
      </w:r>
      <w:r>
        <w:rPr>
          <w:rFonts w:hint="default" w:ascii="Arial" w:hAnsi="Arial" w:eastAsia="宋体" w:cs="Arial"/>
          <w:color w:val="auto"/>
          <w:highlight w:val="none"/>
        </w:rPr>
        <w:t>《项目备案告知书》</w:t>
      </w:r>
      <w:r>
        <w:rPr>
          <w:rFonts w:hint="default" w:ascii="Arial" w:hAnsi="Arial" w:eastAsia="宋体" w:cs="Arial"/>
          <w:color w:val="auto"/>
          <w:highlight w:val="none"/>
          <w:lang w:eastAsia="zh-CN"/>
        </w:rPr>
        <w:t>，项目代码：</w:t>
      </w:r>
      <w:r>
        <w:rPr>
          <w:rFonts w:hint="default" w:ascii="Arial" w:hAnsi="Arial" w:eastAsia="宋体" w:cs="Arial"/>
          <w:color w:val="auto"/>
          <w:highlight w:val="none"/>
          <w:lang w:val="en-US" w:eastAsia="zh-CN"/>
        </w:rPr>
        <w:t>2202-150821-04-01-595635，本项目符合产业政策和市场准入标准</w:t>
      </w:r>
      <w:r>
        <w:rPr>
          <w:rFonts w:hint="default" w:ascii="Arial" w:hAnsi="Arial" w:eastAsia="宋体" w:cs="Arial"/>
          <w:color w:val="auto"/>
          <w:highlight w:val="none"/>
        </w:rPr>
        <w:t>。</w:t>
      </w:r>
    </w:p>
    <w:p>
      <w:pPr>
        <w:pStyle w:val="6"/>
        <w:pageBreakBefore w:val="0"/>
        <w:widowControl w:val="0"/>
        <w:kinsoku/>
        <w:wordWrap/>
        <w:topLinePunct/>
        <w:autoSpaceDN/>
        <w:bidi w:val="0"/>
        <w:adjustRightInd/>
        <w:snapToGrid/>
        <w:spacing w:line="480" w:lineRule="exact"/>
        <w:textAlignment w:val="auto"/>
        <w:rPr>
          <w:rFonts w:hint="default" w:ascii="Arial" w:hAnsi="Arial" w:eastAsia="宋体" w:cs="Arial"/>
          <w:color w:val="auto"/>
          <w:highlight w:val="none"/>
        </w:rPr>
      </w:pPr>
      <w:bookmarkStart w:id="61" w:name="_Toc15934"/>
      <w:r>
        <w:rPr>
          <w:rFonts w:hint="default" w:ascii="Arial" w:hAnsi="Arial" w:eastAsia="宋体" w:cs="Arial"/>
          <w:color w:val="auto"/>
          <w:highlight w:val="none"/>
        </w:rPr>
        <w:t>1.4.2项目选址合理性分析</w:t>
      </w:r>
      <w:bookmarkEnd w:id="61"/>
    </w:p>
    <w:p>
      <w:pPr>
        <w:pageBreakBefore w:val="0"/>
        <w:widowControl w:val="0"/>
        <w:kinsoku/>
        <w:wordWrap/>
        <w:topLinePunct/>
        <w:autoSpaceDN/>
        <w:bidi w:val="0"/>
        <w:adjustRightInd/>
        <w:snapToGrid/>
        <w:spacing w:line="480" w:lineRule="exact"/>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本项目选址于</w:t>
      </w:r>
      <w:r>
        <w:rPr>
          <w:rFonts w:hint="default" w:ascii="Arial" w:hAnsi="Arial" w:eastAsia="宋体" w:cs="Arial"/>
          <w:color w:val="auto"/>
          <w:sz w:val="24"/>
          <w:szCs w:val="24"/>
          <w:highlight w:val="none"/>
          <w:lang w:eastAsia="zh-CN"/>
        </w:rPr>
        <w:t>内蒙古自治区巴彦淖尔市五原县天吉泰镇二合永村五社</w:t>
      </w:r>
      <w:r>
        <w:rPr>
          <w:rFonts w:hint="default" w:ascii="Arial" w:hAnsi="Arial" w:eastAsia="宋体" w:cs="Arial"/>
          <w:color w:val="auto"/>
          <w:highlight w:val="none"/>
        </w:rPr>
        <w:t>，项目周围500m范围内无工业企业，区域环境质量良好，有利于畜禽的生长，并可以保持良好的健康状态。</w:t>
      </w:r>
    </w:p>
    <w:p>
      <w:pPr>
        <w:pageBreakBefore w:val="0"/>
        <w:widowControl w:val="0"/>
        <w:kinsoku/>
        <w:wordWrap/>
        <w:overflowPunct w:val="0"/>
        <w:topLinePunct/>
        <w:autoSpaceDE/>
        <w:autoSpaceDN/>
        <w:bidi w:val="0"/>
        <w:adjustRightInd/>
        <w:snapToGrid/>
        <w:spacing w:line="480" w:lineRule="exact"/>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根据调查，项目周边</w:t>
      </w:r>
      <w:r>
        <w:rPr>
          <w:rFonts w:hint="default" w:ascii="Arial" w:hAnsi="Arial" w:eastAsia="宋体" w:cs="Arial"/>
          <w:color w:val="auto"/>
          <w:highlight w:val="none"/>
          <w:lang w:eastAsia="zh-CN"/>
        </w:rPr>
        <w:t>土地性质</w:t>
      </w:r>
      <w:r>
        <w:rPr>
          <w:rFonts w:hint="default" w:ascii="Arial" w:hAnsi="Arial" w:eastAsia="宋体" w:cs="Arial"/>
          <w:color w:val="auto"/>
          <w:highlight w:val="none"/>
        </w:rPr>
        <w:t>主要为</w:t>
      </w:r>
      <w:r>
        <w:rPr>
          <w:rFonts w:hint="default" w:ascii="Arial" w:hAnsi="Arial" w:eastAsia="宋体" w:cs="Arial"/>
          <w:color w:val="auto"/>
          <w:highlight w:val="none"/>
          <w:lang w:eastAsia="zh-CN"/>
        </w:rPr>
        <w:t>天然牧草地、旱地和林地</w:t>
      </w:r>
      <w:r>
        <w:rPr>
          <w:rFonts w:hint="default" w:ascii="Arial" w:hAnsi="Arial" w:eastAsia="宋体" w:cs="Arial"/>
          <w:color w:val="auto"/>
          <w:highlight w:val="none"/>
        </w:rPr>
        <w:t>，下风向1000m范围内无学校、医院、</w:t>
      </w:r>
      <w:r>
        <w:rPr>
          <w:rFonts w:hint="default" w:ascii="Arial" w:hAnsi="Arial" w:eastAsia="宋体" w:cs="Arial"/>
          <w:color w:val="auto"/>
          <w:highlight w:val="none"/>
          <w:lang w:eastAsia="zh-CN"/>
        </w:rPr>
        <w:t>行政办公室</w:t>
      </w:r>
      <w:r>
        <w:rPr>
          <w:rFonts w:hint="default" w:ascii="Arial" w:hAnsi="Arial" w:eastAsia="宋体" w:cs="Arial"/>
          <w:color w:val="auto"/>
          <w:highlight w:val="none"/>
        </w:rPr>
        <w:t>等敏感目标</w:t>
      </w:r>
      <w:r>
        <w:rPr>
          <w:rFonts w:hint="default" w:ascii="Arial" w:hAnsi="Arial" w:eastAsia="宋体" w:cs="Arial"/>
          <w:color w:val="auto"/>
          <w:highlight w:val="none"/>
          <w:lang w:eastAsia="zh-CN"/>
        </w:rPr>
        <w:t>；本项目评价范围内无饮用水水源地、自然保护区、风景名胜区等特殊环境敏感区，不涉及重要生态功能区、生态敏感脆弱区、禁止开发区域以及其他各类保护地，根据生态红线的主要划定依据，本项目不在生态保护红线范围内</w:t>
      </w:r>
      <w:r>
        <w:rPr>
          <w:rFonts w:hint="default" w:ascii="Arial" w:hAnsi="Arial" w:eastAsia="宋体" w:cs="Arial"/>
          <w:bCs/>
          <w:color w:val="auto"/>
          <w:szCs w:val="21"/>
          <w:highlight w:val="none"/>
          <w:lang w:val="en-US" w:eastAsia="zh-CN"/>
        </w:rPr>
        <w:t>；</w:t>
      </w:r>
      <w:r>
        <w:rPr>
          <w:rFonts w:hint="default" w:ascii="Arial" w:hAnsi="Arial" w:eastAsia="宋体" w:cs="Arial"/>
          <w:color w:val="auto"/>
          <w:highlight w:val="none"/>
        </w:rPr>
        <w:t>项目选址符合《关于做好畜禽规模养殖项目环境影响评价管理工作的通知》（环办环评</w:t>
      </w:r>
      <w:r>
        <w:rPr>
          <w:rFonts w:hint="default" w:ascii="Arial" w:hAnsi="Arial" w:eastAsia="宋体" w:cs="Arial"/>
          <w:color w:val="auto"/>
          <w:highlight w:val="none"/>
          <w:lang w:eastAsia="zh-CN"/>
        </w:rPr>
        <w:t>[</w:t>
      </w:r>
      <w:r>
        <w:rPr>
          <w:rFonts w:hint="default" w:ascii="Arial" w:hAnsi="Arial" w:eastAsia="宋体" w:cs="Arial"/>
          <w:color w:val="auto"/>
          <w:highlight w:val="none"/>
        </w:rPr>
        <w:t>2018</w:t>
      </w:r>
      <w:r>
        <w:rPr>
          <w:rFonts w:hint="default" w:ascii="Arial" w:hAnsi="Arial" w:eastAsia="宋体" w:cs="Arial"/>
          <w:color w:val="auto"/>
          <w:highlight w:val="none"/>
          <w:lang w:eastAsia="zh-CN"/>
        </w:rPr>
        <w:t>]</w:t>
      </w:r>
      <w:r>
        <w:rPr>
          <w:rFonts w:hint="default" w:ascii="Arial" w:hAnsi="Arial" w:eastAsia="宋体" w:cs="Arial"/>
          <w:color w:val="auto"/>
          <w:highlight w:val="none"/>
        </w:rPr>
        <w:t>31号）、《畜禽规模养殖污染防治条例》国务院令第643号、《畜禽养殖业污染防治技术规范》（HJ-T81-2001）、《畜禽场场区设计技术规范》（NY-T682-2003）等法律法规和行业规范的选址要求</w:t>
      </w:r>
      <w:r>
        <w:rPr>
          <w:rFonts w:hint="default" w:ascii="Arial" w:hAnsi="Arial" w:eastAsia="宋体" w:cs="Arial"/>
          <w:color w:val="auto"/>
          <w:highlight w:val="none"/>
          <w:lang w:eastAsia="zh-CN"/>
        </w:rPr>
        <w:t>，因此，本项目选址合理</w:t>
      </w:r>
      <w:r>
        <w:rPr>
          <w:rFonts w:hint="default" w:ascii="Arial" w:hAnsi="Arial" w:eastAsia="宋体" w:cs="Arial"/>
          <w:color w:val="auto"/>
          <w:highlight w:val="none"/>
        </w:rPr>
        <w:t>。</w:t>
      </w:r>
    </w:p>
    <w:p>
      <w:pPr>
        <w:pStyle w:val="6"/>
        <w:pageBreakBefore w:val="0"/>
        <w:widowControl w:val="0"/>
        <w:kinsoku/>
        <w:wordWrap/>
        <w:topLinePunct/>
        <w:autoSpaceDN/>
        <w:bidi w:val="0"/>
        <w:adjustRightInd/>
        <w:snapToGrid/>
        <w:spacing w:line="480" w:lineRule="exact"/>
        <w:textAlignment w:val="auto"/>
        <w:rPr>
          <w:rFonts w:hint="default" w:ascii="Arial" w:hAnsi="Arial" w:eastAsia="宋体" w:cs="Arial"/>
          <w:color w:val="auto"/>
          <w:highlight w:val="none"/>
        </w:rPr>
      </w:pPr>
      <w:bookmarkStart w:id="62" w:name="_Toc19699"/>
      <w:r>
        <w:rPr>
          <w:rFonts w:hint="default" w:ascii="Arial" w:hAnsi="Arial" w:eastAsia="宋体" w:cs="Arial"/>
          <w:color w:val="auto"/>
          <w:highlight w:val="none"/>
        </w:rPr>
        <w:t>1.4.3</w:t>
      </w:r>
      <w:bookmarkStart w:id="63" w:name="_Toc521342110"/>
      <w:r>
        <w:rPr>
          <w:rFonts w:hint="default" w:ascii="Arial" w:hAnsi="Arial" w:eastAsia="宋体" w:cs="Arial"/>
          <w:color w:val="auto"/>
          <w:highlight w:val="none"/>
        </w:rPr>
        <w:t>“三线一单”符合性分析</w:t>
      </w:r>
      <w:bookmarkEnd w:id="62"/>
      <w:bookmarkEnd w:id="63"/>
    </w:p>
    <w:p>
      <w:pPr>
        <w:pageBreakBefore w:val="0"/>
        <w:widowControl w:val="0"/>
        <w:kinsoku/>
        <w:wordWrap/>
        <w:overflowPunct w:val="0"/>
        <w:topLinePunct/>
        <w:autoSpaceDE/>
        <w:autoSpaceDN/>
        <w:bidi w:val="0"/>
        <w:adjustRightInd/>
        <w:snapToGrid/>
        <w:spacing w:line="480" w:lineRule="exact"/>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根据实际情况，本项目“三线一单”分析如下：</w:t>
      </w:r>
    </w:p>
    <w:p>
      <w:pPr>
        <w:pageBreakBefore w:val="0"/>
        <w:widowControl w:val="0"/>
        <w:kinsoku/>
        <w:wordWrap/>
        <w:topLinePunct/>
        <w:autoSpaceDN/>
        <w:bidi w:val="0"/>
        <w:adjustRightInd/>
        <w:snapToGrid/>
        <w:spacing w:line="480" w:lineRule="exact"/>
        <w:ind w:firstLine="480"/>
        <w:textAlignment w:val="auto"/>
        <w:rPr>
          <w:rFonts w:hint="default" w:ascii="Arial" w:hAnsi="Arial" w:eastAsia="宋体" w:cs="Arial"/>
          <w:color w:val="auto"/>
          <w:highlight w:val="none"/>
        </w:rPr>
      </w:pPr>
      <w:bookmarkStart w:id="64" w:name="_Toc512871517"/>
      <w:r>
        <w:rPr>
          <w:rFonts w:hint="default" w:ascii="Arial" w:hAnsi="Arial" w:eastAsia="宋体" w:cs="Arial"/>
          <w:color w:val="auto"/>
          <w:highlight w:val="none"/>
        </w:rPr>
        <w:t>（1）生态保护红线</w:t>
      </w:r>
    </w:p>
    <w:p>
      <w:pPr>
        <w:pageBreakBefore w:val="0"/>
        <w:widowControl w:val="0"/>
        <w:kinsoku/>
        <w:wordWrap/>
        <w:topLinePunct/>
        <w:autoSpaceDN/>
        <w:bidi w:val="0"/>
        <w:adjustRightInd/>
        <w:snapToGrid/>
        <w:spacing w:line="480" w:lineRule="exact"/>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根据巴彦淖尔市人民政府于2021年10月14日出具的《关于印发&lt;巴彦淖尔市“三线一单”生态环境分区管控方案&gt;的通知》（巴政发[2021]9号）分区管控体系要求：全市共划定环境管控单元249个，包括优先保护单元、重点管控单元、一般管控单元三类，实施分类管控。</w:t>
      </w:r>
    </w:p>
    <w:p>
      <w:pPr>
        <w:pageBreakBefore w:val="0"/>
        <w:widowControl w:val="0"/>
        <w:kinsoku/>
        <w:wordWrap/>
        <w:topLinePunct/>
        <w:autoSpaceDN/>
        <w:bidi w:val="0"/>
        <w:adjustRightInd/>
        <w:snapToGrid/>
        <w:spacing w:line="480" w:lineRule="exact"/>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本项目位于内蒙古自治区巴彦淖尔市五原县天吉泰镇二合永村五社，厂区评价范围内无生态保护红线、自然保护地、集中式饮用水水源保护区等生态功能重要区和生态环境敏感区，属于优先保护单元，项目投产后落实报告提出的各项防治措施及风险防治措施后不会对生态环境造成影响，满足生态保护红线要求。</w:t>
      </w:r>
    </w:p>
    <w:p>
      <w:pPr>
        <w:pageBreakBefore w:val="0"/>
        <w:widowControl w:val="0"/>
        <w:kinsoku/>
        <w:wordWrap/>
        <w:topLinePunct/>
        <w:autoSpaceDN/>
        <w:bidi w:val="0"/>
        <w:adjustRightInd/>
        <w:snapToGrid/>
        <w:spacing w:line="480" w:lineRule="exact"/>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（2）环境质量底线</w:t>
      </w:r>
    </w:p>
    <w:p>
      <w:pPr>
        <w:pageBreakBefore w:val="0"/>
        <w:widowControl w:val="0"/>
        <w:kinsoku/>
        <w:wordWrap/>
        <w:topLinePunct/>
        <w:autoSpaceDN/>
        <w:bidi w:val="0"/>
        <w:adjustRightInd/>
        <w:snapToGrid/>
        <w:spacing w:line="480" w:lineRule="exact"/>
        <w:ind w:firstLine="480"/>
        <w:textAlignment w:val="auto"/>
        <w:rPr>
          <w:rFonts w:hint="default" w:ascii="Arial" w:hAnsi="Arial" w:eastAsia="宋体" w:cs="Arial"/>
          <w:color w:val="auto"/>
          <w:highlight w:val="none"/>
        </w:rPr>
      </w:pPr>
      <w:r>
        <w:rPr>
          <w:rFonts w:hint="default" w:ascii="Arial" w:hAnsi="Arial" w:eastAsia="宋体" w:cs="Arial"/>
          <w:color w:val="auto"/>
          <w:sz w:val="24"/>
          <w:szCs w:val="24"/>
          <w:highlight w:val="none"/>
        </w:rPr>
        <w:t>根据</w:t>
      </w:r>
      <w:r>
        <w:rPr>
          <w:rFonts w:hint="default" w:ascii="Arial" w:hAnsi="Arial" w:eastAsia="宋体" w:cs="Arial"/>
          <w:color w:val="auto"/>
          <w:kern w:val="0"/>
          <w:sz w:val="24"/>
          <w:szCs w:val="24"/>
          <w:highlight w:val="none"/>
          <w:lang w:eastAsia="zh-CN"/>
        </w:rPr>
        <w:t>《巴彦淖尔市环境质量状况公报（</w:t>
      </w:r>
      <w:r>
        <w:rPr>
          <w:rFonts w:hint="default" w:ascii="Arial" w:hAnsi="Arial" w:eastAsia="宋体" w:cs="Arial"/>
          <w:color w:val="auto"/>
          <w:kern w:val="0"/>
          <w:sz w:val="24"/>
          <w:szCs w:val="24"/>
          <w:highlight w:val="none"/>
          <w:lang w:val="en-US" w:eastAsia="zh-CN"/>
        </w:rPr>
        <w:t>2020年</w:t>
      </w:r>
      <w:r>
        <w:rPr>
          <w:rFonts w:hint="default" w:ascii="Arial" w:hAnsi="Arial" w:eastAsia="宋体" w:cs="Arial"/>
          <w:color w:val="auto"/>
          <w:kern w:val="0"/>
          <w:sz w:val="24"/>
          <w:szCs w:val="24"/>
          <w:highlight w:val="none"/>
          <w:lang w:eastAsia="zh-CN"/>
        </w:rPr>
        <w:t>）》，本项目所在地巴彦淖尔市五原县</w:t>
      </w:r>
      <w:r>
        <w:rPr>
          <w:rFonts w:hint="default" w:ascii="Arial" w:hAnsi="Arial" w:eastAsia="宋体" w:cs="Arial"/>
          <w:color w:val="auto"/>
          <w:kern w:val="0"/>
          <w:sz w:val="24"/>
          <w:szCs w:val="24"/>
          <w:highlight w:val="none"/>
          <w:lang w:val="en-US" w:eastAsia="zh-CN"/>
        </w:rPr>
        <w:t>2020年大气环境中6项</w:t>
      </w:r>
      <w:r>
        <w:rPr>
          <w:rFonts w:hint="default" w:ascii="Arial" w:hAnsi="Arial" w:eastAsia="宋体" w:cs="Arial"/>
          <w:color w:val="auto"/>
          <w:kern w:val="0"/>
          <w:sz w:val="24"/>
          <w:szCs w:val="24"/>
          <w:highlight w:val="none"/>
        </w:rPr>
        <w:t>污染物</w:t>
      </w:r>
      <w:r>
        <w:rPr>
          <w:rFonts w:hint="default" w:ascii="Arial" w:hAnsi="Arial" w:eastAsia="宋体" w:cs="Arial"/>
          <w:color w:val="auto"/>
          <w:kern w:val="0"/>
          <w:sz w:val="24"/>
          <w:szCs w:val="24"/>
          <w:highlight w:val="none"/>
          <w:lang w:eastAsia="zh-CN"/>
        </w:rPr>
        <w:t>中</w:t>
      </w:r>
      <w:r>
        <w:rPr>
          <w:rFonts w:hint="default" w:ascii="Arial" w:hAnsi="Arial" w:eastAsia="宋体" w:cs="Arial"/>
          <w:color w:val="auto"/>
          <w:kern w:val="0"/>
          <w:sz w:val="24"/>
          <w:szCs w:val="24"/>
          <w:highlight w:val="none"/>
        </w:rPr>
        <w:t>SO</w:t>
      </w:r>
      <w:r>
        <w:rPr>
          <w:rFonts w:hint="default" w:ascii="Arial" w:hAnsi="Arial" w:eastAsia="宋体" w:cs="Arial"/>
          <w:color w:val="auto"/>
          <w:kern w:val="0"/>
          <w:sz w:val="24"/>
          <w:szCs w:val="24"/>
          <w:highlight w:val="none"/>
          <w:vertAlign w:val="subscript"/>
        </w:rPr>
        <w:t>2</w:t>
      </w:r>
      <w:r>
        <w:rPr>
          <w:rFonts w:hint="default" w:ascii="Arial" w:hAnsi="Arial" w:eastAsia="宋体" w:cs="Arial"/>
          <w:color w:val="auto"/>
          <w:kern w:val="0"/>
          <w:sz w:val="24"/>
          <w:szCs w:val="24"/>
          <w:highlight w:val="none"/>
        </w:rPr>
        <w:t>、NO</w:t>
      </w:r>
      <w:r>
        <w:rPr>
          <w:rFonts w:hint="default" w:ascii="Arial" w:hAnsi="Arial" w:eastAsia="宋体" w:cs="Arial"/>
          <w:color w:val="auto"/>
          <w:kern w:val="0"/>
          <w:sz w:val="24"/>
          <w:szCs w:val="24"/>
          <w:highlight w:val="none"/>
          <w:vertAlign w:val="subscript"/>
        </w:rPr>
        <w:t>2</w:t>
      </w:r>
      <w:r>
        <w:rPr>
          <w:rFonts w:hint="default" w:ascii="Arial" w:hAnsi="Arial" w:eastAsia="宋体" w:cs="Arial"/>
          <w:color w:val="auto"/>
          <w:kern w:val="0"/>
          <w:sz w:val="24"/>
          <w:szCs w:val="24"/>
          <w:highlight w:val="none"/>
        </w:rPr>
        <w:t>、PM</w:t>
      </w:r>
      <w:r>
        <w:rPr>
          <w:rFonts w:hint="default" w:ascii="Arial" w:hAnsi="Arial" w:eastAsia="宋体" w:cs="Arial"/>
          <w:color w:val="auto"/>
          <w:kern w:val="0"/>
          <w:sz w:val="24"/>
          <w:szCs w:val="24"/>
          <w:highlight w:val="none"/>
          <w:vertAlign w:val="subscript"/>
        </w:rPr>
        <w:t>10</w:t>
      </w:r>
      <w:r>
        <w:rPr>
          <w:rFonts w:hint="default" w:ascii="Arial" w:hAnsi="Arial" w:eastAsia="宋体" w:cs="Arial"/>
          <w:color w:val="auto"/>
          <w:kern w:val="0"/>
          <w:sz w:val="24"/>
          <w:szCs w:val="24"/>
          <w:highlight w:val="none"/>
        </w:rPr>
        <w:t>、PM</w:t>
      </w:r>
      <w:r>
        <w:rPr>
          <w:rFonts w:hint="default" w:ascii="Arial" w:hAnsi="Arial" w:eastAsia="宋体" w:cs="Arial"/>
          <w:color w:val="auto"/>
          <w:kern w:val="0"/>
          <w:sz w:val="24"/>
          <w:szCs w:val="24"/>
          <w:highlight w:val="none"/>
          <w:vertAlign w:val="subscript"/>
        </w:rPr>
        <w:t>2.5</w:t>
      </w:r>
      <w:r>
        <w:rPr>
          <w:rFonts w:hint="default" w:ascii="Arial" w:hAnsi="Arial" w:eastAsia="宋体" w:cs="Arial"/>
          <w:color w:val="auto"/>
          <w:kern w:val="0"/>
          <w:sz w:val="24"/>
          <w:szCs w:val="24"/>
          <w:highlight w:val="none"/>
        </w:rPr>
        <w:t>、CO和O</w:t>
      </w:r>
      <w:r>
        <w:rPr>
          <w:rFonts w:hint="default" w:ascii="Arial" w:hAnsi="Arial" w:eastAsia="宋体" w:cs="Arial"/>
          <w:color w:val="auto"/>
          <w:kern w:val="0"/>
          <w:sz w:val="24"/>
          <w:szCs w:val="24"/>
          <w:highlight w:val="none"/>
          <w:vertAlign w:val="subscript"/>
        </w:rPr>
        <w:t>3</w:t>
      </w:r>
      <w:r>
        <w:rPr>
          <w:rFonts w:hint="default" w:ascii="Arial" w:hAnsi="Arial" w:eastAsia="宋体" w:cs="Arial"/>
          <w:color w:val="auto"/>
          <w:kern w:val="0"/>
          <w:sz w:val="24"/>
          <w:szCs w:val="24"/>
          <w:highlight w:val="none"/>
        </w:rPr>
        <w:t>质量浓度</w:t>
      </w:r>
      <w:r>
        <w:rPr>
          <w:rFonts w:hint="default" w:ascii="Arial" w:hAnsi="Arial" w:eastAsia="宋体" w:cs="Arial"/>
          <w:color w:val="auto"/>
          <w:kern w:val="0"/>
          <w:sz w:val="24"/>
          <w:szCs w:val="24"/>
          <w:highlight w:val="none"/>
          <w:lang w:eastAsia="zh-CN"/>
        </w:rPr>
        <w:t>均满足</w:t>
      </w:r>
      <w:r>
        <w:rPr>
          <w:rFonts w:hint="default" w:ascii="Arial" w:hAnsi="Arial" w:eastAsia="宋体" w:cs="Arial"/>
          <w:color w:val="auto"/>
          <w:kern w:val="0"/>
          <w:sz w:val="24"/>
          <w:szCs w:val="24"/>
          <w:highlight w:val="none"/>
        </w:rPr>
        <w:t>《环境空气质量标准》（GB3095-2012）二级标准</w:t>
      </w:r>
      <w:r>
        <w:rPr>
          <w:rFonts w:hint="default" w:ascii="Arial" w:hAnsi="Arial" w:eastAsia="宋体" w:cs="Arial"/>
          <w:color w:val="auto"/>
          <w:kern w:val="0"/>
          <w:sz w:val="24"/>
          <w:szCs w:val="24"/>
          <w:highlight w:val="none"/>
          <w:vertAlign w:val="baseline"/>
        </w:rPr>
        <w:t>限值</w:t>
      </w:r>
      <w:r>
        <w:rPr>
          <w:rFonts w:hint="default" w:ascii="Arial" w:hAnsi="Arial" w:eastAsia="宋体" w:cs="Arial"/>
          <w:color w:val="auto"/>
          <w:kern w:val="0"/>
          <w:sz w:val="24"/>
          <w:szCs w:val="24"/>
          <w:highlight w:val="none"/>
          <w:lang w:eastAsia="zh-CN"/>
        </w:rPr>
        <w:t>，</w:t>
      </w:r>
      <w:r>
        <w:rPr>
          <w:rFonts w:hint="default" w:ascii="Arial" w:hAnsi="Arial" w:eastAsia="宋体" w:cs="Arial"/>
          <w:color w:val="auto"/>
          <w:kern w:val="0"/>
          <w:sz w:val="24"/>
          <w:szCs w:val="24"/>
          <w:highlight w:val="none"/>
        </w:rPr>
        <w:t>由此可判断</w:t>
      </w:r>
      <w:r>
        <w:rPr>
          <w:rFonts w:hint="default" w:ascii="Arial" w:hAnsi="Arial" w:eastAsia="宋体" w:cs="Arial"/>
          <w:color w:val="auto"/>
          <w:kern w:val="0"/>
          <w:sz w:val="24"/>
          <w:szCs w:val="24"/>
          <w:highlight w:val="none"/>
          <w:lang w:eastAsia="zh-CN"/>
        </w:rPr>
        <w:t>本项目所在地为</w:t>
      </w:r>
      <w:r>
        <w:rPr>
          <w:rFonts w:hint="default" w:ascii="Arial" w:hAnsi="Arial" w:eastAsia="宋体" w:cs="Arial"/>
          <w:color w:val="auto"/>
          <w:kern w:val="0"/>
          <w:sz w:val="24"/>
          <w:szCs w:val="24"/>
          <w:highlight w:val="none"/>
        </w:rPr>
        <w:t>达标区</w:t>
      </w:r>
      <w:r>
        <w:rPr>
          <w:rFonts w:hint="default" w:ascii="Arial" w:hAnsi="Arial" w:eastAsia="宋体" w:cs="Arial"/>
          <w:color w:val="auto"/>
          <w:kern w:val="0"/>
          <w:sz w:val="24"/>
          <w:szCs w:val="24"/>
          <w:highlight w:val="none"/>
          <w:lang w:eastAsia="zh-CN"/>
        </w:rPr>
        <w:t>；根据</w:t>
      </w:r>
      <w:r>
        <w:rPr>
          <w:rFonts w:hint="default" w:ascii="Arial" w:hAnsi="Arial" w:eastAsia="宋体" w:cs="Arial"/>
          <w:color w:val="auto"/>
          <w:sz w:val="24"/>
          <w:highlight w:val="none"/>
        </w:rPr>
        <w:t>特征因子</w:t>
      </w:r>
      <w:r>
        <w:rPr>
          <w:rFonts w:hint="default" w:ascii="Arial" w:hAnsi="Arial" w:eastAsia="宋体" w:cs="Arial"/>
          <w:color w:val="auto"/>
          <w:kern w:val="0"/>
          <w:sz w:val="24"/>
          <w:szCs w:val="24"/>
          <w:highlight w:val="none"/>
          <w:lang w:eastAsia="zh-CN"/>
        </w:rPr>
        <w:t>监测结果可知，</w:t>
      </w:r>
      <w:r>
        <w:rPr>
          <w:rFonts w:hint="default" w:ascii="Arial" w:hAnsi="Arial" w:eastAsia="宋体" w:cs="Arial"/>
          <w:color w:val="auto"/>
          <w:kern w:val="0"/>
          <w:sz w:val="24"/>
          <w:szCs w:val="24"/>
          <w:highlight w:val="none"/>
          <w:lang w:val="en-US" w:eastAsia="zh-CN"/>
        </w:rPr>
        <w:t>TSP</w:t>
      </w:r>
      <w:r>
        <w:rPr>
          <w:rFonts w:hint="default" w:ascii="Arial" w:hAnsi="Arial" w:eastAsia="宋体" w:cs="Arial"/>
          <w:color w:val="auto"/>
          <w:kern w:val="0"/>
          <w:sz w:val="24"/>
          <w:szCs w:val="24"/>
          <w:highlight w:val="none"/>
        </w:rPr>
        <w:t>质量浓度</w:t>
      </w:r>
      <w:r>
        <w:rPr>
          <w:rFonts w:hint="default" w:ascii="Arial" w:hAnsi="Arial" w:eastAsia="宋体" w:cs="Arial"/>
          <w:color w:val="auto"/>
          <w:kern w:val="0"/>
          <w:sz w:val="24"/>
          <w:szCs w:val="24"/>
          <w:highlight w:val="none"/>
          <w:lang w:eastAsia="zh-CN"/>
        </w:rPr>
        <w:t>满足</w:t>
      </w:r>
      <w:r>
        <w:rPr>
          <w:rFonts w:hint="default" w:ascii="Arial" w:hAnsi="Arial" w:eastAsia="宋体" w:cs="Arial"/>
          <w:color w:val="auto"/>
          <w:kern w:val="0"/>
          <w:sz w:val="24"/>
          <w:szCs w:val="24"/>
          <w:highlight w:val="none"/>
        </w:rPr>
        <w:t>《环境空气质量标准》（GB3095-2012）二级标准</w:t>
      </w:r>
      <w:r>
        <w:rPr>
          <w:rFonts w:hint="default" w:ascii="Arial" w:hAnsi="Arial" w:eastAsia="宋体" w:cs="Arial"/>
          <w:color w:val="auto"/>
          <w:kern w:val="0"/>
          <w:sz w:val="24"/>
          <w:szCs w:val="24"/>
          <w:highlight w:val="none"/>
          <w:vertAlign w:val="baseline"/>
        </w:rPr>
        <w:t>限值</w:t>
      </w:r>
      <w:r>
        <w:rPr>
          <w:rFonts w:hint="default" w:ascii="Arial" w:hAnsi="Arial" w:eastAsia="宋体" w:cs="Arial"/>
          <w:color w:val="auto"/>
          <w:kern w:val="0"/>
          <w:sz w:val="24"/>
          <w:szCs w:val="24"/>
          <w:highlight w:val="none"/>
          <w:vertAlign w:val="baseline"/>
          <w:lang w:eastAsia="zh-CN"/>
        </w:rPr>
        <w:t>；</w:t>
      </w:r>
      <w:r>
        <w:rPr>
          <w:rFonts w:hint="default" w:ascii="Arial" w:hAnsi="Arial" w:eastAsia="宋体" w:cs="Arial"/>
          <w:color w:val="auto"/>
          <w:kern w:val="0"/>
          <w:sz w:val="24"/>
          <w:szCs w:val="24"/>
        </w:rPr>
        <w:t>H</w:t>
      </w:r>
      <w:r>
        <w:rPr>
          <w:rFonts w:hint="default" w:ascii="Arial" w:hAnsi="Arial" w:eastAsia="宋体" w:cs="Arial"/>
          <w:color w:val="auto"/>
          <w:kern w:val="0"/>
          <w:sz w:val="24"/>
          <w:szCs w:val="24"/>
          <w:vertAlign w:val="subscript"/>
        </w:rPr>
        <w:t>2</w:t>
      </w:r>
      <w:r>
        <w:rPr>
          <w:rFonts w:hint="default" w:ascii="Arial" w:hAnsi="Arial" w:eastAsia="宋体" w:cs="Arial"/>
          <w:color w:val="auto"/>
          <w:kern w:val="0"/>
          <w:sz w:val="24"/>
          <w:szCs w:val="24"/>
        </w:rPr>
        <w:t>S、NH</w:t>
      </w:r>
      <w:r>
        <w:rPr>
          <w:rFonts w:hint="default" w:ascii="Arial" w:hAnsi="Arial" w:eastAsia="宋体" w:cs="Arial"/>
          <w:color w:val="auto"/>
          <w:kern w:val="0"/>
          <w:sz w:val="24"/>
          <w:szCs w:val="24"/>
          <w:vertAlign w:val="subscript"/>
        </w:rPr>
        <w:t>3</w:t>
      </w:r>
      <w:r>
        <w:rPr>
          <w:rFonts w:hint="default" w:ascii="Arial" w:hAnsi="Arial" w:eastAsia="宋体" w:cs="Arial"/>
          <w:color w:val="auto"/>
          <w:kern w:val="0"/>
          <w:sz w:val="24"/>
          <w:szCs w:val="24"/>
          <w:highlight w:val="none"/>
        </w:rPr>
        <w:t>质量浓度</w:t>
      </w:r>
      <w:r>
        <w:rPr>
          <w:rFonts w:hint="default" w:ascii="Arial" w:hAnsi="Arial" w:eastAsia="宋体" w:cs="Arial"/>
          <w:color w:val="auto"/>
          <w:kern w:val="0"/>
          <w:sz w:val="24"/>
          <w:szCs w:val="24"/>
          <w:highlight w:val="none"/>
          <w:lang w:eastAsia="zh-CN"/>
        </w:rPr>
        <w:t>满足</w:t>
      </w:r>
      <w:r>
        <w:rPr>
          <w:rFonts w:hint="default" w:ascii="Arial" w:hAnsi="Arial" w:eastAsia="宋体" w:cs="Arial"/>
          <w:color w:val="auto"/>
          <w:kern w:val="0"/>
          <w:sz w:val="24"/>
          <w:szCs w:val="24"/>
        </w:rPr>
        <w:t>《环境影响评价技术导则—大气环境》（HJ2.2-2018）附录D</w:t>
      </w:r>
      <w:r>
        <w:rPr>
          <w:rFonts w:hint="default" w:ascii="Arial" w:hAnsi="Arial" w:eastAsia="宋体" w:cs="Arial"/>
          <w:color w:val="auto"/>
          <w:kern w:val="0"/>
          <w:sz w:val="24"/>
          <w:szCs w:val="24"/>
          <w:lang w:eastAsia="zh-CN"/>
        </w:rPr>
        <w:t>其他污染物空气质量浓度参考限值</w:t>
      </w:r>
      <w:r>
        <w:rPr>
          <w:rFonts w:hint="default" w:ascii="Arial" w:hAnsi="Arial" w:eastAsia="宋体" w:cs="Arial"/>
          <w:color w:val="auto"/>
          <w:kern w:val="0"/>
          <w:sz w:val="24"/>
          <w:highlight w:val="none"/>
        </w:rPr>
        <w:t>；</w:t>
      </w:r>
      <w:r>
        <w:rPr>
          <w:rFonts w:hint="default" w:ascii="Arial" w:hAnsi="Arial" w:eastAsia="宋体" w:cs="Arial"/>
          <w:color w:val="auto"/>
          <w:kern w:val="0"/>
          <w:sz w:val="24"/>
          <w:szCs w:val="24"/>
          <w:highlight w:val="none"/>
          <w:lang w:eastAsia="zh-CN"/>
        </w:rPr>
        <w:t>根据</w:t>
      </w:r>
      <w:r>
        <w:rPr>
          <w:rFonts w:hint="default" w:ascii="Arial" w:hAnsi="Arial" w:eastAsia="宋体" w:cs="Arial"/>
          <w:color w:val="auto"/>
          <w:sz w:val="24"/>
          <w:highlight w:val="none"/>
          <w:lang w:eastAsia="zh-CN"/>
        </w:rPr>
        <w:t>土壤环境</w:t>
      </w:r>
      <w:r>
        <w:rPr>
          <w:rFonts w:hint="default" w:ascii="Arial" w:hAnsi="Arial" w:eastAsia="宋体" w:cs="Arial"/>
          <w:color w:val="auto"/>
          <w:kern w:val="0"/>
          <w:sz w:val="24"/>
          <w:szCs w:val="24"/>
          <w:highlight w:val="none"/>
          <w:lang w:eastAsia="zh-CN"/>
        </w:rPr>
        <w:t>监测结果可知，</w:t>
      </w:r>
      <w:r>
        <w:rPr>
          <w:rFonts w:hint="default" w:ascii="Arial" w:hAnsi="Arial" w:eastAsia="宋体" w:cs="Arial"/>
          <w:color w:val="auto"/>
          <w:sz w:val="24"/>
          <w:highlight w:val="none"/>
        </w:rPr>
        <w:t>各</w:t>
      </w:r>
      <w:r>
        <w:rPr>
          <w:rFonts w:hint="default" w:ascii="Arial" w:hAnsi="Arial" w:eastAsia="宋体" w:cs="Arial"/>
          <w:color w:val="auto"/>
          <w:sz w:val="24"/>
          <w:highlight w:val="none"/>
          <w:lang w:eastAsia="zh-CN"/>
        </w:rPr>
        <w:t>监测</w:t>
      </w:r>
      <w:r>
        <w:rPr>
          <w:rFonts w:hint="default" w:ascii="Arial" w:hAnsi="Arial" w:eastAsia="宋体" w:cs="Arial"/>
          <w:color w:val="auto"/>
          <w:sz w:val="24"/>
          <w:highlight w:val="none"/>
        </w:rPr>
        <w:t>因子均满足土壤环境质量满足《土壤环境质量 农用地土壤污染风险管控标准（试行）》（GB 15618-2018）表1农用地土壤污染风险筛选值（基本项目）--“其他”标准</w:t>
      </w:r>
      <w:r>
        <w:rPr>
          <w:rFonts w:hint="default" w:ascii="Arial" w:hAnsi="Arial" w:eastAsia="宋体" w:cs="Arial"/>
          <w:color w:val="auto"/>
          <w:sz w:val="24"/>
          <w:highlight w:val="none"/>
          <w:lang w:eastAsia="zh-CN"/>
        </w:rPr>
        <w:t>；项目厂区四周噪声监测值</w:t>
      </w:r>
      <w:r>
        <w:rPr>
          <w:rFonts w:hint="default" w:ascii="Arial" w:hAnsi="Arial" w:eastAsia="宋体" w:cs="Arial"/>
          <w:color w:val="auto"/>
          <w:sz w:val="24"/>
          <w:highlight w:val="none"/>
        </w:rPr>
        <w:t>均满足《声环境质量标准》（GB3096-2008）</w:t>
      </w:r>
      <w:r>
        <w:rPr>
          <w:rFonts w:hint="default" w:ascii="Arial" w:hAnsi="Arial" w:eastAsia="宋体" w:cs="Arial"/>
          <w:color w:val="auto"/>
          <w:sz w:val="24"/>
          <w:highlight w:val="none"/>
          <w:lang w:val="en-US" w:eastAsia="zh-CN"/>
        </w:rPr>
        <w:t>2</w:t>
      </w:r>
      <w:r>
        <w:rPr>
          <w:rFonts w:hint="default" w:ascii="Arial" w:hAnsi="Arial" w:eastAsia="宋体" w:cs="Arial"/>
          <w:color w:val="auto"/>
          <w:sz w:val="24"/>
          <w:highlight w:val="none"/>
        </w:rPr>
        <w:t>类标准要求</w:t>
      </w:r>
      <w:r>
        <w:rPr>
          <w:rFonts w:hint="default" w:ascii="Arial" w:hAnsi="Arial" w:eastAsia="宋体" w:cs="Arial"/>
          <w:color w:val="auto"/>
          <w:highlight w:val="none"/>
        </w:rPr>
        <w:t>。</w:t>
      </w:r>
    </w:p>
    <w:p>
      <w:pPr>
        <w:pageBreakBefore w:val="0"/>
        <w:widowControl w:val="0"/>
        <w:kinsoku/>
        <w:wordWrap/>
        <w:topLinePunct/>
        <w:autoSpaceDN/>
        <w:bidi w:val="0"/>
        <w:adjustRightInd/>
        <w:snapToGrid/>
        <w:spacing w:line="480" w:lineRule="exact"/>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本项目</w:t>
      </w:r>
      <w:r>
        <w:rPr>
          <w:rFonts w:hint="default" w:ascii="Arial" w:hAnsi="Arial" w:eastAsia="宋体" w:cs="Arial"/>
          <w:color w:val="auto"/>
          <w:highlight w:val="none"/>
          <w:lang w:eastAsia="zh-CN"/>
        </w:rPr>
        <w:t>实施后，</w:t>
      </w:r>
      <w:r>
        <w:rPr>
          <w:rFonts w:hint="default" w:ascii="Arial" w:hAnsi="Arial" w:eastAsia="宋体" w:cs="Arial"/>
          <w:color w:val="auto"/>
          <w:highlight w:val="none"/>
        </w:rPr>
        <w:t>在严格落实本次评价中提出的各项环保措施后，对</w:t>
      </w:r>
      <w:r>
        <w:rPr>
          <w:rFonts w:hint="default" w:ascii="Arial" w:hAnsi="Arial" w:eastAsia="宋体" w:cs="Arial"/>
          <w:color w:val="auto"/>
          <w:highlight w:val="none"/>
          <w:lang w:eastAsia="zh-CN"/>
        </w:rPr>
        <w:t>周围</w:t>
      </w:r>
      <w:r>
        <w:rPr>
          <w:rFonts w:hint="default" w:ascii="Arial" w:hAnsi="Arial" w:eastAsia="宋体" w:cs="Arial"/>
          <w:color w:val="auto"/>
          <w:highlight w:val="none"/>
        </w:rPr>
        <w:t>各环境要素的影响较小，不会改变各环境要素的环境质量现状级别，因此</w:t>
      </w:r>
      <w:r>
        <w:rPr>
          <w:rFonts w:hint="default" w:ascii="Arial" w:hAnsi="Arial" w:eastAsia="宋体" w:cs="Arial"/>
          <w:color w:val="auto"/>
          <w:highlight w:val="none"/>
          <w:lang w:eastAsia="zh-CN"/>
        </w:rPr>
        <w:t>，</w:t>
      </w:r>
      <w:r>
        <w:rPr>
          <w:rFonts w:hint="default" w:ascii="Arial" w:hAnsi="Arial" w:eastAsia="宋体" w:cs="Arial"/>
          <w:color w:val="auto"/>
          <w:highlight w:val="none"/>
        </w:rPr>
        <w:t>本项目符合环境质量底线要求。</w:t>
      </w:r>
    </w:p>
    <w:p>
      <w:pPr>
        <w:pageBreakBefore w:val="0"/>
        <w:widowControl w:val="0"/>
        <w:kinsoku/>
        <w:wordWrap/>
        <w:overflowPunct w:val="0"/>
        <w:topLinePunct/>
        <w:autoSpaceDE/>
        <w:autoSpaceDN/>
        <w:bidi w:val="0"/>
        <w:adjustRightInd/>
        <w:snapToGrid/>
        <w:spacing w:line="480" w:lineRule="exact"/>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（3）资源利用上线</w:t>
      </w:r>
    </w:p>
    <w:p>
      <w:pPr>
        <w:keepNext w:val="0"/>
        <w:keepLines w:val="0"/>
        <w:pageBreakBefore w:val="0"/>
        <w:widowControl w:val="0"/>
        <w:kinsoku/>
        <w:wordWrap/>
        <w:overflowPunct/>
        <w:topLinePunct/>
        <w:autoSpaceDE/>
        <w:autoSpaceDN/>
        <w:bidi w:val="0"/>
        <w:adjustRightInd/>
        <w:snapToGrid/>
        <w:spacing w:line="480" w:lineRule="exact"/>
        <w:ind w:firstLine="480" w:firstLineChars="200"/>
        <w:textAlignment w:val="auto"/>
        <w:rPr>
          <w:rFonts w:hint="default" w:ascii="Arial" w:hAnsi="Arial" w:eastAsia="宋体" w:cs="Arial"/>
          <w:color w:val="auto"/>
          <w:sz w:val="24"/>
          <w:highlight w:val="none"/>
        </w:rPr>
      </w:pPr>
      <w:r>
        <w:rPr>
          <w:rFonts w:hint="default" w:ascii="Arial" w:hAnsi="Arial" w:eastAsia="宋体" w:cs="Arial"/>
          <w:color w:val="auto"/>
          <w:sz w:val="24"/>
          <w:highlight w:val="none"/>
        </w:rPr>
        <w:t>本项目不属于高能耗、高污染、资源性项目，用水来源为自备水井，主要用水环节为职工用水、牛群饮用水</w:t>
      </w:r>
      <w:r>
        <w:rPr>
          <w:rFonts w:hint="default" w:ascii="Arial" w:hAnsi="Arial" w:eastAsia="宋体" w:cs="Arial"/>
          <w:color w:val="auto"/>
          <w:sz w:val="24"/>
          <w:highlight w:val="none"/>
          <w:lang w:eastAsia="zh-CN"/>
        </w:rPr>
        <w:t>、绿化用水</w:t>
      </w:r>
      <w:r>
        <w:rPr>
          <w:rFonts w:hint="default" w:ascii="Arial" w:hAnsi="Arial" w:eastAsia="宋体" w:cs="Arial"/>
          <w:color w:val="auto"/>
          <w:sz w:val="24"/>
          <w:highlight w:val="none"/>
        </w:rPr>
        <w:t>等，新鲜用水量较少，能够满足本项目的新鲜水使用要求。本项目用电由市政电网供应，能够满足本项目的用电要求。项目产生的粪污经堆肥后，用作有机肥用于农田施肥，全部资源利用。</w:t>
      </w:r>
    </w:p>
    <w:p>
      <w:pPr>
        <w:keepNext w:val="0"/>
        <w:keepLines w:val="0"/>
        <w:pageBreakBefore w:val="0"/>
        <w:widowControl w:val="0"/>
        <w:kinsoku/>
        <w:wordWrap/>
        <w:overflowPunct/>
        <w:topLinePunct/>
        <w:autoSpaceDE/>
        <w:autoSpaceDN/>
        <w:bidi w:val="0"/>
        <w:adjustRightInd/>
        <w:snapToGrid/>
        <w:spacing w:line="480" w:lineRule="exact"/>
        <w:ind w:firstLine="480" w:firstLineChars="200"/>
        <w:textAlignment w:val="auto"/>
        <w:rPr>
          <w:rFonts w:hint="default" w:ascii="Arial" w:hAnsi="Arial" w:eastAsia="宋体" w:cs="Arial"/>
          <w:color w:val="auto"/>
          <w:sz w:val="24"/>
        </w:rPr>
      </w:pPr>
      <w:r>
        <w:rPr>
          <w:rFonts w:hint="default" w:ascii="Arial" w:hAnsi="Arial" w:eastAsia="宋体" w:cs="Arial"/>
          <w:color w:val="auto"/>
          <w:sz w:val="24"/>
          <w:highlight w:val="none"/>
        </w:rPr>
        <w:t>项目建设和营运过程中采用节能材料和节能设备，能源消耗较低，符合资源利用上线不能突破的原则</w:t>
      </w:r>
      <w:r>
        <w:rPr>
          <w:rFonts w:hint="default" w:ascii="Arial" w:hAnsi="Arial" w:eastAsia="宋体" w:cs="Arial"/>
          <w:color w:val="auto"/>
          <w:sz w:val="24"/>
        </w:rPr>
        <w:t>。</w:t>
      </w:r>
    </w:p>
    <w:p>
      <w:pPr>
        <w:keepNext w:val="0"/>
        <w:keepLines w:val="0"/>
        <w:pageBreakBefore w:val="0"/>
        <w:widowControl w:val="0"/>
        <w:kinsoku/>
        <w:wordWrap/>
        <w:overflowPunct/>
        <w:topLinePunct/>
        <w:autoSpaceDN/>
        <w:bidi w:val="0"/>
        <w:adjustRightInd/>
        <w:spacing w:line="480" w:lineRule="exact"/>
        <w:ind w:firstLine="480"/>
        <w:textAlignment w:val="auto"/>
        <w:rPr>
          <w:rFonts w:hint="default" w:ascii="Arial" w:hAnsi="Arial" w:eastAsia="宋体" w:cs="Arial"/>
          <w:color w:val="auto"/>
          <w:highlight w:val="none"/>
          <w:lang w:eastAsia="zh-CN"/>
        </w:rPr>
      </w:pPr>
      <w:r>
        <w:rPr>
          <w:rFonts w:hint="default" w:ascii="Arial" w:hAnsi="Arial" w:eastAsia="宋体" w:cs="Arial"/>
          <w:color w:val="auto"/>
          <w:highlight w:val="none"/>
        </w:rPr>
        <w:t>（4）</w:t>
      </w:r>
      <w:r>
        <w:rPr>
          <w:rFonts w:hint="default" w:ascii="Arial" w:hAnsi="Arial" w:eastAsia="宋体" w:cs="Arial"/>
          <w:color w:val="auto"/>
          <w:highlight w:val="none"/>
          <w:lang w:eastAsia="zh-CN"/>
        </w:rPr>
        <w:t>生态环境准入清单</w:t>
      </w:r>
    </w:p>
    <w:p>
      <w:pPr>
        <w:keepNext w:val="0"/>
        <w:keepLines w:val="0"/>
        <w:pageBreakBefore w:val="0"/>
        <w:widowControl w:val="0"/>
        <w:kinsoku/>
        <w:wordWrap/>
        <w:overflowPunct/>
        <w:topLinePunct w:val="0"/>
        <w:autoSpaceDE/>
        <w:autoSpaceDN/>
        <w:bidi w:val="0"/>
        <w:adjustRightInd/>
        <w:snapToGrid w:val="0"/>
        <w:spacing w:line="480" w:lineRule="exact"/>
        <w:ind w:firstLine="480" w:firstLineChars="200"/>
        <w:textAlignment w:val="auto"/>
        <w:rPr>
          <w:rFonts w:hint="default" w:ascii="Arial" w:hAnsi="Arial" w:eastAsia="宋体" w:cs="Arial"/>
          <w:color w:val="auto"/>
          <w:sz w:val="24"/>
          <w:szCs w:val="24"/>
          <w:highlight w:val="none"/>
          <w:lang w:val="en-US" w:eastAsia="zh-CN"/>
        </w:rPr>
      </w:pPr>
      <w:r>
        <w:rPr>
          <w:rFonts w:hint="default" w:ascii="Arial" w:hAnsi="Arial" w:eastAsia="宋体" w:cs="Arial"/>
          <w:color w:val="auto"/>
          <w:sz w:val="24"/>
          <w:szCs w:val="24"/>
          <w:highlight w:val="none"/>
          <w:lang w:eastAsia="zh-CN"/>
        </w:rPr>
        <w:t>根据巴彦淖尔市环境管控单元图，本项目厂区位于五原县一般生态空间-水土保持环境管控单元，管控单元类别为优先保护单元，本项目生态环境准入清单符合性见下表。</w:t>
      </w:r>
    </w:p>
    <w:p>
      <w:pPr>
        <w:keepNext w:val="0"/>
        <w:keepLines w:val="0"/>
        <w:pageBreakBefore w:val="0"/>
        <w:widowControl w:val="0"/>
        <w:tabs>
          <w:tab w:val="left" w:pos="4252"/>
          <w:tab w:val="left" w:pos="6271"/>
        </w:tabs>
        <w:kinsoku/>
        <w:wordWrap/>
        <w:overflowPunct/>
        <w:topLinePunct w:val="0"/>
        <w:autoSpaceDE/>
        <w:autoSpaceDN/>
        <w:bidi w:val="0"/>
        <w:adjustRightInd/>
        <w:snapToGrid/>
        <w:spacing w:line="480" w:lineRule="exact"/>
        <w:jc w:val="center"/>
        <w:textAlignment w:val="auto"/>
        <w:rPr>
          <w:rFonts w:hint="default" w:ascii="Arial" w:hAnsi="Arial" w:eastAsia="宋体" w:cs="Arial"/>
          <w:b/>
          <w:bCs/>
          <w:color w:val="auto"/>
          <w:sz w:val="24"/>
          <w:szCs w:val="24"/>
        </w:rPr>
      </w:pPr>
      <w:r>
        <w:rPr>
          <w:rFonts w:hint="default" w:ascii="Arial" w:hAnsi="Arial" w:eastAsia="宋体" w:cs="Arial"/>
          <w:b/>
          <w:bCs/>
          <w:color w:val="auto"/>
          <w:sz w:val="24"/>
          <w:szCs w:val="24"/>
        </w:rPr>
        <w:t>表</w:t>
      </w:r>
      <w:r>
        <w:rPr>
          <w:rFonts w:hint="default" w:ascii="Arial" w:hAnsi="Arial" w:eastAsia="宋体" w:cs="Arial"/>
          <w:b/>
          <w:bCs/>
          <w:color w:val="auto"/>
          <w:sz w:val="24"/>
          <w:szCs w:val="24"/>
          <w:lang w:val="en-US" w:eastAsia="zh-CN"/>
        </w:rPr>
        <w:t>1.4-1</w:t>
      </w:r>
      <w:r>
        <w:rPr>
          <w:rFonts w:hint="default" w:ascii="Arial" w:hAnsi="Arial" w:eastAsia="宋体" w:cs="Arial"/>
          <w:b/>
          <w:bCs/>
          <w:color w:val="auto"/>
          <w:sz w:val="24"/>
          <w:szCs w:val="24"/>
        </w:rPr>
        <w:t xml:space="preserve">  巴彦淖尔市生态环境准入清单</w:t>
      </w:r>
      <w:r>
        <w:rPr>
          <w:rFonts w:hint="default" w:ascii="Arial" w:hAnsi="Arial" w:eastAsia="宋体" w:cs="Arial"/>
          <w:b/>
          <w:bCs/>
          <w:color w:val="auto"/>
          <w:sz w:val="24"/>
          <w:szCs w:val="24"/>
          <w:lang w:eastAsia="zh-CN"/>
        </w:rPr>
        <w:t>符合性分析</w:t>
      </w:r>
      <w:r>
        <w:rPr>
          <w:rFonts w:hint="default" w:ascii="Arial" w:hAnsi="Arial" w:eastAsia="宋体" w:cs="Arial"/>
          <w:b/>
          <w:bCs/>
          <w:color w:val="auto"/>
          <w:sz w:val="24"/>
          <w:szCs w:val="24"/>
        </w:rPr>
        <w:t>表</w:t>
      </w:r>
    </w:p>
    <w:tbl>
      <w:tblPr>
        <w:tblStyle w:val="39"/>
        <w:tblW w:w="9003" w:type="dxa"/>
        <w:jc w:val="center"/>
        <w:tblLayout w:type="fixed"/>
        <w:tblCellMar>
          <w:top w:w="0" w:type="dxa"/>
          <w:left w:w="108" w:type="dxa"/>
          <w:bottom w:w="0" w:type="dxa"/>
          <w:right w:w="108" w:type="dxa"/>
        </w:tblCellMar>
      </w:tblPr>
      <w:tblGrid>
        <w:gridCol w:w="646"/>
        <w:gridCol w:w="646"/>
        <w:gridCol w:w="647"/>
        <w:gridCol w:w="647"/>
        <w:gridCol w:w="918"/>
        <w:gridCol w:w="2426"/>
        <w:gridCol w:w="2426"/>
        <w:gridCol w:w="647"/>
      </w:tblGrid>
      <w:tr>
        <w:tblPrEx>
          <w:tblCellMar>
            <w:top w:w="0" w:type="dxa"/>
            <w:left w:w="108" w:type="dxa"/>
            <w:bottom w:w="0" w:type="dxa"/>
            <w:right w:w="108" w:type="dxa"/>
          </w:tblCellMar>
        </w:tblPrEx>
        <w:trPr>
          <w:trHeight w:val="340" w:hRule="atLeast"/>
          <w:jc w:val="center"/>
        </w:trPr>
        <w:tc>
          <w:tcPr>
            <w:tcW w:w="567" w:type="dxa"/>
            <w:tcBorders>
              <w:top w:val="single" w:color="auto" w:sz="4" w:space="0"/>
              <w:left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0"/>
                <w:sz w:val="21"/>
                <w:szCs w:val="21"/>
                <w:lang w:val="en-US" w:eastAsia="zh-CN"/>
              </w:rPr>
            </w:pPr>
            <w:r>
              <w:rPr>
                <w:rFonts w:hint="default" w:ascii="Arial" w:hAnsi="Arial" w:eastAsia="宋体" w:cs="Arial"/>
                <w:color w:val="auto"/>
                <w:kern w:val="0"/>
                <w:sz w:val="21"/>
                <w:szCs w:val="21"/>
                <w:lang w:val="en-US" w:eastAsia="zh-CN"/>
              </w:rPr>
              <w:t>环境管控单元编码</w:t>
            </w:r>
          </w:p>
        </w:tc>
        <w:tc>
          <w:tcPr>
            <w:tcW w:w="567" w:type="dxa"/>
            <w:tcBorders>
              <w:top w:val="single" w:color="auto"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0"/>
                <w:sz w:val="21"/>
                <w:szCs w:val="21"/>
              </w:rPr>
            </w:pPr>
            <w:r>
              <w:rPr>
                <w:rFonts w:hint="default" w:ascii="Arial" w:hAnsi="Arial" w:eastAsia="宋体" w:cs="Arial"/>
                <w:color w:val="auto"/>
                <w:kern w:val="0"/>
                <w:sz w:val="21"/>
                <w:szCs w:val="21"/>
                <w:lang w:val="en-US" w:eastAsia="zh-CN"/>
              </w:rPr>
              <w:t>环境管控单元名称</w:t>
            </w:r>
          </w:p>
        </w:tc>
        <w:tc>
          <w:tcPr>
            <w:tcW w:w="567" w:type="dxa"/>
            <w:tcBorders>
              <w:top w:val="single" w:color="auto"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0"/>
                <w:sz w:val="21"/>
                <w:szCs w:val="21"/>
              </w:rPr>
            </w:pPr>
            <w:r>
              <w:rPr>
                <w:rFonts w:hint="default" w:ascii="Arial" w:hAnsi="Arial" w:eastAsia="宋体" w:cs="Arial"/>
                <w:color w:val="auto"/>
                <w:kern w:val="0"/>
                <w:sz w:val="21"/>
                <w:szCs w:val="21"/>
                <w:lang w:val="en-US" w:eastAsia="zh-CN"/>
              </w:rPr>
              <w:t>管控单元类别</w:t>
            </w:r>
          </w:p>
        </w:tc>
        <w:tc>
          <w:tcPr>
            <w:tcW w:w="567" w:type="dxa"/>
            <w:tcBorders>
              <w:top w:val="single" w:color="auto"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0"/>
                <w:sz w:val="21"/>
                <w:szCs w:val="21"/>
                <w:lang w:val="en-US" w:eastAsia="zh-CN"/>
              </w:rPr>
            </w:pPr>
            <w:r>
              <w:rPr>
                <w:rFonts w:hint="default" w:ascii="Arial" w:hAnsi="Arial" w:eastAsia="宋体" w:cs="Arial"/>
                <w:color w:val="auto"/>
                <w:kern w:val="0"/>
                <w:sz w:val="21"/>
                <w:szCs w:val="21"/>
                <w:lang w:val="en-US" w:eastAsia="zh-CN"/>
              </w:rPr>
              <w:t>生态保护重点</w:t>
            </w:r>
          </w:p>
        </w:tc>
        <w:tc>
          <w:tcPr>
            <w:tcW w:w="2932" w:type="dxa"/>
            <w:gridSpan w:val="2"/>
            <w:tcBorders>
              <w:top w:val="single" w:color="auto"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0"/>
                <w:sz w:val="21"/>
                <w:szCs w:val="21"/>
                <w:lang w:val="en-US" w:eastAsia="zh-CN"/>
              </w:rPr>
            </w:pPr>
            <w:r>
              <w:rPr>
                <w:rFonts w:hint="default" w:ascii="Arial" w:hAnsi="Arial" w:eastAsia="宋体" w:cs="Arial"/>
                <w:color w:val="auto"/>
                <w:kern w:val="0"/>
                <w:sz w:val="21"/>
                <w:szCs w:val="21"/>
                <w:lang w:val="en-US" w:eastAsia="zh-CN"/>
              </w:rPr>
              <w:t>环境管控要求</w:t>
            </w:r>
          </w:p>
        </w:tc>
        <w:tc>
          <w:tcPr>
            <w:tcW w:w="2127" w:type="dxa"/>
            <w:tcBorders>
              <w:top w:val="single" w:color="auto"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0"/>
                <w:sz w:val="21"/>
                <w:szCs w:val="21"/>
                <w:lang w:val="en-US" w:eastAsia="zh-CN"/>
              </w:rPr>
            </w:pPr>
            <w:r>
              <w:rPr>
                <w:rFonts w:hint="default" w:ascii="Arial" w:hAnsi="Arial" w:eastAsia="宋体" w:cs="Arial"/>
                <w:color w:val="auto"/>
                <w:kern w:val="0"/>
                <w:sz w:val="21"/>
                <w:szCs w:val="21"/>
                <w:lang w:val="en-US" w:eastAsia="zh-CN"/>
              </w:rPr>
              <w:t>本项目情况</w:t>
            </w:r>
          </w:p>
        </w:tc>
        <w:tc>
          <w:tcPr>
            <w:tcW w:w="567" w:type="dxa"/>
            <w:tcBorders>
              <w:top w:val="single" w:color="auto" w:sz="4" w:space="0"/>
              <w:left w:val="single" w:color="000000"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0"/>
                <w:sz w:val="21"/>
                <w:szCs w:val="21"/>
                <w:lang w:val="en-US" w:eastAsia="zh-CN"/>
              </w:rPr>
            </w:pPr>
            <w:r>
              <w:rPr>
                <w:rFonts w:hint="default" w:ascii="Arial" w:hAnsi="Arial" w:eastAsia="宋体" w:cs="Arial"/>
                <w:color w:val="auto"/>
                <w:kern w:val="0"/>
                <w:sz w:val="21"/>
                <w:szCs w:val="21"/>
                <w:lang w:val="en-US" w:eastAsia="zh-CN"/>
              </w:rPr>
              <w:t>符合性</w:t>
            </w:r>
          </w:p>
        </w:tc>
      </w:tr>
      <w:tr>
        <w:tblPrEx>
          <w:tblCellMar>
            <w:top w:w="0" w:type="dxa"/>
            <w:left w:w="108" w:type="dxa"/>
            <w:bottom w:w="0" w:type="dxa"/>
            <w:right w:w="108" w:type="dxa"/>
          </w:tblCellMar>
        </w:tblPrEx>
        <w:trPr>
          <w:trHeight w:val="340" w:hRule="atLeast"/>
          <w:jc w:val="center"/>
        </w:trPr>
        <w:tc>
          <w:tcPr>
            <w:tcW w:w="567" w:type="dxa"/>
            <w:tcBorders>
              <w:top w:val="single" w:color="000000" w:sz="4" w:space="0"/>
              <w:left w:val="single" w:color="auto" w:sz="4" w:space="0"/>
              <w:bottom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sz w:val="21"/>
                <w:szCs w:val="21"/>
                <w:highlight w:val="none"/>
                <w:lang w:eastAsia="zh-CN"/>
              </w:rPr>
            </w:pPr>
            <w:r>
              <w:rPr>
                <w:rFonts w:hint="default" w:ascii="Arial" w:hAnsi="Arial" w:eastAsia="宋体" w:cs="Arial"/>
                <w:color w:val="auto"/>
                <w:sz w:val="21"/>
                <w:szCs w:val="21"/>
                <w:highlight w:val="none"/>
                <w:lang w:eastAsia="zh-CN"/>
              </w:rPr>
              <w:t>ZH15082110016</w:t>
            </w:r>
          </w:p>
        </w:tc>
        <w:tc>
          <w:tcPr>
            <w:tcW w:w="567" w:type="dxa"/>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0"/>
                <w:sz w:val="21"/>
                <w:szCs w:val="21"/>
                <w:lang w:val="en-US" w:eastAsia="zh-CN"/>
              </w:rPr>
            </w:pPr>
            <w:r>
              <w:rPr>
                <w:rFonts w:hint="default" w:ascii="Arial" w:hAnsi="Arial" w:eastAsia="宋体" w:cs="Arial"/>
                <w:color w:val="auto"/>
                <w:kern w:val="0"/>
                <w:sz w:val="21"/>
                <w:szCs w:val="21"/>
                <w:lang w:val="en-US" w:eastAsia="zh-CN"/>
              </w:rPr>
              <w:t>五原县一般生态空间-水土保持</w:t>
            </w:r>
          </w:p>
        </w:tc>
        <w:tc>
          <w:tcPr>
            <w:tcW w:w="567" w:type="dxa"/>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0"/>
                <w:sz w:val="21"/>
                <w:szCs w:val="21"/>
                <w:lang w:val="en-US" w:eastAsia="zh-CN"/>
              </w:rPr>
            </w:pPr>
            <w:r>
              <w:rPr>
                <w:rFonts w:hint="default" w:ascii="Arial" w:hAnsi="Arial" w:eastAsia="宋体" w:cs="Arial"/>
                <w:color w:val="auto"/>
                <w:kern w:val="0"/>
                <w:sz w:val="21"/>
                <w:szCs w:val="21"/>
                <w:lang w:val="en-US" w:eastAsia="zh-CN"/>
              </w:rPr>
              <w:t>优先保护单元</w:t>
            </w:r>
          </w:p>
        </w:tc>
        <w:tc>
          <w:tcPr>
            <w:tcW w:w="567" w:type="dxa"/>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0"/>
                <w:sz w:val="21"/>
                <w:szCs w:val="21"/>
                <w:lang w:val="en-US" w:eastAsia="zh-CN"/>
              </w:rPr>
            </w:pPr>
            <w:r>
              <w:rPr>
                <w:rFonts w:hint="default" w:ascii="Arial" w:hAnsi="Arial" w:eastAsia="宋体" w:cs="Arial"/>
                <w:color w:val="auto"/>
                <w:kern w:val="0"/>
                <w:sz w:val="21"/>
                <w:szCs w:val="21"/>
                <w:lang w:val="en-US" w:eastAsia="zh-CN"/>
              </w:rPr>
              <w:t>一般生态空间</w:t>
            </w:r>
          </w:p>
        </w:tc>
        <w:tc>
          <w:tcPr>
            <w:tcW w:w="805" w:type="dxa"/>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0"/>
                <w:sz w:val="21"/>
                <w:szCs w:val="21"/>
                <w:lang w:val="en-US" w:eastAsia="zh-CN"/>
              </w:rPr>
            </w:pPr>
            <w:r>
              <w:rPr>
                <w:rFonts w:hint="default" w:ascii="Arial" w:hAnsi="Arial" w:eastAsia="宋体" w:cs="Arial"/>
                <w:color w:val="auto"/>
                <w:kern w:val="0"/>
                <w:sz w:val="21"/>
                <w:szCs w:val="21"/>
                <w:lang w:val="en-US" w:eastAsia="zh-CN"/>
              </w:rPr>
              <w:t>空间布局约束</w:t>
            </w:r>
          </w:p>
        </w:tc>
        <w:tc>
          <w:tcPr>
            <w:tcW w:w="2127" w:type="dxa"/>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0"/>
                <w:sz w:val="21"/>
                <w:szCs w:val="21"/>
                <w:lang w:val="en-US" w:eastAsia="zh-CN"/>
              </w:rPr>
            </w:pPr>
            <w:r>
              <w:rPr>
                <w:rFonts w:hint="default" w:ascii="Arial" w:hAnsi="Arial" w:eastAsia="宋体" w:cs="Arial"/>
                <w:color w:val="auto"/>
                <w:kern w:val="0"/>
                <w:sz w:val="21"/>
                <w:szCs w:val="21"/>
                <w:lang w:val="en-US" w:eastAsia="zh-CN"/>
              </w:rPr>
              <w:t>全面实施保护天然林、退耕还林还牧工程，严禁陡坡垦殖，禁止在二十五度以上陡坡地开垦种植农作物，禁止开垦的范围由</w:t>
            </w:r>
          </w:p>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0"/>
                <w:sz w:val="21"/>
                <w:szCs w:val="21"/>
                <w:lang w:val="en-US" w:eastAsia="zh-CN"/>
              </w:rPr>
            </w:pPr>
            <w:r>
              <w:rPr>
                <w:rFonts w:hint="default" w:ascii="Arial" w:hAnsi="Arial" w:eastAsia="宋体" w:cs="Arial"/>
                <w:color w:val="auto"/>
                <w:kern w:val="0"/>
                <w:sz w:val="21"/>
                <w:szCs w:val="21"/>
                <w:lang w:val="en-US" w:eastAsia="zh-CN"/>
              </w:rPr>
              <w:t>旗县级人民政府划定并公告；已经开垦种植农作物的应当按照国家有关规定逐步退耕还林还草；耕地短缺或者已经签订农村土地承包合同、退耕确有困难的，应当根据实际采取相应的水土保持措施。禁止毁林开荒、烧山开荒，合理开发自然资源，保护和恢复自然生态系统，增强区域水土保持能力；禁止在崩塌、滑坡危险区和泥石流易发区从事取土、挖砂、采石等可能造成水土流失的活动。禁止在水土流失重点预防区和重点治理区铲草皮、挖树兜等。</w:t>
            </w:r>
          </w:p>
        </w:tc>
        <w:tc>
          <w:tcPr>
            <w:tcW w:w="2127" w:type="dxa"/>
            <w:tcBorders>
              <w:top w:val="single" w:color="000000" w:sz="4" w:space="0"/>
              <w:left w:val="single" w:color="000000" w:sz="4" w:space="0"/>
              <w:bottom w:val="single" w:color="auto"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0"/>
                <w:sz w:val="21"/>
                <w:szCs w:val="21"/>
                <w:lang w:val="en-US" w:eastAsia="zh-CN"/>
              </w:rPr>
            </w:pPr>
            <w:r>
              <w:rPr>
                <w:rFonts w:hint="default" w:ascii="Arial" w:hAnsi="Arial" w:eastAsia="宋体" w:cs="Arial"/>
                <w:color w:val="auto"/>
                <w:kern w:val="0"/>
                <w:sz w:val="21"/>
                <w:szCs w:val="21"/>
                <w:lang w:val="en-US" w:eastAsia="zh-CN"/>
              </w:rPr>
              <w:t>本项目为养殖场项目，不涉及退耕还林还草等；</w:t>
            </w:r>
          </w:p>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0"/>
                <w:sz w:val="21"/>
                <w:szCs w:val="21"/>
                <w:lang w:val="en-US" w:eastAsia="zh-CN"/>
              </w:rPr>
            </w:pPr>
            <w:r>
              <w:rPr>
                <w:rFonts w:hint="default" w:ascii="Arial" w:hAnsi="Arial" w:eastAsia="宋体" w:cs="Arial"/>
                <w:color w:val="auto"/>
                <w:kern w:val="0"/>
                <w:sz w:val="21"/>
                <w:szCs w:val="21"/>
                <w:lang w:val="en-US" w:eastAsia="zh-CN"/>
              </w:rPr>
              <w:t>项目位于内蒙古自治区巴彦淖尔市五原县天吉泰镇二合永村五社，地势平坦，不占用耕地、基本农田、林地等；</w:t>
            </w:r>
          </w:p>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0"/>
                <w:sz w:val="21"/>
                <w:szCs w:val="21"/>
                <w:lang w:val="en-US" w:eastAsia="zh-CN"/>
              </w:rPr>
            </w:pPr>
            <w:r>
              <w:rPr>
                <w:rFonts w:hint="default" w:ascii="Arial" w:hAnsi="Arial" w:eastAsia="宋体" w:cs="Arial"/>
                <w:color w:val="auto"/>
                <w:kern w:val="0"/>
                <w:sz w:val="21"/>
                <w:szCs w:val="21"/>
                <w:lang w:val="en-US" w:eastAsia="zh-CN"/>
              </w:rPr>
              <w:t>建设期不涉及取土、挖砂、采石、铲草皮、挖树等工程。</w:t>
            </w:r>
          </w:p>
        </w:tc>
        <w:tc>
          <w:tcPr>
            <w:tcW w:w="567" w:type="dxa"/>
            <w:tcBorders>
              <w:top w:val="single" w:color="000000" w:sz="4" w:space="0"/>
              <w:left w:val="single" w:color="000000" w:sz="4" w:space="0"/>
              <w:bottom w:val="single" w:color="auto" w:sz="4" w:space="0"/>
              <w:right w:val="single" w:color="auto"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0"/>
                <w:sz w:val="21"/>
                <w:szCs w:val="21"/>
                <w:lang w:val="en-US" w:eastAsia="zh-CN"/>
              </w:rPr>
            </w:pPr>
            <w:r>
              <w:rPr>
                <w:rFonts w:hint="default" w:ascii="Arial" w:hAnsi="Arial" w:eastAsia="宋体" w:cs="Arial"/>
                <w:color w:val="auto"/>
                <w:kern w:val="0"/>
                <w:sz w:val="21"/>
                <w:szCs w:val="21"/>
                <w:lang w:val="en-US" w:eastAsia="zh-CN"/>
              </w:rPr>
              <w:t>符合</w:t>
            </w:r>
          </w:p>
        </w:tc>
      </w:tr>
    </w:tbl>
    <w:p>
      <w:pPr>
        <w:pageBreakBefore w:val="0"/>
        <w:widowControl w:val="0"/>
        <w:tabs>
          <w:tab w:val="center" w:pos="4153"/>
          <w:tab w:val="right" w:pos="8306"/>
        </w:tabs>
        <w:kinsoku/>
        <w:wordWrap/>
        <w:overflowPunct/>
        <w:autoSpaceDN/>
        <w:bidi w:val="0"/>
        <w:adjustRightInd/>
        <w:spacing w:line="480" w:lineRule="exact"/>
        <w:ind w:firstLine="480" w:firstLineChars="200"/>
        <w:textAlignment w:val="auto"/>
        <w:rPr>
          <w:rFonts w:hint="default" w:ascii="Arial" w:hAnsi="Arial" w:eastAsia="宋体" w:cs="Arial"/>
          <w:color w:val="auto"/>
          <w:sz w:val="24"/>
          <w:szCs w:val="24"/>
          <w:highlight w:val="none"/>
        </w:rPr>
      </w:pPr>
      <w:r>
        <w:rPr>
          <w:rFonts w:hint="default" w:ascii="Arial" w:hAnsi="Arial" w:eastAsia="宋体" w:cs="Arial"/>
          <w:color w:val="auto"/>
          <w:sz w:val="24"/>
          <w:szCs w:val="24"/>
          <w:highlight w:val="none"/>
        </w:rPr>
        <w:t>根据巴彦淖尔市生态环境局2021年11月29日发布的《巴彦淖尔市生态环境准入清单》（巴环函[2021]61号），本项目位于</w:t>
      </w:r>
      <w:r>
        <w:rPr>
          <w:rFonts w:hint="default" w:ascii="Arial" w:hAnsi="Arial" w:eastAsia="宋体" w:cs="Arial"/>
          <w:color w:val="auto"/>
          <w:sz w:val="24"/>
          <w:szCs w:val="24"/>
          <w:highlight w:val="none"/>
          <w:lang w:eastAsia="zh-CN"/>
        </w:rPr>
        <w:t>五原县</w:t>
      </w:r>
      <w:r>
        <w:rPr>
          <w:rFonts w:hint="default" w:ascii="Arial" w:hAnsi="Arial" w:eastAsia="宋体" w:cs="Arial"/>
          <w:color w:val="auto"/>
          <w:sz w:val="24"/>
          <w:szCs w:val="24"/>
          <w:highlight w:val="none"/>
        </w:rPr>
        <w:t>一般生态空间-水土保持控制单元，环境管控单元编码</w:t>
      </w:r>
      <w:r>
        <w:rPr>
          <w:rFonts w:hint="default" w:ascii="Arial" w:hAnsi="Arial" w:eastAsia="宋体" w:cs="Arial"/>
          <w:color w:val="auto"/>
          <w:sz w:val="24"/>
          <w:szCs w:val="24"/>
          <w:highlight w:val="none"/>
          <w:lang w:eastAsia="zh-CN"/>
        </w:rPr>
        <w:t>ZH15082110016</w:t>
      </w:r>
      <w:r>
        <w:rPr>
          <w:rFonts w:hint="default" w:ascii="Arial" w:hAnsi="Arial" w:eastAsia="宋体" w:cs="Arial"/>
          <w:color w:val="auto"/>
          <w:sz w:val="24"/>
          <w:szCs w:val="24"/>
          <w:highlight w:val="none"/>
        </w:rPr>
        <w:t>，属于优先保护单元，从空间布局约束、污染物排放管控、环境风险防控、资源利用效率要求等方面分析，本项目</w:t>
      </w:r>
      <w:r>
        <w:rPr>
          <w:rFonts w:hint="default" w:ascii="Arial" w:hAnsi="Arial" w:eastAsia="宋体" w:cs="Arial"/>
          <w:color w:val="auto"/>
          <w:sz w:val="24"/>
          <w:szCs w:val="24"/>
          <w:highlight w:val="none"/>
          <w:lang w:eastAsia="zh-CN"/>
        </w:rPr>
        <w:t>配套设置</w:t>
      </w:r>
      <w:r>
        <w:rPr>
          <w:rFonts w:hint="default" w:ascii="Arial" w:hAnsi="Arial" w:eastAsia="宋体" w:cs="Arial"/>
          <w:color w:val="auto"/>
          <w:sz w:val="24"/>
          <w:szCs w:val="24"/>
          <w:highlight w:val="none"/>
        </w:rPr>
        <w:t>环保措施，环境影响及环境风险可控；在生产工艺技术、设备水平、清洁化生产均达到国内先进水平。</w:t>
      </w:r>
    </w:p>
    <w:p>
      <w:pPr>
        <w:keepNext w:val="0"/>
        <w:keepLines w:val="0"/>
        <w:pageBreakBefore w:val="0"/>
        <w:widowControl w:val="0"/>
        <w:kinsoku/>
        <w:wordWrap/>
        <w:overflowPunct/>
        <w:topLinePunct w:val="0"/>
        <w:autoSpaceDE/>
        <w:autoSpaceDN/>
        <w:bidi w:val="0"/>
        <w:adjustRightInd/>
        <w:snapToGrid w:val="0"/>
        <w:spacing w:line="480" w:lineRule="exact"/>
        <w:ind w:firstLine="480" w:firstLineChars="200"/>
        <w:textAlignment w:val="auto"/>
        <w:rPr>
          <w:rFonts w:hint="default" w:ascii="Arial" w:hAnsi="Arial" w:eastAsia="宋体" w:cs="Arial"/>
          <w:color w:val="auto"/>
          <w:highlight w:val="none"/>
        </w:rPr>
      </w:pPr>
      <w:r>
        <w:rPr>
          <w:rFonts w:hint="default" w:ascii="Arial" w:hAnsi="Arial" w:eastAsia="宋体" w:cs="Arial"/>
          <w:color w:val="auto"/>
          <w:sz w:val="24"/>
          <w:szCs w:val="24"/>
          <w:highlight w:val="none"/>
        </w:rPr>
        <w:t>因此，本项目符合三线一单管控要求</w:t>
      </w:r>
      <w:r>
        <w:rPr>
          <w:rFonts w:hint="default" w:ascii="Arial" w:hAnsi="Arial" w:eastAsia="宋体" w:cs="Arial"/>
          <w:color w:val="auto"/>
          <w:highlight w:val="none"/>
        </w:rPr>
        <w:t>。</w:t>
      </w:r>
    </w:p>
    <w:p>
      <w:pPr>
        <w:pStyle w:val="5"/>
        <w:pageBreakBefore w:val="0"/>
        <w:widowControl w:val="0"/>
        <w:kinsoku/>
        <w:wordWrap/>
        <w:overflowPunct/>
        <w:topLinePunct/>
        <w:autoSpaceDN/>
        <w:bidi w:val="0"/>
        <w:adjustRightInd/>
        <w:spacing w:line="480" w:lineRule="exact"/>
        <w:textAlignment w:val="auto"/>
        <w:rPr>
          <w:rFonts w:hint="default" w:ascii="Arial" w:hAnsi="Arial" w:eastAsia="宋体" w:cs="Arial"/>
          <w:color w:val="auto"/>
          <w:highlight w:val="none"/>
        </w:rPr>
      </w:pPr>
      <w:bookmarkStart w:id="65" w:name="_Toc3975"/>
      <w:r>
        <w:rPr>
          <w:rFonts w:hint="default" w:ascii="Arial" w:hAnsi="Arial" w:eastAsia="宋体" w:cs="Arial"/>
          <w:color w:val="auto"/>
          <w:highlight w:val="none"/>
        </w:rPr>
        <w:t>1.5重点关注环境问题及环境影响</w:t>
      </w:r>
      <w:bookmarkEnd w:id="64"/>
      <w:bookmarkEnd w:id="65"/>
    </w:p>
    <w:p>
      <w:pPr>
        <w:pageBreakBefore w:val="0"/>
        <w:widowControl w:val="0"/>
        <w:kinsoku/>
        <w:wordWrap/>
        <w:overflowPunct/>
        <w:topLinePunct/>
        <w:autoSpaceDN/>
        <w:bidi w:val="0"/>
        <w:adjustRightInd/>
        <w:spacing w:line="480" w:lineRule="exact"/>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 xml:space="preserve">项目建设对环境的影响分为施工期和运营期两个阶段。施工期对环境的影响主要来自场地平整、地基处理、其他土建工程、设备及管道安装等，以上施工活动进行时，建材运输、装卸及土建施工将会产生一定量的扬尘污染，同时伴有较大的噪声，并会有建筑垃圾的堆存情况。施工将会对环境带来一定的影响，但其工程量较少，施工期不会太长，影响并不突出，且多为短期可逆影响，采取一定环境保护措施后施工期环境影响较小。 </w:t>
      </w:r>
    </w:p>
    <w:p>
      <w:pPr>
        <w:pageBreakBefore w:val="0"/>
        <w:widowControl w:val="0"/>
        <w:kinsoku/>
        <w:wordWrap/>
        <w:overflowPunct/>
        <w:topLinePunct/>
        <w:autoSpaceDN/>
        <w:bidi w:val="0"/>
        <w:adjustRightInd/>
        <w:spacing w:line="480" w:lineRule="exact"/>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运营期对环境的影响主要来自</w:t>
      </w:r>
      <w:r>
        <w:rPr>
          <w:rFonts w:hint="default" w:ascii="Arial" w:hAnsi="Arial" w:eastAsia="宋体" w:cs="Arial"/>
          <w:color w:val="auto"/>
          <w:highlight w:val="none"/>
          <w:lang w:eastAsia="zh-CN"/>
        </w:rPr>
        <w:t>饲草料库房</w:t>
      </w:r>
      <w:r>
        <w:rPr>
          <w:rFonts w:hint="default" w:ascii="Arial" w:hAnsi="Arial" w:eastAsia="宋体" w:cs="Arial"/>
          <w:color w:val="auto"/>
          <w:highlight w:val="none"/>
        </w:rPr>
        <w:t>产生的粉尘；牛舍、运动场、</w:t>
      </w:r>
      <w:r>
        <w:rPr>
          <w:rFonts w:hint="default" w:ascii="Arial" w:hAnsi="Arial" w:eastAsia="宋体" w:cs="Arial"/>
          <w:color w:val="auto"/>
          <w:highlight w:val="none"/>
          <w:lang w:eastAsia="zh-CN"/>
        </w:rPr>
        <w:t>堆肥场</w:t>
      </w:r>
      <w:r>
        <w:rPr>
          <w:rFonts w:hint="default" w:ascii="Arial" w:hAnsi="Arial" w:eastAsia="宋体" w:cs="Arial"/>
          <w:color w:val="auto"/>
          <w:highlight w:val="none"/>
        </w:rPr>
        <w:t>等场地产生的恶臭气体；工作人员产生的生活污水；牛舍、运动场等场地产生的牛粪、病死牛、医疗废物，工作人员产生的生活垃圾等。</w:t>
      </w:r>
    </w:p>
    <w:p>
      <w:pPr>
        <w:pageBreakBefore w:val="0"/>
        <w:widowControl w:val="0"/>
        <w:kinsoku/>
        <w:wordWrap/>
        <w:overflowPunct/>
        <w:topLinePunct/>
        <w:autoSpaceDN/>
        <w:bidi w:val="0"/>
        <w:adjustRightInd/>
        <w:spacing w:line="480" w:lineRule="exact"/>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本项目</w:t>
      </w:r>
      <w:r>
        <w:rPr>
          <w:rFonts w:hint="default" w:ascii="Arial" w:hAnsi="Arial" w:eastAsia="宋体" w:cs="Arial"/>
          <w:color w:val="auto"/>
          <w:highlight w:val="none"/>
          <w:lang w:eastAsia="zh-CN"/>
        </w:rPr>
        <w:t>饲草料库房内</w:t>
      </w:r>
      <w:r>
        <w:rPr>
          <w:rFonts w:hint="default" w:ascii="Arial" w:hAnsi="Arial" w:eastAsia="宋体" w:cs="Arial"/>
          <w:color w:val="auto"/>
          <w:highlight w:val="none"/>
        </w:rPr>
        <w:t>饲料拌和过程会有少量的粉尘产生，经封闭厂房沉降洒水抑尘后以无组织形式逸散；养殖区（牛舍、运动场）产生的恶臭气体可以通过控制饲养密度、加强舍内通风、保持牛舍干燥、科学喂饲、定期喷洒生物除臭剂等措施，可有效减少臭气的散发；</w:t>
      </w:r>
      <w:r>
        <w:rPr>
          <w:rFonts w:hint="default" w:ascii="Arial" w:hAnsi="Arial" w:eastAsia="宋体" w:cs="Arial"/>
          <w:color w:val="auto"/>
          <w:highlight w:val="none"/>
          <w:lang w:eastAsia="zh-CN"/>
        </w:rPr>
        <w:t>堆肥场</w:t>
      </w:r>
      <w:r>
        <w:rPr>
          <w:rFonts w:hint="default" w:ascii="Arial" w:hAnsi="Arial" w:eastAsia="宋体" w:cs="Arial"/>
          <w:color w:val="auto"/>
          <w:highlight w:val="none"/>
        </w:rPr>
        <w:t>四周设置绿化带、定期喷洒除臭剂等环保措施，可有效减少臭气的散发。</w:t>
      </w:r>
    </w:p>
    <w:p>
      <w:pPr>
        <w:pageBreakBefore w:val="0"/>
        <w:widowControl w:val="0"/>
        <w:kinsoku/>
        <w:wordWrap/>
        <w:overflowPunct/>
        <w:topLinePunct/>
        <w:autoSpaceDN/>
        <w:bidi w:val="0"/>
        <w:adjustRightInd/>
        <w:spacing w:line="480" w:lineRule="exact"/>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项目生活污水经化粪池暂存处理后，定期</w:t>
      </w:r>
      <w:r>
        <w:rPr>
          <w:rFonts w:hint="default" w:ascii="Arial" w:hAnsi="Arial" w:eastAsia="宋体" w:cs="Arial"/>
          <w:color w:val="auto"/>
          <w:highlight w:val="none"/>
          <w:lang w:eastAsia="zh-CN"/>
        </w:rPr>
        <w:t>清掏</w:t>
      </w:r>
      <w:r>
        <w:rPr>
          <w:rFonts w:hint="default" w:ascii="Arial" w:hAnsi="Arial" w:eastAsia="宋体" w:cs="Arial"/>
          <w:color w:val="auto"/>
          <w:highlight w:val="none"/>
        </w:rPr>
        <w:t>；养殖区（牛舍、运动场）场地不采取水冲洗方式清理，采用生石灰或者消毒水每周喷洒消毒2~3次，因此，养殖区（牛舍、运动场）不产生冲洗废水。</w:t>
      </w:r>
    </w:p>
    <w:p>
      <w:pPr>
        <w:pageBreakBefore w:val="0"/>
        <w:widowControl w:val="0"/>
        <w:kinsoku/>
        <w:wordWrap/>
        <w:overflowPunct/>
        <w:topLinePunct/>
        <w:autoSpaceDN/>
        <w:bidi w:val="0"/>
        <w:adjustRightInd/>
        <w:spacing w:line="480" w:lineRule="exact"/>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 xml:space="preserve">日粮搅拌机、水泵等噪声设备，采取采取隔声、减振等措施减少对周围声环境的影响。 </w:t>
      </w:r>
    </w:p>
    <w:p>
      <w:pPr>
        <w:pageBreakBefore w:val="0"/>
        <w:widowControl w:val="0"/>
        <w:kinsoku/>
        <w:wordWrap/>
        <w:overflowPunct/>
        <w:topLinePunct/>
        <w:autoSpaceDN/>
        <w:bidi w:val="0"/>
        <w:adjustRightInd/>
        <w:spacing w:line="480" w:lineRule="exact"/>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养殖区（牛舍、运动场）内的牛粪便每日清理一次，采取干清粪方式，用铲车将牛粪转运至</w:t>
      </w:r>
      <w:r>
        <w:rPr>
          <w:rFonts w:hint="default" w:ascii="Arial" w:hAnsi="Arial" w:eastAsia="宋体" w:cs="Arial"/>
          <w:color w:val="auto"/>
          <w:highlight w:val="none"/>
          <w:lang w:eastAsia="zh-CN"/>
        </w:rPr>
        <w:t>堆肥场</w:t>
      </w:r>
      <w:r>
        <w:rPr>
          <w:rFonts w:hint="default" w:ascii="Arial" w:hAnsi="Arial" w:eastAsia="宋体" w:cs="Arial"/>
          <w:color w:val="auto"/>
          <w:highlight w:val="none"/>
        </w:rPr>
        <w:t>储存并堆肥，最终作为</w:t>
      </w:r>
      <w:r>
        <w:rPr>
          <w:rFonts w:hint="default" w:ascii="Arial" w:hAnsi="Arial" w:eastAsia="宋体" w:cs="Arial"/>
          <w:color w:val="auto"/>
          <w:highlight w:val="none"/>
          <w:lang w:eastAsia="zh-CN"/>
        </w:rPr>
        <w:t>有机肥</w:t>
      </w:r>
      <w:r>
        <w:rPr>
          <w:rFonts w:hint="default" w:ascii="Arial" w:hAnsi="Arial" w:eastAsia="宋体" w:cs="Arial"/>
          <w:color w:val="auto"/>
          <w:highlight w:val="none"/>
        </w:rPr>
        <w:t>外售给当地农民；养殖过程产生的病死畜按照当地卫生防疫部门的要求进行</w:t>
      </w:r>
      <w:r>
        <w:rPr>
          <w:rFonts w:hint="default" w:ascii="Arial" w:hAnsi="Arial" w:eastAsia="宋体" w:cs="Arial"/>
          <w:color w:val="auto"/>
          <w:highlight w:val="none"/>
          <w:lang w:eastAsia="zh-CN"/>
        </w:rPr>
        <w:t>无害化处理</w:t>
      </w:r>
      <w:r>
        <w:rPr>
          <w:rFonts w:hint="default" w:ascii="Arial" w:hAnsi="Arial" w:eastAsia="宋体" w:cs="Arial"/>
          <w:color w:val="auto"/>
          <w:highlight w:val="none"/>
        </w:rPr>
        <w:t>；医疗垃圾收集后置于危险废物暂存间后交有资质的单位处理；生活垃圾集中收集后交由当地环卫部门处理。</w:t>
      </w:r>
    </w:p>
    <w:p>
      <w:pPr>
        <w:pageBreakBefore w:val="0"/>
        <w:widowControl w:val="0"/>
        <w:kinsoku/>
        <w:wordWrap/>
        <w:overflowPunct/>
        <w:topLinePunct/>
        <w:autoSpaceDN/>
        <w:bidi w:val="0"/>
        <w:adjustRightInd/>
        <w:spacing w:line="480" w:lineRule="exact"/>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采取以上措施后，本项目运营期对周边环境影响较小。</w:t>
      </w:r>
    </w:p>
    <w:p>
      <w:pPr>
        <w:pStyle w:val="5"/>
        <w:pageBreakBefore w:val="0"/>
        <w:widowControl w:val="0"/>
        <w:kinsoku/>
        <w:wordWrap/>
        <w:overflowPunct/>
        <w:topLinePunct/>
        <w:autoSpaceDN/>
        <w:bidi w:val="0"/>
        <w:adjustRightInd/>
        <w:spacing w:line="480" w:lineRule="exact"/>
        <w:textAlignment w:val="auto"/>
        <w:rPr>
          <w:rFonts w:hint="default" w:ascii="Arial" w:hAnsi="Arial" w:eastAsia="宋体" w:cs="Arial"/>
          <w:color w:val="auto"/>
          <w:highlight w:val="none"/>
        </w:rPr>
      </w:pPr>
      <w:bookmarkStart w:id="66" w:name="_Toc11358"/>
      <w:r>
        <w:rPr>
          <w:rFonts w:hint="default" w:ascii="Arial" w:hAnsi="Arial" w:eastAsia="宋体" w:cs="Arial"/>
          <w:color w:val="auto"/>
          <w:highlight w:val="none"/>
        </w:rPr>
        <w:t>1.6环境影响评价主要结论</w:t>
      </w:r>
      <w:bookmarkEnd w:id="66"/>
    </w:p>
    <w:p>
      <w:pPr>
        <w:pageBreakBefore w:val="0"/>
        <w:widowControl w:val="0"/>
        <w:kinsoku/>
        <w:wordWrap/>
        <w:overflowPunct/>
        <w:topLinePunct/>
        <w:autoSpaceDN/>
        <w:bidi w:val="0"/>
        <w:adjustRightInd/>
        <w:spacing w:line="480" w:lineRule="exact"/>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项目为</w:t>
      </w:r>
      <w:r>
        <w:rPr>
          <w:rFonts w:hint="default" w:ascii="Arial" w:hAnsi="Arial" w:eastAsia="宋体" w:cs="Arial"/>
          <w:color w:val="auto"/>
          <w:highlight w:val="none"/>
          <w:lang w:eastAsia="zh-CN"/>
        </w:rPr>
        <w:t>规模化肉牛养殖项目</w:t>
      </w:r>
      <w:r>
        <w:rPr>
          <w:rFonts w:hint="default" w:ascii="Arial" w:hAnsi="Arial" w:eastAsia="宋体" w:cs="Arial"/>
          <w:color w:val="auto"/>
          <w:highlight w:val="none"/>
        </w:rPr>
        <w:t>，采用农业循环经济发展模式进行牛群养殖并配套消纳土地实现粪污资源化利用，符合国家当前产业政策及内蒙古自治区发展规划要求，其选址不属于禁养区和限养区范围内，场址选址可行，具有良好的社会经济效益。</w:t>
      </w:r>
    </w:p>
    <w:p>
      <w:pPr>
        <w:pageBreakBefore w:val="0"/>
        <w:widowControl w:val="0"/>
        <w:kinsoku/>
        <w:wordWrap/>
        <w:overflowPunct/>
        <w:topLinePunct/>
        <w:autoSpaceDN/>
        <w:bidi w:val="0"/>
        <w:adjustRightInd/>
        <w:spacing w:line="480" w:lineRule="exact"/>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项目建设符合国家“三线一单”的管控原则，拟定的各项环保措施有效、可行，各类污染物可实现稳定达标排放及资源化利用，对周边环境影响较小；项目发生环境风险事故的概率较低，其潜在的风险水平可以接受；公众参与调查阶段，未收到对项目反对意见。因此，只要该项目在下一步的建设和运行中，认真落实本报告提出的各项环保措施，并严格执行环保“三同时”制度，本次评价认为：从环境保护角度分析，项目建设是可行的。</w:t>
      </w:r>
    </w:p>
    <w:p>
      <w:pPr>
        <w:ind w:firstLine="480"/>
        <w:rPr>
          <w:rFonts w:hint="default" w:ascii="Arial" w:hAnsi="Arial" w:eastAsia="宋体" w:cs="Arial"/>
          <w:color w:val="auto"/>
          <w:highlight w:val="none"/>
        </w:rPr>
      </w:pPr>
    </w:p>
    <w:p>
      <w:pPr>
        <w:ind w:firstLine="480"/>
        <w:rPr>
          <w:rFonts w:hint="default" w:ascii="Arial" w:hAnsi="Arial" w:eastAsia="宋体" w:cs="Arial"/>
          <w:color w:val="auto"/>
          <w:highlight w:val="none"/>
        </w:rPr>
        <w:sectPr>
          <w:footerReference r:id="rId10" w:type="default"/>
          <w:pgSz w:w="11906" w:h="16838"/>
          <w:pgMar w:top="1418" w:right="1418" w:bottom="1247" w:left="1701" w:header="851" w:footer="680" w:gutter="0"/>
          <w:pgBorders>
            <w:top w:val="none" w:sz="0" w:space="0"/>
            <w:left w:val="none" w:sz="0" w:space="0"/>
            <w:bottom w:val="none" w:sz="0" w:space="0"/>
            <w:right w:val="none" w:sz="0" w:space="0"/>
          </w:pgBorders>
          <w:pgNumType w:fmt="numberInDash" w:start="1"/>
          <w:cols w:space="425" w:num="1"/>
          <w:docGrid w:linePitch="326" w:charSpace="0"/>
        </w:sectPr>
      </w:pPr>
    </w:p>
    <w:p>
      <w:pPr>
        <w:pStyle w:val="4"/>
        <w:pageBreakBefore w:val="0"/>
        <w:widowControl w:val="0"/>
        <w:kinsoku/>
        <w:wordWrap/>
        <w:overflowPunct/>
        <w:topLinePunct/>
        <w:autoSpaceDE w:val="0"/>
        <w:autoSpaceDN/>
        <w:bidi w:val="0"/>
        <w:adjustRightInd/>
        <w:snapToGrid/>
        <w:textAlignment w:val="auto"/>
        <w:rPr>
          <w:rFonts w:hint="default" w:ascii="Arial" w:hAnsi="Arial" w:eastAsia="宋体" w:cs="Arial"/>
          <w:color w:val="auto"/>
          <w:highlight w:val="none"/>
        </w:rPr>
      </w:pPr>
      <w:bookmarkStart w:id="67" w:name="_Toc22035"/>
      <w:r>
        <w:rPr>
          <w:rFonts w:hint="default" w:ascii="Arial" w:hAnsi="Arial" w:eastAsia="宋体" w:cs="Arial"/>
          <w:color w:val="auto"/>
          <w:highlight w:val="none"/>
        </w:rPr>
        <w:t>2总则</w:t>
      </w:r>
      <w:bookmarkEnd w:id="67"/>
    </w:p>
    <w:p>
      <w:pPr>
        <w:pStyle w:val="5"/>
        <w:pageBreakBefore w:val="0"/>
        <w:widowControl w:val="0"/>
        <w:kinsoku/>
        <w:wordWrap/>
        <w:overflowPunct/>
        <w:topLinePunct/>
        <w:autoSpaceDE w:val="0"/>
        <w:autoSpaceDN/>
        <w:bidi w:val="0"/>
        <w:adjustRightInd/>
        <w:snapToGrid/>
        <w:textAlignment w:val="auto"/>
        <w:rPr>
          <w:rFonts w:hint="default" w:ascii="Arial" w:hAnsi="Arial" w:eastAsia="宋体" w:cs="Arial"/>
          <w:color w:val="auto"/>
          <w:highlight w:val="none"/>
        </w:rPr>
      </w:pPr>
      <w:bookmarkStart w:id="68" w:name="_Toc3708"/>
      <w:r>
        <w:rPr>
          <w:rFonts w:hint="default" w:ascii="Arial" w:hAnsi="Arial" w:eastAsia="宋体" w:cs="Arial"/>
          <w:color w:val="auto"/>
          <w:highlight w:val="none"/>
        </w:rPr>
        <w:t>2.1编制依据</w:t>
      </w:r>
      <w:bookmarkEnd w:id="68"/>
    </w:p>
    <w:p>
      <w:pPr>
        <w:pStyle w:val="6"/>
        <w:pageBreakBefore w:val="0"/>
        <w:widowControl w:val="0"/>
        <w:kinsoku/>
        <w:wordWrap/>
        <w:overflowPunct/>
        <w:topLinePunct/>
        <w:autoSpaceDE w:val="0"/>
        <w:autoSpaceDN/>
        <w:bidi w:val="0"/>
        <w:adjustRightInd/>
        <w:snapToGrid/>
        <w:textAlignment w:val="auto"/>
        <w:rPr>
          <w:rFonts w:hint="default" w:ascii="Arial" w:hAnsi="Arial" w:eastAsia="宋体" w:cs="Arial"/>
          <w:color w:val="auto"/>
          <w:highlight w:val="none"/>
        </w:rPr>
      </w:pPr>
      <w:bookmarkStart w:id="69" w:name="_Toc25111"/>
      <w:r>
        <w:rPr>
          <w:rFonts w:hint="default" w:ascii="Arial" w:hAnsi="Arial" w:eastAsia="宋体" w:cs="Arial"/>
          <w:color w:val="auto"/>
          <w:highlight w:val="none"/>
        </w:rPr>
        <w:t>2.1.1环境保护法律法规</w:t>
      </w:r>
      <w:bookmarkEnd w:id="69"/>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（1）《中华人民共和国环境保护法》，2015.1.1施行；</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（2）《中华人民共和国环境影响评价法》，2018.12.29修订并施行；</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（3）《中华人民共和国大气污染防治法》，2018.10.26修订并施行；</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（4）《中华人民共和国水污染防治法》，2018.1.1施行；</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（5）《中华人民共和国固体废物污染</w:t>
      </w:r>
      <w:r>
        <w:rPr>
          <w:rFonts w:hint="default" w:ascii="Arial" w:hAnsi="Arial" w:eastAsia="宋体" w:cs="Arial"/>
          <w:color w:val="auto"/>
          <w:highlight w:val="none"/>
          <w:lang w:eastAsia="zh-CN"/>
        </w:rPr>
        <w:t>环境</w:t>
      </w:r>
      <w:r>
        <w:rPr>
          <w:rFonts w:hint="default" w:ascii="Arial" w:hAnsi="Arial" w:eastAsia="宋体" w:cs="Arial"/>
          <w:color w:val="auto"/>
          <w:highlight w:val="none"/>
        </w:rPr>
        <w:t>防治法》，20</w:t>
      </w:r>
      <w:r>
        <w:rPr>
          <w:rFonts w:hint="default" w:ascii="Arial" w:hAnsi="Arial" w:eastAsia="宋体" w:cs="Arial"/>
          <w:color w:val="auto"/>
          <w:highlight w:val="none"/>
          <w:lang w:val="en-US" w:eastAsia="zh-CN"/>
        </w:rPr>
        <w:t>20</w:t>
      </w:r>
      <w:r>
        <w:rPr>
          <w:rFonts w:hint="default" w:ascii="Arial" w:hAnsi="Arial" w:eastAsia="宋体" w:cs="Arial"/>
          <w:color w:val="auto"/>
          <w:highlight w:val="none"/>
        </w:rPr>
        <w:t>.</w:t>
      </w:r>
      <w:r>
        <w:rPr>
          <w:rFonts w:hint="default" w:ascii="Arial" w:hAnsi="Arial" w:eastAsia="宋体" w:cs="Arial"/>
          <w:color w:val="auto"/>
          <w:highlight w:val="none"/>
          <w:lang w:val="en-US" w:eastAsia="zh-CN"/>
        </w:rPr>
        <w:t>9</w:t>
      </w:r>
      <w:r>
        <w:rPr>
          <w:rFonts w:hint="default" w:ascii="Arial" w:hAnsi="Arial" w:eastAsia="宋体" w:cs="Arial"/>
          <w:color w:val="auto"/>
          <w:highlight w:val="none"/>
        </w:rPr>
        <w:t>.</w:t>
      </w:r>
      <w:r>
        <w:rPr>
          <w:rFonts w:hint="default" w:ascii="Arial" w:hAnsi="Arial" w:eastAsia="宋体" w:cs="Arial"/>
          <w:color w:val="auto"/>
          <w:highlight w:val="none"/>
          <w:lang w:val="en-US" w:eastAsia="zh-CN"/>
        </w:rPr>
        <w:t>1</w:t>
      </w:r>
      <w:r>
        <w:rPr>
          <w:rFonts w:hint="default" w:ascii="Arial" w:hAnsi="Arial" w:eastAsia="宋体" w:cs="Arial"/>
          <w:color w:val="auto"/>
          <w:highlight w:val="none"/>
        </w:rPr>
        <w:t>施行；</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（6）《中华人民共和国环境噪声污染防治法》，2018.12.29修订并施行；</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（7）《中华人民共和国土壤污染防治法》2019.1.1日施行；</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（8）《建设项目环境保护管理条例》（国务院令第682号），2017.10.1施行；</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（9）《中华人民共和国循环经济促进法》，2018.10.26修订并施行；</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（10）《中华人民共和国节约能源法》，2018.10.26修订并施行；</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（11）《中华人民共和国畜牧法》，2015.4.24修订并施行；</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（12）《中华人民共和国农业法》2013.1.1施行；</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（13）《建设项目环境影响评价分类管理名录</w:t>
      </w:r>
      <w:r>
        <w:rPr>
          <w:rFonts w:hint="default" w:ascii="Arial" w:hAnsi="Arial" w:eastAsia="宋体" w:cs="Arial"/>
          <w:color w:val="auto"/>
          <w:highlight w:val="none"/>
          <w:lang w:eastAsia="zh-CN"/>
        </w:rPr>
        <w:t>（</w:t>
      </w:r>
      <w:r>
        <w:rPr>
          <w:rFonts w:hint="default" w:ascii="Arial" w:hAnsi="Arial" w:eastAsia="宋体" w:cs="Arial"/>
          <w:color w:val="auto"/>
          <w:highlight w:val="none"/>
          <w:lang w:val="en-US" w:eastAsia="zh-CN"/>
        </w:rPr>
        <w:t>2021年版</w:t>
      </w:r>
      <w:r>
        <w:rPr>
          <w:rFonts w:hint="default" w:ascii="Arial" w:hAnsi="Arial" w:eastAsia="宋体" w:cs="Arial"/>
          <w:color w:val="auto"/>
          <w:highlight w:val="none"/>
          <w:lang w:eastAsia="zh-CN"/>
        </w:rPr>
        <w:t>）</w:t>
      </w:r>
      <w:r>
        <w:rPr>
          <w:rFonts w:hint="default" w:ascii="Arial" w:hAnsi="Arial" w:eastAsia="宋体" w:cs="Arial"/>
          <w:color w:val="auto"/>
          <w:highlight w:val="none"/>
        </w:rPr>
        <w:t>》（生态环境部令第1</w:t>
      </w:r>
      <w:r>
        <w:rPr>
          <w:rFonts w:hint="default" w:ascii="Arial" w:hAnsi="Arial" w:eastAsia="宋体" w:cs="Arial"/>
          <w:color w:val="auto"/>
          <w:highlight w:val="none"/>
          <w:lang w:val="en-US" w:eastAsia="zh-CN"/>
        </w:rPr>
        <w:t>6</w:t>
      </w:r>
      <w:r>
        <w:rPr>
          <w:rFonts w:hint="default" w:ascii="Arial" w:hAnsi="Arial" w:eastAsia="宋体" w:cs="Arial"/>
          <w:color w:val="auto"/>
          <w:highlight w:val="none"/>
        </w:rPr>
        <w:t>号），20</w:t>
      </w:r>
      <w:r>
        <w:rPr>
          <w:rFonts w:hint="default" w:ascii="Arial" w:hAnsi="Arial" w:eastAsia="宋体" w:cs="Arial"/>
          <w:color w:val="auto"/>
          <w:highlight w:val="none"/>
          <w:lang w:val="en-US" w:eastAsia="zh-CN"/>
        </w:rPr>
        <w:t>21.1.1施行</w:t>
      </w:r>
      <w:r>
        <w:rPr>
          <w:rFonts w:hint="default" w:ascii="Arial" w:hAnsi="Arial" w:eastAsia="宋体" w:cs="Arial"/>
          <w:color w:val="auto"/>
          <w:highlight w:val="none"/>
        </w:rPr>
        <w:t>；</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（14）《国家危险废物名录</w:t>
      </w:r>
      <w:r>
        <w:rPr>
          <w:rFonts w:hint="default" w:ascii="Arial" w:hAnsi="Arial" w:eastAsia="宋体" w:cs="Arial"/>
          <w:color w:val="auto"/>
          <w:highlight w:val="none"/>
          <w:lang w:eastAsia="zh-CN"/>
        </w:rPr>
        <w:t>（</w:t>
      </w:r>
      <w:r>
        <w:rPr>
          <w:rFonts w:hint="default" w:ascii="Arial" w:hAnsi="Arial" w:eastAsia="宋体" w:cs="Arial"/>
          <w:color w:val="auto"/>
          <w:highlight w:val="none"/>
          <w:lang w:val="en-US" w:eastAsia="zh-CN"/>
        </w:rPr>
        <w:t>2021年版</w:t>
      </w:r>
      <w:r>
        <w:rPr>
          <w:rFonts w:hint="default" w:ascii="Arial" w:hAnsi="Arial" w:eastAsia="宋体" w:cs="Arial"/>
          <w:color w:val="auto"/>
          <w:highlight w:val="none"/>
          <w:lang w:eastAsia="zh-CN"/>
        </w:rPr>
        <w:t>）</w:t>
      </w:r>
      <w:r>
        <w:rPr>
          <w:rFonts w:hint="default" w:ascii="Arial" w:hAnsi="Arial" w:eastAsia="宋体" w:cs="Arial"/>
          <w:color w:val="auto"/>
          <w:highlight w:val="none"/>
        </w:rPr>
        <w:t>》，20</w:t>
      </w:r>
      <w:r>
        <w:rPr>
          <w:rFonts w:hint="default" w:ascii="Arial" w:hAnsi="Arial" w:eastAsia="宋体" w:cs="Arial"/>
          <w:color w:val="auto"/>
          <w:highlight w:val="none"/>
          <w:lang w:val="en-US" w:eastAsia="zh-CN"/>
        </w:rPr>
        <w:t>21.1</w:t>
      </w:r>
      <w:r>
        <w:rPr>
          <w:rFonts w:hint="default" w:ascii="Arial" w:hAnsi="Arial" w:eastAsia="宋体" w:cs="Arial"/>
          <w:color w:val="auto"/>
          <w:highlight w:val="none"/>
        </w:rPr>
        <w:t>.1</w:t>
      </w:r>
      <w:r>
        <w:rPr>
          <w:rFonts w:hint="default" w:ascii="Arial" w:hAnsi="Arial" w:eastAsia="宋体" w:cs="Arial"/>
          <w:color w:val="auto"/>
          <w:highlight w:val="none"/>
          <w:lang w:val="en-US" w:eastAsia="zh-CN"/>
        </w:rPr>
        <w:t>施行</w:t>
      </w:r>
      <w:r>
        <w:rPr>
          <w:rFonts w:hint="default" w:ascii="Arial" w:hAnsi="Arial" w:eastAsia="宋体" w:cs="Arial"/>
          <w:color w:val="auto"/>
          <w:highlight w:val="none"/>
        </w:rPr>
        <w:t>；</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（15）《危险废物污染防治技术政策》（环发[2001]199号），2001.12.17</w:t>
      </w:r>
      <w:r>
        <w:rPr>
          <w:rFonts w:hint="default" w:ascii="Arial" w:hAnsi="Arial" w:eastAsia="宋体" w:cs="Arial"/>
          <w:color w:val="auto"/>
          <w:highlight w:val="none"/>
          <w:lang w:val="en-US" w:eastAsia="zh-CN"/>
        </w:rPr>
        <w:t>施行</w:t>
      </w:r>
      <w:r>
        <w:rPr>
          <w:rFonts w:hint="default" w:ascii="Arial" w:hAnsi="Arial" w:eastAsia="宋体" w:cs="Arial"/>
          <w:color w:val="auto"/>
          <w:highlight w:val="none"/>
        </w:rPr>
        <w:t>；</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（1</w:t>
      </w:r>
      <w:r>
        <w:rPr>
          <w:rFonts w:hint="default" w:ascii="Arial" w:hAnsi="Arial" w:eastAsia="宋体" w:cs="Arial"/>
          <w:color w:val="auto"/>
          <w:highlight w:val="none"/>
          <w:lang w:val="en-US" w:eastAsia="zh-CN"/>
        </w:rPr>
        <w:t>6</w:t>
      </w:r>
      <w:r>
        <w:rPr>
          <w:rFonts w:hint="default" w:ascii="Arial" w:hAnsi="Arial" w:eastAsia="宋体" w:cs="Arial"/>
          <w:color w:val="auto"/>
          <w:highlight w:val="none"/>
        </w:rPr>
        <w:t>）《关于做好环境影响评价制度与排污许可制衔接相关工作的通知》（环办环评[2017]84号），2017年11月15日实施；</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w:t>
      </w:r>
      <w:r>
        <w:rPr>
          <w:rFonts w:hint="default" w:ascii="Arial" w:hAnsi="Arial" w:eastAsia="宋体" w:cs="Arial"/>
          <w:color w:val="auto"/>
          <w:highlight w:val="none"/>
          <w:lang w:val="en-US" w:eastAsia="zh-CN"/>
        </w:rPr>
        <w:t>17</w:t>
      </w:r>
      <w:r>
        <w:rPr>
          <w:rFonts w:hint="default" w:ascii="Arial" w:hAnsi="Arial" w:eastAsia="宋体" w:cs="Arial"/>
          <w:color w:val="auto"/>
          <w:highlight w:val="none"/>
        </w:rPr>
        <w:t>）《土壤污染防治行动计划》（国务院，国发[2016]31号）</w:t>
      </w:r>
      <w:r>
        <w:rPr>
          <w:rFonts w:hint="default" w:ascii="Arial" w:hAnsi="Arial" w:eastAsia="宋体" w:cs="Arial"/>
          <w:color w:val="auto"/>
          <w:highlight w:val="none"/>
          <w:lang w:eastAsia="zh-CN"/>
        </w:rPr>
        <w:t>，</w:t>
      </w:r>
      <w:r>
        <w:rPr>
          <w:rFonts w:hint="default" w:ascii="Arial" w:hAnsi="Arial" w:eastAsia="宋体" w:cs="Arial"/>
          <w:color w:val="auto"/>
          <w:highlight w:val="none"/>
          <w:lang w:val="en-US" w:eastAsia="zh-CN"/>
        </w:rPr>
        <w:t>2016.5.28施行</w:t>
      </w:r>
      <w:r>
        <w:rPr>
          <w:rFonts w:hint="default" w:ascii="Arial" w:hAnsi="Arial" w:eastAsia="宋体" w:cs="Arial"/>
          <w:color w:val="auto"/>
          <w:highlight w:val="none"/>
        </w:rPr>
        <w:t>；</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w:t>
      </w:r>
      <w:r>
        <w:rPr>
          <w:rFonts w:hint="default" w:ascii="Arial" w:hAnsi="Arial" w:eastAsia="宋体" w:cs="Arial"/>
          <w:color w:val="auto"/>
          <w:highlight w:val="none"/>
          <w:lang w:val="en-US" w:eastAsia="zh-CN"/>
        </w:rPr>
        <w:t>18</w:t>
      </w:r>
      <w:r>
        <w:rPr>
          <w:rFonts w:hint="default" w:ascii="Arial" w:hAnsi="Arial" w:eastAsia="宋体" w:cs="Arial"/>
          <w:color w:val="auto"/>
          <w:highlight w:val="none"/>
        </w:rPr>
        <w:t>）《环境影响评价公众参与办法》（生态环境部令第4号）</w:t>
      </w:r>
      <w:r>
        <w:rPr>
          <w:rFonts w:hint="default" w:ascii="Arial" w:hAnsi="Arial" w:eastAsia="宋体" w:cs="Arial"/>
          <w:color w:val="auto"/>
          <w:highlight w:val="none"/>
          <w:lang w:eastAsia="zh-CN"/>
        </w:rPr>
        <w:t>，</w:t>
      </w:r>
      <w:r>
        <w:rPr>
          <w:rFonts w:hint="default" w:ascii="Arial" w:hAnsi="Arial" w:eastAsia="宋体" w:cs="Arial"/>
          <w:color w:val="auto"/>
          <w:highlight w:val="none"/>
          <w:lang w:val="en-US" w:eastAsia="zh-CN"/>
        </w:rPr>
        <w:t>2019.1.1施行</w:t>
      </w:r>
      <w:r>
        <w:rPr>
          <w:rFonts w:hint="default" w:ascii="Arial" w:hAnsi="Arial" w:eastAsia="宋体" w:cs="Arial"/>
          <w:color w:val="auto"/>
          <w:highlight w:val="none"/>
        </w:rPr>
        <w:t>；</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w:t>
      </w:r>
      <w:r>
        <w:rPr>
          <w:rFonts w:hint="default" w:ascii="Arial" w:hAnsi="Arial" w:eastAsia="宋体" w:cs="Arial"/>
          <w:color w:val="auto"/>
          <w:highlight w:val="none"/>
          <w:lang w:val="en-US" w:eastAsia="zh-CN"/>
        </w:rPr>
        <w:t>19</w:t>
      </w:r>
      <w:r>
        <w:rPr>
          <w:rFonts w:hint="default" w:ascii="Arial" w:hAnsi="Arial" w:eastAsia="宋体" w:cs="Arial"/>
          <w:color w:val="auto"/>
          <w:highlight w:val="none"/>
        </w:rPr>
        <w:t>）《国务院关于促进节约集约用地的通知》（国发[2008]3号）</w:t>
      </w:r>
      <w:r>
        <w:rPr>
          <w:rFonts w:hint="default" w:ascii="Arial" w:hAnsi="Arial" w:eastAsia="宋体" w:cs="Arial"/>
          <w:color w:val="auto"/>
          <w:highlight w:val="none"/>
          <w:lang w:eastAsia="zh-CN"/>
        </w:rPr>
        <w:t>，</w:t>
      </w:r>
      <w:r>
        <w:rPr>
          <w:rFonts w:hint="default" w:ascii="Arial" w:hAnsi="Arial" w:eastAsia="宋体" w:cs="Arial"/>
          <w:color w:val="auto"/>
          <w:highlight w:val="none"/>
          <w:lang w:val="en-US" w:eastAsia="zh-CN"/>
        </w:rPr>
        <w:t>2008.1.7施行</w:t>
      </w:r>
      <w:r>
        <w:rPr>
          <w:rFonts w:hint="default" w:ascii="Arial" w:hAnsi="Arial" w:eastAsia="宋体" w:cs="Arial"/>
          <w:color w:val="auto"/>
          <w:highlight w:val="none"/>
        </w:rPr>
        <w:t>；</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（2</w:t>
      </w:r>
      <w:r>
        <w:rPr>
          <w:rFonts w:hint="default" w:ascii="Arial" w:hAnsi="Arial" w:eastAsia="宋体" w:cs="Arial"/>
          <w:color w:val="auto"/>
          <w:highlight w:val="none"/>
          <w:lang w:val="en-US" w:eastAsia="zh-CN"/>
        </w:rPr>
        <w:t>0</w:t>
      </w:r>
      <w:r>
        <w:rPr>
          <w:rFonts w:hint="default" w:ascii="Arial" w:hAnsi="Arial" w:eastAsia="宋体" w:cs="Arial"/>
          <w:color w:val="auto"/>
          <w:highlight w:val="none"/>
        </w:rPr>
        <w:t>）国土资源部、国家</w:t>
      </w:r>
      <w:r>
        <w:rPr>
          <w:rFonts w:hint="default" w:ascii="Arial" w:hAnsi="Arial" w:eastAsia="宋体" w:cs="Arial"/>
          <w:color w:val="auto"/>
          <w:highlight w:val="none"/>
          <w:lang w:eastAsia="zh-CN"/>
        </w:rPr>
        <w:t>发展和改革文员会</w:t>
      </w:r>
      <w:r>
        <w:rPr>
          <w:rFonts w:hint="default" w:ascii="Arial" w:hAnsi="Arial" w:eastAsia="宋体" w:cs="Arial"/>
          <w:color w:val="auto"/>
          <w:highlight w:val="none"/>
        </w:rPr>
        <w:t>关于发布实施《限制用地项目目录（2012年本）》和《禁止用地目录（2012年本）》的通知</w:t>
      </w:r>
      <w:r>
        <w:rPr>
          <w:rFonts w:hint="default" w:ascii="Arial" w:hAnsi="Arial" w:eastAsia="宋体" w:cs="Arial"/>
          <w:color w:val="auto"/>
          <w:highlight w:val="none"/>
          <w:lang w:eastAsia="zh-CN"/>
        </w:rPr>
        <w:t>（国土资发</w:t>
      </w:r>
      <w:r>
        <w:rPr>
          <w:rFonts w:hint="default" w:ascii="Arial" w:hAnsi="Arial" w:eastAsia="宋体" w:cs="Arial"/>
          <w:color w:val="auto"/>
          <w:highlight w:val="none"/>
          <w:lang w:val="en-US" w:eastAsia="zh-CN"/>
        </w:rPr>
        <w:t>[2012]98号</w:t>
      </w:r>
      <w:r>
        <w:rPr>
          <w:rFonts w:hint="default" w:ascii="Arial" w:hAnsi="Arial" w:eastAsia="宋体" w:cs="Arial"/>
          <w:color w:val="auto"/>
          <w:highlight w:val="none"/>
          <w:lang w:eastAsia="zh-CN"/>
        </w:rPr>
        <w:t>），</w:t>
      </w:r>
      <w:r>
        <w:rPr>
          <w:rFonts w:hint="default" w:ascii="Arial" w:hAnsi="Arial" w:eastAsia="宋体" w:cs="Arial"/>
          <w:color w:val="auto"/>
          <w:highlight w:val="none"/>
          <w:lang w:val="en-US" w:eastAsia="zh-CN"/>
        </w:rPr>
        <w:t>2012.6.18施行</w:t>
      </w:r>
      <w:r>
        <w:rPr>
          <w:rFonts w:hint="default" w:ascii="Arial" w:hAnsi="Arial" w:eastAsia="宋体" w:cs="Arial"/>
          <w:color w:val="auto"/>
          <w:highlight w:val="none"/>
        </w:rPr>
        <w:t>；</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（2</w:t>
      </w:r>
      <w:r>
        <w:rPr>
          <w:rFonts w:hint="default" w:ascii="Arial" w:hAnsi="Arial" w:eastAsia="宋体" w:cs="Arial"/>
          <w:color w:val="auto"/>
          <w:highlight w:val="none"/>
          <w:lang w:val="en-US" w:eastAsia="zh-CN"/>
        </w:rPr>
        <w:t>1</w:t>
      </w:r>
      <w:r>
        <w:rPr>
          <w:rFonts w:hint="default" w:ascii="Arial" w:hAnsi="Arial" w:eastAsia="宋体" w:cs="Arial"/>
          <w:color w:val="auto"/>
          <w:highlight w:val="none"/>
        </w:rPr>
        <w:t>）《畜禽规模养殖污染防治条例》（国务院令第643号）</w:t>
      </w:r>
      <w:r>
        <w:rPr>
          <w:rFonts w:hint="default" w:ascii="Arial" w:hAnsi="Arial" w:eastAsia="宋体" w:cs="Arial"/>
          <w:color w:val="auto"/>
          <w:highlight w:val="none"/>
          <w:lang w:eastAsia="zh-CN"/>
        </w:rPr>
        <w:t>，</w:t>
      </w:r>
      <w:r>
        <w:rPr>
          <w:rFonts w:hint="default" w:ascii="Arial" w:hAnsi="Arial" w:eastAsia="宋体" w:cs="Arial"/>
          <w:color w:val="auto"/>
          <w:highlight w:val="none"/>
          <w:lang w:val="en-US" w:eastAsia="zh-CN"/>
        </w:rPr>
        <w:t>2014.1.1施行</w:t>
      </w:r>
      <w:r>
        <w:rPr>
          <w:rFonts w:hint="default" w:ascii="Arial" w:hAnsi="Arial" w:eastAsia="宋体" w:cs="Arial"/>
          <w:color w:val="auto"/>
          <w:highlight w:val="none"/>
        </w:rPr>
        <w:t>；</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（2</w:t>
      </w:r>
      <w:r>
        <w:rPr>
          <w:rFonts w:hint="default" w:ascii="Arial" w:hAnsi="Arial" w:eastAsia="宋体" w:cs="Arial"/>
          <w:color w:val="auto"/>
          <w:highlight w:val="none"/>
          <w:lang w:val="en-US" w:eastAsia="zh-CN"/>
        </w:rPr>
        <w:t>2</w:t>
      </w:r>
      <w:r>
        <w:rPr>
          <w:rFonts w:hint="default" w:ascii="Arial" w:hAnsi="Arial" w:eastAsia="宋体" w:cs="Arial"/>
          <w:color w:val="auto"/>
          <w:highlight w:val="none"/>
        </w:rPr>
        <w:t>）《国务院办公厅关于建立病死畜禽无害化处理机制的意见》（国办发[2014]47号）</w:t>
      </w:r>
      <w:r>
        <w:rPr>
          <w:rFonts w:hint="default" w:ascii="Arial" w:hAnsi="Arial" w:eastAsia="宋体" w:cs="Arial"/>
          <w:color w:val="auto"/>
          <w:highlight w:val="none"/>
          <w:lang w:eastAsia="zh-CN"/>
        </w:rPr>
        <w:t>，</w:t>
      </w:r>
      <w:r>
        <w:rPr>
          <w:rFonts w:hint="default" w:ascii="Arial" w:hAnsi="Arial" w:eastAsia="宋体" w:cs="Arial"/>
          <w:color w:val="auto"/>
          <w:highlight w:val="none"/>
          <w:lang w:val="en-US" w:eastAsia="zh-CN"/>
        </w:rPr>
        <w:t>2014.10.31施行</w:t>
      </w:r>
      <w:r>
        <w:rPr>
          <w:rFonts w:hint="default" w:ascii="Arial" w:hAnsi="Arial" w:eastAsia="宋体" w:cs="Arial"/>
          <w:color w:val="auto"/>
          <w:highlight w:val="none"/>
        </w:rPr>
        <w:t>；</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w:t>
      </w:r>
      <w:r>
        <w:rPr>
          <w:rFonts w:hint="default" w:ascii="Arial" w:hAnsi="Arial" w:eastAsia="宋体" w:cs="Arial"/>
          <w:color w:val="auto"/>
          <w:highlight w:val="none"/>
          <w:lang w:val="en-US" w:eastAsia="zh-CN"/>
        </w:rPr>
        <w:t>23</w:t>
      </w:r>
      <w:r>
        <w:rPr>
          <w:rFonts w:hint="default" w:ascii="Arial" w:hAnsi="Arial" w:eastAsia="宋体" w:cs="Arial"/>
          <w:color w:val="auto"/>
          <w:highlight w:val="none"/>
        </w:rPr>
        <w:t>）《国务院关于加快推进畜禽养殖废弃物资源化利用的意见》（国办发[2017]48号）</w:t>
      </w:r>
      <w:r>
        <w:rPr>
          <w:rFonts w:hint="default" w:ascii="Arial" w:hAnsi="Arial" w:eastAsia="宋体" w:cs="Arial"/>
          <w:color w:val="auto"/>
          <w:highlight w:val="none"/>
          <w:lang w:eastAsia="zh-CN"/>
        </w:rPr>
        <w:t>，</w:t>
      </w:r>
      <w:r>
        <w:rPr>
          <w:rFonts w:hint="default" w:ascii="Arial" w:hAnsi="Arial" w:eastAsia="宋体" w:cs="Arial"/>
          <w:color w:val="auto"/>
          <w:highlight w:val="none"/>
          <w:lang w:val="en-US" w:eastAsia="zh-CN"/>
        </w:rPr>
        <w:t>2017.6.12施行</w:t>
      </w:r>
      <w:r>
        <w:rPr>
          <w:rFonts w:hint="default" w:ascii="Arial" w:hAnsi="Arial" w:eastAsia="宋体" w:cs="Arial"/>
          <w:color w:val="auto"/>
          <w:highlight w:val="none"/>
        </w:rPr>
        <w:t>；</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w:t>
      </w:r>
      <w:r>
        <w:rPr>
          <w:rFonts w:hint="default" w:ascii="Arial" w:hAnsi="Arial" w:eastAsia="宋体" w:cs="Arial"/>
          <w:color w:val="auto"/>
          <w:highlight w:val="none"/>
          <w:lang w:val="en-US" w:eastAsia="zh-CN"/>
        </w:rPr>
        <w:t>24</w:t>
      </w:r>
      <w:r>
        <w:rPr>
          <w:rFonts w:hint="default" w:ascii="Arial" w:hAnsi="Arial" w:eastAsia="宋体" w:cs="Arial"/>
          <w:color w:val="auto"/>
          <w:highlight w:val="none"/>
        </w:rPr>
        <w:t>）《关于做好畜禽规模养殖项目环境影响评价管理工作的通知》（环办环评[2018]31号）</w:t>
      </w:r>
      <w:r>
        <w:rPr>
          <w:rFonts w:hint="default" w:ascii="Arial" w:hAnsi="Arial" w:eastAsia="宋体" w:cs="Arial"/>
          <w:color w:val="auto"/>
          <w:highlight w:val="none"/>
          <w:lang w:eastAsia="zh-CN"/>
        </w:rPr>
        <w:t>，</w:t>
      </w:r>
      <w:r>
        <w:rPr>
          <w:rFonts w:hint="default" w:ascii="Arial" w:hAnsi="Arial" w:eastAsia="宋体" w:cs="Arial"/>
          <w:color w:val="auto"/>
          <w:highlight w:val="none"/>
          <w:lang w:val="en-US" w:eastAsia="zh-CN"/>
        </w:rPr>
        <w:t>2018.10.12施行</w:t>
      </w:r>
      <w:r>
        <w:rPr>
          <w:rFonts w:hint="default" w:ascii="Arial" w:hAnsi="Arial" w:eastAsia="宋体" w:cs="Arial"/>
          <w:color w:val="auto"/>
          <w:highlight w:val="none"/>
        </w:rPr>
        <w:t>；</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w:t>
      </w:r>
      <w:r>
        <w:rPr>
          <w:rFonts w:hint="default" w:ascii="Arial" w:hAnsi="Arial" w:eastAsia="宋体" w:cs="Arial"/>
          <w:color w:val="auto"/>
          <w:highlight w:val="none"/>
          <w:lang w:val="en-US" w:eastAsia="zh-CN"/>
        </w:rPr>
        <w:t>25</w:t>
      </w:r>
      <w:r>
        <w:rPr>
          <w:rFonts w:hint="default" w:ascii="Arial" w:hAnsi="Arial" w:eastAsia="宋体" w:cs="Arial"/>
          <w:color w:val="auto"/>
          <w:highlight w:val="none"/>
        </w:rPr>
        <w:t>）《农业部关于印发&lt;畜禽粪污资源化利用行动方案（2017—2020年）&gt;》（农牧发[2017]11号）</w:t>
      </w:r>
      <w:r>
        <w:rPr>
          <w:rFonts w:hint="default" w:ascii="Arial" w:hAnsi="Arial" w:eastAsia="宋体" w:cs="Arial"/>
          <w:color w:val="auto"/>
          <w:highlight w:val="none"/>
          <w:lang w:eastAsia="zh-CN"/>
        </w:rPr>
        <w:t>，</w:t>
      </w:r>
      <w:r>
        <w:rPr>
          <w:rFonts w:hint="default" w:ascii="Arial" w:hAnsi="Arial" w:eastAsia="宋体" w:cs="Arial"/>
          <w:color w:val="auto"/>
          <w:highlight w:val="none"/>
          <w:lang w:val="en-US" w:eastAsia="zh-CN"/>
        </w:rPr>
        <w:t>2017.7.7施行</w:t>
      </w:r>
      <w:r>
        <w:rPr>
          <w:rFonts w:hint="default" w:ascii="Arial" w:hAnsi="Arial" w:eastAsia="宋体" w:cs="Arial"/>
          <w:color w:val="auto"/>
          <w:highlight w:val="none"/>
        </w:rPr>
        <w:t>；</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w:t>
      </w:r>
      <w:r>
        <w:rPr>
          <w:rFonts w:hint="default" w:ascii="Arial" w:hAnsi="Arial" w:eastAsia="宋体" w:cs="Arial"/>
          <w:color w:val="auto"/>
          <w:highlight w:val="none"/>
          <w:lang w:val="en-US" w:eastAsia="zh-CN"/>
        </w:rPr>
        <w:t>26</w:t>
      </w:r>
      <w:r>
        <w:rPr>
          <w:rFonts w:hint="default" w:ascii="Arial" w:hAnsi="Arial" w:eastAsia="宋体" w:cs="Arial"/>
          <w:color w:val="auto"/>
          <w:highlight w:val="none"/>
        </w:rPr>
        <w:t>）《农业部办公厅关于印发&lt;畜禽规模养殖场粪污资源化利用设施建设规范（试行）&gt;的通知》（农办牧[2018]2号）</w:t>
      </w:r>
      <w:r>
        <w:rPr>
          <w:rFonts w:hint="default" w:ascii="Arial" w:hAnsi="Arial" w:eastAsia="宋体" w:cs="Arial"/>
          <w:color w:val="auto"/>
          <w:highlight w:val="none"/>
          <w:lang w:eastAsia="zh-CN"/>
        </w:rPr>
        <w:t>，</w:t>
      </w:r>
      <w:r>
        <w:rPr>
          <w:rFonts w:hint="default" w:ascii="Arial" w:hAnsi="Arial" w:eastAsia="宋体" w:cs="Arial"/>
          <w:color w:val="auto"/>
          <w:highlight w:val="none"/>
          <w:lang w:val="en-US" w:eastAsia="zh-CN"/>
        </w:rPr>
        <w:t>2018.1.5施行</w:t>
      </w:r>
      <w:r>
        <w:rPr>
          <w:rFonts w:hint="default" w:ascii="Arial" w:hAnsi="Arial" w:eastAsia="宋体" w:cs="Arial"/>
          <w:color w:val="auto"/>
          <w:highlight w:val="none"/>
        </w:rPr>
        <w:t>；</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w:t>
      </w:r>
      <w:r>
        <w:rPr>
          <w:rFonts w:hint="default" w:ascii="Arial" w:hAnsi="Arial" w:eastAsia="宋体" w:cs="Arial"/>
          <w:color w:val="auto"/>
          <w:highlight w:val="none"/>
          <w:lang w:val="en-US" w:eastAsia="zh-CN"/>
        </w:rPr>
        <w:t>27</w:t>
      </w:r>
      <w:r>
        <w:rPr>
          <w:rFonts w:hint="default" w:ascii="Arial" w:hAnsi="Arial" w:eastAsia="宋体" w:cs="Arial"/>
          <w:color w:val="auto"/>
          <w:highlight w:val="none"/>
        </w:rPr>
        <w:t>）《农业部关于印发&lt;病死及病害动物无害化处理技术规范&gt;的通知》（农医发</w:t>
      </w:r>
      <w:r>
        <w:rPr>
          <w:rFonts w:hint="default" w:ascii="Arial" w:hAnsi="Arial" w:eastAsia="宋体" w:cs="Arial"/>
          <w:color w:val="auto"/>
          <w:highlight w:val="none"/>
          <w:lang w:eastAsia="zh-CN"/>
        </w:rPr>
        <w:t>[</w:t>
      </w:r>
      <w:r>
        <w:rPr>
          <w:rFonts w:hint="default" w:ascii="Arial" w:hAnsi="Arial" w:eastAsia="宋体" w:cs="Arial"/>
          <w:color w:val="auto"/>
          <w:highlight w:val="none"/>
        </w:rPr>
        <w:t>2017</w:t>
      </w:r>
      <w:r>
        <w:rPr>
          <w:rFonts w:hint="default" w:ascii="Arial" w:hAnsi="Arial" w:eastAsia="宋体" w:cs="Arial"/>
          <w:color w:val="auto"/>
          <w:highlight w:val="none"/>
          <w:lang w:eastAsia="zh-CN"/>
        </w:rPr>
        <w:t>]</w:t>
      </w:r>
      <w:r>
        <w:rPr>
          <w:rFonts w:hint="default" w:ascii="Arial" w:hAnsi="Arial" w:eastAsia="宋体" w:cs="Arial"/>
          <w:color w:val="auto"/>
          <w:highlight w:val="none"/>
        </w:rPr>
        <w:t>25号）</w:t>
      </w:r>
      <w:r>
        <w:rPr>
          <w:rFonts w:hint="default" w:ascii="Arial" w:hAnsi="Arial" w:eastAsia="宋体" w:cs="Arial"/>
          <w:color w:val="auto"/>
          <w:highlight w:val="none"/>
          <w:lang w:eastAsia="zh-CN"/>
        </w:rPr>
        <w:t>，</w:t>
      </w:r>
      <w:r>
        <w:rPr>
          <w:rFonts w:hint="default" w:ascii="Arial" w:hAnsi="Arial" w:eastAsia="宋体" w:cs="Arial"/>
          <w:color w:val="auto"/>
          <w:highlight w:val="none"/>
          <w:lang w:val="en-US" w:eastAsia="zh-CN"/>
        </w:rPr>
        <w:t>2017.7.3施行</w:t>
      </w:r>
      <w:r>
        <w:rPr>
          <w:rFonts w:hint="default" w:ascii="Arial" w:hAnsi="Arial" w:eastAsia="宋体" w:cs="Arial"/>
          <w:color w:val="auto"/>
          <w:highlight w:val="none"/>
        </w:rPr>
        <w:t>；</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w:t>
      </w:r>
      <w:r>
        <w:rPr>
          <w:rFonts w:hint="default" w:ascii="Arial" w:hAnsi="Arial" w:eastAsia="宋体" w:cs="Arial"/>
          <w:color w:val="auto"/>
          <w:highlight w:val="none"/>
          <w:lang w:val="en-US" w:eastAsia="zh-CN"/>
        </w:rPr>
        <w:t>28</w:t>
      </w:r>
      <w:r>
        <w:rPr>
          <w:rFonts w:hint="default" w:ascii="Arial" w:hAnsi="Arial" w:eastAsia="宋体" w:cs="Arial"/>
          <w:color w:val="auto"/>
          <w:highlight w:val="none"/>
        </w:rPr>
        <w:t>）</w:t>
      </w:r>
      <w:r>
        <w:rPr>
          <w:rFonts w:hint="default" w:ascii="Arial" w:hAnsi="Arial" w:eastAsia="宋体" w:cs="Arial"/>
          <w:color w:val="auto"/>
          <w:highlight w:val="none"/>
          <w:shd w:val="clear" w:color="auto" w:fill="FFFFFF"/>
        </w:rPr>
        <w:t>《国务院办公厅关于加快推进畜禽养殖废弃物资源化利用的意见》（国办发</w:t>
      </w:r>
      <w:r>
        <w:rPr>
          <w:rFonts w:hint="default" w:ascii="Arial" w:hAnsi="Arial" w:eastAsia="宋体" w:cs="Arial"/>
          <w:color w:val="auto"/>
          <w:highlight w:val="none"/>
          <w:shd w:val="clear" w:color="auto" w:fill="FFFFFF"/>
          <w:lang w:eastAsia="zh-CN"/>
        </w:rPr>
        <w:t>[</w:t>
      </w:r>
      <w:r>
        <w:rPr>
          <w:rFonts w:hint="default" w:ascii="Arial" w:hAnsi="Arial" w:eastAsia="宋体" w:cs="Arial"/>
          <w:color w:val="auto"/>
          <w:highlight w:val="none"/>
          <w:shd w:val="clear" w:color="auto" w:fill="FFFFFF"/>
        </w:rPr>
        <w:t>2017</w:t>
      </w:r>
      <w:r>
        <w:rPr>
          <w:rFonts w:hint="default" w:ascii="Arial" w:hAnsi="Arial" w:eastAsia="宋体" w:cs="Arial"/>
          <w:color w:val="auto"/>
          <w:highlight w:val="none"/>
          <w:shd w:val="clear" w:color="auto" w:fill="FFFFFF"/>
          <w:lang w:eastAsia="zh-CN"/>
        </w:rPr>
        <w:t>]</w:t>
      </w:r>
      <w:r>
        <w:rPr>
          <w:rFonts w:hint="default" w:ascii="Arial" w:hAnsi="Arial" w:eastAsia="宋体" w:cs="Arial"/>
          <w:color w:val="auto"/>
          <w:highlight w:val="none"/>
          <w:shd w:val="clear" w:color="auto" w:fill="FFFFFF"/>
        </w:rPr>
        <w:t>48号）</w:t>
      </w:r>
      <w:r>
        <w:rPr>
          <w:rFonts w:hint="default" w:ascii="Arial" w:hAnsi="Arial" w:eastAsia="宋体" w:cs="Arial"/>
          <w:color w:val="auto"/>
          <w:highlight w:val="none"/>
          <w:lang w:eastAsia="zh-CN"/>
        </w:rPr>
        <w:t>，</w:t>
      </w:r>
      <w:r>
        <w:rPr>
          <w:rFonts w:hint="default" w:ascii="Arial" w:hAnsi="Arial" w:eastAsia="宋体" w:cs="Arial"/>
          <w:color w:val="auto"/>
          <w:highlight w:val="none"/>
          <w:lang w:val="en-US" w:eastAsia="zh-CN"/>
        </w:rPr>
        <w:t>2017.6.12施行</w:t>
      </w:r>
      <w:r>
        <w:rPr>
          <w:rFonts w:hint="default" w:ascii="Arial" w:hAnsi="Arial" w:eastAsia="宋体" w:cs="Arial"/>
          <w:color w:val="auto"/>
          <w:highlight w:val="none"/>
        </w:rPr>
        <w:t>；</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w:t>
      </w:r>
      <w:r>
        <w:rPr>
          <w:rFonts w:hint="default" w:ascii="Arial" w:hAnsi="Arial" w:eastAsia="宋体" w:cs="Arial"/>
          <w:color w:val="auto"/>
          <w:highlight w:val="none"/>
          <w:lang w:val="en-US" w:eastAsia="zh-CN"/>
        </w:rPr>
        <w:t>29</w:t>
      </w:r>
      <w:r>
        <w:rPr>
          <w:rFonts w:hint="default" w:ascii="Arial" w:hAnsi="Arial" w:eastAsia="宋体" w:cs="Arial"/>
          <w:color w:val="auto"/>
          <w:highlight w:val="none"/>
        </w:rPr>
        <w:t>）《农业部关于印发&lt;种养结合循环农业示范工程建设规划（2017—2020年）&gt;</w:t>
      </w:r>
      <w:r>
        <w:rPr>
          <w:rFonts w:hint="default" w:ascii="Arial" w:hAnsi="Arial" w:eastAsia="宋体" w:cs="Arial"/>
          <w:color w:val="auto"/>
          <w:highlight w:val="none"/>
          <w:lang w:eastAsia="zh-CN"/>
        </w:rPr>
        <w:t>的通知</w:t>
      </w:r>
      <w:r>
        <w:rPr>
          <w:rFonts w:hint="default" w:ascii="Arial" w:hAnsi="Arial" w:eastAsia="宋体" w:cs="Arial"/>
          <w:color w:val="auto"/>
          <w:highlight w:val="none"/>
        </w:rPr>
        <w:t>》（农计发</w:t>
      </w:r>
      <w:r>
        <w:rPr>
          <w:rFonts w:hint="default" w:ascii="Arial" w:hAnsi="Arial" w:eastAsia="宋体" w:cs="Arial"/>
          <w:color w:val="auto"/>
          <w:highlight w:val="none"/>
          <w:lang w:eastAsia="zh-CN"/>
        </w:rPr>
        <w:t>[</w:t>
      </w:r>
      <w:r>
        <w:rPr>
          <w:rFonts w:hint="default" w:ascii="Arial" w:hAnsi="Arial" w:eastAsia="宋体" w:cs="Arial"/>
          <w:color w:val="auto"/>
          <w:highlight w:val="none"/>
        </w:rPr>
        <w:t>2017</w:t>
      </w:r>
      <w:r>
        <w:rPr>
          <w:rFonts w:hint="default" w:ascii="Arial" w:hAnsi="Arial" w:eastAsia="宋体" w:cs="Arial"/>
          <w:color w:val="auto"/>
          <w:highlight w:val="none"/>
          <w:lang w:eastAsia="zh-CN"/>
        </w:rPr>
        <w:t>]</w:t>
      </w:r>
      <w:r>
        <w:rPr>
          <w:rFonts w:hint="default" w:ascii="Arial" w:hAnsi="Arial" w:eastAsia="宋体" w:cs="Arial"/>
          <w:color w:val="auto"/>
          <w:highlight w:val="none"/>
        </w:rPr>
        <w:t>106号）</w:t>
      </w:r>
      <w:r>
        <w:rPr>
          <w:rFonts w:hint="default" w:ascii="Arial" w:hAnsi="Arial" w:eastAsia="宋体" w:cs="Arial"/>
          <w:color w:val="auto"/>
          <w:highlight w:val="none"/>
          <w:lang w:eastAsia="zh-CN"/>
        </w:rPr>
        <w:t>，</w:t>
      </w:r>
      <w:r>
        <w:rPr>
          <w:rFonts w:hint="default" w:ascii="Arial" w:hAnsi="Arial" w:eastAsia="宋体" w:cs="Arial"/>
          <w:color w:val="auto"/>
          <w:highlight w:val="none"/>
          <w:lang w:val="en-US" w:eastAsia="zh-CN"/>
        </w:rPr>
        <w:t>2017.8.15施行</w:t>
      </w:r>
      <w:r>
        <w:rPr>
          <w:rFonts w:hint="default" w:ascii="Arial" w:hAnsi="Arial" w:eastAsia="宋体" w:cs="Arial"/>
          <w:color w:val="auto"/>
          <w:highlight w:val="none"/>
        </w:rPr>
        <w:t>；</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（3</w:t>
      </w:r>
      <w:r>
        <w:rPr>
          <w:rFonts w:hint="default" w:ascii="Arial" w:hAnsi="Arial" w:eastAsia="宋体" w:cs="Arial"/>
          <w:color w:val="auto"/>
          <w:highlight w:val="none"/>
          <w:lang w:val="en-US" w:eastAsia="zh-CN"/>
        </w:rPr>
        <w:t>0</w:t>
      </w:r>
      <w:r>
        <w:rPr>
          <w:rFonts w:hint="default" w:ascii="Arial" w:hAnsi="Arial" w:eastAsia="宋体" w:cs="Arial"/>
          <w:color w:val="auto"/>
          <w:highlight w:val="none"/>
        </w:rPr>
        <w:t>）《</w:t>
      </w:r>
      <w:r>
        <w:rPr>
          <w:rFonts w:hint="default" w:ascii="Arial" w:hAnsi="Arial" w:eastAsia="宋体" w:cs="Arial"/>
          <w:color w:val="auto"/>
          <w:highlight w:val="none"/>
          <w:lang w:eastAsia="zh-CN"/>
        </w:rPr>
        <w:t>国土资源部农业部</w:t>
      </w:r>
      <w:r>
        <w:rPr>
          <w:rFonts w:hint="default" w:ascii="Arial" w:hAnsi="Arial" w:eastAsia="宋体" w:cs="Arial"/>
          <w:color w:val="auto"/>
          <w:highlight w:val="none"/>
        </w:rPr>
        <w:t>关于促进规模化畜禽养殖有关用地政策的通知》（国土资发</w:t>
      </w:r>
      <w:r>
        <w:rPr>
          <w:rFonts w:hint="default" w:ascii="Arial" w:hAnsi="Arial" w:eastAsia="宋体" w:cs="Arial"/>
          <w:color w:val="auto"/>
          <w:highlight w:val="none"/>
          <w:lang w:eastAsia="zh-CN"/>
        </w:rPr>
        <w:t>[</w:t>
      </w:r>
      <w:r>
        <w:rPr>
          <w:rFonts w:hint="default" w:ascii="Arial" w:hAnsi="Arial" w:eastAsia="宋体" w:cs="Arial"/>
          <w:color w:val="auto"/>
          <w:highlight w:val="none"/>
        </w:rPr>
        <w:t>2007</w:t>
      </w:r>
      <w:r>
        <w:rPr>
          <w:rFonts w:hint="default" w:ascii="Arial" w:hAnsi="Arial" w:eastAsia="宋体" w:cs="Arial"/>
          <w:color w:val="auto"/>
          <w:highlight w:val="none"/>
          <w:lang w:eastAsia="zh-CN"/>
        </w:rPr>
        <w:t>]</w:t>
      </w:r>
      <w:r>
        <w:rPr>
          <w:rFonts w:hint="default" w:ascii="Arial" w:hAnsi="Arial" w:eastAsia="宋体" w:cs="Arial"/>
          <w:color w:val="auto"/>
          <w:highlight w:val="none"/>
        </w:rPr>
        <w:t>220号）</w:t>
      </w:r>
      <w:r>
        <w:rPr>
          <w:rFonts w:hint="default" w:ascii="Arial" w:hAnsi="Arial" w:eastAsia="宋体" w:cs="Arial"/>
          <w:color w:val="auto"/>
          <w:highlight w:val="none"/>
          <w:lang w:eastAsia="zh-CN"/>
        </w:rPr>
        <w:t>，</w:t>
      </w:r>
      <w:r>
        <w:rPr>
          <w:rFonts w:hint="default" w:ascii="Arial" w:hAnsi="Arial" w:eastAsia="宋体" w:cs="Arial"/>
          <w:color w:val="auto"/>
          <w:highlight w:val="none"/>
          <w:lang w:val="en-US" w:eastAsia="zh-CN"/>
        </w:rPr>
        <w:t>2012.9.5施行</w:t>
      </w:r>
      <w:r>
        <w:rPr>
          <w:rFonts w:hint="default" w:ascii="Arial" w:hAnsi="Arial" w:eastAsia="宋体" w:cs="Arial"/>
          <w:color w:val="auto"/>
          <w:highlight w:val="none"/>
        </w:rPr>
        <w:t>；</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w:t>
      </w:r>
      <w:r>
        <w:rPr>
          <w:rFonts w:hint="default" w:ascii="Arial" w:hAnsi="Arial" w:eastAsia="宋体" w:cs="Arial"/>
          <w:color w:val="auto"/>
          <w:highlight w:val="none"/>
          <w:lang w:val="en-US" w:eastAsia="zh-CN"/>
        </w:rPr>
        <w:t>31</w:t>
      </w:r>
      <w:r>
        <w:rPr>
          <w:rFonts w:hint="default" w:ascii="Arial" w:hAnsi="Arial" w:eastAsia="宋体" w:cs="Arial"/>
          <w:color w:val="auto"/>
          <w:highlight w:val="none"/>
        </w:rPr>
        <w:t>）《农业农村部</w:t>
      </w:r>
      <w:r>
        <w:rPr>
          <w:rFonts w:hint="default" w:ascii="Arial" w:hAnsi="Arial" w:eastAsia="宋体" w:cs="Arial"/>
          <w:color w:val="auto"/>
          <w:highlight w:val="none"/>
          <w:lang w:eastAsia="zh-CN"/>
        </w:rPr>
        <w:t>办公厅</w:t>
      </w:r>
      <w:r>
        <w:rPr>
          <w:rFonts w:hint="default" w:ascii="Arial" w:hAnsi="Arial" w:eastAsia="宋体" w:cs="Arial"/>
          <w:color w:val="auto"/>
          <w:highlight w:val="none"/>
        </w:rPr>
        <w:t>、生态环境部</w:t>
      </w:r>
      <w:r>
        <w:rPr>
          <w:rFonts w:hint="default" w:ascii="Arial" w:hAnsi="Arial" w:eastAsia="宋体" w:cs="Arial"/>
          <w:color w:val="auto"/>
          <w:highlight w:val="none"/>
          <w:lang w:eastAsia="zh-CN"/>
        </w:rPr>
        <w:t>办公厅</w:t>
      </w:r>
      <w:r>
        <w:rPr>
          <w:rFonts w:hint="default" w:ascii="Arial" w:hAnsi="Arial" w:eastAsia="宋体" w:cs="Arial"/>
          <w:color w:val="auto"/>
          <w:highlight w:val="none"/>
        </w:rPr>
        <w:t>关于进一步明确畜禽粪污还田利用要求强化养殖污染监管的通知》（农办牧</w:t>
      </w:r>
      <w:r>
        <w:rPr>
          <w:rFonts w:hint="default" w:ascii="Arial" w:hAnsi="Arial" w:eastAsia="宋体" w:cs="Arial"/>
          <w:color w:val="auto"/>
          <w:highlight w:val="none"/>
          <w:lang w:eastAsia="zh-CN"/>
        </w:rPr>
        <w:t>[</w:t>
      </w:r>
      <w:r>
        <w:rPr>
          <w:rFonts w:hint="default" w:ascii="Arial" w:hAnsi="Arial" w:eastAsia="宋体" w:cs="Arial"/>
          <w:color w:val="auto"/>
          <w:highlight w:val="none"/>
        </w:rPr>
        <w:t>2020</w:t>
      </w:r>
      <w:r>
        <w:rPr>
          <w:rFonts w:hint="default" w:ascii="Arial" w:hAnsi="Arial" w:eastAsia="宋体" w:cs="Arial"/>
          <w:color w:val="auto"/>
          <w:highlight w:val="none"/>
          <w:lang w:eastAsia="zh-CN"/>
        </w:rPr>
        <w:t>]</w:t>
      </w:r>
      <w:r>
        <w:rPr>
          <w:rFonts w:hint="default" w:ascii="Arial" w:hAnsi="Arial" w:eastAsia="宋体" w:cs="Arial"/>
          <w:color w:val="auto"/>
          <w:highlight w:val="none"/>
        </w:rPr>
        <w:t>23号）</w:t>
      </w:r>
      <w:r>
        <w:rPr>
          <w:rFonts w:hint="default" w:ascii="Arial" w:hAnsi="Arial" w:eastAsia="宋体" w:cs="Arial"/>
          <w:color w:val="auto"/>
          <w:highlight w:val="none"/>
          <w:lang w:eastAsia="zh-CN"/>
        </w:rPr>
        <w:t>，</w:t>
      </w:r>
      <w:r>
        <w:rPr>
          <w:rFonts w:hint="default" w:ascii="Arial" w:hAnsi="Arial" w:eastAsia="宋体" w:cs="Arial"/>
          <w:color w:val="auto"/>
          <w:highlight w:val="none"/>
          <w:lang w:val="en-US" w:eastAsia="zh-CN"/>
        </w:rPr>
        <w:t>2020.6.4施行</w:t>
      </w:r>
      <w:r>
        <w:rPr>
          <w:rFonts w:hint="default" w:ascii="Arial" w:hAnsi="Arial" w:eastAsia="宋体" w:cs="Arial"/>
          <w:color w:val="auto"/>
          <w:highlight w:val="none"/>
        </w:rPr>
        <w:t>。</w:t>
      </w:r>
    </w:p>
    <w:p>
      <w:pPr>
        <w:pStyle w:val="6"/>
        <w:pageBreakBefore w:val="0"/>
        <w:widowControl w:val="0"/>
        <w:kinsoku/>
        <w:wordWrap/>
        <w:overflowPunct/>
        <w:topLinePunct/>
        <w:autoSpaceDE w:val="0"/>
        <w:autoSpaceDN/>
        <w:bidi w:val="0"/>
        <w:adjustRightInd/>
        <w:snapToGrid/>
        <w:textAlignment w:val="auto"/>
        <w:rPr>
          <w:rFonts w:hint="default" w:ascii="Arial" w:hAnsi="Arial" w:eastAsia="宋体" w:cs="Arial"/>
          <w:color w:val="auto"/>
          <w:highlight w:val="none"/>
        </w:rPr>
      </w:pPr>
      <w:bookmarkStart w:id="70" w:name="_Toc22643"/>
      <w:r>
        <w:rPr>
          <w:rFonts w:hint="default" w:ascii="Arial" w:hAnsi="Arial" w:eastAsia="宋体" w:cs="Arial"/>
          <w:color w:val="auto"/>
          <w:highlight w:val="none"/>
        </w:rPr>
        <w:t>2.1.2相关产业政策</w:t>
      </w:r>
      <w:bookmarkEnd w:id="70"/>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（1）《产业结构调整指导目录（2019年本）》（</w:t>
      </w:r>
      <w:r>
        <w:rPr>
          <w:rFonts w:hint="default" w:ascii="Arial" w:hAnsi="Arial" w:eastAsia="宋体" w:cs="Arial"/>
          <w:color w:val="auto"/>
          <w:highlight w:val="none"/>
          <w:lang w:eastAsia="zh-CN"/>
        </w:rPr>
        <w:t>中华人民共和国国家发展和改革委员会令 第29号</w:t>
      </w:r>
      <w:r>
        <w:rPr>
          <w:rFonts w:hint="default" w:ascii="Arial" w:hAnsi="Arial" w:eastAsia="宋体" w:cs="Arial"/>
          <w:color w:val="auto"/>
          <w:highlight w:val="none"/>
        </w:rPr>
        <w:t>），2020.1.1施行；</w:t>
      </w:r>
    </w:p>
    <w:p>
      <w:pPr>
        <w:pStyle w:val="6"/>
        <w:pageBreakBefore w:val="0"/>
        <w:widowControl w:val="0"/>
        <w:kinsoku/>
        <w:wordWrap/>
        <w:overflowPunct/>
        <w:topLinePunct/>
        <w:autoSpaceDE w:val="0"/>
        <w:autoSpaceDN/>
        <w:bidi w:val="0"/>
        <w:adjustRightInd/>
        <w:snapToGrid/>
        <w:textAlignment w:val="auto"/>
        <w:rPr>
          <w:rFonts w:hint="default" w:ascii="Arial" w:hAnsi="Arial" w:eastAsia="宋体" w:cs="Arial"/>
          <w:color w:val="auto"/>
          <w:highlight w:val="none"/>
        </w:rPr>
      </w:pPr>
      <w:bookmarkStart w:id="71" w:name="_Toc10950"/>
      <w:r>
        <w:rPr>
          <w:rFonts w:hint="default" w:ascii="Arial" w:hAnsi="Arial" w:eastAsia="宋体" w:cs="Arial"/>
          <w:color w:val="auto"/>
          <w:highlight w:val="none"/>
        </w:rPr>
        <w:t>2.1.3地方性法规及规范性文件</w:t>
      </w:r>
      <w:bookmarkEnd w:id="71"/>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（1）《内蒙古自治区限制开发区域限制类和禁止类产业指导目录（2016年本）》（内政办发</w:t>
      </w:r>
      <w:r>
        <w:rPr>
          <w:rFonts w:hint="default" w:ascii="Arial" w:hAnsi="Arial" w:eastAsia="宋体" w:cs="Arial"/>
          <w:color w:val="auto"/>
          <w:highlight w:val="none"/>
          <w:lang w:eastAsia="zh-CN"/>
        </w:rPr>
        <w:t>[</w:t>
      </w:r>
      <w:r>
        <w:rPr>
          <w:rFonts w:hint="default" w:ascii="Arial" w:hAnsi="Arial" w:eastAsia="宋体" w:cs="Arial"/>
          <w:color w:val="auto"/>
          <w:highlight w:val="none"/>
        </w:rPr>
        <w:t>2016</w:t>
      </w:r>
      <w:r>
        <w:rPr>
          <w:rFonts w:hint="default" w:ascii="Arial" w:hAnsi="Arial" w:eastAsia="宋体" w:cs="Arial"/>
          <w:color w:val="auto"/>
          <w:highlight w:val="none"/>
          <w:lang w:eastAsia="zh-CN"/>
        </w:rPr>
        <w:t>]</w:t>
      </w:r>
      <w:r>
        <w:rPr>
          <w:rFonts w:hint="default" w:ascii="Arial" w:hAnsi="Arial" w:eastAsia="宋体" w:cs="Arial"/>
          <w:color w:val="auto"/>
          <w:highlight w:val="none"/>
        </w:rPr>
        <w:t>127号），2016.9.14；</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w:t>
      </w:r>
      <w:r>
        <w:rPr>
          <w:rFonts w:hint="default" w:ascii="Arial" w:hAnsi="Arial" w:eastAsia="宋体" w:cs="Arial"/>
          <w:color w:val="auto"/>
          <w:highlight w:val="none"/>
          <w:lang w:val="en-US" w:eastAsia="zh-CN"/>
        </w:rPr>
        <w:t>2</w:t>
      </w:r>
      <w:r>
        <w:rPr>
          <w:rFonts w:hint="default" w:ascii="Arial" w:hAnsi="Arial" w:eastAsia="宋体" w:cs="Arial"/>
          <w:color w:val="auto"/>
          <w:highlight w:val="none"/>
        </w:rPr>
        <w:t>）《内蒙古自治区贯彻国务院〈建设项目环境保护管理条例〉实施意见》，2009.11.10；</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w:t>
      </w:r>
      <w:r>
        <w:rPr>
          <w:rFonts w:hint="default" w:ascii="Arial" w:hAnsi="Arial" w:eastAsia="宋体" w:cs="Arial"/>
          <w:color w:val="auto"/>
          <w:highlight w:val="none"/>
          <w:lang w:val="en-US" w:eastAsia="zh-CN"/>
        </w:rPr>
        <w:t>3</w:t>
      </w:r>
      <w:r>
        <w:rPr>
          <w:rFonts w:hint="default" w:ascii="Arial" w:hAnsi="Arial" w:eastAsia="宋体" w:cs="Arial"/>
          <w:color w:val="auto"/>
          <w:highlight w:val="none"/>
        </w:rPr>
        <w:t>）《内蒙古自治区环境保护条例》（2018年修正）；</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w:t>
      </w:r>
      <w:r>
        <w:rPr>
          <w:rFonts w:hint="default" w:ascii="Arial" w:hAnsi="Arial" w:eastAsia="宋体" w:cs="Arial"/>
          <w:color w:val="auto"/>
          <w:highlight w:val="none"/>
          <w:lang w:val="en-US" w:eastAsia="zh-CN"/>
        </w:rPr>
        <w:t>4</w:t>
      </w:r>
      <w:r>
        <w:rPr>
          <w:rFonts w:hint="default" w:ascii="Arial" w:hAnsi="Arial" w:eastAsia="宋体" w:cs="Arial"/>
          <w:color w:val="auto"/>
          <w:highlight w:val="none"/>
        </w:rPr>
        <w:t>）内蒙古自治区人民政府办公厅关于转发自治区环境保护厅《环境影响评价（非辐射类）分级审批及验收意见》的通知，内政办字［2015］61号）</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w:t>
      </w:r>
      <w:r>
        <w:rPr>
          <w:rFonts w:hint="default" w:ascii="Arial" w:hAnsi="Arial" w:eastAsia="宋体" w:cs="Arial"/>
          <w:color w:val="auto"/>
          <w:highlight w:val="none"/>
          <w:lang w:val="en-US" w:eastAsia="zh-CN"/>
        </w:rPr>
        <w:t>5</w:t>
      </w:r>
      <w:r>
        <w:rPr>
          <w:rFonts w:hint="default" w:ascii="Arial" w:hAnsi="Arial" w:eastAsia="宋体" w:cs="Arial"/>
          <w:color w:val="auto"/>
          <w:highlight w:val="none"/>
        </w:rPr>
        <w:t>）《内蒙古自治区人民政府关于印发自治区国家重点生态功能区产业准入负面清单（试行）》（内政发</w:t>
      </w:r>
      <w:r>
        <w:rPr>
          <w:rFonts w:hint="default" w:ascii="Arial" w:hAnsi="Arial" w:eastAsia="宋体" w:cs="Arial"/>
          <w:color w:val="auto"/>
          <w:highlight w:val="none"/>
          <w:lang w:eastAsia="zh-CN"/>
        </w:rPr>
        <w:t>[</w:t>
      </w:r>
      <w:r>
        <w:rPr>
          <w:rFonts w:hint="default" w:ascii="Arial" w:hAnsi="Arial" w:eastAsia="宋体" w:cs="Arial"/>
          <w:color w:val="auto"/>
          <w:highlight w:val="none"/>
        </w:rPr>
        <w:t>2018</w:t>
      </w:r>
      <w:r>
        <w:rPr>
          <w:rFonts w:hint="default" w:ascii="Arial" w:hAnsi="Arial" w:eastAsia="宋体" w:cs="Arial"/>
          <w:color w:val="auto"/>
          <w:highlight w:val="none"/>
          <w:lang w:eastAsia="zh-CN"/>
        </w:rPr>
        <w:t>]</w:t>
      </w:r>
      <w:r>
        <w:rPr>
          <w:rFonts w:hint="default" w:ascii="Arial" w:hAnsi="Arial" w:eastAsia="宋体" w:cs="Arial"/>
          <w:color w:val="auto"/>
          <w:highlight w:val="none"/>
        </w:rPr>
        <w:t>11号），2018.3.12。</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w:t>
      </w:r>
      <w:r>
        <w:rPr>
          <w:rFonts w:hint="default" w:ascii="Arial" w:hAnsi="Arial" w:eastAsia="宋体" w:cs="Arial"/>
          <w:color w:val="auto"/>
          <w:highlight w:val="none"/>
          <w:lang w:val="en-US" w:eastAsia="zh-CN"/>
        </w:rPr>
        <w:t>6</w:t>
      </w:r>
      <w:r>
        <w:rPr>
          <w:rFonts w:hint="default" w:ascii="Arial" w:hAnsi="Arial" w:eastAsia="宋体" w:cs="Arial"/>
          <w:color w:val="auto"/>
          <w:highlight w:val="none"/>
        </w:rPr>
        <w:t>）《关于进一步贯彻落实《畜禽规模养殖污染防治条例》促进养殖废弃物综合利用加强污染防治的通知》（内农牧畜发﹝2016﹞228号）；</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w:t>
      </w:r>
      <w:r>
        <w:rPr>
          <w:rFonts w:hint="default" w:ascii="Arial" w:hAnsi="Arial" w:eastAsia="宋体" w:cs="Arial"/>
          <w:color w:val="auto"/>
          <w:highlight w:val="none"/>
          <w:lang w:val="en-US" w:eastAsia="zh-CN"/>
        </w:rPr>
        <w:t>7</w:t>
      </w:r>
      <w:r>
        <w:rPr>
          <w:rFonts w:hint="default" w:ascii="Arial" w:hAnsi="Arial" w:eastAsia="宋体" w:cs="Arial"/>
          <w:color w:val="auto"/>
          <w:highlight w:val="none"/>
        </w:rPr>
        <w:t>）《关于病死畜禽无害化处理工作的实施意见》（内政办发</w:t>
      </w:r>
      <w:r>
        <w:rPr>
          <w:rFonts w:hint="default" w:ascii="Arial" w:hAnsi="Arial" w:eastAsia="宋体" w:cs="Arial"/>
          <w:color w:val="auto"/>
          <w:highlight w:val="none"/>
          <w:lang w:eastAsia="zh-CN"/>
        </w:rPr>
        <w:t>[</w:t>
      </w:r>
      <w:r>
        <w:rPr>
          <w:rFonts w:hint="default" w:ascii="Arial" w:hAnsi="Arial" w:eastAsia="宋体" w:cs="Arial"/>
          <w:color w:val="auto"/>
          <w:highlight w:val="none"/>
        </w:rPr>
        <w:t>2015</w:t>
      </w:r>
      <w:r>
        <w:rPr>
          <w:rFonts w:hint="default" w:ascii="Arial" w:hAnsi="Arial" w:eastAsia="宋体" w:cs="Arial"/>
          <w:color w:val="auto"/>
          <w:highlight w:val="none"/>
          <w:lang w:eastAsia="zh-CN"/>
        </w:rPr>
        <w:t>]</w:t>
      </w:r>
      <w:r>
        <w:rPr>
          <w:rFonts w:hint="default" w:ascii="Arial" w:hAnsi="Arial" w:eastAsia="宋体" w:cs="Arial"/>
          <w:color w:val="auto"/>
          <w:highlight w:val="none"/>
        </w:rPr>
        <w:t>54号）；</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w:t>
      </w:r>
      <w:r>
        <w:rPr>
          <w:rFonts w:hint="default" w:ascii="Arial" w:hAnsi="Arial" w:eastAsia="宋体" w:cs="Arial"/>
          <w:color w:val="auto"/>
          <w:highlight w:val="none"/>
          <w:lang w:val="en-US" w:eastAsia="zh-CN"/>
        </w:rPr>
        <w:t>8</w:t>
      </w:r>
      <w:r>
        <w:rPr>
          <w:rFonts w:hint="default" w:ascii="Arial" w:hAnsi="Arial" w:eastAsia="宋体" w:cs="Arial"/>
          <w:color w:val="auto"/>
          <w:highlight w:val="none"/>
        </w:rPr>
        <w:t>）《内蒙古自治区畜禽养殖主要污染物减排工程项目建设技术指南（试行）》（内环发</w:t>
      </w:r>
      <w:r>
        <w:rPr>
          <w:rFonts w:hint="default" w:ascii="Arial" w:hAnsi="Arial" w:eastAsia="宋体" w:cs="Arial"/>
          <w:color w:val="auto"/>
          <w:highlight w:val="none"/>
          <w:lang w:eastAsia="zh-CN"/>
        </w:rPr>
        <w:t>[</w:t>
      </w:r>
      <w:r>
        <w:rPr>
          <w:rFonts w:hint="default" w:ascii="Arial" w:hAnsi="Arial" w:eastAsia="宋体" w:cs="Arial"/>
          <w:color w:val="auto"/>
          <w:highlight w:val="none"/>
        </w:rPr>
        <w:t>2014</w:t>
      </w:r>
      <w:r>
        <w:rPr>
          <w:rFonts w:hint="default" w:ascii="Arial" w:hAnsi="Arial" w:eastAsia="宋体" w:cs="Arial"/>
          <w:color w:val="auto"/>
          <w:highlight w:val="none"/>
          <w:lang w:eastAsia="zh-CN"/>
        </w:rPr>
        <w:t>]</w:t>
      </w:r>
      <w:r>
        <w:rPr>
          <w:rFonts w:hint="default" w:ascii="Arial" w:hAnsi="Arial" w:eastAsia="宋体" w:cs="Arial"/>
          <w:color w:val="auto"/>
          <w:highlight w:val="none"/>
        </w:rPr>
        <w:t>83号）；</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w:t>
      </w:r>
      <w:r>
        <w:rPr>
          <w:rFonts w:hint="default" w:ascii="Arial" w:hAnsi="Arial" w:eastAsia="宋体" w:cs="Arial"/>
          <w:color w:val="auto"/>
          <w:highlight w:val="none"/>
          <w:lang w:val="en-US" w:eastAsia="zh-CN"/>
        </w:rPr>
        <w:t>9</w:t>
      </w:r>
      <w:r>
        <w:rPr>
          <w:rFonts w:hint="default" w:ascii="Arial" w:hAnsi="Arial" w:eastAsia="宋体" w:cs="Arial"/>
          <w:color w:val="auto"/>
          <w:highlight w:val="none"/>
        </w:rPr>
        <w:t>）《内蒙古自治区人民政府办公厅关于印发畜禽粪污资源化利用工作方案（2017—2020年）的通知》（内政办字</w:t>
      </w:r>
      <w:r>
        <w:rPr>
          <w:rFonts w:hint="default" w:ascii="Arial" w:hAnsi="Arial" w:eastAsia="宋体" w:cs="Arial"/>
          <w:color w:val="auto"/>
          <w:highlight w:val="none"/>
          <w:lang w:eastAsia="zh-CN"/>
        </w:rPr>
        <w:t>[</w:t>
      </w:r>
      <w:r>
        <w:rPr>
          <w:rFonts w:hint="default" w:ascii="Arial" w:hAnsi="Arial" w:eastAsia="宋体" w:cs="Arial"/>
          <w:color w:val="auto"/>
          <w:highlight w:val="none"/>
        </w:rPr>
        <w:t>2017</w:t>
      </w:r>
      <w:r>
        <w:rPr>
          <w:rFonts w:hint="default" w:ascii="Arial" w:hAnsi="Arial" w:eastAsia="宋体" w:cs="Arial"/>
          <w:color w:val="auto"/>
          <w:highlight w:val="none"/>
          <w:lang w:eastAsia="zh-CN"/>
        </w:rPr>
        <w:t>]</w:t>
      </w:r>
      <w:r>
        <w:rPr>
          <w:rFonts w:hint="default" w:ascii="Arial" w:hAnsi="Arial" w:eastAsia="宋体" w:cs="Arial"/>
          <w:color w:val="auto"/>
          <w:highlight w:val="none"/>
        </w:rPr>
        <w:t>179号）；</w:t>
      </w:r>
    </w:p>
    <w:p>
      <w:pPr>
        <w:pageBreakBefore w:val="0"/>
        <w:widowControl w:val="0"/>
        <w:kinsoku/>
        <w:wordWrap/>
        <w:overflowPunct/>
        <w:topLinePunct/>
        <w:autoSpaceDE w:val="0"/>
        <w:autoSpaceDN/>
        <w:bidi w:val="0"/>
        <w:adjustRightInd/>
        <w:snapToGrid/>
        <w:ind w:firstLine="480"/>
        <w:jc w:val="both"/>
        <w:textAlignment w:val="auto"/>
        <w:rPr>
          <w:rFonts w:hint="default" w:ascii="Arial" w:hAnsi="Arial" w:eastAsia="宋体" w:cs="Arial"/>
          <w:color w:val="auto"/>
          <w:szCs w:val="24"/>
          <w:highlight w:val="none"/>
        </w:rPr>
      </w:pPr>
      <w:r>
        <w:rPr>
          <w:rFonts w:hint="default" w:ascii="Arial" w:hAnsi="Arial" w:eastAsia="宋体" w:cs="Arial"/>
          <w:color w:val="auto"/>
          <w:highlight w:val="none"/>
        </w:rPr>
        <w:t>（</w:t>
      </w:r>
      <w:r>
        <w:rPr>
          <w:rFonts w:hint="default" w:ascii="Arial" w:hAnsi="Arial" w:eastAsia="宋体" w:cs="Arial"/>
          <w:color w:val="auto"/>
          <w:highlight w:val="none"/>
          <w:lang w:val="en-US" w:eastAsia="zh-CN"/>
        </w:rPr>
        <w:t>1</w:t>
      </w:r>
      <w:r>
        <w:rPr>
          <w:rFonts w:hint="default" w:ascii="Arial" w:hAnsi="Arial" w:eastAsia="宋体" w:cs="Arial"/>
          <w:color w:val="auto"/>
          <w:highlight w:val="none"/>
        </w:rPr>
        <w:t>0）《巴彦淖尔市大气污染防治条例》，2019年10月1日</w:t>
      </w:r>
      <w:r>
        <w:rPr>
          <w:rFonts w:hint="default" w:ascii="Arial" w:hAnsi="Arial" w:eastAsia="宋体" w:cs="Arial"/>
          <w:color w:val="auto"/>
          <w:szCs w:val="24"/>
          <w:highlight w:val="none"/>
        </w:rPr>
        <w:t>。</w:t>
      </w:r>
    </w:p>
    <w:p>
      <w:pPr>
        <w:pStyle w:val="6"/>
        <w:pageBreakBefore w:val="0"/>
        <w:widowControl w:val="0"/>
        <w:kinsoku/>
        <w:wordWrap/>
        <w:overflowPunct/>
        <w:topLinePunct/>
        <w:autoSpaceDE w:val="0"/>
        <w:autoSpaceDN/>
        <w:bidi w:val="0"/>
        <w:adjustRightInd/>
        <w:snapToGrid/>
        <w:textAlignment w:val="auto"/>
        <w:rPr>
          <w:rFonts w:hint="default" w:ascii="Arial" w:hAnsi="Arial" w:eastAsia="宋体" w:cs="Arial"/>
          <w:color w:val="auto"/>
          <w:highlight w:val="none"/>
        </w:rPr>
      </w:pPr>
      <w:bookmarkStart w:id="72" w:name="_Toc14535"/>
      <w:r>
        <w:rPr>
          <w:rFonts w:hint="default" w:ascii="Arial" w:hAnsi="Arial" w:eastAsia="宋体" w:cs="Arial"/>
          <w:color w:val="auto"/>
          <w:highlight w:val="none"/>
        </w:rPr>
        <w:t>2.1.4</w:t>
      </w:r>
      <w:bookmarkStart w:id="73" w:name="_Toc512871522"/>
      <w:r>
        <w:rPr>
          <w:rFonts w:hint="default" w:ascii="Arial" w:hAnsi="Arial" w:eastAsia="宋体" w:cs="Arial"/>
          <w:color w:val="auto"/>
          <w:highlight w:val="none"/>
        </w:rPr>
        <w:t>技术</w:t>
      </w:r>
      <w:bookmarkEnd w:id="73"/>
      <w:r>
        <w:rPr>
          <w:rFonts w:hint="default" w:ascii="Arial" w:hAnsi="Arial" w:eastAsia="宋体" w:cs="Arial"/>
          <w:color w:val="auto"/>
          <w:highlight w:val="none"/>
        </w:rPr>
        <w:t>导则和规范</w:t>
      </w:r>
      <w:bookmarkEnd w:id="72"/>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bookmarkStart w:id="74" w:name="_Toc512871523"/>
      <w:r>
        <w:rPr>
          <w:rFonts w:hint="default" w:ascii="Arial" w:hAnsi="Arial" w:eastAsia="宋体" w:cs="Arial"/>
          <w:color w:val="auto"/>
          <w:highlight w:val="none"/>
        </w:rPr>
        <w:t>（1）《</w:t>
      </w:r>
      <w:r>
        <w:rPr>
          <w:rFonts w:hint="default" w:ascii="Arial" w:hAnsi="Arial" w:eastAsia="宋体" w:cs="Arial"/>
          <w:color w:val="auto"/>
          <w:highlight w:val="none"/>
          <w:lang w:eastAsia="zh-CN"/>
        </w:rPr>
        <w:t>建设项目</w:t>
      </w:r>
      <w:r>
        <w:rPr>
          <w:rFonts w:hint="default" w:ascii="Arial" w:hAnsi="Arial" w:eastAsia="宋体" w:cs="Arial"/>
          <w:color w:val="auto"/>
          <w:highlight w:val="none"/>
        </w:rPr>
        <w:t>环境影响评价技术导则 总纲》（HJ2.1-2016）；</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（2）《环境影响评价技术导则 大气环境》（HJ2.2-2018）；</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（3）《环境影响评价技术导则 声环境》（HJ2.4-2009）；</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（4）《环境影响评价技术导则 地下水环境》（HJ610-2016）；</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（5）《环境影响评价技术导则 地表水环境》（HJ2.3-2018）</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 xml:space="preserve">（6）《环境影响评价技术导则 土壤环境（试行）》（HJ964—2018）； </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（7）《环境影响评价技术导则 生态影响》（HJ19-2011）；</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（8）《建设项目环境风险评价技术导则》</w:t>
      </w:r>
      <w:bookmarkStart w:id="75" w:name="OLE_LINK8"/>
      <w:bookmarkStart w:id="76" w:name="OLE_LINK7"/>
      <w:r>
        <w:rPr>
          <w:rFonts w:hint="default" w:ascii="Arial" w:hAnsi="Arial" w:eastAsia="宋体" w:cs="Arial"/>
          <w:color w:val="auto"/>
          <w:highlight w:val="none"/>
        </w:rPr>
        <w:t>（HJ169-20</w:t>
      </w:r>
      <w:bookmarkEnd w:id="75"/>
      <w:bookmarkEnd w:id="76"/>
      <w:r>
        <w:rPr>
          <w:rFonts w:hint="default" w:ascii="Arial" w:hAnsi="Arial" w:eastAsia="宋体" w:cs="Arial"/>
          <w:color w:val="auto"/>
          <w:highlight w:val="none"/>
        </w:rPr>
        <w:t>18）；</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（9）《排污许可证申请与核发技术规范 畜禽养殖行业》（HJ1029-2019)；</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（10）《污染源源强核算技术指南 准则》（HJ884-2018）；</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（11）《排污单位自行监测技术指南 总则》（HJ819-2017）；</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（12）《畜禽养殖业污染防治技术规范》（HJ/T81-2001）；</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（13）《畜禽养殖业污染治理工程技术规范》（HJ497-2009）；</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（14）《病害动物和病害动物产品生物安全处理规程》（GB16548-2006）；</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（15）《高致病性禽流感疫情处置技术规范》（农业部2004.11.14）；</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（16）《病死及病害动物无害化处理技术规范》（农医发[2017]25号）；</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（17）《畜禽粪便无害化处理技术规范》（NY/T1168-2006）；</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（18）《粪便无害化卫生要求》（GB7959-2012）；</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（19）《沼肥施用技术规范》（NY/T2065-2011）；</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（20）《畜禽粪污土地承载力测算技术指南》（农办牧[2018]1号）；</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（21）《畜禽粪便还田技术规范》（GB/T25246-2010）；</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（22）《畜禽粪便农田利用环境影响评价准则》（GB/T26622-2011）；</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（23）《畜禽场场区设计技术规范》（NY/T682-2003）；</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（24）《动物防疫条件审查办法》（中华人民共和国农业部，2010年第7号令）；</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（25）《病害动物和病害动物产品生物安全处理规程》（GB16548-2006）；</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（26）《畜禽规模化养殖场资源化利用设施建设规范（试行）》（农办牧</w:t>
      </w:r>
      <w:r>
        <w:rPr>
          <w:rFonts w:hint="default" w:ascii="Arial" w:hAnsi="Arial" w:eastAsia="宋体" w:cs="Arial"/>
          <w:color w:val="auto"/>
          <w:highlight w:val="none"/>
          <w:lang w:eastAsia="zh-CN"/>
        </w:rPr>
        <w:t>[</w:t>
      </w:r>
      <w:r>
        <w:rPr>
          <w:rFonts w:hint="default" w:ascii="Arial" w:hAnsi="Arial" w:eastAsia="宋体" w:cs="Arial"/>
          <w:color w:val="auto"/>
          <w:highlight w:val="none"/>
        </w:rPr>
        <w:t>2018</w:t>
      </w:r>
      <w:r>
        <w:rPr>
          <w:rFonts w:hint="default" w:ascii="Arial" w:hAnsi="Arial" w:eastAsia="宋体" w:cs="Arial"/>
          <w:color w:val="auto"/>
          <w:highlight w:val="none"/>
          <w:lang w:eastAsia="zh-CN"/>
        </w:rPr>
        <w:t>]</w:t>
      </w:r>
      <w:r>
        <w:rPr>
          <w:rFonts w:hint="default" w:ascii="Arial" w:hAnsi="Arial" w:eastAsia="宋体" w:cs="Arial"/>
          <w:color w:val="auto"/>
          <w:highlight w:val="none"/>
        </w:rPr>
        <w:t>2号）；</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（27）《内蒙古自治区行业用水定额（2019年版）》（内水资﹝2019﹞165号）。</w:t>
      </w:r>
    </w:p>
    <w:p>
      <w:pPr>
        <w:pStyle w:val="6"/>
        <w:pageBreakBefore w:val="0"/>
        <w:widowControl w:val="0"/>
        <w:kinsoku/>
        <w:wordWrap/>
        <w:overflowPunct/>
        <w:topLinePunct/>
        <w:autoSpaceDE w:val="0"/>
        <w:autoSpaceDN/>
        <w:bidi w:val="0"/>
        <w:adjustRightInd/>
        <w:snapToGrid/>
        <w:textAlignment w:val="auto"/>
        <w:rPr>
          <w:rFonts w:hint="default" w:ascii="Arial" w:hAnsi="Arial" w:eastAsia="宋体" w:cs="Arial"/>
          <w:color w:val="auto"/>
          <w:highlight w:val="none"/>
        </w:rPr>
      </w:pPr>
      <w:bookmarkStart w:id="77" w:name="_Toc20552"/>
      <w:r>
        <w:rPr>
          <w:rFonts w:hint="default" w:ascii="Arial" w:hAnsi="Arial" w:eastAsia="宋体" w:cs="Arial"/>
          <w:color w:val="auto"/>
          <w:highlight w:val="none"/>
        </w:rPr>
        <w:t>2.1.5其他相关文件</w:t>
      </w:r>
      <w:bookmarkEnd w:id="74"/>
      <w:bookmarkEnd w:id="77"/>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（1）《</w:t>
      </w:r>
      <w:r>
        <w:rPr>
          <w:rFonts w:hint="default" w:ascii="Arial" w:hAnsi="Arial" w:eastAsia="宋体" w:cs="Arial"/>
          <w:color w:val="auto"/>
          <w:highlight w:val="none"/>
          <w:lang w:eastAsia="zh-CN"/>
        </w:rPr>
        <w:t>五原县天吉泰镇宏腾肉牛养殖示范基地建设项目</w:t>
      </w:r>
      <w:r>
        <w:rPr>
          <w:rFonts w:hint="default" w:ascii="Arial" w:hAnsi="Arial" w:eastAsia="宋体" w:cs="Arial"/>
          <w:color w:val="auto"/>
          <w:highlight w:val="none"/>
        </w:rPr>
        <w:t>环境影响评价委托书》，202</w:t>
      </w:r>
      <w:r>
        <w:rPr>
          <w:rFonts w:hint="default" w:ascii="Arial" w:hAnsi="Arial" w:eastAsia="宋体" w:cs="Arial"/>
          <w:color w:val="auto"/>
          <w:highlight w:val="none"/>
          <w:lang w:val="en-US" w:eastAsia="zh-CN"/>
        </w:rPr>
        <w:t>1</w:t>
      </w:r>
      <w:r>
        <w:rPr>
          <w:rFonts w:hint="default" w:ascii="Arial" w:hAnsi="Arial" w:eastAsia="宋体" w:cs="Arial"/>
          <w:color w:val="auto"/>
          <w:highlight w:val="none"/>
        </w:rPr>
        <w:t>年</w:t>
      </w:r>
      <w:r>
        <w:rPr>
          <w:rFonts w:hint="default" w:ascii="Arial" w:hAnsi="Arial" w:eastAsia="宋体" w:cs="Arial"/>
          <w:color w:val="auto"/>
          <w:highlight w:val="none"/>
          <w:lang w:val="en-US" w:eastAsia="zh-CN"/>
        </w:rPr>
        <w:t>8</w:t>
      </w:r>
      <w:r>
        <w:rPr>
          <w:rFonts w:hint="default" w:ascii="Arial" w:hAnsi="Arial" w:eastAsia="宋体" w:cs="Arial"/>
          <w:color w:val="auto"/>
          <w:highlight w:val="none"/>
        </w:rPr>
        <w:t>月；</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w:t>
      </w:r>
      <w:r>
        <w:rPr>
          <w:rFonts w:hint="default" w:ascii="Arial" w:hAnsi="Arial" w:eastAsia="宋体" w:cs="Arial"/>
          <w:color w:val="auto"/>
          <w:highlight w:val="none"/>
          <w:lang w:val="en-US" w:eastAsia="zh-CN"/>
        </w:rPr>
        <w:t>2</w:t>
      </w:r>
      <w:r>
        <w:rPr>
          <w:rFonts w:hint="default" w:ascii="Arial" w:hAnsi="Arial" w:eastAsia="宋体" w:cs="Arial"/>
          <w:color w:val="auto"/>
          <w:highlight w:val="none"/>
        </w:rPr>
        <w:t>）建设单位提供的其他技术资料。</w:t>
      </w:r>
    </w:p>
    <w:p>
      <w:pPr>
        <w:pStyle w:val="5"/>
        <w:pageBreakBefore w:val="0"/>
        <w:widowControl w:val="0"/>
        <w:kinsoku/>
        <w:wordWrap/>
        <w:overflowPunct/>
        <w:topLinePunct/>
        <w:autoSpaceDE w:val="0"/>
        <w:autoSpaceDN/>
        <w:bidi w:val="0"/>
        <w:adjustRightInd/>
        <w:snapToGrid/>
        <w:textAlignment w:val="auto"/>
        <w:rPr>
          <w:rFonts w:hint="default" w:ascii="Arial" w:hAnsi="Arial" w:eastAsia="宋体" w:cs="Arial"/>
          <w:color w:val="auto"/>
          <w:highlight w:val="none"/>
        </w:rPr>
      </w:pPr>
      <w:bookmarkStart w:id="78" w:name="_Toc5096"/>
      <w:r>
        <w:rPr>
          <w:rFonts w:hint="default" w:ascii="Arial" w:hAnsi="Arial" w:eastAsia="宋体" w:cs="Arial"/>
          <w:color w:val="auto"/>
          <w:highlight w:val="none"/>
        </w:rPr>
        <w:t>2.2评价目的及评价重点</w:t>
      </w:r>
      <w:bookmarkEnd w:id="78"/>
    </w:p>
    <w:p>
      <w:pPr>
        <w:pStyle w:val="6"/>
        <w:pageBreakBefore w:val="0"/>
        <w:widowControl w:val="0"/>
        <w:kinsoku/>
        <w:wordWrap/>
        <w:overflowPunct/>
        <w:topLinePunct/>
        <w:autoSpaceDE w:val="0"/>
        <w:autoSpaceDN/>
        <w:bidi w:val="0"/>
        <w:adjustRightInd/>
        <w:snapToGrid/>
        <w:textAlignment w:val="auto"/>
        <w:rPr>
          <w:rFonts w:hint="default" w:ascii="Arial" w:hAnsi="Arial" w:eastAsia="宋体" w:cs="Arial"/>
          <w:color w:val="auto"/>
          <w:highlight w:val="none"/>
        </w:rPr>
      </w:pPr>
      <w:bookmarkStart w:id="79" w:name="_Toc32395"/>
      <w:r>
        <w:rPr>
          <w:rFonts w:hint="default" w:ascii="Arial" w:hAnsi="Arial" w:eastAsia="宋体" w:cs="Arial"/>
          <w:color w:val="auto"/>
          <w:highlight w:val="none"/>
        </w:rPr>
        <w:t>2.2.1评价目的</w:t>
      </w:r>
      <w:bookmarkEnd w:id="79"/>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（1）从本项目的养殖工艺、养殖规模、环保设施、厂址选择及污染物排放控制等方面进行分析，并对照国家、自治区相关产业政策，以及当地环境质量底线、资源利用上线、生态保护红线及</w:t>
      </w:r>
      <w:r>
        <w:rPr>
          <w:rFonts w:hint="default" w:ascii="Arial" w:hAnsi="Arial" w:eastAsia="宋体" w:cs="Arial"/>
          <w:color w:val="auto"/>
          <w:highlight w:val="none"/>
          <w:lang w:eastAsia="zh-CN"/>
        </w:rPr>
        <w:t>生态环境准入清单</w:t>
      </w:r>
      <w:r>
        <w:rPr>
          <w:rFonts w:hint="default" w:ascii="Arial" w:hAnsi="Arial" w:eastAsia="宋体" w:cs="Arial"/>
          <w:color w:val="auto"/>
          <w:highlight w:val="none"/>
        </w:rPr>
        <w:t>，明确回答本项目是否符合国家、自治区及当地相关产业政策要求。</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2）通过实地调查，搞清项目所处地区环境特征、环境现状以及污染源分布状况和特征，结合工程排污特点、环境保护措施和污染物排放状况，回答工程建设污染物排放是否超出环境质量底线，分析对当地环境质量的影响程度。</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（3）本次评价将根据产业政策、评价区域环境质量底线要求、生态保护红线、区域城市建设规划管理部门要求等情况进行综合分析，明确回答厂址选择可行性。</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（4）综合产业政策、当地社会经济发展规划、环境质量底线、生态保护红线、资源利用上线、</w:t>
      </w:r>
      <w:r>
        <w:rPr>
          <w:rFonts w:hint="default" w:ascii="Arial" w:hAnsi="Arial" w:eastAsia="宋体" w:cs="Arial"/>
          <w:color w:val="auto"/>
          <w:highlight w:val="none"/>
          <w:lang w:eastAsia="zh-CN"/>
        </w:rPr>
        <w:t>生态环境准入清单</w:t>
      </w:r>
      <w:r>
        <w:rPr>
          <w:rFonts w:hint="default" w:ascii="Arial" w:hAnsi="Arial" w:eastAsia="宋体" w:cs="Arial"/>
          <w:color w:val="auto"/>
          <w:highlight w:val="none"/>
        </w:rPr>
        <w:t>等部分的分析结论，从环保角度明确回答本项目建设可行性，为项目建设审批、环境保护、工程设计、建设管理、生产运行等提供科学依据。</w:t>
      </w:r>
    </w:p>
    <w:p>
      <w:pPr>
        <w:pStyle w:val="6"/>
        <w:pageBreakBefore w:val="0"/>
        <w:widowControl w:val="0"/>
        <w:kinsoku/>
        <w:wordWrap/>
        <w:overflowPunct/>
        <w:topLinePunct/>
        <w:autoSpaceDE w:val="0"/>
        <w:autoSpaceDN/>
        <w:bidi w:val="0"/>
        <w:adjustRightInd/>
        <w:snapToGrid/>
        <w:textAlignment w:val="auto"/>
        <w:rPr>
          <w:rFonts w:hint="default" w:ascii="Arial" w:hAnsi="Arial" w:eastAsia="宋体" w:cs="Arial"/>
          <w:color w:val="auto"/>
          <w:highlight w:val="none"/>
        </w:rPr>
      </w:pPr>
      <w:bookmarkStart w:id="80" w:name="_Toc25160"/>
      <w:r>
        <w:rPr>
          <w:rFonts w:hint="default" w:ascii="Arial" w:hAnsi="Arial" w:eastAsia="宋体" w:cs="Arial"/>
          <w:color w:val="auto"/>
          <w:highlight w:val="none"/>
        </w:rPr>
        <w:t>2.2.2评价重点</w:t>
      </w:r>
      <w:bookmarkEnd w:id="80"/>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本项目关注的主要环境问题为项目选址的合理性，建成后产生的</w:t>
      </w:r>
      <w:r>
        <w:rPr>
          <w:rFonts w:hint="default" w:ascii="Arial" w:hAnsi="Arial" w:eastAsia="宋体" w:cs="Arial"/>
          <w:color w:val="auto"/>
          <w:highlight w:val="none"/>
          <w:lang w:eastAsia="zh-CN"/>
        </w:rPr>
        <w:t>恶臭气体</w:t>
      </w:r>
      <w:r>
        <w:rPr>
          <w:rFonts w:hint="default" w:ascii="Arial" w:hAnsi="Arial" w:eastAsia="宋体" w:cs="Arial"/>
          <w:color w:val="auto"/>
          <w:highlight w:val="none"/>
        </w:rPr>
        <w:t>采取措施后能否达标排放，养殖粪污作为有机肥能否合理还田，对满足资源化利用的可行性进行分析论证。</w:t>
      </w:r>
    </w:p>
    <w:p>
      <w:pPr>
        <w:pStyle w:val="5"/>
        <w:pageBreakBefore w:val="0"/>
        <w:widowControl w:val="0"/>
        <w:kinsoku/>
        <w:wordWrap/>
        <w:overflowPunct/>
        <w:topLinePunct/>
        <w:autoSpaceDE w:val="0"/>
        <w:autoSpaceDN/>
        <w:bidi w:val="0"/>
        <w:adjustRightInd/>
        <w:snapToGrid/>
        <w:textAlignment w:val="auto"/>
        <w:rPr>
          <w:rFonts w:hint="default" w:ascii="Arial" w:hAnsi="Arial" w:eastAsia="宋体" w:cs="Arial"/>
          <w:color w:val="auto"/>
          <w:highlight w:val="none"/>
        </w:rPr>
      </w:pPr>
      <w:bookmarkStart w:id="81" w:name="_Toc512871524"/>
      <w:bookmarkStart w:id="82" w:name="_Toc16271"/>
      <w:r>
        <w:rPr>
          <w:rFonts w:hint="default" w:ascii="Arial" w:hAnsi="Arial" w:eastAsia="宋体" w:cs="Arial"/>
          <w:color w:val="auto"/>
          <w:highlight w:val="none"/>
        </w:rPr>
        <w:t>2.3</w:t>
      </w:r>
      <w:bookmarkEnd w:id="81"/>
      <w:r>
        <w:rPr>
          <w:rFonts w:hint="default" w:ascii="Arial" w:hAnsi="Arial" w:eastAsia="宋体" w:cs="Arial"/>
          <w:color w:val="auto"/>
          <w:highlight w:val="none"/>
        </w:rPr>
        <w:t>环境影响识别</w:t>
      </w:r>
      <w:bookmarkEnd w:id="82"/>
    </w:p>
    <w:p>
      <w:pPr>
        <w:pStyle w:val="6"/>
        <w:pageBreakBefore w:val="0"/>
        <w:widowControl w:val="0"/>
        <w:kinsoku/>
        <w:wordWrap/>
        <w:overflowPunct/>
        <w:topLinePunct/>
        <w:autoSpaceDE w:val="0"/>
        <w:autoSpaceDN/>
        <w:bidi w:val="0"/>
        <w:adjustRightInd/>
        <w:snapToGrid/>
        <w:textAlignment w:val="auto"/>
        <w:rPr>
          <w:rFonts w:hint="default" w:ascii="Arial" w:hAnsi="Arial" w:eastAsia="宋体" w:cs="Arial"/>
          <w:color w:val="auto"/>
          <w:highlight w:val="none"/>
        </w:rPr>
      </w:pPr>
      <w:bookmarkStart w:id="83" w:name="_Toc258943957"/>
      <w:bookmarkStart w:id="84" w:name="_Toc143066313"/>
      <w:bookmarkStart w:id="85" w:name="_Toc295196530"/>
      <w:bookmarkStart w:id="86" w:name="_Toc158435276"/>
      <w:bookmarkStart w:id="87" w:name="_Toc494206271"/>
      <w:bookmarkStart w:id="88" w:name="_Toc512871525"/>
      <w:bookmarkStart w:id="89" w:name="_Toc29681"/>
      <w:r>
        <w:rPr>
          <w:rFonts w:hint="default" w:ascii="Arial" w:hAnsi="Arial" w:eastAsia="宋体" w:cs="Arial"/>
          <w:color w:val="auto"/>
          <w:highlight w:val="none"/>
        </w:rPr>
        <w:t>2.3.1</w:t>
      </w:r>
      <w:bookmarkEnd w:id="83"/>
      <w:bookmarkEnd w:id="84"/>
      <w:bookmarkEnd w:id="85"/>
      <w:bookmarkEnd w:id="86"/>
      <w:r>
        <w:rPr>
          <w:rFonts w:hint="default" w:ascii="Arial" w:hAnsi="Arial" w:eastAsia="宋体" w:cs="Arial"/>
          <w:color w:val="auto"/>
          <w:highlight w:val="none"/>
        </w:rPr>
        <w:t>环境影响因素识别</w:t>
      </w:r>
      <w:bookmarkEnd w:id="87"/>
      <w:bookmarkEnd w:id="88"/>
      <w:bookmarkEnd w:id="89"/>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szCs w:val="24"/>
          <w:highlight w:val="none"/>
        </w:rPr>
      </w:pPr>
      <w:r>
        <w:rPr>
          <w:rFonts w:hint="default" w:ascii="Arial" w:hAnsi="Arial" w:eastAsia="宋体" w:cs="Arial"/>
          <w:color w:val="auto"/>
          <w:szCs w:val="24"/>
          <w:highlight w:val="none"/>
        </w:rPr>
        <w:t>评价根据该工程建设特征、项目区域环境现状，识别本工程项目建设的环境影响因素及环境影响效果见表2.3-1、2.3-2。</w:t>
      </w:r>
    </w:p>
    <w:p>
      <w:pPr>
        <w:pStyle w:val="8"/>
        <w:pageBreakBefore w:val="0"/>
        <w:widowControl w:val="0"/>
        <w:kinsoku/>
        <w:wordWrap/>
        <w:overflowPunct/>
        <w:topLinePunct/>
        <w:autoSpaceDE w:val="0"/>
        <w:autoSpaceDN/>
        <w:bidi w:val="0"/>
        <w:textAlignment w:val="auto"/>
        <w:rPr>
          <w:rFonts w:hint="default" w:ascii="Arial" w:hAnsi="Arial" w:eastAsia="宋体" w:cs="Arial"/>
          <w:color w:val="auto"/>
          <w:highlight w:val="none"/>
        </w:rPr>
      </w:pPr>
      <w:r>
        <w:rPr>
          <w:rFonts w:hint="default" w:ascii="Arial" w:hAnsi="Arial" w:eastAsia="宋体" w:cs="Arial"/>
          <w:color w:val="auto"/>
          <w:highlight w:val="none"/>
        </w:rPr>
        <w:t>表2.3-1    工程建设的环境影响要素分析</w:t>
      </w:r>
    </w:p>
    <w:tbl>
      <w:tblPr>
        <w:tblStyle w:val="39"/>
        <w:tblW w:w="9003" w:type="dxa"/>
        <w:tblInd w:w="0" w:type="dxa"/>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2370"/>
        <w:gridCol w:w="2845"/>
        <w:gridCol w:w="1894"/>
        <w:gridCol w:w="1894"/>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5215" w:type="dxa"/>
            <w:gridSpan w:val="2"/>
            <w:vAlign w:val="center"/>
          </w:tcPr>
          <w:p>
            <w:pPr>
              <w:pStyle w:val="63"/>
              <w:keepNext w:val="0"/>
              <w:keepLines w:val="0"/>
              <w:pageBreakBefore w:val="0"/>
              <w:widowControl w:val="0"/>
              <w:kinsoku/>
              <w:wordWrap/>
              <w:overflowPunct/>
              <w:topLinePunct/>
              <w:autoSpaceDE w:val="0"/>
              <w:autoSpaceDN/>
              <w:bidi w:val="0"/>
              <w:adjustRightInd/>
              <w:snapToGrid/>
              <w:spacing w:line="360" w:lineRule="exact"/>
              <w:jc w:val="center"/>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环境影响要素</w:t>
            </w:r>
          </w:p>
        </w:tc>
        <w:tc>
          <w:tcPr>
            <w:tcW w:w="1894"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jc w:val="center"/>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施工期</w:t>
            </w:r>
          </w:p>
        </w:tc>
        <w:tc>
          <w:tcPr>
            <w:tcW w:w="1894" w:type="dxa"/>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jc w:val="center"/>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营运期</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2370" w:type="dxa"/>
            <w:vMerge w:val="restart"/>
            <w:vAlign w:val="center"/>
          </w:tcPr>
          <w:p>
            <w:pPr>
              <w:pStyle w:val="63"/>
              <w:keepNext w:val="0"/>
              <w:keepLines w:val="0"/>
              <w:pageBreakBefore w:val="0"/>
              <w:widowControl w:val="0"/>
              <w:kinsoku/>
              <w:wordWrap/>
              <w:overflowPunct/>
              <w:topLinePunct/>
              <w:autoSpaceDE w:val="0"/>
              <w:autoSpaceDN/>
              <w:bidi w:val="0"/>
              <w:adjustRightInd/>
              <w:snapToGrid/>
              <w:spacing w:line="360" w:lineRule="exact"/>
              <w:jc w:val="center"/>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自然环境</w:t>
            </w:r>
          </w:p>
        </w:tc>
        <w:tc>
          <w:tcPr>
            <w:tcW w:w="2845"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jc w:val="center"/>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环境空气</w:t>
            </w:r>
          </w:p>
        </w:tc>
        <w:tc>
          <w:tcPr>
            <w:tcW w:w="1894"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jc w:val="center"/>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-1</w:t>
            </w:r>
          </w:p>
        </w:tc>
        <w:tc>
          <w:tcPr>
            <w:tcW w:w="1894"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jc w:val="center"/>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-1</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2370" w:type="dxa"/>
            <w:vMerge w:val="continue"/>
            <w:vAlign w:val="center"/>
          </w:tcPr>
          <w:p>
            <w:pPr>
              <w:pStyle w:val="63"/>
              <w:keepNext w:val="0"/>
              <w:keepLines w:val="0"/>
              <w:pageBreakBefore w:val="0"/>
              <w:widowControl w:val="0"/>
              <w:kinsoku/>
              <w:wordWrap/>
              <w:overflowPunct/>
              <w:topLinePunct/>
              <w:autoSpaceDE w:val="0"/>
              <w:autoSpaceDN/>
              <w:bidi w:val="0"/>
              <w:adjustRightInd/>
              <w:snapToGrid/>
              <w:spacing w:line="360" w:lineRule="exact"/>
              <w:jc w:val="center"/>
              <w:textAlignment w:val="center"/>
              <w:rPr>
                <w:rFonts w:hint="default" w:ascii="Arial" w:hAnsi="Arial" w:eastAsia="宋体" w:cs="Arial"/>
                <w:color w:val="auto"/>
                <w:sz w:val="21"/>
                <w:szCs w:val="21"/>
                <w:highlight w:val="none"/>
              </w:rPr>
            </w:pPr>
          </w:p>
        </w:tc>
        <w:tc>
          <w:tcPr>
            <w:tcW w:w="2845"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jc w:val="center"/>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地表水水质</w:t>
            </w:r>
          </w:p>
        </w:tc>
        <w:tc>
          <w:tcPr>
            <w:tcW w:w="1894"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jc w:val="center"/>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0</w:t>
            </w:r>
          </w:p>
        </w:tc>
        <w:tc>
          <w:tcPr>
            <w:tcW w:w="1894"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jc w:val="center"/>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0</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2370" w:type="dxa"/>
            <w:vMerge w:val="continue"/>
            <w:vAlign w:val="center"/>
          </w:tcPr>
          <w:p>
            <w:pPr>
              <w:pStyle w:val="63"/>
              <w:keepNext w:val="0"/>
              <w:keepLines w:val="0"/>
              <w:pageBreakBefore w:val="0"/>
              <w:widowControl w:val="0"/>
              <w:kinsoku/>
              <w:wordWrap/>
              <w:overflowPunct/>
              <w:topLinePunct/>
              <w:autoSpaceDE w:val="0"/>
              <w:autoSpaceDN/>
              <w:bidi w:val="0"/>
              <w:adjustRightInd/>
              <w:snapToGrid/>
              <w:spacing w:line="360" w:lineRule="exact"/>
              <w:jc w:val="center"/>
              <w:textAlignment w:val="center"/>
              <w:rPr>
                <w:rFonts w:hint="default" w:ascii="Arial" w:hAnsi="Arial" w:eastAsia="宋体" w:cs="Arial"/>
                <w:color w:val="auto"/>
                <w:sz w:val="21"/>
                <w:szCs w:val="21"/>
                <w:highlight w:val="none"/>
              </w:rPr>
            </w:pPr>
          </w:p>
        </w:tc>
        <w:tc>
          <w:tcPr>
            <w:tcW w:w="2845"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jc w:val="center"/>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环境噪声</w:t>
            </w:r>
          </w:p>
        </w:tc>
        <w:tc>
          <w:tcPr>
            <w:tcW w:w="1894"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jc w:val="center"/>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-1</w:t>
            </w:r>
          </w:p>
        </w:tc>
        <w:tc>
          <w:tcPr>
            <w:tcW w:w="1894"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jc w:val="center"/>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-1</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2370" w:type="dxa"/>
            <w:vMerge w:val="continue"/>
            <w:vAlign w:val="center"/>
          </w:tcPr>
          <w:p>
            <w:pPr>
              <w:pStyle w:val="63"/>
              <w:keepNext w:val="0"/>
              <w:keepLines w:val="0"/>
              <w:pageBreakBefore w:val="0"/>
              <w:widowControl w:val="0"/>
              <w:kinsoku/>
              <w:wordWrap/>
              <w:overflowPunct/>
              <w:topLinePunct/>
              <w:autoSpaceDE w:val="0"/>
              <w:autoSpaceDN/>
              <w:bidi w:val="0"/>
              <w:adjustRightInd/>
              <w:snapToGrid/>
              <w:spacing w:line="360" w:lineRule="exact"/>
              <w:jc w:val="center"/>
              <w:textAlignment w:val="center"/>
              <w:rPr>
                <w:rFonts w:hint="default" w:ascii="Arial" w:hAnsi="Arial" w:eastAsia="宋体" w:cs="Arial"/>
                <w:color w:val="auto"/>
                <w:sz w:val="21"/>
                <w:szCs w:val="21"/>
                <w:highlight w:val="none"/>
              </w:rPr>
            </w:pPr>
          </w:p>
        </w:tc>
        <w:tc>
          <w:tcPr>
            <w:tcW w:w="2845"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jc w:val="center"/>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土壤</w:t>
            </w:r>
          </w:p>
        </w:tc>
        <w:tc>
          <w:tcPr>
            <w:tcW w:w="1894"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jc w:val="center"/>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-1</w:t>
            </w:r>
          </w:p>
        </w:tc>
        <w:tc>
          <w:tcPr>
            <w:tcW w:w="1894"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jc w:val="center"/>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-1</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2370" w:type="dxa"/>
            <w:vMerge w:val="restart"/>
            <w:vAlign w:val="center"/>
          </w:tcPr>
          <w:p>
            <w:pPr>
              <w:pStyle w:val="63"/>
              <w:keepNext w:val="0"/>
              <w:keepLines w:val="0"/>
              <w:pageBreakBefore w:val="0"/>
              <w:widowControl w:val="0"/>
              <w:kinsoku/>
              <w:wordWrap/>
              <w:overflowPunct/>
              <w:topLinePunct/>
              <w:autoSpaceDE w:val="0"/>
              <w:autoSpaceDN/>
              <w:bidi w:val="0"/>
              <w:adjustRightInd/>
              <w:snapToGrid/>
              <w:spacing w:line="360" w:lineRule="exact"/>
              <w:jc w:val="center"/>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生态环境</w:t>
            </w:r>
          </w:p>
        </w:tc>
        <w:tc>
          <w:tcPr>
            <w:tcW w:w="2845"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jc w:val="center"/>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植被</w:t>
            </w:r>
          </w:p>
        </w:tc>
        <w:tc>
          <w:tcPr>
            <w:tcW w:w="1894"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jc w:val="center"/>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-1</w:t>
            </w:r>
          </w:p>
        </w:tc>
        <w:tc>
          <w:tcPr>
            <w:tcW w:w="1894"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jc w:val="center"/>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0</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2370" w:type="dxa"/>
            <w:vMerge w:val="continue"/>
            <w:vAlign w:val="center"/>
          </w:tcPr>
          <w:p>
            <w:pPr>
              <w:pStyle w:val="63"/>
              <w:keepNext w:val="0"/>
              <w:keepLines w:val="0"/>
              <w:pageBreakBefore w:val="0"/>
              <w:widowControl w:val="0"/>
              <w:kinsoku/>
              <w:wordWrap/>
              <w:overflowPunct/>
              <w:topLinePunct/>
              <w:autoSpaceDE w:val="0"/>
              <w:autoSpaceDN/>
              <w:bidi w:val="0"/>
              <w:adjustRightInd/>
              <w:snapToGrid/>
              <w:spacing w:line="360" w:lineRule="exact"/>
              <w:jc w:val="center"/>
              <w:textAlignment w:val="center"/>
              <w:rPr>
                <w:rFonts w:hint="default" w:ascii="Arial" w:hAnsi="Arial" w:eastAsia="宋体" w:cs="Arial"/>
                <w:color w:val="auto"/>
                <w:sz w:val="21"/>
                <w:szCs w:val="21"/>
                <w:highlight w:val="none"/>
              </w:rPr>
            </w:pPr>
          </w:p>
        </w:tc>
        <w:tc>
          <w:tcPr>
            <w:tcW w:w="2845"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jc w:val="center"/>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水土流失</w:t>
            </w:r>
          </w:p>
        </w:tc>
        <w:tc>
          <w:tcPr>
            <w:tcW w:w="1894"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jc w:val="center"/>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-1</w:t>
            </w:r>
          </w:p>
        </w:tc>
        <w:tc>
          <w:tcPr>
            <w:tcW w:w="1894"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jc w:val="center"/>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+1</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2370" w:type="dxa"/>
            <w:vMerge w:val="restart"/>
            <w:vAlign w:val="center"/>
          </w:tcPr>
          <w:p>
            <w:pPr>
              <w:pStyle w:val="63"/>
              <w:keepNext w:val="0"/>
              <w:keepLines w:val="0"/>
              <w:pageBreakBefore w:val="0"/>
              <w:widowControl w:val="0"/>
              <w:kinsoku/>
              <w:wordWrap/>
              <w:overflowPunct/>
              <w:topLinePunct/>
              <w:autoSpaceDE w:val="0"/>
              <w:autoSpaceDN/>
              <w:bidi w:val="0"/>
              <w:adjustRightInd/>
              <w:snapToGrid/>
              <w:spacing w:line="360" w:lineRule="exact"/>
              <w:jc w:val="center"/>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社会环境</w:t>
            </w:r>
          </w:p>
        </w:tc>
        <w:tc>
          <w:tcPr>
            <w:tcW w:w="2845"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jc w:val="center"/>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交通</w:t>
            </w:r>
          </w:p>
        </w:tc>
        <w:tc>
          <w:tcPr>
            <w:tcW w:w="1894"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jc w:val="center"/>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-1</w:t>
            </w:r>
          </w:p>
        </w:tc>
        <w:tc>
          <w:tcPr>
            <w:tcW w:w="1894"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jc w:val="center"/>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-1</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2370" w:type="dxa"/>
            <w:vMerge w:val="continue"/>
            <w:vAlign w:val="center"/>
          </w:tcPr>
          <w:p>
            <w:pPr>
              <w:pStyle w:val="63"/>
              <w:keepNext w:val="0"/>
              <w:keepLines w:val="0"/>
              <w:pageBreakBefore w:val="0"/>
              <w:widowControl w:val="0"/>
              <w:kinsoku/>
              <w:wordWrap/>
              <w:overflowPunct/>
              <w:topLinePunct/>
              <w:autoSpaceDE w:val="0"/>
              <w:autoSpaceDN/>
              <w:bidi w:val="0"/>
              <w:adjustRightInd/>
              <w:snapToGrid/>
              <w:spacing w:line="360" w:lineRule="exact"/>
              <w:jc w:val="center"/>
              <w:textAlignment w:val="center"/>
              <w:rPr>
                <w:rFonts w:hint="default" w:ascii="Arial" w:hAnsi="Arial" w:eastAsia="宋体" w:cs="Arial"/>
                <w:color w:val="auto"/>
                <w:sz w:val="21"/>
                <w:szCs w:val="21"/>
                <w:highlight w:val="none"/>
              </w:rPr>
            </w:pPr>
          </w:p>
        </w:tc>
        <w:tc>
          <w:tcPr>
            <w:tcW w:w="2845"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jc w:val="center"/>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就业</w:t>
            </w:r>
          </w:p>
        </w:tc>
        <w:tc>
          <w:tcPr>
            <w:tcW w:w="1894"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jc w:val="center"/>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+1</w:t>
            </w:r>
          </w:p>
        </w:tc>
        <w:tc>
          <w:tcPr>
            <w:tcW w:w="1894"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jc w:val="center"/>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+1</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2370" w:type="dxa"/>
            <w:vMerge w:val="continue"/>
            <w:vAlign w:val="center"/>
          </w:tcPr>
          <w:p>
            <w:pPr>
              <w:pStyle w:val="63"/>
              <w:keepNext w:val="0"/>
              <w:keepLines w:val="0"/>
              <w:pageBreakBefore w:val="0"/>
              <w:widowControl w:val="0"/>
              <w:kinsoku/>
              <w:wordWrap/>
              <w:overflowPunct/>
              <w:topLinePunct/>
              <w:autoSpaceDE w:val="0"/>
              <w:autoSpaceDN/>
              <w:bidi w:val="0"/>
              <w:adjustRightInd/>
              <w:snapToGrid/>
              <w:spacing w:line="360" w:lineRule="exact"/>
              <w:jc w:val="center"/>
              <w:textAlignment w:val="center"/>
              <w:rPr>
                <w:rFonts w:hint="default" w:ascii="Arial" w:hAnsi="Arial" w:eastAsia="宋体" w:cs="Arial"/>
                <w:color w:val="auto"/>
                <w:sz w:val="21"/>
                <w:szCs w:val="21"/>
                <w:highlight w:val="none"/>
              </w:rPr>
            </w:pPr>
          </w:p>
        </w:tc>
        <w:tc>
          <w:tcPr>
            <w:tcW w:w="2845"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jc w:val="center"/>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社会经济</w:t>
            </w:r>
          </w:p>
        </w:tc>
        <w:tc>
          <w:tcPr>
            <w:tcW w:w="1894"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jc w:val="center"/>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+1</w:t>
            </w:r>
          </w:p>
        </w:tc>
        <w:tc>
          <w:tcPr>
            <w:tcW w:w="1894"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jc w:val="center"/>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+1</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c>
          <w:tcPr>
            <w:tcW w:w="9003" w:type="dxa"/>
            <w:gridSpan w:val="4"/>
            <w:vAlign w:val="center"/>
          </w:tcPr>
          <w:p>
            <w:pPr>
              <w:pStyle w:val="63"/>
              <w:keepNext w:val="0"/>
              <w:keepLines w:val="0"/>
              <w:pageBreakBefore w:val="0"/>
              <w:widowControl w:val="0"/>
              <w:kinsoku/>
              <w:wordWrap/>
              <w:overflowPunct/>
              <w:topLinePunct/>
              <w:autoSpaceDE w:val="0"/>
              <w:autoSpaceDN/>
              <w:bidi w:val="0"/>
              <w:adjustRightInd/>
              <w:snapToGrid/>
              <w:spacing w:line="360" w:lineRule="exact"/>
              <w:jc w:val="center"/>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注：“-”表示不利影响，“+”表示有利影响，数字大小表示影响程度；1—轻度影响；2—中度影响；3—重度影响。</w:t>
            </w:r>
          </w:p>
        </w:tc>
      </w:tr>
    </w:tbl>
    <w:p>
      <w:pPr>
        <w:pStyle w:val="8"/>
        <w:rPr>
          <w:rFonts w:hint="default" w:ascii="Arial" w:hAnsi="Arial" w:eastAsia="宋体" w:cs="Arial"/>
          <w:color w:val="auto"/>
          <w:highlight w:val="none"/>
        </w:rPr>
      </w:pPr>
      <w:r>
        <w:rPr>
          <w:rFonts w:hint="default" w:ascii="Arial" w:hAnsi="Arial" w:eastAsia="宋体" w:cs="Arial"/>
          <w:color w:val="auto"/>
          <w:highlight w:val="none"/>
        </w:rPr>
        <w:t>表2.3-2    各环境要素影响类型及程度</w:t>
      </w:r>
    </w:p>
    <w:tbl>
      <w:tblPr>
        <w:tblStyle w:val="39"/>
        <w:tblW w:w="9003" w:type="dxa"/>
        <w:tblInd w:w="0" w:type="dxa"/>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1031"/>
        <w:gridCol w:w="1287"/>
        <w:gridCol w:w="1286"/>
        <w:gridCol w:w="2053"/>
        <w:gridCol w:w="1286"/>
        <w:gridCol w:w="1286"/>
        <w:gridCol w:w="774"/>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2318" w:type="dxa"/>
            <w:gridSpan w:val="2"/>
            <w:vAlign w:val="center"/>
          </w:tcPr>
          <w:p>
            <w:pPr>
              <w:pStyle w:val="63"/>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Arial" w:hAnsi="Arial" w:eastAsia="宋体" w:cs="Arial"/>
                <w:color w:val="auto"/>
                <w:highlight w:val="none"/>
              </w:rPr>
            </w:pPr>
            <w:r>
              <w:rPr>
                <w:rFonts w:hint="default" w:ascii="Arial" w:hAnsi="Arial" w:eastAsia="宋体" w:cs="Arial"/>
                <w:color w:val="auto"/>
                <w:highlight w:val="none"/>
              </w:rPr>
              <w:t>要素</w:t>
            </w:r>
          </w:p>
        </w:tc>
        <w:tc>
          <w:tcPr>
            <w:tcW w:w="1286"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Arial" w:hAnsi="Arial" w:eastAsia="宋体" w:cs="Arial"/>
                <w:color w:val="auto"/>
                <w:highlight w:val="none"/>
              </w:rPr>
            </w:pPr>
            <w:r>
              <w:rPr>
                <w:rFonts w:hint="default" w:ascii="Arial" w:hAnsi="Arial" w:eastAsia="宋体" w:cs="Arial"/>
                <w:color w:val="auto"/>
                <w:highlight w:val="none"/>
              </w:rPr>
              <w:t>影响程度</w:t>
            </w:r>
          </w:p>
        </w:tc>
        <w:tc>
          <w:tcPr>
            <w:tcW w:w="2053"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Arial" w:hAnsi="Arial" w:eastAsia="宋体" w:cs="Arial"/>
                <w:color w:val="auto"/>
                <w:highlight w:val="none"/>
              </w:rPr>
            </w:pPr>
            <w:r>
              <w:rPr>
                <w:rFonts w:hint="default" w:ascii="Arial" w:hAnsi="Arial" w:eastAsia="宋体" w:cs="Arial"/>
                <w:color w:val="auto"/>
                <w:highlight w:val="none"/>
              </w:rPr>
              <w:t>类型</w:t>
            </w:r>
          </w:p>
        </w:tc>
        <w:tc>
          <w:tcPr>
            <w:tcW w:w="1286"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Arial" w:hAnsi="Arial" w:eastAsia="宋体" w:cs="Arial"/>
                <w:color w:val="auto"/>
                <w:highlight w:val="none"/>
              </w:rPr>
            </w:pPr>
            <w:r>
              <w:rPr>
                <w:rFonts w:hint="default" w:ascii="Arial" w:hAnsi="Arial" w:eastAsia="宋体" w:cs="Arial"/>
                <w:color w:val="auto"/>
                <w:highlight w:val="none"/>
              </w:rPr>
              <w:t>可逆性</w:t>
            </w:r>
          </w:p>
        </w:tc>
        <w:tc>
          <w:tcPr>
            <w:tcW w:w="1286"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Arial" w:hAnsi="Arial" w:eastAsia="宋体" w:cs="Arial"/>
                <w:color w:val="auto"/>
                <w:highlight w:val="none"/>
              </w:rPr>
            </w:pPr>
            <w:r>
              <w:rPr>
                <w:rFonts w:hint="default" w:ascii="Arial" w:hAnsi="Arial" w:eastAsia="宋体" w:cs="Arial"/>
                <w:color w:val="auto"/>
                <w:highlight w:val="none"/>
              </w:rPr>
              <w:t>范围</w:t>
            </w:r>
          </w:p>
        </w:tc>
        <w:tc>
          <w:tcPr>
            <w:tcW w:w="774" w:type="dxa"/>
          </w:tcPr>
          <w:p>
            <w:pPr>
              <w:pStyle w:val="63"/>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Arial" w:hAnsi="Arial" w:eastAsia="宋体" w:cs="Arial"/>
                <w:color w:val="auto"/>
                <w:highlight w:val="none"/>
              </w:rPr>
            </w:pPr>
            <w:r>
              <w:rPr>
                <w:rFonts w:hint="default" w:ascii="Arial" w:hAnsi="Arial" w:eastAsia="宋体" w:cs="Arial"/>
                <w:color w:val="auto"/>
                <w:highlight w:val="none"/>
              </w:rPr>
              <w:t>时限</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031" w:type="dxa"/>
            <w:vMerge w:val="restart"/>
            <w:vAlign w:val="center"/>
          </w:tcPr>
          <w:p>
            <w:pPr>
              <w:pStyle w:val="63"/>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Arial" w:hAnsi="Arial" w:eastAsia="宋体" w:cs="Arial"/>
                <w:color w:val="auto"/>
                <w:highlight w:val="none"/>
              </w:rPr>
            </w:pPr>
            <w:r>
              <w:rPr>
                <w:rFonts w:hint="default" w:ascii="Arial" w:hAnsi="Arial" w:eastAsia="宋体" w:cs="Arial"/>
                <w:color w:val="auto"/>
                <w:highlight w:val="none"/>
              </w:rPr>
              <w:t>营运期</w:t>
            </w:r>
          </w:p>
        </w:tc>
        <w:tc>
          <w:tcPr>
            <w:tcW w:w="1287"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Arial" w:hAnsi="Arial" w:eastAsia="宋体" w:cs="Arial"/>
                <w:color w:val="auto"/>
                <w:highlight w:val="none"/>
              </w:rPr>
            </w:pPr>
            <w:r>
              <w:rPr>
                <w:rFonts w:hint="default" w:ascii="Arial" w:hAnsi="Arial" w:eastAsia="宋体" w:cs="Arial"/>
                <w:color w:val="auto"/>
                <w:highlight w:val="none"/>
              </w:rPr>
              <w:t>环境空气</w:t>
            </w:r>
          </w:p>
        </w:tc>
        <w:tc>
          <w:tcPr>
            <w:tcW w:w="1286"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Arial" w:hAnsi="Arial" w:eastAsia="宋体" w:cs="Arial"/>
                <w:color w:val="auto"/>
                <w:highlight w:val="none"/>
              </w:rPr>
            </w:pPr>
            <w:r>
              <w:rPr>
                <w:rFonts w:hint="default" w:ascii="Arial" w:hAnsi="Arial" w:eastAsia="宋体" w:cs="Arial"/>
                <w:color w:val="auto"/>
                <w:highlight w:val="none"/>
              </w:rPr>
              <w:t>明显</w:t>
            </w:r>
          </w:p>
        </w:tc>
        <w:tc>
          <w:tcPr>
            <w:tcW w:w="2053"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Arial" w:hAnsi="Arial" w:eastAsia="宋体" w:cs="Arial"/>
                <w:color w:val="auto"/>
                <w:highlight w:val="none"/>
              </w:rPr>
            </w:pPr>
            <w:r>
              <w:rPr>
                <w:rFonts w:hint="default" w:ascii="Arial" w:hAnsi="Arial" w:eastAsia="宋体" w:cs="Arial"/>
                <w:color w:val="auto"/>
                <w:highlight w:val="none"/>
              </w:rPr>
              <w:t>有后续影响</w:t>
            </w:r>
          </w:p>
        </w:tc>
        <w:tc>
          <w:tcPr>
            <w:tcW w:w="1286"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Arial" w:hAnsi="Arial" w:eastAsia="宋体" w:cs="Arial"/>
                <w:color w:val="auto"/>
                <w:highlight w:val="none"/>
              </w:rPr>
            </w:pPr>
            <w:r>
              <w:rPr>
                <w:rFonts w:hint="default" w:ascii="Arial" w:hAnsi="Arial" w:eastAsia="宋体" w:cs="Arial"/>
                <w:color w:val="auto"/>
                <w:highlight w:val="none"/>
              </w:rPr>
              <w:t>基本可逆</w:t>
            </w:r>
          </w:p>
        </w:tc>
        <w:tc>
          <w:tcPr>
            <w:tcW w:w="1286"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Arial" w:hAnsi="Arial" w:eastAsia="宋体" w:cs="Arial"/>
                <w:color w:val="auto"/>
                <w:highlight w:val="none"/>
              </w:rPr>
            </w:pPr>
            <w:r>
              <w:rPr>
                <w:rFonts w:hint="default" w:ascii="Arial" w:hAnsi="Arial" w:eastAsia="宋体" w:cs="Arial"/>
                <w:color w:val="auto"/>
                <w:highlight w:val="none"/>
              </w:rPr>
              <w:t>局部</w:t>
            </w:r>
          </w:p>
        </w:tc>
        <w:tc>
          <w:tcPr>
            <w:tcW w:w="774"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Arial" w:hAnsi="Arial" w:eastAsia="宋体" w:cs="Arial"/>
                <w:color w:val="auto"/>
                <w:highlight w:val="none"/>
              </w:rPr>
            </w:pPr>
            <w:r>
              <w:rPr>
                <w:rFonts w:hint="default" w:ascii="Arial" w:hAnsi="Arial" w:eastAsia="宋体" w:cs="Arial"/>
                <w:color w:val="auto"/>
                <w:highlight w:val="none"/>
              </w:rPr>
              <w:t>长期</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031" w:type="dxa"/>
            <w:vMerge w:val="continue"/>
            <w:vAlign w:val="center"/>
          </w:tcPr>
          <w:p>
            <w:pPr>
              <w:pStyle w:val="63"/>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Arial" w:hAnsi="Arial" w:eastAsia="宋体" w:cs="Arial"/>
                <w:color w:val="auto"/>
                <w:highlight w:val="none"/>
              </w:rPr>
            </w:pPr>
          </w:p>
        </w:tc>
        <w:tc>
          <w:tcPr>
            <w:tcW w:w="1287"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Arial" w:hAnsi="Arial" w:eastAsia="宋体" w:cs="Arial"/>
                <w:color w:val="auto"/>
                <w:highlight w:val="none"/>
              </w:rPr>
            </w:pPr>
            <w:r>
              <w:rPr>
                <w:rFonts w:hint="default" w:ascii="Arial" w:hAnsi="Arial" w:eastAsia="宋体" w:cs="Arial"/>
                <w:color w:val="auto"/>
                <w:highlight w:val="none"/>
              </w:rPr>
              <w:t>水环境</w:t>
            </w:r>
          </w:p>
        </w:tc>
        <w:tc>
          <w:tcPr>
            <w:tcW w:w="1286"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Arial" w:hAnsi="Arial" w:eastAsia="宋体" w:cs="Arial"/>
                <w:color w:val="auto"/>
                <w:highlight w:val="none"/>
              </w:rPr>
            </w:pPr>
            <w:r>
              <w:rPr>
                <w:rFonts w:hint="default" w:ascii="Arial" w:hAnsi="Arial" w:eastAsia="宋体" w:cs="Arial"/>
                <w:color w:val="auto"/>
                <w:highlight w:val="none"/>
              </w:rPr>
              <w:t>不明显</w:t>
            </w:r>
          </w:p>
        </w:tc>
        <w:tc>
          <w:tcPr>
            <w:tcW w:w="2053"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Arial" w:hAnsi="Arial" w:eastAsia="宋体" w:cs="Arial"/>
                <w:color w:val="auto"/>
                <w:highlight w:val="none"/>
              </w:rPr>
            </w:pPr>
            <w:r>
              <w:rPr>
                <w:rFonts w:hint="default" w:ascii="Arial" w:hAnsi="Arial" w:eastAsia="宋体" w:cs="Arial"/>
                <w:color w:val="auto"/>
                <w:highlight w:val="none"/>
              </w:rPr>
              <w:t>有后续影响</w:t>
            </w:r>
          </w:p>
        </w:tc>
        <w:tc>
          <w:tcPr>
            <w:tcW w:w="1286"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Arial" w:hAnsi="Arial" w:eastAsia="宋体" w:cs="Arial"/>
                <w:color w:val="auto"/>
                <w:highlight w:val="none"/>
              </w:rPr>
            </w:pPr>
            <w:r>
              <w:rPr>
                <w:rFonts w:hint="default" w:ascii="Arial" w:hAnsi="Arial" w:eastAsia="宋体" w:cs="Arial"/>
                <w:color w:val="auto"/>
                <w:highlight w:val="none"/>
              </w:rPr>
              <w:t>基本可逆</w:t>
            </w:r>
          </w:p>
        </w:tc>
        <w:tc>
          <w:tcPr>
            <w:tcW w:w="1286"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Arial" w:hAnsi="Arial" w:eastAsia="宋体" w:cs="Arial"/>
                <w:color w:val="auto"/>
                <w:highlight w:val="none"/>
              </w:rPr>
            </w:pPr>
            <w:r>
              <w:rPr>
                <w:rFonts w:hint="default" w:ascii="Arial" w:hAnsi="Arial" w:eastAsia="宋体" w:cs="Arial"/>
                <w:color w:val="auto"/>
                <w:highlight w:val="none"/>
              </w:rPr>
              <w:t>局部</w:t>
            </w:r>
          </w:p>
        </w:tc>
        <w:tc>
          <w:tcPr>
            <w:tcW w:w="774"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Arial" w:hAnsi="Arial" w:eastAsia="宋体" w:cs="Arial"/>
                <w:color w:val="auto"/>
                <w:highlight w:val="none"/>
              </w:rPr>
            </w:pPr>
            <w:r>
              <w:rPr>
                <w:rFonts w:hint="default" w:ascii="Arial" w:hAnsi="Arial" w:eastAsia="宋体" w:cs="Arial"/>
                <w:color w:val="auto"/>
                <w:highlight w:val="none"/>
              </w:rPr>
              <w:t>长期</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031" w:type="dxa"/>
            <w:vMerge w:val="continue"/>
            <w:vAlign w:val="center"/>
          </w:tcPr>
          <w:p>
            <w:pPr>
              <w:pStyle w:val="63"/>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Arial" w:hAnsi="Arial" w:eastAsia="宋体" w:cs="Arial"/>
                <w:color w:val="auto"/>
                <w:highlight w:val="none"/>
              </w:rPr>
            </w:pPr>
          </w:p>
        </w:tc>
        <w:tc>
          <w:tcPr>
            <w:tcW w:w="1287"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Arial" w:hAnsi="Arial" w:eastAsia="宋体" w:cs="Arial"/>
                <w:color w:val="auto"/>
                <w:highlight w:val="none"/>
              </w:rPr>
            </w:pPr>
            <w:r>
              <w:rPr>
                <w:rFonts w:hint="default" w:ascii="Arial" w:hAnsi="Arial" w:eastAsia="宋体" w:cs="Arial"/>
                <w:color w:val="auto"/>
                <w:highlight w:val="none"/>
              </w:rPr>
              <w:t>土壤环境</w:t>
            </w:r>
          </w:p>
        </w:tc>
        <w:tc>
          <w:tcPr>
            <w:tcW w:w="1286"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Arial" w:hAnsi="Arial" w:eastAsia="宋体" w:cs="Arial"/>
                <w:color w:val="auto"/>
                <w:highlight w:val="none"/>
              </w:rPr>
            </w:pPr>
            <w:r>
              <w:rPr>
                <w:rFonts w:hint="default" w:ascii="Arial" w:hAnsi="Arial" w:eastAsia="宋体" w:cs="Arial"/>
                <w:color w:val="auto"/>
                <w:highlight w:val="none"/>
              </w:rPr>
              <w:t>不明显</w:t>
            </w:r>
          </w:p>
        </w:tc>
        <w:tc>
          <w:tcPr>
            <w:tcW w:w="2053"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Arial" w:hAnsi="Arial" w:eastAsia="宋体" w:cs="Arial"/>
                <w:color w:val="auto"/>
                <w:highlight w:val="none"/>
              </w:rPr>
            </w:pPr>
            <w:r>
              <w:rPr>
                <w:rFonts w:hint="default" w:ascii="Arial" w:hAnsi="Arial" w:eastAsia="宋体" w:cs="Arial"/>
                <w:color w:val="auto"/>
                <w:highlight w:val="none"/>
              </w:rPr>
              <w:t>有后续影响</w:t>
            </w:r>
          </w:p>
        </w:tc>
        <w:tc>
          <w:tcPr>
            <w:tcW w:w="1286"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Arial" w:hAnsi="Arial" w:eastAsia="宋体" w:cs="Arial"/>
                <w:color w:val="auto"/>
                <w:highlight w:val="none"/>
              </w:rPr>
            </w:pPr>
            <w:r>
              <w:rPr>
                <w:rFonts w:hint="default" w:ascii="Arial" w:hAnsi="Arial" w:eastAsia="宋体" w:cs="Arial"/>
                <w:color w:val="auto"/>
                <w:highlight w:val="none"/>
              </w:rPr>
              <w:t>基本可逆</w:t>
            </w:r>
          </w:p>
        </w:tc>
        <w:tc>
          <w:tcPr>
            <w:tcW w:w="1286"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Arial" w:hAnsi="Arial" w:eastAsia="宋体" w:cs="Arial"/>
                <w:color w:val="auto"/>
                <w:highlight w:val="none"/>
              </w:rPr>
            </w:pPr>
            <w:r>
              <w:rPr>
                <w:rFonts w:hint="default" w:ascii="Arial" w:hAnsi="Arial" w:eastAsia="宋体" w:cs="Arial"/>
                <w:color w:val="auto"/>
                <w:highlight w:val="none"/>
              </w:rPr>
              <w:t>局部</w:t>
            </w:r>
          </w:p>
        </w:tc>
        <w:tc>
          <w:tcPr>
            <w:tcW w:w="774"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Arial" w:hAnsi="Arial" w:eastAsia="宋体" w:cs="Arial"/>
                <w:color w:val="auto"/>
                <w:highlight w:val="none"/>
              </w:rPr>
            </w:pPr>
            <w:r>
              <w:rPr>
                <w:rFonts w:hint="default" w:ascii="Arial" w:hAnsi="Arial" w:eastAsia="宋体" w:cs="Arial"/>
                <w:color w:val="auto"/>
                <w:highlight w:val="none"/>
              </w:rPr>
              <w:t>长期</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031" w:type="dxa"/>
            <w:vMerge w:val="continue"/>
            <w:vAlign w:val="center"/>
          </w:tcPr>
          <w:p>
            <w:pPr>
              <w:pStyle w:val="63"/>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Arial" w:hAnsi="Arial" w:eastAsia="宋体" w:cs="Arial"/>
                <w:color w:val="auto"/>
                <w:highlight w:val="none"/>
              </w:rPr>
            </w:pPr>
          </w:p>
        </w:tc>
        <w:tc>
          <w:tcPr>
            <w:tcW w:w="1287"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Arial" w:hAnsi="Arial" w:eastAsia="宋体" w:cs="Arial"/>
                <w:color w:val="auto"/>
                <w:highlight w:val="none"/>
              </w:rPr>
            </w:pPr>
            <w:r>
              <w:rPr>
                <w:rFonts w:hint="default" w:ascii="Arial" w:hAnsi="Arial" w:eastAsia="宋体" w:cs="Arial"/>
                <w:color w:val="auto"/>
                <w:highlight w:val="none"/>
              </w:rPr>
              <w:t>声环境</w:t>
            </w:r>
          </w:p>
        </w:tc>
        <w:tc>
          <w:tcPr>
            <w:tcW w:w="1286"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Arial" w:hAnsi="Arial" w:eastAsia="宋体" w:cs="Arial"/>
                <w:color w:val="auto"/>
                <w:highlight w:val="none"/>
              </w:rPr>
            </w:pPr>
            <w:r>
              <w:rPr>
                <w:rFonts w:hint="default" w:ascii="Arial" w:hAnsi="Arial" w:eastAsia="宋体" w:cs="Arial"/>
                <w:color w:val="auto"/>
                <w:highlight w:val="none"/>
              </w:rPr>
              <w:t>较明显</w:t>
            </w:r>
          </w:p>
        </w:tc>
        <w:tc>
          <w:tcPr>
            <w:tcW w:w="2053"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Arial" w:hAnsi="Arial" w:eastAsia="宋体" w:cs="Arial"/>
                <w:color w:val="auto"/>
                <w:highlight w:val="none"/>
              </w:rPr>
            </w:pPr>
            <w:r>
              <w:rPr>
                <w:rFonts w:hint="default" w:ascii="Arial" w:hAnsi="Arial" w:eastAsia="宋体" w:cs="Arial"/>
                <w:color w:val="auto"/>
                <w:highlight w:val="none"/>
              </w:rPr>
              <w:t>与声源同时存在</w:t>
            </w:r>
          </w:p>
        </w:tc>
        <w:tc>
          <w:tcPr>
            <w:tcW w:w="1286"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Arial" w:hAnsi="Arial" w:eastAsia="宋体" w:cs="Arial"/>
                <w:color w:val="auto"/>
                <w:highlight w:val="none"/>
              </w:rPr>
            </w:pPr>
            <w:r>
              <w:rPr>
                <w:rFonts w:hint="default" w:ascii="Arial" w:hAnsi="Arial" w:eastAsia="宋体" w:cs="Arial"/>
                <w:color w:val="auto"/>
                <w:highlight w:val="none"/>
              </w:rPr>
              <w:t>可逆</w:t>
            </w:r>
          </w:p>
        </w:tc>
        <w:tc>
          <w:tcPr>
            <w:tcW w:w="1286"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Arial" w:hAnsi="Arial" w:eastAsia="宋体" w:cs="Arial"/>
                <w:color w:val="auto"/>
                <w:highlight w:val="none"/>
              </w:rPr>
            </w:pPr>
            <w:r>
              <w:rPr>
                <w:rFonts w:hint="default" w:ascii="Arial" w:hAnsi="Arial" w:eastAsia="宋体" w:cs="Arial"/>
                <w:color w:val="auto"/>
                <w:highlight w:val="none"/>
              </w:rPr>
              <w:t>局部</w:t>
            </w:r>
          </w:p>
        </w:tc>
        <w:tc>
          <w:tcPr>
            <w:tcW w:w="774"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Arial" w:hAnsi="Arial" w:eastAsia="宋体" w:cs="Arial"/>
                <w:color w:val="auto"/>
                <w:highlight w:val="none"/>
              </w:rPr>
            </w:pPr>
            <w:r>
              <w:rPr>
                <w:rFonts w:hint="default" w:ascii="Arial" w:hAnsi="Arial" w:eastAsia="宋体" w:cs="Arial"/>
                <w:color w:val="auto"/>
                <w:highlight w:val="none"/>
              </w:rPr>
              <w:t>长期</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031" w:type="dxa"/>
            <w:vMerge w:val="continue"/>
            <w:vAlign w:val="center"/>
          </w:tcPr>
          <w:p>
            <w:pPr>
              <w:pStyle w:val="63"/>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Arial" w:hAnsi="Arial" w:eastAsia="宋体" w:cs="Arial"/>
                <w:color w:val="auto"/>
                <w:highlight w:val="none"/>
              </w:rPr>
            </w:pPr>
          </w:p>
        </w:tc>
        <w:tc>
          <w:tcPr>
            <w:tcW w:w="1287"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Arial" w:hAnsi="Arial" w:eastAsia="宋体" w:cs="Arial"/>
                <w:color w:val="auto"/>
                <w:highlight w:val="none"/>
              </w:rPr>
            </w:pPr>
            <w:r>
              <w:rPr>
                <w:rFonts w:hint="default" w:ascii="Arial" w:hAnsi="Arial" w:eastAsia="宋体" w:cs="Arial"/>
                <w:color w:val="auto"/>
                <w:highlight w:val="none"/>
              </w:rPr>
              <w:t>固废</w:t>
            </w:r>
          </w:p>
        </w:tc>
        <w:tc>
          <w:tcPr>
            <w:tcW w:w="1286"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Arial" w:hAnsi="Arial" w:eastAsia="宋体" w:cs="Arial"/>
                <w:color w:val="auto"/>
                <w:highlight w:val="none"/>
              </w:rPr>
            </w:pPr>
            <w:r>
              <w:rPr>
                <w:rFonts w:hint="default" w:ascii="Arial" w:hAnsi="Arial" w:eastAsia="宋体" w:cs="Arial"/>
                <w:color w:val="auto"/>
                <w:highlight w:val="none"/>
              </w:rPr>
              <w:t>不明显</w:t>
            </w:r>
          </w:p>
        </w:tc>
        <w:tc>
          <w:tcPr>
            <w:tcW w:w="2053"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Arial" w:hAnsi="Arial" w:eastAsia="宋体" w:cs="Arial"/>
                <w:color w:val="auto"/>
                <w:highlight w:val="none"/>
              </w:rPr>
            </w:pPr>
            <w:r>
              <w:rPr>
                <w:rFonts w:hint="default" w:ascii="Arial" w:hAnsi="Arial" w:eastAsia="宋体" w:cs="Arial"/>
                <w:color w:val="auto"/>
                <w:highlight w:val="none"/>
              </w:rPr>
              <w:t>/</w:t>
            </w:r>
          </w:p>
        </w:tc>
        <w:tc>
          <w:tcPr>
            <w:tcW w:w="1286"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Arial" w:hAnsi="Arial" w:eastAsia="宋体" w:cs="Arial"/>
                <w:color w:val="auto"/>
                <w:highlight w:val="none"/>
              </w:rPr>
            </w:pPr>
            <w:r>
              <w:rPr>
                <w:rFonts w:hint="default" w:ascii="Arial" w:hAnsi="Arial" w:eastAsia="宋体" w:cs="Arial"/>
                <w:color w:val="auto"/>
                <w:highlight w:val="none"/>
              </w:rPr>
              <w:t>基本可逆</w:t>
            </w:r>
          </w:p>
        </w:tc>
        <w:tc>
          <w:tcPr>
            <w:tcW w:w="1286"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Arial" w:hAnsi="Arial" w:eastAsia="宋体" w:cs="Arial"/>
                <w:color w:val="auto"/>
                <w:highlight w:val="none"/>
              </w:rPr>
            </w:pPr>
            <w:r>
              <w:rPr>
                <w:rFonts w:hint="default" w:ascii="Arial" w:hAnsi="Arial" w:eastAsia="宋体" w:cs="Arial"/>
                <w:color w:val="auto"/>
                <w:highlight w:val="none"/>
              </w:rPr>
              <w:t>局部</w:t>
            </w:r>
          </w:p>
        </w:tc>
        <w:tc>
          <w:tcPr>
            <w:tcW w:w="774"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Arial" w:hAnsi="Arial" w:eastAsia="宋体" w:cs="Arial"/>
                <w:color w:val="auto"/>
                <w:highlight w:val="none"/>
              </w:rPr>
            </w:pPr>
            <w:r>
              <w:rPr>
                <w:rFonts w:hint="default" w:ascii="Arial" w:hAnsi="Arial" w:eastAsia="宋体" w:cs="Arial"/>
                <w:color w:val="auto"/>
                <w:highlight w:val="none"/>
              </w:rPr>
              <w:t>短期</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031" w:type="dxa"/>
            <w:vMerge w:val="continue"/>
            <w:vAlign w:val="center"/>
          </w:tcPr>
          <w:p>
            <w:pPr>
              <w:pStyle w:val="63"/>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Arial" w:hAnsi="Arial" w:eastAsia="宋体" w:cs="Arial"/>
                <w:color w:val="auto"/>
                <w:highlight w:val="none"/>
              </w:rPr>
            </w:pPr>
          </w:p>
        </w:tc>
        <w:tc>
          <w:tcPr>
            <w:tcW w:w="1287"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Arial" w:hAnsi="Arial" w:eastAsia="宋体" w:cs="Arial"/>
                <w:color w:val="auto"/>
                <w:highlight w:val="none"/>
              </w:rPr>
            </w:pPr>
            <w:r>
              <w:rPr>
                <w:rFonts w:hint="default" w:ascii="Arial" w:hAnsi="Arial" w:eastAsia="宋体" w:cs="Arial"/>
                <w:color w:val="auto"/>
                <w:highlight w:val="none"/>
              </w:rPr>
              <w:t>环境风险</w:t>
            </w:r>
          </w:p>
        </w:tc>
        <w:tc>
          <w:tcPr>
            <w:tcW w:w="1286"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Arial" w:hAnsi="Arial" w:eastAsia="宋体" w:cs="Arial"/>
                <w:color w:val="auto"/>
                <w:highlight w:val="none"/>
              </w:rPr>
            </w:pPr>
            <w:r>
              <w:rPr>
                <w:rFonts w:hint="default" w:ascii="Arial" w:hAnsi="Arial" w:eastAsia="宋体" w:cs="Arial"/>
                <w:color w:val="auto"/>
                <w:highlight w:val="none"/>
              </w:rPr>
              <w:t>不明显</w:t>
            </w:r>
          </w:p>
        </w:tc>
        <w:tc>
          <w:tcPr>
            <w:tcW w:w="2053"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Arial" w:hAnsi="Arial" w:eastAsia="宋体" w:cs="Arial"/>
                <w:color w:val="auto"/>
                <w:highlight w:val="none"/>
              </w:rPr>
            </w:pPr>
            <w:r>
              <w:rPr>
                <w:rFonts w:hint="default" w:ascii="Arial" w:hAnsi="Arial" w:eastAsia="宋体" w:cs="Arial"/>
                <w:color w:val="auto"/>
                <w:highlight w:val="none"/>
              </w:rPr>
              <w:t>有后续影响</w:t>
            </w:r>
          </w:p>
        </w:tc>
        <w:tc>
          <w:tcPr>
            <w:tcW w:w="1286"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Arial" w:hAnsi="Arial" w:eastAsia="宋体" w:cs="Arial"/>
                <w:color w:val="auto"/>
                <w:highlight w:val="none"/>
              </w:rPr>
            </w:pPr>
            <w:r>
              <w:rPr>
                <w:rFonts w:hint="default" w:ascii="Arial" w:hAnsi="Arial" w:eastAsia="宋体" w:cs="Arial"/>
                <w:color w:val="auto"/>
                <w:highlight w:val="none"/>
              </w:rPr>
              <w:t>基本可逆</w:t>
            </w:r>
          </w:p>
        </w:tc>
        <w:tc>
          <w:tcPr>
            <w:tcW w:w="1286"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Arial" w:hAnsi="Arial" w:eastAsia="宋体" w:cs="Arial"/>
                <w:color w:val="auto"/>
                <w:highlight w:val="none"/>
              </w:rPr>
            </w:pPr>
            <w:r>
              <w:rPr>
                <w:rFonts w:hint="default" w:ascii="Arial" w:hAnsi="Arial" w:eastAsia="宋体" w:cs="Arial"/>
                <w:color w:val="auto"/>
                <w:highlight w:val="none"/>
              </w:rPr>
              <w:t>局部</w:t>
            </w:r>
          </w:p>
        </w:tc>
        <w:tc>
          <w:tcPr>
            <w:tcW w:w="774"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Arial" w:hAnsi="Arial" w:eastAsia="宋体" w:cs="Arial"/>
                <w:color w:val="auto"/>
                <w:highlight w:val="none"/>
              </w:rPr>
            </w:pPr>
            <w:r>
              <w:rPr>
                <w:rFonts w:hint="default" w:ascii="Arial" w:hAnsi="Arial" w:eastAsia="宋体" w:cs="Arial"/>
                <w:color w:val="auto"/>
                <w:highlight w:val="none"/>
              </w:rPr>
              <w:t>短期</w:t>
            </w:r>
          </w:p>
        </w:tc>
      </w:tr>
    </w:tbl>
    <w:p>
      <w:pPr>
        <w:pStyle w:val="6"/>
        <w:pageBreakBefore w:val="0"/>
        <w:widowControl w:val="0"/>
        <w:kinsoku/>
        <w:wordWrap/>
        <w:overflowPunct/>
        <w:topLinePunct/>
        <w:autoSpaceDE w:val="0"/>
        <w:autoSpaceDN/>
        <w:bidi w:val="0"/>
        <w:adjustRightInd/>
        <w:snapToGrid/>
        <w:textAlignment w:val="auto"/>
        <w:rPr>
          <w:rStyle w:val="50"/>
          <w:rFonts w:hint="default" w:ascii="Arial" w:hAnsi="Arial" w:eastAsia="宋体" w:cs="Arial"/>
          <w:b/>
          <w:bCs/>
          <w:color w:val="auto"/>
          <w:highlight w:val="none"/>
        </w:rPr>
      </w:pPr>
      <w:bookmarkStart w:id="90" w:name="_Toc280"/>
      <w:r>
        <w:rPr>
          <w:rStyle w:val="50"/>
          <w:rFonts w:hint="default" w:ascii="Arial" w:hAnsi="Arial" w:eastAsia="宋体" w:cs="Arial"/>
          <w:b/>
          <w:bCs/>
          <w:color w:val="auto"/>
          <w:highlight w:val="none"/>
        </w:rPr>
        <w:t>2.3.2环境影响评价因子识别</w:t>
      </w:r>
      <w:bookmarkEnd w:id="90"/>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szCs w:val="24"/>
          <w:highlight w:val="none"/>
        </w:rPr>
      </w:pPr>
      <w:r>
        <w:rPr>
          <w:rFonts w:hint="default" w:ascii="Arial" w:hAnsi="Arial" w:eastAsia="宋体" w:cs="Arial"/>
          <w:color w:val="auto"/>
          <w:highlight w:val="none"/>
        </w:rPr>
        <w:t>根据项目建设内容，主要环境问题为恶臭污染防治问题。工程建设对环境的影响要素及因子见表2.3-3。</w:t>
      </w:r>
    </w:p>
    <w:p>
      <w:pPr>
        <w:pStyle w:val="8"/>
        <w:pageBreakBefore w:val="0"/>
        <w:widowControl w:val="0"/>
        <w:kinsoku/>
        <w:wordWrap/>
        <w:overflowPunct/>
        <w:topLinePunct/>
        <w:autoSpaceDE w:val="0"/>
        <w:autoSpaceDN/>
        <w:bidi w:val="0"/>
        <w:adjustRightInd/>
        <w:snapToGrid/>
        <w:textAlignment w:val="auto"/>
        <w:rPr>
          <w:rFonts w:hint="default" w:ascii="Arial" w:hAnsi="Arial" w:eastAsia="宋体" w:cs="Arial"/>
          <w:color w:val="auto"/>
          <w:highlight w:val="none"/>
        </w:rPr>
      </w:pPr>
      <w:r>
        <w:rPr>
          <w:rFonts w:hint="default" w:ascii="Arial" w:hAnsi="Arial" w:eastAsia="宋体" w:cs="Arial"/>
          <w:color w:val="auto"/>
          <w:highlight w:val="none"/>
        </w:rPr>
        <w:t>表2.3-3    环境要素及污染因子分析</w:t>
      </w:r>
    </w:p>
    <w:tbl>
      <w:tblPr>
        <w:tblStyle w:val="39"/>
        <w:tblW w:w="9003" w:type="dxa"/>
        <w:tblInd w:w="0" w:type="dxa"/>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2200"/>
        <w:gridCol w:w="3470"/>
        <w:gridCol w:w="3333"/>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2200" w:type="dxa"/>
            <w:tcBorders>
              <w:tl2br w:val="single" w:color="auto" w:sz="6" w:space="0"/>
            </w:tcBorders>
            <w:vAlign w:val="center"/>
          </w:tcPr>
          <w:p>
            <w:pPr>
              <w:pStyle w:val="63"/>
              <w:keepNext w:val="0"/>
              <w:keepLines w:val="0"/>
              <w:pageBreakBefore w:val="0"/>
              <w:widowControl w:val="0"/>
              <w:kinsoku/>
              <w:wordWrap/>
              <w:overflowPunct/>
              <w:topLinePunct/>
              <w:autoSpaceDE w:val="0"/>
              <w:autoSpaceDN/>
              <w:bidi w:val="0"/>
              <w:adjustRightInd/>
              <w:snapToGrid/>
              <w:spacing w:line="360" w:lineRule="exact"/>
              <w:jc w:val="right"/>
              <w:textAlignment w:val="center"/>
              <w:rPr>
                <w:rFonts w:hint="default" w:ascii="Arial" w:hAnsi="Arial" w:eastAsia="宋体" w:cs="Arial"/>
                <w:color w:val="auto"/>
                <w:highlight w:val="none"/>
              </w:rPr>
            </w:pPr>
            <w:r>
              <w:rPr>
                <w:rFonts w:hint="default" w:ascii="Arial" w:hAnsi="Arial" w:eastAsia="宋体" w:cs="Arial"/>
                <w:color w:val="auto"/>
                <w:highlight w:val="none"/>
              </w:rPr>
              <w:t>主要产生环节</w:t>
            </w:r>
          </w:p>
          <w:p>
            <w:pPr>
              <w:pStyle w:val="63"/>
              <w:keepNext w:val="0"/>
              <w:keepLines w:val="0"/>
              <w:pageBreakBefore w:val="0"/>
              <w:widowControl w:val="0"/>
              <w:kinsoku/>
              <w:wordWrap/>
              <w:overflowPunct/>
              <w:topLinePunct/>
              <w:autoSpaceDE w:val="0"/>
              <w:autoSpaceDN/>
              <w:bidi w:val="0"/>
              <w:adjustRightInd/>
              <w:snapToGrid/>
              <w:spacing w:line="360" w:lineRule="exact"/>
              <w:jc w:val="left"/>
              <w:textAlignment w:val="center"/>
              <w:rPr>
                <w:rFonts w:hint="default" w:ascii="Arial" w:hAnsi="Arial" w:eastAsia="宋体" w:cs="Arial"/>
                <w:color w:val="auto"/>
                <w:highlight w:val="none"/>
              </w:rPr>
            </w:pPr>
            <w:r>
              <w:rPr>
                <w:rFonts w:hint="default" w:ascii="Arial" w:hAnsi="Arial" w:eastAsia="宋体" w:cs="Arial"/>
                <w:color w:val="auto"/>
                <w:highlight w:val="none"/>
              </w:rPr>
              <w:t>环境要素</w:t>
            </w:r>
          </w:p>
        </w:tc>
        <w:tc>
          <w:tcPr>
            <w:tcW w:w="3470"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Arial" w:hAnsi="Arial" w:eastAsia="宋体" w:cs="Arial"/>
                <w:color w:val="auto"/>
                <w:highlight w:val="none"/>
              </w:rPr>
            </w:pPr>
            <w:r>
              <w:rPr>
                <w:rFonts w:hint="default" w:ascii="Arial" w:hAnsi="Arial" w:eastAsia="宋体" w:cs="Arial"/>
                <w:color w:val="auto"/>
                <w:highlight w:val="none"/>
              </w:rPr>
              <w:t>畜禽养殖</w:t>
            </w:r>
          </w:p>
        </w:tc>
        <w:tc>
          <w:tcPr>
            <w:tcW w:w="3333"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Arial" w:hAnsi="Arial" w:eastAsia="宋体" w:cs="Arial"/>
                <w:color w:val="auto"/>
                <w:highlight w:val="none"/>
              </w:rPr>
            </w:pPr>
            <w:r>
              <w:rPr>
                <w:rFonts w:hint="default" w:ascii="Arial" w:hAnsi="Arial" w:eastAsia="宋体" w:cs="Arial"/>
                <w:color w:val="auto"/>
                <w:highlight w:val="none"/>
              </w:rPr>
              <w:t>办公、生活</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2200"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Arial" w:hAnsi="Arial" w:eastAsia="宋体" w:cs="Arial"/>
                <w:color w:val="auto"/>
                <w:highlight w:val="none"/>
              </w:rPr>
            </w:pPr>
            <w:r>
              <w:rPr>
                <w:rFonts w:hint="default" w:ascii="Arial" w:hAnsi="Arial" w:eastAsia="宋体" w:cs="Arial"/>
                <w:color w:val="auto"/>
                <w:highlight w:val="none"/>
              </w:rPr>
              <w:t>大气</w:t>
            </w:r>
          </w:p>
        </w:tc>
        <w:tc>
          <w:tcPr>
            <w:tcW w:w="3470"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Arial" w:hAnsi="Arial" w:eastAsia="宋体" w:cs="Arial"/>
                <w:color w:val="auto"/>
                <w:highlight w:val="none"/>
              </w:rPr>
            </w:pPr>
            <w:r>
              <w:rPr>
                <w:rFonts w:hint="default" w:ascii="Arial" w:hAnsi="Arial" w:eastAsia="宋体" w:cs="Arial"/>
                <w:color w:val="auto"/>
                <w:highlight w:val="none"/>
              </w:rPr>
              <w:t>NH</w:t>
            </w:r>
            <w:r>
              <w:rPr>
                <w:rFonts w:hint="default" w:ascii="Arial" w:hAnsi="Arial" w:eastAsia="宋体" w:cs="Arial"/>
                <w:color w:val="auto"/>
                <w:highlight w:val="none"/>
                <w:vertAlign w:val="subscript"/>
              </w:rPr>
              <w:t>3</w:t>
            </w:r>
            <w:r>
              <w:rPr>
                <w:rFonts w:hint="default" w:ascii="Arial" w:hAnsi="Arial" w:eastAsia="宋体" w:cs="Arial"/>
                <w:color w:val="auto"/>
                <w:highlight w:val="none"/>
              </w:rPr>
              <w:t>、H</w:t>
            </w:r>
            <w:r>
              <w:rPr>
                <w:rFonts w:hint="default" w:ascii="Arial" w:hAnsi="Arial" w:eastAsia="宋体" w:cs="Arial"/>
                <w:color w:val="auto"/>
                <w:highlight w:val="none"/>
                <w:vertAlign w:val="subscript"/>
              </w:rPr>
              <w:t>2</w:t>
            </w:r>
            <w:r>
              <w:rPr>
                <w:rFonts w:hint="default" w:ascii="Arial" w:hAnsi="Arial" w:eastAsia="宋体" w:cs="Arial"/>
                <w:color w:val="auto"/>
                <w:highlight w:val="none"/>
              </w:rPr>
              <w:t>S、臭气浓度、颗粒物</w:t>
            </w:r>
          </w:p>
        </w:tc>
        <w:tc>
          <w:tcPr>
            <w:tcW w:w="3333"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Arial" w:hAnsi="Arial" w:eastAsia="宋体" w:cs="Arial"/>
                <w:color w:val="auto"/>
                <w:highlight w:val="none"/>
              </w:rPr>
            </w:pPr>
            <w:r>
              <w:rPr>
                <w:rFonts w:hint="default" w:ascii="Arial" w:hAnsi="Arial" w:eastAsia="宋体" w:cs="Arial"/>
                <w:color w:val="auto"/>
                <w:highlight w:val="none"/>
              </w:rPr>
              <w:t>/</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2200"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Arial" w:hAnsi="Arial" w:eastAsia="宋体" w:cs="Arial"/>
                <w:color w:val="auto"/>
                <w:highlight w:val="none"/>
              </w:rPr>
            </w:pPr>
            <w:r>
              <w:rPr>
                <w:rFonts w:hint="default" w:ascii="Arial" w:hAnsi="Arial" w:eastAsia="宋体" w:cs="Arial"/>
                <w:color w:val="auto"/>
                <w:highlight w:val="none"/>
              </w:rPr>
              <w:t>水环境</w:t>
            </w:r>
          </w:p>
        </w:tc>
        <w:tc>
          <w:tcPr>
            <w:tcW w:w="3470"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Arial" w:hAnsi="Arial" w:eastAsia="宋体" w:cs="Arial"/>
                <w:color w:val="auto"/>
                <w:highlight w:val="none"/>
              </w:rPr>
            </w:pPr>
            <w:r>
              <w:rPr>
                <w:rFonts w:hint="default" w:ascii="Arial" w:hAnsi="Arial" w:eastAsia="宋体" w:cs="Arial"/>
                <w:color w:val="auto"/>
                <w:highlight w:val="none"/>
              </w:rPr>
              <w:t>COD、BOD</w:t>
            </w:r>
            <w:r>
              <w:rPr>
                <w:rFonts w:hint="default" w:ascii="Arial" w:hAnsi="Arial" w:eastAsia="宋体" w:cs="Arial"/>
                <w:color w:val="auto"/>
                <w:highlight w:val="none"/>
                <w:vertAlign w:val="subscript"/>
              </w:rPr>
              <w:t>5</w:t>
            </w:r>
            <w:r>
              <w:rPr>
                <w:rFonts w:hint="default" w:ascii="Arial" w:hAnsi="Arial" w:eastAsia="宋体" w:cs="Arial"/>
                <w:color w:val="auto"/>
                <w:highlight w:val="none"/>
              </w:rPr>
              <w:t>、氨氮、SS</w:t>
            </w:r>
          </w:p>
        </w:tc>
        <w:tc>
          <w:tcPr>
            <w:tcW w:w="3333"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Arial" w:hAnsi="Arial" w:eastAsia="宋体" w:cs="Arial"/>
                <w:color w:val="auto"/>
                <w:highlight w:val="none"/>
              </w:rPr>
            </w:pPr>
            <w:r>
              <w:rPr>
                <w:rFonts w:hint="default" w:ascii="Arial" w:hAnsi="Arial" w:eastAsia="宋体" w:cs="Arial"/>
                <w:color w:val="auto"/>
                <w:highlight w:val="none"/>
              </w:rPr>
              <w:t>/</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2200"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Arial" w:hAnsi="Arial" w:eastAsia="宋体" w:cs="Arial"/>
                <w:color w:val="auto"/>
                <w:highlight w:val="none"/>
              </w:rPr>
            </w:pPr>
            <w:r>
              <w:rPr>
                <w:rFonts w:hint="default" w:ascii="Arial" w:hAnsi="Arial" w:eastAsia="宋体" w:cs="Arial"/>
                <w:color w:val="auto"/>
                <w:highlight w:val="none"/>
              </w:rPr>
              <w:t>土壤环境</w:t>
            </w:r>
          </w:p>
        </w:tc>
        <w:tc>
          <w:tcPr>
            <w:tcW w:w="3470"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Arial" w:hAnsi="Arial" w:eastAsia="宋体" w:cs="Arial"/>
                <w:color w:val="auto"/>
                <w:highlight w:val="none"/>
              </w:rPr>
            </w:pPr>
            <w:r>
              <w:rPr>
                <w:rFonts w:hint="default" w:ascii="Arial" w:hAnsi="Arial" w:eastAsia="宋体" w:cs="Arial"/>
                <w:color w:val="auto"/>
                <w:highlight w:val="none"/>
              </w:rPr>
              <w:t>COD、氨氮</w:t>
            </w:r>
          </w:p>
        </w:tc>
        <w:tc>
          <w:tcPr>
            <w:tcW w:w="3333"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Arial" w:hAnsi="Arial" w:eastAsia="宋体" w:cs="Arial"/>
                <w:color w:val="auto"/>
                <w:highlight w:val="none"/>
              </w:rPr>
            </w:pPr>
            <w:r>
              <w:rPr>
                <w:rFonts w:hint="default" w:ascii="Arial" w:hAnsi="Arial" w:eastAsia="宋体" w:cs="Arial"/>
                <w:color w:val="auto"/>
                <w:highlight w:val="none"/>
              </w:rPr>
              <w:t>/</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2200"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Arial" w:hAnsi="Arial" w:eastAsia="宋体" w:cs="Arial"/>
                <w:color w:val="auto"/>
                <w:highlight w:val="none"/>
              </w:rPr>
            </w:pPr>
            <w:r>
              <w:rPr>
                <w:rFonts w:hint="default" w:ascii="Arial" w:hAnsi="Arial" w:eastAsia="宋体" w:cs="Arial"/>
                <w:color w:val="auto"/>
                <w:highlight w:val="none"/>
              </w:rPr>
              <w:t>噪声</w:t>
            </w:r>
          </w:p>
        </w:tc>
        <w:tc>
          <w:tcPr>
            <w:tcW w:w="3470"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Arial" w:hAnsi="Arial" w:eastAsia="宋体" w:cs="Arial"/>
                <w:color w:val="auto"/>
                <w:highlight w:val="none"/>
              </w:rPr>
            </w:pPr>
            <w:r>
              <w:rPr>
                <w:rFonts w:hint="default" w:ascii="Arial" w:hAnsi="Arial" w:eastAsia="宋体" w:cs="Arial"/>
                <w:color w:val="auto"/>
                <w:highlight w:val="none"/>
              </w:rPr>
              <w:t>等效连续A声级</w:t>
            </w:r>
          </w:p>
        </w:tc>
        <w:tc>
          <w:tcPr>
            <w:tcW w:w="3333"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Arial" w:hAnsi="Arial" w:eastAsia="宋体" w:cs="Arial"/>
                <w:color w:val="auto"/>
                <w:highlight w:val="none"/>
              </w:rPr>
            </w:pPr>
            <w:r>
              <w:rPr>
                <w:rFonts w:hint="default" w:ascii="Arial" w:hAnsi="Arial" w:eastAsia="宋体" w:cs="Arial"/>
                <w:color w:val="auto"/>
                <w:highlight w:val="none"/>
              </w:rPr>
              <w:t>/</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2200"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Arial" w:hAnsi="Arial" w:eastAsia="宋体" w:cs="Arial"/>
                <w:color w:val="auto"/>
                <w:highlight w:val="none"/>
              </w:rPr>
            </w:pPr>
            <w:r>
              <w:rPr>
                <w:rFonts w:hint="default" w:ascii="Arial" w:hAnsi="Arial" w:eastAsia="宋体" w:cs="Arial"/>
                <w:color w:val="auto"/>
                <w:highlight w:val="none"/>
              </w:rPr>
              <w:t>固体废物</w:t>
            </w:r>
          </w:p>
        </w:tc>
        <w:tc>
          <w:tcPr>
            <w:tcW w:w="3470"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Arial" w:hAnsi="Arial" w:eastAsia="宋体" w:cs="Arial"/>
                <w:color w:val="auto"/>
                <w:highlight w:val="none"/>
              </w:rPr>
            </w:pPr>
            <w:r>
              <w:rPr>
                <w:rFonts w:hint="default" w:ascii="Arial" w:hAnsi="Arial" w:eastAsia="宋体" w:cs="Arial"/>
                <w:color w:val="auto"/>
                <w:highlight w:val="none"/>
              </w:rPr>
              <w:t>一般工业固废、危险废物</w:t>
            </w:r>
          </w:p>
        </w:tc>
        <w:tc>
          <w:tcPr>
            <w:tcW w:w="3333"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Arial" w:hAnsi="Arial" w:eastAsia="宋体" w:cs="Arial"/>
                <w:color w:val="auto"/>
                <w:highlight w:val="none"/>
              </w:rPr>
            </w:pPr>
            <w:r>
              <w:rPr>
                <w:rFonts w:hint="default" w:ascii="Arial" w:hAnsi="Arial" w:eastAsia="宋体" w:cs="Arial"/>
                <w:color w:val="auto"/>
                <w:highlight w:val="none"/>
              </w:rPr>
              <w:t>生活垃圾</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2200"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Arial" w:hAnsi="Arial" w:eastAsia="宋体" w:cs="Arial"/>
                <w:color w:val="auto"/>
                <w:highlight w:val="none"/>
              </w:rPr>
            </w:pPr>
            <w:r>
              <w:rPr>
                <w:rFonts w:hint="default" w:ascii="Arial" w:hAnsi="Arial" w:eastAsia="宋体" w:cs="Arial"/>
                <w:color w:val="auto"/>
                <w:highlight w:val="none"/>
              </w:rPr>
              <w:t>环境风险</w:t>
            </w:r>
          </w:p>
        </w:tc>
        <w:tc>
          <w:tcPr>
            <w:tcW w:w="3470"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Arial" w:hAnsi="Arial" w:eastAsia="宋体" w:cs="Arial"/>
                <w:color w:val="auto"/>
                <w:highlight w:val="none"/>
              </w:rPr>
            </w:pPr>
            <w:r>
              <w:rPr>
                <w:rFonts w:hint="default" w:ascii="Arial" w:hAnsi="Arial" w:eastAsia="宋体" w:cs="Arial"/>
                <w:color w:val="auto"/>
                <w:highlight w:val="none"/>
              </w:rPr>
              <w:t>/</w:t>
            </w:r>
          </w:p>
        </w:tc>
        <w:tc>
          <w:tcPr>
            <w:tcW w:w="3333"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Arial" w:hAnsi="Arial" w:eastAsia="宋体" w:cs="Arial"/>
                <w:color w:val="auto"/>
                <w:highlight w:val="none"/>
              </w:rPr>
            </w:pPr>
            <w:r>
              <w:rPr>
                <w:rFonts w:hint="default" w:ascii="Arial" w:hAnsi="Arial" w:eastAsia="宋体" w:cs="Arial"/>
                <w:color w:val="auto"/>
                <w:highlight w:val="none"/>
              </w:rPr>
              <w:t>/</w:t>
            </w:r>
          </w:p>
        </w:tc>
      </w:tr>
    </w:tbl>
    <w:p>
      <w:pPr>
        <w:pStyle w:val="6"/>
        <w:pageBreakBefore w:val="0"/>
        <w:widowControl w:val="0"/>
        <w:kinsoku/>
        <w:wordWrap/>
        <w:overflowPunct/>
        <w:topLinePunct/>
        <w:autoSpaceDE w:val="0"/>
        <w:autoSpaceDN/>
        <w:bidi w:val="0"/>
        <w:adjustRightInd/>
        <w:snapToGrid/>
        <w:textAlignment w:val="auto"/>
        <w:rPr>
          <w:rFonts w:hint="default" w:ascii="Arial" w:hAnsi="Arial" w:eastAsia="宋体" w:cs="Arial"/>
          <w:color w:val="auto"/>
          <w:highlight w:val="none"/>
        </w:rPr>
      </w:pPr>
      <w:bookmarkStart w:id="91" w:name="_Toc494206272"/>
      <w:bookmarkStart w:id="92" w:name="_Toc512871526"/>
      <w:bookmarkStart w:id="93" w:name="_Toc28144"/>
      <w:r>
        <w:rPr>
          <w:rFonts w:hint="default" w:ascii="Arial" w:hAnsi="Arial" w:eastAsia="宋体" w:cs="Arial"/>
          <w:color w:val="auto"/>
          <w:highlight w:val="none"/>
        </w:rPr>
        <w:t>2.3.3评价因子</w:t>
      </w:r>
      <w:bookmarkEnd w:id="91"/>
      <w:bookmarkEnd w:id="92"/>
      <w:bookmarkEnd w:id="93"/>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bookmarkStart w:id="94" w:name="_Toc138133774"/>
      <w:bookmarkStart w:id="95" w:name="_Toc99522804"/>
      <w:bookmarkStart w:id="96" w:name="_Toc130883552"/>
      <w:bookmarkStart w:id="97" w:name="_Toc99463669"/>
      <w:bookmarkStart w:id="98" w:name="_Toc107198790"/>
      <w:bookmarkStart w:id="99" w:name="_Toc99522956"/>
      <w:bookmarkStart w:id="100" w:name="_Toc99464213"/>
      <w:bookmarkStart w:id="101" w:name="_Toc107017772"/>
      <w:bookmarkStart w:id="102" w:name="_Toc130812435"/>
      <w:bookmarkStart w:id="103" w:name="_Toc99464344"/>
      <w:bookmarkStart w:id="104" w:name="_Toc99525759"/>
      <w:bookmarkStart w:id="105" w:name="_Toc130886257"/>
      <w:bookmarkStart w:id="106" w:name="_Toc107018164"/>
      <w:bookmarkStart w:id="107" w:name="_Toc99462105"/>
      <w:bookmarkStart w:id="108" w:name="_Toc100371799"/>
      <w:bookmarkStart w:id="109" w:name="_Toc99464074"/>
      <w:bookmarkStart w:id="110" w:name="_Toc100387936"/>
      <w:bookmarkStart w:id="111" w:name="_Toc137911603"/>
      <w:bookmarkStart w:id="112" w:name="_Toc99515895"/>
      <w:bookmarkStart w:id="113" w:name="_Toc99521441"/>
      <w:bookmarkStart w:id="114" w:name="_Toc140304616"/>
      <w:bookmarkStart w:id="115" w:name="_Toc107017650"/>
      <w:bookmarkStart w:id="116" w:name="_Toc99528910"/>
      <w:bookmarkStart w:id="117" w:name="_Toc108232570"/>
      <w:bookmarkStart w:id="118" w:name="_Toc107018065"/>
      <w:bookmarkStart w:id="119" w:name="_Toc99463834"/>
      <w:bookmarkStart w:id="120" w:name="_Toc107623018"/>
      <w:bookmarkStart w:id="121" w:name="_Toc107198581"/>
      <w:bookmarkStart w:id="122" w:name="_Toc99521747"/>
      <w:bookmarkStart w:id="123" w:name="_Toc107017967"/>
      <w:bookmarkStart w:id="124" w:name="_Toc99515320"/>
      <w:bookmarkStart w:id="125" w:name="_Toc100021404"/>
      <w:bookmarkStart w:id="126" w:name="_Toc108866877"/>
      <w:bookmarkStart w:id="127" w:name="_Toc99502178"/>
      <w:bookmarkStart w:id="128" w:name="_Toc100136974"/>
      <w:bookmarkStart w:id="129" w:name="_Toc107994824"/>
      <w:r>
        <w:rPr>
          <w:rFonts w:hint="default" w:ascii="Arial" w:hAnsi="Arial" w:eastAsia="宋体" w:cs="Arial"/>
          <w:color w:val="auto"/>
          <w:highlight w:val="none"/>
        </w:rPr>
        <w:t>根据环境影响要素识别结果，结合建设项目工程特征、排污种类、排污去向及周围地区环境质量概况，确定本次评价因子包括现状评价因子、环境影响评价因子，评价因子见表2.3-4。</w:t>
      </w:r>
    </w:p>
    <w:p>
      <w:pPr>
        <w:pStyle w:val="8"/>
        <w:pageBreakBefore w:val="0"/>
        <w:widowControl w:val="0"/>
        <w:kinsoku/>
        <w:wordWrap/>
        <w:overflowPunct/>
        <w:topLinePunct/>
        <w:autoSpaceDE w:val="0"/>
        <w:autoSpaceDN/>
        <w:bidi w:val="0"/>
        <w:adjustRightInd/>
        <w:snapToGrid/>
        <w:textAlignment w:val="auto"/>
        <w:rPr>
          <w:rFonts w:hint="default" w:ascii="Arial" w:hAnsi="Arial" w:eastAsia="宋体" w:cs="Arial"/>
          <w:color w:val="auto"/>
          <w:highlight w:val="none"/>
        </w:rPr>
      </w:pPr>
      <w:r>
        <w:rPr>
          <w:rFonts w:hint="default" w:ascii="Arial" w:hAnsi="Arial" w:eastAsia="宋体" w:cs="Arial"/>
          <w:color w:val="auto"/>
          <w:highlight w:val="none"/>
        </w:rPr>
        <w:t>表2.3-4    评价因子一览表</w:t>
      </w:r>
    </w:p>
    <w:tbl>
      <w:tblPr>
        <w:tblStyle w:val="39"/>
        <w:tblW w:w="9003" w:type="dxa"/>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1016"/>
        <w:gridCol w:w="1197"/>
        <w:gridCol w:w="1197"/>
        <w:gridCol w:w="5593"/>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016"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Arial" w:hAnsi="Arial" w:eastAsia="宋体" w:cs="Arial"/>
                <w:color w:val="auto"/>
                <w:highlight w:val="none"/>
              </w:rPr>
            </w:pPr>
            <w:r>
              <w:rPr>
                <w:rFonts w:hint="default" w:ascii="Arial" w:hAnsi="Arial" w:eastAsia="宋体" w:cs="Arial"/>
                <w:color w:val="auto"/>
                <w:highlight w:val="none"/>
              </w:rPr>
              <w:t>阶段</w:t>
            </w:r>
          </w:p>
        </w:tc>
        <w:tc>
          <w:tcPr>
            <w:tcW w:w="1197"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Arial" w:hAnsi="Arial" w:eastAsia="宋体" w:cs="Arial"/>
                <w:color w:val="auto"/>
                <w:highlight w:val="none"/>
              </w:rPr>
            </w:pPr>
            <w:r>
              <w:rPr>
                <w:rFonts w:hint="default" w:ascii="Arial" w:hAnsi="Arial" w:eastAsia="宋体" w:cs="Arial"/>
                <w:color w:val="auto"/>
                <w:highlight w:val="none"/>
              </w:rPr>
              <w:t>环境要素</w:t>
            </w:r>
          </w:p>
        </w:tc>
        <w:tc>
          <w:tcPr>
            <w:tcW w:w="1197"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Arial" w:hAnsi="Arial" w:eastAsia="宋体" w:cs="Arial"/>
                <w:color w:val="auto"/>
                <w:highlight w:val="none"/>
              </w:rPr>
            </w:pPr>
            <w:r>
              <w:rPr>
                <w:rFonts w:hint="default" w:ascii="Arial" w:hAnsi="Arial" w:eastAsia="宋体" w:cs="Arial"/>
                <w:color w:val="auto"/>
                <w:highlight w:val="none"/>
              </w:rPr>
              <w:t>评价类别</w:t>
            </w:r>
          </w:p>
        </w:tc>
        <w:tc>
          <w:tcPr>
            <w:tcW w:w="5593"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Arial" w:hAnsi="Arial" w:eastAsia="宋体" w:cs="Arial"/>
                <w:color w:val="auto"/>
                <w:highlight w:val="none"/>
              </w:rPr>
            </w:pPr>
            <w:r>
              <w:rPr>
                <w:rFonts w:hint="default" w:ascii="Arial" w:hAnsi="Arial" w:eastAsia="宋体" w:cs="Arial"/>
                <w:color w:val="auto"/>
                <w:highlight w:val="none"/>
              </w:rPr>
              <w:t>评价因子</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016" w:type="dxa"/>
            <w:vMerge w:val="restart"/>
            <w:vAlign w:val="center"/>
          </w:tcPr>
          <w:p>
            <w:pPr>
              <w:pStyle w:val="63"/>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Arial" w:hAnsi="Arial" w:eastAsia="宋体" w:cs="Arial"/>
                <w:color w:val="auto"/>
                <w:highlight w:val="none"/>
              </w:rPr>
            </w:pPr>
            <w:r>
              <w:rPr>
                <w:rFonts w:hint="default" w:ascii="Arial" w:hAnsi="Arial" w:eastAsia="宋体" w:cs="Arial"/>
                <w:color w:val="auto"/>
                <w:highlight w:val="none"/>
              </w:rPr>
              <w:t>施工期</w:t>
            </w:r>
          </w:p>
        </w:tc>
        <w:tc>
          <w:tcPr>
            <w:tcW w:w="1197"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Arial" w:hAnsi="Arial" w:eastAsia="宋体" w:cs="Arial"/>
                <w:color w:val="auto"/>
                <w:highlight w:val="none"/>
              </w:rPr>
            </w:pPr>
            <w:r>
              <w:rPr>
                <w:rFonts w:hint="default" w:ascii="Arial" w:hAnsi="Arial" w:eastAsia="宋体" w:cs="Arial"/>
                <w:color w:val="auto"/>
                <w:highlight w:val="none"/>
              </w:rPr>
              <w:t>大气环境</w:t>
            </w:r>
          </w:p>
        </w:tc>
        <w:tc>
          <w:tcPr>
            <w:tcW w:w="1197" w:type="dxa"/>
            <w:vMerge w:val="restart"/>
            <w:vAlign w:val="center"/>
          </w:tcPr>
          <w:p>
            <w:pPr>
              <w:pStyle w:val="63"/>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Arial" w:hAnsi="Arial" w:eastAsia="宋体" w:cs="Arial"/>
                <w:color w:val="auto"/>
                <w:highlight w:val="none"/>
              </w:rPr>
            </w:pPr>
            <w:r>
              <w:rPr>
                <w:rFonts w:hint="default" w:ascii="Arial" w:hAnsi="Arial" w:eastAsia="宋体" w:cs="Arial"/>
                <w:color w:val="auto"/>
                <w:highlight w:val="none"/>
              </w:rPr>
              <w:t>影响分析</w:t>
            </w:r>
          </w:p>
        </w:tc>
        <w:tc>
          <w:tcPr>
            <w:tcW w:w="5593"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jc w:val="center"/>
              <w:textAlignment w:val="center"/>
              <w:rPr>
                <w:rFonts w:hint="default" w:ascii="Arial" w:hAnsi="Arial" w:eastAsia="宋体" w:cs="Arial"/>
                <w:color w:val="auto"/>
                <w:highlight w:val="none"/>
                <w:lang w:eastAsia="zh-CN"/>
              </w:rPr>
            </w:pPr>
            <w:r>
              <w:rPr>
                <w:rFonts w:hint="default" w:ascii="Arial" w:hAnsi="Arial" w:eastAsia="宋体" w:cs="Arial"/>
                <w:color w:val="auto"/>
                <w:highlight w:val="none"/>
              </w:rPr>
              <w:t>施工扬尘</w:t>
            </w:r>
            <w:r>
              <w:rPr>
                <w:rFonts w:hint="default" w:ascii="Arial" w:hAnsi="Arial" w:eastAsia="宋体" w:cs="Arial"/>
                <w:color w:val="auto"/>
                <w:highlight w:val="none"/>
                <w:lang w:eastAsia="zh-CN"/>
              </w:rPr>
              <w:t>、焊接烟尘、机械废气</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016" w:type="dxa"/>
            <w:vMerge w:val="continue"/>
            <w:vAlign w:val="center"/>
          </w:tcPr>
          <w:p>
            <w:pPr>
              <w:pStyle w:val="63"/>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Arial" w:hAnsi="Arial" w:eastAsia="宋体" w:cs="Arial"/>
                <w:color w:val="auto"/>
                <w:highlight w:val="none"/>
              </w:rPr>
            </w:pPr>
          </w:p>
        </w:tc>
        <w:tc>
          <w:tcPr>
            <w:tcW w:w="1197"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Arial" w:hAnsi="Arial" w:eastAsia="宋体" w:cs="Arial"/>
                <w:color w:val="auto"/>
                <w:highlight w:val="none"/>
              </w:rPr>
            </w:pPr>
            <w:r>
              <w:rPr>
                <w:rFonts w:hint="default" w:ascii="Arial" w:hAnsi="Arial" w:eastAsia="宋体" w:cs="Arial"/>
                <w:color w:val="auto"/>
                <w:highlight w:val="none"/>
              </w:rPr>
              <w:t>声环境</w:t>
            </w:r>
          </w:p>
        </w:tc>
        <w:tc>
          <w:tcPr>
            <w:tcW w:w="1197" w:type="dxa"/>
            <w:vMerge w:val="continue"/>
            <w:vAlign w:val="center"/>
          </w:tcPr>
          <w:p>
            <w:pPr>
              <w:pStyle w:val="63"/>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Arial" w:hAnsi="Arial" w:eastAsia="宋体" w:cs="Arial"/>
                <w:color w:val="auto"/>
                <w:highlight w:val="none"/>
              </w:rPr>
            </w:pPr>
          </w:p>
        </w:tc>
        <w:tc>
          <w:tcPr>
            <w:tcW w:w="5593"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jc w:val="center"/>
              <w:textAlignment w:val="center"/>
              <w:rPr>
                <w:rFonts w:hint="default" w:ascii="Arial" w:hAnsi="Arial" w:eastAsia="宋体" w:cs="Arial"/>
                <w:color w:val="auto"/>
                <w:highlight w:val="none"/>
              </w:rPr>
            </w:pPr>
            <w:r>
              <w:rPr>
                <w:rFonts w:hint="default" w:ascii="Arial" w:hAnsi="Arial" w:eastAsia="宋体" w:cs="Arial"/>
                <w:color w:val="auto"/>
                <w:highlight w:val="none"/>
              </w:rPr>
              <w:t>建筑施工噪声和交通运输噪声</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016" w:type="dxa"/>
            <w:vMerge w:val="continue"/>
            <w:vAlign w:val="center"/>
          </w:tcPr>
          <w:p>
            <w:pPr>
              <w:pStyle w:val="63"/>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Arial" w:hAnsi="Arial" w:eastAsia="宋体" w:cs="Arial"/>
                <w:color w:val="auto"/>
                <w:highlight w:val="none"/>
              </w:rPr>
            </w:pPr>
          </w:p>
        </w:tc>
        <w:tc>
          <w:tcPr>
            <w:tcW w:w="1197"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Arial" w:hAnsi="Arial" w:eastAsia="宋体" w:cs="Arial"/>
                <w:color w:val="auto"/>
                <w:highlight w:val="none"/>
              </w:rPr>
            </w:pPr>
            <w:r>
              <w:rPr>
                <w:rFonts w:hint="default" w:ascii="Arial" w:hAnsi="Arial" w:eastAsia="宋体" w:cs="Arial"/>
                <w:color w:val="auto"/>
                <w:highlight w:val="none"/>
              </w:rPr>
              <w:t>水环境</w:t>
            </w:r>
          </w:p>
        </w:tc>
        <w:tc>
          <w:tcPr>
            <w:tcW w:w="1197" w:type="dxa"/>
            <w:vMerge w:val="continue"/>
            <w:vAlign w:val="center"/>
          </w:tcPr>
          <w:p>
            <w:pPr>
              <w:pStyle w:val="63"/>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Arial" w:hAnsi="Arial" w:eastAsia="宋体" w:cs="Arial"/>
                <w:color w:val="auto"/>
                <w:highlight w:val="none"/>
              </w:rPr>
            </w:pPr>
          </w:p>
        </w:tc>
        <w:tc>
          <w:tcPr>
            <w:tcW w:w="5593"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jc w:val="center"/>
              <w:textAlignment w:val="center"/>
              <w:rPr>
                <w:rFonts w:hint="default" w:ascii="Arial" w:hAnsi="Arial" w:eastAsia="宋体" w:cs="Arial"/>
                <w:color w:val="auto"/>
                <w:highlight w:val="none"/>
                <w:lang w:eastAsia="zh-CN"/>
              </w:rPr>
            </w:pPr>
            <w:r>
              <w:rPr>
                <w:rFonts w:hint="default" w:ascii="Arial" w:hAnsi="Arial" w:eastAsia="宋体" w:cs="Arial"/>
                <w:color w:val="auto"/>
                <w:highlight w:val="none"/>
              </w:rPr>
              <w:t>施工废水、</w:t>
            </w:r>
            <w:r>
              <w:rPr>
                <w:rFonts w:hint="default" w:ascii="Arial" w:hAnsi="Arial" w:eastAsia="宋体" w:cs="Arial"/>
                <w:color w:val="auto"/>
                <w:highlight w:val="none"/>
                <w:lang w:eastAsia="zh-CN"/>
              </w:rPr>
              <w:t>生活污水</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016" w:type="dxa"/>
            <w:vMerge w:val="continue"/>
            <w:vAlign w:val="center"/>
          </w:tcPr>
          <w:p>
            <w:pPr>
              <w:pStyle w:val="63"/>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Arial" w:hAnsi="Arial" w:eastAsia="宋体" w:cs="Arial"/>
                <w:color w:val="auto"/>
                <w:highlight w:val="none"/>
              </w:rPr>
            </w:pPr>
          </w:p>
        </w:tc>
        <w:tc>
          <w:tcPr>
            <w:tcW w:w="1197"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Arial" w:hAnsi="Arial" w:eastAsia="宋体" w:cs="Arial"/>
                <w:color w:val="auto"/>
                <w:highlight w:val="none"/>
              </w:rPr>
            </w:pPr>
            <w:r>
              <w:rPr>
                <w:rFonts w:hint="default" w:ascii="Arial" w:hAnsi="Arial" w:eastAsia="宋体" w:cs="Arial"/>
                <w:color w:val="auto"/>
                <w:highlight w:val="none"/>
              </w:rPr>
              <w:t>固体废物</w:t>
            </w:r>
          </w:p>
        </w:tc>
        <w:tc>
          <w:tcPr>
            <w:tcW w:w="1197" w:type="dxa"/>
            <w:vMerge w:val="continue"/>
            <w:vAlign w:val="center"/>
          </w:tcPr>
          <w:p>
            <w:pPr>
              <w:pStyle w:val="63"/>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Arial" w:hAnsi="Arial" w:eastAsia="宋体" w:cs="Arial"/>
                <w:color w:val="auto"/>
                <w:highlight w:val="none"/>
              </w:rPr>
            </w:pPr>
          </w:p>
        </w:tc>
        <w:tc>
          <w:tcPr>
            <w:tcW w:w="5593"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jc w:val="center"/>
              <w:textAlignment w:val="center"/>
              <w:rPr>
                <w:rFonts w:hint="default" w:ascii="Arial" w:hAnsi="Arial" w:eastAsia="宋体" w:cs="Arial"/>
                <w:color w:val="auto"/>
                <w:highlight w:val="none"/>
              </w:rPr>
            </w:pPr>
            <w:r>
              <w:rPr>
                <w:rFonts w:hint="default" w:ascii="Arial" w:hAnsi="Arial" w:eastAsia="宋体" w:cs="Arial"/>
                <w:color w:val="auto"/>
                <w:highlight w:val="none"/>
              </w:rPr>
              <w:t>建筑垃圾、生活垃圾</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016" w:type="dxa"/>
            <w:vMerge w:val="restart"/>
            <w:vAlign w:val="center"/>
          </w:tcPr>
          <w:p>
            <w:pPr>
              <w:pStyle w:val="63"/>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Arial" w:hAnsi="Arial" w:eastAsia="宋体" w:cs="Arial"/>
                <w:color w:val="auto"/>
                <w:highlight w:val="none"/>
              </w:rPr>
            </w:pPr>
            <w:bookmarkStart w:id="130" w:name="_Toc140304622"/>
            <w:bookmarkStart w:id="131" w:name="_Toc108232574"/>
            <w:bookmarkStart w:id="132" w:name="_Toc107018168"/>
            <w:bookmarkStart w:id="133" w:name="_Toc107017776"/>
            <w:bookmarkStart w:id="134" w:name="_Toc138133780"/>
            <w:bookmarkStart w:id="135" w:name="_Toc108866881"/>
            <w:bookmarkStart w:id="136" w:name="_Toc107198794"/>
            <w:bookmarkStart w:id="137" w:name="_Toc107017654"/>
            <w:bookmarkStart w:id="138" w:name="_Toc107017971"/>
            <w:bookmarkStart w:id="139" w:name="_Toc130883558"/>
            <w:bookmarkStart w:id="140" w:name="_Toc107198585"/>
            <w:bookmarkStart w:id="141" w:name="_Toc130886263"/>
            <w:bookmarkStart w:id="142" w:name="_Toc107018069"/>
            <w:bookmarkStart w:id="143" w:name="_Toc137911609"/>
            <w:bookmarkStart w:id="144" w:name="_Toc107994828"/>
            <w:bookmarkStart w:id="145" w:name="_Toc130812439"/>
            <w:bookmarkStart w:id="146" w:name="_Toc107623022"/>
            <w:r>
              <w:rPr>
                <w:rFonts w:hint="default" w:ascii="Arial" w:hAnsi="Arial" w:eastAsia="宋体" w:cs="Arial"/>
                <w:color w:val="auto"/>
                <w:highlight w:val="none"/>
              </w:rPr>
              <w:t>运营期</w:t>
            </w:r>
          </w:p>
        </w:tc>
        <w:tc>
          <w:tcPr>
            <w:tcW w:w="1197" w:type="dxa"/>
            <w:vMerge w:val="restart"/>
            <w:vAlign w:val="center"/>
          </w:tcPr>
          <w:p>
            <w:pPr>
              <w:pStyle w:val="63"/>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Arial" w:hAnsi="Arial" w:eastAsia="宋体" w:cs="Arial"/>
                <w:color w:val="auto"/>
                <w:highlight w:val="none"/>
              </w:rPr>
            </w:pPr>
            <w:r>
              <w:rPr>
                <w:rFonts w:hint="default" w:ascii="Arial" w:hAnsi="Arial" w:eastAsia="宋体" w:cs="Arial"/>
                <w:color w:val="auto"/>
                <w:highlight w:val="none"/>
              </w:rPr>
              <w:t>大气环境</w:t>
            </w:r>
          </w:p>
        </w:tc>
        <w:tc>
          <w:tcPr>
            <w:tcW w:w="1197"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Arial" w:hAnsi="Arial" w:eastAsia="宋体" w:cs="Arial"/>
                <w:color w:val="auto"/>
                <w:highlight w:val="none"/>
              </w:rPr>
            </w:pPr>
            <w:r>
              <w:rPr>
                <w:rFonts w:hint="default" w:ascii="Arial" w:hAnsi="Arial" w:eastAsia="宋体" w:cs="Arial"/>
                <w:color w:val="auto"/>
                <w:highlight w:val="none"/>
              </w:rPr>
              <w:t>现状评价</w:t>
            </w:r>
          </w:p>
        </w:tc>
        <w:tc>
          <w:tcPr>
            <w:tcW w:w="5593"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jc w:val="center"/>
              <w:textAlignment w:val="center"/>
              <w:rPr>
                <w:rFonts w:hint="default" w:ascii="Arial" w:hAnsi="Arial" w:eastAsia="宋体" w:cs="Arial"/>
                <w:color w:val="auto"/>
                <w:highlight w:val="none"/>
              </w:rPr>
            </w:pPr>
            <w:r>
              <w:rPr>
                <w:rFonts w:hint="default" w:ascii="Arial" w:hAnsi="Arial" w:eastAsia="宋体" w:cs="Arial"/>
                <w:bCs/>
                <w:color w:val="auto"/>
                <w:szCs w:val="24"/>
                <w:highlight w:val="none"/>
              </w:rPr>
              <w:t>基本污染物：NO</w:t>
            </w:r>
            <w:r>
              <w:rPr>
                <w:rFonts w:hint="default" w:ascii="Arial" w:hAnsi="Arial" w:eastAsia="宋体" w:cs="Arial"/>
                <w:bCs/>
                <w:color w:val="auto"/>
                <w:szCs w:val="24"/>
                <w:highlight w:val="none"/>
                <w:vertAlign w:val="subscript"/>
              </w:rPr>
              <w:t>2</w:t>
            </w:r>
            <w:r>
              <w:rPr>
                <w:rFonts w:hint="default" w:ascii="Arial" w:hAnsi="Arial" w:eastAsia="宋体" w:cs="Arial"/>
                <w:bCs/>
                <w:color w:val="auto"/>
                <w:szCs w:val="24"/>
                <w:highlight w:val="none"/>
              </w:rPr>
              <w:t>、SO</w:t>
            </w:r>
            <w:r>
              <w:rPr>
                <w:rFonts w:hint="default" w:ascii="Arial" w:hAnsi="Arial" w:eastAsia="宋体" w:cs="Arial"/>
                <w:bCs/>
                <w:color w:val="auto"/>
                <w:szCs w:val="24"/>
                <w:highlight w:val="none"/>
                <w:vertAlign w:val="subscript"/>
              </w:rPr>
              <w:t>2</w:t>
            </w:r>
            <w:r>
              <w:rPr>
                <w:rFonts w:hint="default" w:ascii="Arial" w:hAnsi="Arial" w:eastAsia="宋体" w:cs="Arial"/>
                <w:color w:val="auto"/>
                <w:highlight w:val="none"/>
              </w:rPr>
              <w:t>、</w:t>
            </w:r>
            <w:r>
              <w:rPr>
                <w:rFonts w:hint="default" w:ascii="Arial" w:hAnsi="Arial" w:eastAsia="宋体" w:cs="Arial"/>
                <w:bCs/>
                <w:color w:val="auto"/>
                <w:szCs w:val="24"/>
                <w:highlight w:val="none"/>
              </w:rPr>
              <w:t>CO</w:t>
            </w:r>
            <w:r>
              <w:rPr>
                <w:rFonts w:hint="default" w:ascii="Arial" w:hAnsi="Arial" w:eastAsia="宋体" w:cs="Arial"/>
                <w:color w:val="auto"/>
                <w:highlight w:val="none"/>
              </w:rPr>
              <w:t>、O</w:t>
            </w:r>
            <w:r>
              <w:rPr>
                <w:rFonts w:hint="default" w:ascii="Arial" w:hAnsi="Arial" w:eastAsia="宋体" w:cs="Arial"/>
                <w:color w:val="auto"/>
                <w:highlight w:val="none"/>
                <w:vertAlign w:val="subscript"/>
              </w:rPr>
              <w:t>3</w:t>
            </w:r>
            <w:r>
              <w:rPr>
                <w:rFonts w:hint="default" w:ascii="Arial" w:hAnsi="Arial" w:eastAsia="宋体" w:cs="Arial"/>
                <w:color w:val="auto"/>
                <w:highlight w:val="none"/>
              </w:rPr>
              <w:t>、</w:t>
            </w:r>
            <w:r>
              <w:rPr>
                <w:rFonts w:hint="default" w:ascii="Arial" w:hAnsi="Arial" w:eastAsia="宋体" w:cs="Arial"/>
                <w:bCs/>
                <w:color w:val="auto"/>
                <w:szCs w:val="24"/>
                <w:highlight w:val="none"/>
              </w:rPr>
              <w:t>PM</w:t>
            </w:r>
            <w:r>
              <w:rPr>
                <w:rFonts w:hint="default" w:ascii="Arial" w:hAnsi="Arial" w:eastAsia="宋体" w:cs="Arial"/>
                <w:bCs/>
                <w:color w:val="auto"/>
                <w:szCs w:val="24"/>
                <w:highlight w:val="none"/>
                <w:vertAlign w:val="subscript"/>
              </w:rPr>
              <w:t>10</w:t>
            </w:r>
            <w:r>
              <w:rPr>
                <w:rFonts w:hint="default" w:ascii="Arial" w:hAnsi="Arial" w:eastAsia="宋体" w:cs="Arial"/>
                <w:bCs/>
                <w:color w:val="auto"/>
                <w:szCs w:val="24"/>
                <w:highlight w:val="none"/>
              </w:rPr>
              <w:t>、</w:t>
            </w:r>
            <w:r>
              <w:rPr>
                <w:rFonts w:hint="default" w:ascii="Arial" w:hAnsi="Arial" w:eastAsia="宋体" w:cs="Arial"/>
                <w:color w:val="auto"/>
                <w:highlight w:val="none"/>
              </w:rPr>
              <w:t>PM</w:t>
            </w:r>
            <w:r>
              <w:rPr>
                <w:rFonts w:hint="default" w:ascii="Arial" w:hAnsi="Arial" w:eastAsia="宋体" w:cs="Arial"/>
                <w:color w:val="auto"/>
                <w:highlight w:val="none"/>
                <w:vertAlign w:val="subscript"/>
              </w:rPr>
              <w:t>2.5</w:t>
            </w:r>
            <w:r>
              <w:rPr>
                <w:rFonts w:hint="default" w:ascii="Arial" w:hAnsi="Arial" w:eastAsia="宋体" w:cs="Arial"/>
                <w:color w:val="auto"/>
                <w:highlight w:val="none"/>
              </w:rPr>
              <w:t>；</w:t>
            </w:r>
          </w:p>
          <w:p>
            <w:pPr>
              <w:pStyle w:val="63"/>
              <w:keepNext w:val="0"/>
              <w:keepLines w:val="0"/>
              <w:pageBreakBefore w:val="0"/>
              <w:widowControl w:val="0"/>
              <w:kinsoku/>
              <w:wordWrap/>
              <w:overflowPunct/>
              <w:topLinePunct/>
              <w:autoSpaceDE w:val="0"/>
              <w:autoSpaceDN/>
              <w:bidi w:val="0"/>
              <w:adjustRightInd/>
              <w:snapToGrid/>
              <w:spacing w:line="360" w:lineRule="exact"/>
              <w:jc w:val="center"/>
              <w:textAlignment w:val="center"/>
              <w:rPr>
                <w:rFonts w:hint="default" w:ascii="Arial" w:hAnsi="Arial" w:eastAsia="宋体" w:cs="Arial"/>
                <w:color w:val="auto"/>
                <w:highlight w:val="none"/>
              </w:rPr>
            </w:pPr>
            <w:r>
              <w:rPr>
                <w:rFonts w:hint="default" w:ascii="Arial" w:hAnsi="Arial" w:eastAsia="宋体" w:cs="Arial"/>
                <w:color w:val="auto"/>
                <w:highlight w:val="none"/>
              </w:rPr>
              <w:t>其他污染物：H</w:t>
            </w:r>
            <w:r>
              <w:rPr>
                <w:rFonts w:hint="default" w:ascii="Arial" w:hAnsi="Arial" w:eastAsia="宋体" w:cs="Arial"/>
                <w:color w:val="auto"/>
                <w:highlight w:val="none"/>
                <w:vertAlign w:val="subscript"/>
              </w:rPr>
              <w:t>2</w:t>
            </w:r>
            <w:r>
              <w:rPr>
                <w:rFonts w:hint="default" w:ascii="Arial" w:hAnsi="Arial" w:eastAsia="宋体" w:cs="Arial"/>
                <w:color w:val="auto"/>
                <w:highlight w:val="none"/>
              </w:rPr>
              <w:t>S、NH</w:t>
            </w:r>
            <w:r>
              <w:rPr>
                <w:rFonts w:hint="default" w:ascii="Arial" w:hAnsi="Arial" w:eastAsia="宋体" w:cs="Arial"/>
                <w:color w:val="auto"/>
                <w:highlight w:val="none"/>
                <w:vertAlign w:val="subscript"/>
              </w:rPr>
              <w:t>3</w:t>
            </w:r>
            <w:r>
              <w:rPr>
                <w:rFonts w:hint="default" w:ascii="Arial" w:hAnsi="Arial" w:eastAsia="宋体" w:cs="Arial"/>
                <w:color w:val="auto"/>
                <w:highlight w:val="none"/>
              </w:rPr>
              <w:t>、</w:t>
            </w:r>
            <w:r>
              <w:rPr>
                <w:rFonts w:hint="default" w:ascii="Arial" w:hAnsi="Arial" w:eastAsia="宋体" w:cs="Arial"/>
                <w:bCs/>
                <w:color w:val="auto"/>
                <w:szCs w:val="24"/>
                <w:highlight w:val="none"/>
              </w:rPr>
              <w:t>TSP</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016" w:type="dxa"/>
            <w:vMerge w:val="continue"/>
          </w:tcPr>
          <w:p>
            <w:pPr>
              <w:pStyle w:val="63"/>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Arial" w:hAnsi="Arial" w:eastAsia="宋体" w:cs="Arial"/>
                <w:color w:val="auto"/>
                <w:highlight w:val="none"/>
              </w:rPr>
            </w:pPr>
          </w:p>
        </w:tc>
        <w:tc>
          <w:tcPr>
            <w:tcW w:w="1197" w:type="dxa"/>
            <w:vMerge w:val="continue"/>
            <w:vAlign w:val="center"/>
          </w:tcPr>
          <w:p>
            <w:pPr>
              <w:pStyle w:val="63"/>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Arial" w:hAnsi="Arial" w:eastAsia="宋体" w:cs="Arial"/>
                <w:color w:val="auto"/>
                <w:highlight w:val="none"/>
              </w:rPr>
            </w:pPr>
          </w:p>
        </w:tc>
        <w:tc>
          <w:tcPr>
            <w:tcW w:w="1197"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Arial" w:hAnsi="Arial" w:eastAsia="宋体" w:cs="Arial"/>
                <w:color w:val="auto"/>
                <w:highlight w:val="none"/>
              </w:rPr>
            </w:pPr>
            <w:r>
              <w:rPr>
                <w:rFonts w:hint="default" w:ascii="Arial" w:hAnsi="Arial" w:eastAsia="宋体" w:cs="Arial"/>
                <w:color w:val="auto"/>
                <w:highlight w:val="none"/>
              </w:rPr>
              <w:t>影响评价</w:t>
            </w:r>
          </w:p>
        </w:tc>
        <w:tc>
          <w:tcPr>
            <w:tcW w:w="5593"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jc w:val="center"/>
              <w:textAlignment w:val="center"/>
              <w:rPr>
                <w:rFonts w:hint="default" w:ascii="Arial" w:hAnsi="Arial" w:eastAsia="宋体" w:cs="Arial"/>
                <w:color w:val="auto"/>
                <w:highlight w:val="none"/>
              </w:rPr>
            </w:pPr>
            <w:r>
              <w:rPr>
                <w:rFonts w:hint="default" w:ascii="Arial" w:hAnsi="Arial" w:eastAsia="宋体" w:cs="Arial"/>
                <w:color w:val="auto"/>
                <w:highlight w:val="none"/>
              </w:rPr>
              <w:t>H</w:t>
            </w:r>
            <w:r>
              <w:rPr>
                <w:rFonts w:hint="default" w:ascii="Arial" w:hAnsi="Arial" w:eastAsia="宋体" w:cs="Arial"/>
                <w:color w:val="auto"/>
                <w:highlight w:val="none"/>
                <w:vertAlign w:val="subscript"/>
              </w:rPr>
              <w:t>2</w:t>
            </w:r>
            <w:r>
              <w:rPr>
                <w:rFonts w:hint="default" w:ascii="Arial" w:hAnsi="Arial" w:eastAsia="宋体" w:cs="Arial"/>
                <w:color w:val="auto"/>
                <w:highlight w:val="none"/>
              </w:rPr>
              <w:t>S、NH</w:t>
            </w:r>
            <w:r>
              <w:rPr>
                <w:rFonts w:hint="default" w:ascii="Arial" w:hAnsi="Arial" w:eastAsia="宋体" w:cs="Arial"/>
                <w:color w:val="auto"/>
                <w:highlight w:val="none"/>
                <w:vertAlign w:val="subscript"/>
              </w:rPr>
              <w:t>3</w:t>
            </w:r>
            <w:r>
              <w:rPr>
                <w:rFonts w:hint="default" w:ascii="Arial" w:hAnsi="Arial" w:eastAsia="宋体" w:cs="Arial"/>
                <w:color w:val="auto"/>
                <w:highlight w:val="none"/>
              </w:rPr>
              <w:t>、</w:t>
            </w:r>
            <w:r>
              <w:rPr>
                <w:rFonts w:hint="default" w:ascii="Arial" w:hAnsi="Arial" w:eastAsia="宋体" w:cs="Arial"/>
                <w:bCs/>
                <w:color w:val="auto"/>
                <w:szCs w:val="24"/>
                <w:highlight w:val="none"/>
              </w:rPr>
              <w:t>TSP</w:t>
            </w:r>
            <w:r>
              <w:rPr>
                <w:rFonts w:hint="default" w:ascii="Arial" w:hAnsi="Arial" w:eastAsia="宋体" w:cs="Arial"/>
                <w:bCs/>
                <w:color w:val="auto"/>
                <w:szCs w:val="24"/>
                <w:highlight w:val="none"/>
                <w:lang w:eastAsia="zh-CN"/>
              </w:rPr>
              <w:t>、臭气浓度</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016" w:type="dxa"/>
            <w:vMerge w:val="continue"/>
          </w:tcPr>
          <w:p>
            <w:pPr>
              <w:pStyle w:val="63"/>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Arial" w:hAnsi="Arial" w:eastAsia="宋体" w:cs="Arial"/>
                <w:color w:val="auto"/>
                <w:highlight w:val="none"/>
              </w:rPr>
            </w:pPr>
          </w:p>
        </w:tc>
        <w:tc>
          <w:tcPr>
            <w:tcW w:w="1197" w:type="dxa"/>
            <w:vMerge w:val="restart"/>
            <w:vAlign w:val="center"/>
          </w:tcPr>
          <w:p>
            <w:pPr>
              <w:pStyle w:val="63"/>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Arial" w:hAnsi="Arial" w:eastAsia="宋体" w:cs="Arial"/>
                <w:color w:val="auto"/>
                <w:highlight w:val="none"/>
              </w:rPr>
            </w:pPr>
            <w:r>
              <w:rPr>
                <w:rFonts w:hint="default" w:ascii="Arial" w:hAnsi="Arial" w:eastAsia="宋体" w:cs="Arial"/>
                <w:color w:val="auto"/>
                <w:highlight w:val="none"/>
              </w:rPr>
              <w:t>地下水环境</w:t>
            </w:r>
          </w:p>
        </w:tc>
        <w:tc>
          <w:tcPr>
            <w:tcW w:w="1197"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Arial" w:hAnsi="Arial" w:eastAsia="宋体" w:cs="Arial"/>
                <w:color w:val="auto"/>
                <w:highlight w:val="none"/>
              </w:rPr>
            </w:pPr>
            <w:r>
              <w:rPr>
                <w:rFonts w:hint="default" w:ascii="Arial" w:hAnsi="Arial" w:eastAsia="宋体" w:cs="Arial"/>
                <w:color w:val="auto"/>
                <w:highlight w:val="none"/>
              </w:rPr>
              <w:t>现状评价</w:t>
            </w:r>
          </w:p>
        </w:tc>
        <w:tc>
          <w:tcPr>
            <w:tcW w:w="5593"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highlight w:val="none"/>
              </w:rPr>
              <w:t>pH、总硬度、溶解性总固体、氨氮、六价铬、亚硝酸盐、硝酸盐、氟化物、耗氧量、挥发性酚类、氰化物</w:t>
            </w:r>
            <w:r>
              <w:rPr>
                <w:rFonts w:hint="default" w:ascii="Arial" w:hAnsi="Arial" w:eastAsia="宋体" w:cs="Arial"/>
                <w:color w:val="auto"/>
                <w:highlight w:val="none"/>
                <w:lang w:eastAsia="zh-CN"/>
              </w:rPr>
              <w:t>、</w:t>
            </w:r>
            <w:r>
              <w:rPr>
                <w:rFonts w:hint="default" w:ascii="Arial" w:hAnsi="Arial" w:eastAsia="宋体" w:cs="Arial"/>
                <w:color w:val="auto"/>
                <w:highlight w:val="none"/>
              </w:rPr>
              <w:t>铅、镉、铁、锰、砷、汞、氯化物、硫酸盐、总大肠菌群、</w:t>
            </w:r>
            <w:r>
              <w:rPr>
                <w:rFonts w:hint="default" w:ascii="Arial" w:hAnsi="Arial" w:eastAsia="宋体" w:cs="Arial"/>
                <w:color w:val="auto"/>
                <w:highlight w:val="none"/>
                <w:lang w:eastAsia="zh-CN"/>
              </w:rPr>
              <w:t>菌落总数、碳酸盐、重碳酸盐、色度、肉眼可见物、浑浊度、臭、硫化物、铜、锌、</w:t>
            </w:r>
            <w:r>
              <w:rPr>
                <w:rFonts w:hint="default" w:ascii="Arial" w:hAnsi="Arial" w:eastAsia="宋体" w:cs="Arial"/>
                <w:color w:val="auto"/>
                <w:sz w:val="21"/>
                <w:szCs w:val="21"/>
                <w:lang w:val="en-US" w:eastAsia="zh-CN"/>
              </w:rPr>
              <w:t>阴离子表面活性剂</w:t>
            </w:r>
            <w:r>
              <w:rPr>
                <w:rFonts w:hint="default" w:ascii="Arial" w:hAnsi="Arial" w:eastAsia="宋体" w:cs="Arial"/>
                <w:color w:val="auto"/>
                <w:highlight w:val="none"/>
                <w:lang w:eastAsia="zh-CN"/>
              </w:rPr>
              <w:t>、</w:t>
            </w:r>
            <w:r>
              <w:rPr>
                <w:rFonts w:hint="default" w:ascii="Arial" w:hAnsi="Arial" w:eastAsia="宋体" w:cs="Arial"/>
                <w:color w:val="auto"/>
                <w:sz w:val="21"/>
                <w:szCs w:val="21"/>
                <w:lang w:val="en-US" w:eastAsia="zh-CN"/>
              </w:rPr>
              <w:t>苯</w:t>
            </w:r>
            <w:r>
              <w:rPr>
                <w:rFonts w:hint="default" w:ascii="Arial" w:hAnsi="Arial" w:eastAsia="宋体" w:cs="Arial"/>
                <w:color w:val="auto"/>
                <w:highlight w:val="none"/>
                <w:lang w:eastAsia="zh-CN"/>
              </w:rPr>
              <w:t>、</w:t>
            </w:r>
            <w:r>
              <w:rPr>
                <w:rFonts w:hint="default" w:ascii="Arial" w:hAnsi="Arial" w:eastAsia="宋体" w:cs="Arial"/>
                <w:color w:val="auto"/>
                <w:sz w:val="21"/>
                <w:szCs w:val="21"/>
                <w:lang w:val="en-US" w:eastAsia="zh-CN"/>
              </w:rPr>
              <w:t>甲苯</w:t>
            </w:r>
            <w:r>
              <w:rPr>
                <w:rFonts w:hint="default" w:ascii="Arial" w:hAnsi="Arial" w:eastAsia="宋体" w:cs="Arial"/>
                <w:color w:val="auto"/>
                <w:highlight w:val="none"/>
                <w:lang w:eastAsia="zh-CN"/>
              </w:rPr>
              <w:t>、</w:t>
            </w:r>
            <w:r>
              <w:rPr>
                <w:rFonts w:hint="default" w:ascii="Arial" w:hAnsi="Arial" w:eastAsia="宋体" w:cs="Arial"/>
                <w:color w:val="auto"/>
                <w:sz w:val="21"/>
                <w:szCs w:val="21"/>
                <w:lang w:val="en-US" w:eastAsia="zh-CN"/>
              </w:rPr>
              <w:t>硒、</w:t>
            </w:r>
            <w:r>
              <w:rPr>
                <w:rFonts w:hint="default" w:ascii="Arial" w:hAnsi="Arial" w:eastAsia="宋体" w:cs="Arial"/>
                <w:color w:val="auto"/>
                <w:sz w:val="21"/>
                <w:szCs w:val="21"/>
                <w:highlight w:val="none"/>
                <w:lang w:val="en-US" w:eastAsia="zh-CN"/>
              </w:rPr>
              <w:t>铝</w:t>
            </w:r>
            <w:r>
              <w:rPr>
                <w:rFonts w:hint="default" w:ascii="Arial" w:hAnsi="Arial" w:eastAsia="宋体" w:cs="Arial"/>
                <w:color w:val="auto"/>
                <w:highlight w:val="none"/>
                <w:lang w:eastAsia="zh-CN"/>
              </w:rPr>
              <w:t>、钠、</w:t>
            </w:r>
            <w:r>
              <w:rPr>
                <w:rFonts w:hint="default" w:ascii="Arial" w:hAnsi="Arial" w:eastAsia="宋体" w:cs="Arial"/>
                <w:color w:val="auto"/>
                <w:sz w:val="21"/>
                <w:szCs w:val="21"/>
                <w:highlight w:val="none"/>
                <w:lang w:val="en-US" w:eastAsia="zh-CN"/>
              </w:rPr>
              <w:t>碘化物、三氯甲烷、四氯化碳 、</w:t>
            </w:r>
            <w:r>
              <w:rPr>
                <w:rFonts w:hint="default" w:ascii="Arial" w:hAnsi="Arial" w:eastAsia="宋体" w:cs="Arial"/>
                <w:color w:val="auto"/>
                <w:sz w:val="21"/>
                <w:szCs w:val="21"/>
              </w:rPr>
              <w:t>K</w:t>
            </w:r>
            <w:r>
              <w:rPr>
                <w:rFonts w:hint="default" w:ascii="Arial" w:hAnsi="Arial" w:eastAsia="宋体" w:cs="Arial"/>
                <w:color w:val="auto"/>
                <w:sz w:val="21"/>
                <w:szCs w:val="21"/>
                <w:vertAlign w:val="superscript"/>
              </w:rPr>
              <w:t>+</w:t>
            </w:r>
            <w:r>
              <w:rPr>
                <w:rFonts w:hint="default" w:ascii="Arial" w:hAnsi="Arial" w:eastAsia="宋体" w:cs="Arial"/>
                <w:color w:val="auto"/>
                <w:sz w:val="21"/>
                <w:szCs w:val="21"/>
                <w:lang w:val="en-US" w:eastAsia="zh-CN"/>
              </w:rPr>
              <w:t xml:space="preserve"> </w:t>
            </w:r>
            <w:r>
              <w:rPr>
                <w:rFonts w:hint="default" w:ascii="Arial" w:hAnsi="Arial" w:eastAsia="宋体" w:cs="Arial"/>
                <w:color w:val="auto"/>
                <w:highlight w:val="none"/>
                <w:lang w:eastAsia="zh-CN"/>
              </w:rPr>
              <w:t>、</w:t>
            </w:r>
            <w:r>
              <w:rPr>
                <w:rFonts w:hint="default" w:ascii="Arial" w:hAnsi="Arial" w:eastAsia="宋体" w:cs="Arial"/>
                <w:color w:val="auto"/>
                <w:sz w:val="21"/>
                <w:szCs w:val="21"/>
              </w:rPr>
              <w:t>Na</w:t>
            </w:r>
            <w:r>
              <w:rPr>
                <w:rFonts w:hint="default" w:ascii="Arial" w:hAnsi="Arial" w:eastAsia="宋体" w:cs="Arial"/>
                <w:color w:val="auto"/>
                <w:sz w:val="21"/>
                <w:szCs w:val="21"/>
                <w:vertAlign w:val="superscript"/>
              </w:rPr>
              <w:t>+</w:t>
            </w:r>
            <w:r>
              <w:rPr>
                <w:rFonts w:hint="default" w:ascii="Arial" w:hAnsi="Arial" w:eastAsia="宋体" w:cs="Arial"/>
                <w:color w:val="auto"/>
                <w:highlight w:val="none"/>
                <w:lang w:eastAsia="zh-CN"/>
              </w:rPr>
              <w:t>、</w:t>
            </w:r>
            <w:r>
              <w:rPr>
                <w:rFonts w:hint="default" w:ascii="Arial" w:hAnsi="Arial" w:eastAsia="宋体" w:cs="Arial"/>
                <w:color w:val="auto"/>
                <w:sz w:val="21"/>
                <w:szCs w:val="21"/>
              </w:rPr>
              <w:t>Ca</w:t>
            </w:r>
            <w:r>
              <w:rPr>
                <w:rFonts w:hint="default" w:ascii="Arial" w:hAnsi="Arial" w:eastAsia="宋体" w:cs="Arial"/>
                <w:color w:val="auto"/>
                <w:sz w:val="21"/>
                <w:szCs w:val="21"/>
                <w:vertAlign w:val="superscript"/>
              </w:rPr>
              <w:t>2+</w:t>
            </w:r>
            <w:r>
              <w:rPr>
                <w:rFonts w:hint="default" w:ascii="Arial" w:hAnsi="Arial" w:eastAsia="宋体" w:cs="Arial"/>
                <w:color w:val="auto"/>
                <w:highlight w:val="none"/>
                <w:lang w:eastAsia="zh-CN"/>
              </w:rPr>
              <w:t>、</w:t>
            </w:r>
            <w:r>
              <w:rPr>
                <w:rFonts w:hint="default" w:ascii="Arial" w:hAnsi="Arial" w:eastAsia="宋体" w:cs="Arial"/>
                <w:color w:val="auto"/>
                <w:sz w:val="21"/>
                <w:szCs w:val="21"/>
              </w:rPr>
              <w:t>Mg</w:t>
            </w:r>
            <w:r>
              <w:rPr>
                <w:rFonts w:hint="default" w:ascii="Arial" w:hAnsi="Arial" w:eastAsia="宋体" w:cs="Arial"/>
                <w:color w:val="auto"/>
                <w:sz w:val="21"/>
                <w:szCs w:val="21"/>
                <w:vertAlign w:val="superscript"/>
              </w:rPr>
              <w:t>2+</w:t>
            </w:r>
            <w:r>
              <w:rPr>
                <w:rFonts w:hint="default" w:ascii="Arial" w:hAnsi="Arial" w:eastAsia="宋体" w:cs="Arial"/>
                <w:color w:val="auto"/>
                <w:highlight w:val="none"/>
                <w:lang w:eastAsia="zh-CN"/>
              </w:rPr>
              <w:t>、</w:t>
            </w:r>
            <w:r>
              <w:rPr>
                <w:rFonts w:hint="default" w:ascii="Arial" w:hAnsi="Arial" w:eastAsia="宋体" w:cs="Arial"/>
                <w:color w:val="auto"/>
                <w:sz w:val="21"/>
                <w:szCs w:val="21"/>
              </w:rPr>
              <w:t>Cl</w:t>
            </w:r>
            <w:r>
              <w:rPr>
                <w:rFonts w:hint="default" w:ascii="Arial" w:hAnsi="Arial" w:eastAsia="宋体" w:cs="Arial"/>
                <w:color w:val="auto"/>
                <w:sz w:val="21"/>
                <w:szCs w:val="21"/>
                <w:vertAlign w:val="superscript"/>
              </w:rPr>
              <w:t>-</w:t>
            </w:r>
            <w:r>
              <w:rPr>
                <w:rFonts w:hint="default" w:ascii="Arial" w:hAnsi="Arial" w:eastAsia="宋体" w:cs="Arial"/>
                <w:color w:val="auto"/>
                <w:highlight w:val="none"/>
                <w:lang w:eastAsia="zh-CN"/>
              </w:rPr>
              <w:t>、</w:t>
            </w:r>
            <w:r>
              <w:rPr>
                <w:rFonts w:hint="default" w:ascii="Arial" w:hAnsi="Arial" w:eastAsia="宋体" w:cs="Arial"/>
                <w:color w:val="auto"/>
                <w:sz w:val="21"/>
                <w:szCs w:val="21"/>
                <w:lang w:val="en-US"/>
              </w:rPr>
              <w:t>SO</w:t>
            </w:r>
            <w:r>
              <w:rPr>
                <w:rFonts w:hint="default" w:ascii="Arial" w:hAnsi="Arial" w:eastAsia="宋体" w:cs="Arial"/>
                <w:color w:val="auto"/>
                <w:sz w:val="21"/>
                <w:szCs w:val="21"/>
                <w:vertAlign w:val="subscript"/>
                <w:lang w:val="en-US"/>
              </w:rPr>
              <w:t>4</w:t>
            </w:r>
            <w:r>
              <w:rPr>
                <w:rFonts w:hint="default" w:ascii="Arial" w:hAnsi="Arial" w:eastAsia="宋体" w:cs="Arial"/>
                <w:color w:val="auto"/>
                <w:sz w:val="21"/>
                <w:szCs w:val="21"/>
                <w:vertAlign w:val="superscript"/>
                <w:lang w:val="en-US"/>
              </w:rPr>
              <w:t>2-</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016" w:type="dxa"/>
            <w:vMerge w:val="continue"/>
          </w:tcPr>
          <w:p>
            <w:pPr>
              <w:pStyle w:val="63"/>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Arial" w:hAnsi="Arial" w:eastAsia="宋体" w:cs="Arial"/>
                <w:color w:val="auto"/>
                <w:highlight w:val="none"/>
              </w:rPr>
            </w:pPr>
          </w:p>
        </w:tc>
        <w:tc>
          <w:tcPr>
            <w:tcW w:w="1197" w:type="dxa"/>
            <w:vMerge w:val="continue"/>
            <w:vAlign w:val="center"/>
          </w:tcPr>
          <w:p>
            <w:pPr>
              <w:pStyle w:val="63"/>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Arial" w:hAnsi="Arial" w:eastAsia="宋体" w:cs="Arial"/>
                <w:color w:val="auto"/>
                <w:highlight w:val="none"/>
              </w:rPr>
            </w:pPr>
          </w:p>
        </w:tc>
        <w:tc>
          <w:tcPr>
            <w:tcW w:w="1197"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Arial" w:hAnsi="Arial" w:eastAsia="宋体" w:cs="Arial"/>
                <w:color w:val="auto"/>
                <w:highlight w:val="none"/>
              </w:rPr>
            </w:pPr>
            <w:r>
              <w:rPr>
                <w:rFonts w:hint="default" w:ascii="Arial" w:hAnsi="Arial" w:eastAsia="宋体" w:cs="Arial"/>
                <w:color w:val="auto"/>
                <w:highlight w:val="none"/>
              </w:rPr>
              <w:t>预测评价</w:t>
            </w:r>
          </w:p>
        </w:tc>
        <w:tc>
          <w:tcPr>
            <w:tcW w:w="5593"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highlight w:val="none"/>
                <w:lang w:eastAsia="zh-CN"/>
              </w:rPr>
              <w:t>耗氧量</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016" w:type="dxa"/>
            <w:vMerge w:val="continue"/>
          </w:tcPr>
          <w:p>
            <w:pPr>
              <w:pStyle w:val="63"/>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Arial" w:hAnsi="Arial" w:eastAsia="宋体" w:cs="Arial"/>
                <w:color w:val="auto"/>
                <w:highlight w:val="none"/>
              </w:rPr>
            </w:pPr>
          </w:p>
        </w:tc>
        <w:tc>
          <w:tcPr>
            <w:tcW w:w="1197" w:type="dxa"/>
            <w:vMerge w:val="restart"/>
            <w:vAlign w:val="center"/>
          </w:tcPr>
          <w:p>
            <w:pPr>
              <w:pStyle w:val="63"/>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Arial" w:hAnsi="Arial" w:eastAsia="宋体" w:cs="Arial"/>
                <w:color w:val="auto"/>
                <w:highlight w:val="none"/>
              </w:rPr>
            </w:pPr>
            <w:r>
              <w:rPr>
                <w:rFonts w:hint="default" w:ascii="Arial" w:hAnsi="Arial" w:eastAsia="宋体" w:cs="Arial"/>
                <w:color w:val="auto"/>
                <w:highlight w:val="none"/>
              </w:rPr>
              <w:t>土壤环境</w:t>
            </w:r>
          </w:p>
        </w:tc>
        <w:tc>
          <w:tcPr>
            <w:tcW w:w="1197"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Arial" w:hAnsi="Arial" w:eastAsia="宋体" w:cs="Arial"/>
                <w:color w:val="auto"/>
                <w:highlight w:val="none"/>
              </w:rPr>
            </w:pPr>
            <w:r>
              <w:rPr>
                <w:rFonts w:hint="default" w:ascii="Arial" w:hAnsi="Arial" w:eastAsia="宋体" w:cs="Arial"/>
                <w:color w:val="auto"/>
                <w:highlight w:val="none"/>
              </w:rPr>
              <w:t>现状评价</w:t>
            </w:r>
          </w:p>
        </w:tc>
        <w:tc>
          <w:tcPr>
            <w:tcW w:w="5593"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highlight w:val="none"/>
              </w:rPr>
              <w:t>pH、镉、汞、砷</w:t>
            </w:r>
            <w:r>
              <w:rPr>
                <w:rFonts w:hint="default" w:ascii="Arial" w:hAnsi="Arial" w:eastAsia="宋体" w:cs="Arial"/>
                <w:color w:val="auto"/>
                <w:highlight w:val="none"/>
              </w:rPr>
              <w:tab/>
            </w:r>
            <w:r>
              <w:rPr>
                <w:rFonts w:hint="default" w:ascii="Arial" w:hAnsi="Arial" w:eastAsia="宋体" w:cs="Arial"/>
                <w:color w:val="auto"/>
                <w:highlight w:val="none"/>
              </w:rPr>
              <w:t>、铅、铬、铜、镍、锌</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016" w:type="dxa"/>
            <w:vMerge w:val="continue"/>
          </w:tcPr>
          <w:p>
            <w:pPr>
              <w:pStyle w:val="63"/>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Arial" w:hAnsi="Arial" w:eastAsia="宋体" w:cs="Arial"/>
                <w:color w:val="auto"/>
                <w:highlight w:val="none"/>
              </w:rPr>
            </w:pPr>
          </w:p>
        </w:tc>
        <w:tc>
          <w:tcPr>
            <w:tcW w:w="1197" w:type="dxa"/>
            <w:vMerge w:val="continue"/>
            <w:vAlign w:val="center"/>
          </w:tcPr>
          <w:p>
            <w:pPr>
              <w:pStyle w:val="63"/>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Arial" w:hAnsi="Arial" w:eastAsia="宋体" w:cs="Arial"/>
                <w:color w:val="auto"/>
                <w:highlight w:val="none"/>
              </w:rPr>
            </w:pPr>
          </w:p>
        </w:tc>
        <w:tc>
          <w:tcPr>
            <w:tcW w:w="1197"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Arial" w:hAnsi="Arial" w:eastAsia="宋体" w:cs="Arial"/>
                <w:color w:val="auto"/>
                <w:highlight w:val="none"/>
              </w:rPr>
            </w:pPr>
            <w:r>
              <w:rPr>
                <w:rFonts w:hint="default" w:ascii="Arial" w:hAnsi="Arial" w:eastAsia="宋体" w:cs="Arial"/>
                <w:color w:val="auto"/>
                <w:highlight w:val="none"/>
              </w:rPr>
              <w:t>预测因子</w:t>
            </w:r>
          </w:p>
        </w:tc>
        <w:tc>
          <w:tcPr>
            <w:tcW w:w="5593"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highlight w:val="none"/>
                <w:lang w:val="en-US" w:eastAsia="zh-CN"/>
              </w:rPr>
              <w:t>/</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016" w:type="dxa"/>
            <w:vMerge w:val="continue"/>
          </w:tcPr>
          <w:p>
            <w:pPr>
              <w:pStyle w:val="63"/>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Arial" w:hAnsi="Arial" w:eastAsia="宋体" w:cs="Arial"/>
                <w:color w:val="auto"/>
                <w:highlight w:val="none"/>
              </w:rPr>
            </w:pPr>
          </w:p>
        </w:tc>
        <w:tc>
          <w:tcPr>
            <w:tcW w:w="1197" w:type="dxa"/>
            <w:vMerge w:val="restart"/>
            <w:vAlign w:val="center"/>
          </w:tcPr>
          <w:p>
            <w:pPr>
              <w:pStyle w:val="63"/>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Arial" w:hAnsi="Arial" w:eastAsia="宋体" w:cs="Arial"/>
                <w:color w:val="auto"/>
                <w:highlight w:val="none"/>
              </w:rPr>
            </w:pPr>
            <w:r>
              <w:rPr>
                <w:rFonts w:hint="default" w:ascii="Arial" w:hAnsi="Arial" w:eastAsia="宋体" w:cs="Arial"/>
                <w:color w:val="auto"/>
                <w:highlight w:val="none"/>
              </w:rPr>
              <w:t>声环境</w:t>
            </w:r>
          </w:p>
        </w:tc>
        <w:tc>
          <w:tcPr>
            <w:tcW w:w="1197"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Arial" w:hAnsi="Arial" w:eastAsia="宋体" w:cs="Arial"/>
                <w:color w:val="auto"/>
                <w:highlight w:val="none"/>
              </w:rPr>
            </w:pPr>
            <w:r>
              <w:rPr>
                <w:rFonts w:hint="default" w:ascii="Arial" w:hAnsi="Arial" w:eastAsia="宋体" w:cs="Arial"/>
                <w:color w:val="auto"/>
                <w:highlight w:val="none"/>
              </w:rPr>
              <w:t>现状评价</w:t>
            </w:r>
          </w:p>
        </w:tc>
        <w:tc>
          <w:tcPr>
            <w:tcW w:w="5593"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Arial" w:hAnsi="Arial" w:eastAsia="宋体" w:cs="Arial"/>
                <w:color w:val="auto"/>
                <w:highlight w:val="none"/>
              </w:rPr>
            </w:pPr>
            <w:r>
              <w:rPr>
                <w:rFonts w:hint="default" w:ascii="Arial" w:hAnsi="Arial" w:eastAsia="宋体" w:cs="Arial"/>
                <w:color w:val="auto"/>
                <w:highlight w:val="none"/>
              </w:rPr>
              <w:t>等效连续A声级</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016" w:type="dxa"/>
            <w:vMerge w:val="continue"/>
          </w:tcPr>
          <w:p>
            <w:pPr>
              <w:pStyle w:val="63"/>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Arial" w:hAnsi="Arial" w:eastAsia="宋体" w:cs="Arial"/>
                <w:color w:val="auto"/>
                <w:highlight w:val="none"/>
              </w:rPr>
            </w:pPr>
          </w:p>
        </w:tc>
        <w:tc>
          <w:tcPr>
            <w:tcW w:w="1197" w:type="dxa"/>
            <w:vMerge w:val="continue"/>
            <w:vAlign w:val="center"/>
          </w:tcPr>
          <w:p>
            <w:pPr>
              <w:pStyle w:val="63"/>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Arial" w:hAnsi="Arial" w:eastAsia="宋体" w:cs="Arial"/>
                <w:color w:val="auto"/>
                <w:highlight w:val="none"/>
              </w:rPr>
            </w:pPr>
          </w:p>
        </w:tc>
        <w:tc>
          <w:tcPr>
            <w:tcW w:w="1197"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Arial" w:hAnsi="Arial" w:eastAsia="宋体" w:cs="Arial"/>
                <w:color w:val="auto"/>
                <w:highlight w:val="none"/>
              </w:rPr>
            </w:pPr>
            <w:r>
              <w:rPr>
                <w:rFonts w:hint="default" w:ascii="Arial" w:hAnsi="Arial" w:eastAsia="宋体" w:cs="Arial"/>
                <w:color w:val="auto"/>
                <w:highlight w:val="none"/>
              </w:rPr>
              <w:t>影响评价</w:t>
            </w:r>
          </w:p>
        </w:tc>
        <w:tc>
          <w:tcPr>
            <w:tcW w:w="5593"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Arial" w:hAnsi="Arial" w:eastAsia="宋体" w:cs="Arial"/>
                <w:color w:val="auto"/>
                <w:highlight w:val="none"/>
              </w:rPr>
            </w:pPr>
            <w:r>
              <w:rPr>
                <w:rFonts w:hint="default" w:ascii="Arial" w:hAnsi="Arial" w:eastAsia="宋体" w:cs="Arial"/>
                <w:color w:val="auto"/>
                <w:highlight w:val="none"/>
              </w:rPr>
              <w:t>等效连续A声级</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016" w:type="dxa"/>
            <w:vMerge w:val="continue"/>
          </w:tcPr>
          <w:p>
            <w:pPr>
              <w:pStyle w:val="63"/>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Arial" w:hAnsi="Arial" w:eastAsia="宋体" w:cs="Arial"/>
                <w:color w:val="auto"/>
                <w:highlight w:val="none"/>
              </w:rPr>
            </w:pPr>
          </w:p>
        </w:tc>
        <w:tc>
          <w:tcPr>
            <w:tcW w:w="1197" w:type="dxa"/>
            <w:vMerge w:val="restart"/>
            <w:vAlign w:val="center"/>
          </w:tcPr>
          <w:p>
            <w:pPr>
              <w:pStyle w:val="63"/>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Arial" w:hAnsi="Arial" w:eastAsia="宋体" w:cs="Arial"/>
                <w:color w:val="auto"/>
                <w:highlight w:val="none"/>
              </w:rPr>
            </w:pPr>
            <w:r>
              <w:rPr>
                <w:rFonts w:hint="default" w:ascii="Arial" w:hAnsi="Arial" w:eastAsia="宋体" w:cs="Arial"/>
                <w:color w:val="auto"/>
                <w:highlight w:val="none"/>
              </w:rPr>
              <w:t>生态环境</w:t>
            </w:r>
          </w:p>
        </w:tc>
        <w:tc>
          <w:tcPr>
            <w:tcW w:w="1197"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Arial" w:hAnsi="Arial" w:eastAsia="宋体" w:cs="Arial"/>
                <w:color w:val="auto"/>
                <w:highlight w:val="none"/>
              </w:rPr>
            </w:pPr>
            <w:r>
              <w:rPr>
                <w:rFonts w:hint="default" w:ascii="Arial" w:hAnsi="Arial" w:eastAsia="宋体" w:cs="Arial"/>
                <w:color w:val="auto"/>
                <w:highlight w:val="none"/>
              </w:rPr>
              <w:t>现状评价</w:t>
            </w:r>
          </w:p>
        </w:tc>
        <w:tc>
          <w:tcPr>
            <w:tcW w:w="5593"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Arial" w:hAnsi="Arial" w:eastAsia="宋体" w:cs="Arial"/>
                <w:color w:val="auto"/>
                <w:highlight w:val="none"/>
              </w:rPr>
            </w:pPr>
            <w:r>
              <w:rPr>
                <w:rFonts w:hint="default" w:ascii="Arial" w:hAnsi="Arial" w:eastAsia="宋体" w:cs="Arial"/>
                <w:bCs/>
                <w:color w:val="auto"/>
                <w:szCs w:val="21"/>
                <w:highlight w:val="none"/>
                <w:lang w:val="pt-BR"/>
              </w:rPr>
              <w:t>土地利用、动植物资源及种类</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016" w:type="dxa"/>
            <w:vMerge w:val="continue"/>
          </w:tcPr>
          <w:p>
            <w:pPr>
              <w:pStyle w:val="63"/>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Arial" w:hAnsi="Arial" w:eastAsia="宋体" w:cs="Arial"/>
                <w:color w:val="auto"/>
                <w:highlight w:val="none"/>
              </w:rPr>
            </w:pPr>
          </w:p>
        </w:tc>
        <w:tc>
          <w:tcPr>
            <w:tcW w:w="1197" w:type="dxa"/>
            <w:vMerge w:val="continue"/>
            <w:vAlign w:val="center"/>
          </w:tcPr>
          <w:p>
            <w:pPr>
              <w:pStyle w:val="63"/>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Arial" w:hAnsi="Arial" w:eastAsia="宋体" w:cs="Arial"/>
                <w:color w:val="auto"/>
                <w:highlight w:val="none"/>
              </w:rPr>
            </w:pPr>
          </w:p>
        </w:tc>
        <w:tc>
          <w:tcPr>
            <w:tcW w:w="1197"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Arial" w:hAnsi="Arial" w:eastAsia="宋体" w:cs="Arial"/>
                <w:bCs/>
                <w:color w:val="auto"/>
                <w:szCs w:val="21"/>
                <w:highlight w:val="none"/>
                <w:lang w:val="pt-BR"/>
              </w:rPr>
            </w:pPr>
            <w:r>
              <w:rPr>
                <w:rFonts w:hint="default" w:ascii="Arial" w:hAnsi="Arial" w:eastAsia="宋体" w:cs="Arial"/>
                <w:bCs/>
                <w:color w:val="auto"/>
                <w:szCs w:val="21"/>
                <w:highlight w:val="none"/>
                <w:lang w:val="pt-BR"/>
              </w:rPr>
              <w:t>影响预测</w:t>
            </w:r>
          </w:p>
        </w:tc>
        <w:tc>
          <w:tcPr>
            <w:tcW w:w="5593"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Arial" w:hAnsi="Arial" w:eastAsia="宋体" w:cs="Arial"/>
                <w:bCs/>
                <w:color w:val="auto"/>
                <w:szCs w:val="21"/>
                <w:highlight w:val="none"/>
                <w:lang w:val="pt-BR"/>
              </w:rPr>
            </w:pPr>
            <w:r>
              <w:rPr>
                <w:rFonts w:hint="default" w:ascii="Arial" w:hAnsi="Arial" w:eastAsia="宋体" w:cs="Arial"/>
                <w:bCs/>
                <w:color w:val="auto"/>
                <w:szCs w:val="21"/>
                <w:highlight w:val="none"/>
                <w:lang w:val="pt-BR"/>
              </w:rPr>
              <w:t>土地利用、动植物资源</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016" w:type="dxa"/>
            <w:vMerge w:val="continue"/>
          </w:tcPr>
          <w:p>
            <w:pPr>
              <w:pStyle w:val="63"/>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Arial" w:hAnsi="Arial" w:eastAsia="宋体" w:cs="Arial"/>
                <w:color w:val="auto"/>
                <w:highlight w:val="none"/>
              </w:rPr>
            </w:pPr>
          </w:p>
        </w:tc>
        <w:tc>
          <w:tcPr>
            <w:tcW w:w="1197"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Arial" w:hAnsi="Arial" w:eastAsia="宋体" w:cs="Arial"/>
                <w:color w:val="auto"/>
                <w:highlight w:val="none"/>
              </w:rPr>
            </w:pPr>
            <w:r>
              <w:rPr>
                <w:rFonts w:hint="default" w:ascii="Arial" w:hAnsi="Arial" w:eastAsia="宋体" w:cs="Arial"/>
                <w:color w:val="auto"/>
                <w:highlight w:val="none"/>
              </w:rPr>
              <w:t>风险环境</w:t>
            </w:r>
          </w:p>
        </w:tc>
        <w:tc>
          <w:tcPr>
            <w:tcW w:w="1197"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Arial" w:hAnsi="Arial" w:eastAsia="宋体" w:cs="Arial"/>
                <w:bCs/>
                <w:color w:val="auto"/>
                <w:szCs w:val="21"/>
                <w:highlight w:val="none"/>
                <w:lang w:val="pt-BR"/>
              </w:rPr>
            </w:pPr>
            <w:r>
              <w:rPr>
                <w:rFonts w:hint="default" w:ascii="Arial" w:hAnsi="Arial" w:eastAsia="宋体" w:cs="Arial"/>
                <w:color w:val="auto"/>
                <w:highlight w:val="none"/>
              </w:rPr>
              <w:t>影响评价</w:t>
            </w:r>
          </w:p>
        </w:tc>
        <w:tc>
          <w:tcPr>
            <w:tcW w:w="5593"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Arial" w:hAnsi="Arial" w:eastAsia="宋体" w:cs="Arial"/>
                <w:bCs/>
                <w:color w:val="auto"/>
                <w:szCs w:val="21"/>
                <w:highlight w:val="none"/>
                <w:lang w:val="pt-BR"/>
              </w:rPr>
            </w:pPr>
            <w:r>
              <w:rPr>
                <w:rFonts w:hint="default" w:ascii="Arial" w:hAnsi="Arial" w:eastAsia="宋体" w:cs="Arial"/>
                <w:color w:val="auto"/>
                <w:highlight w:val="none"/>
              </w:rPr>
              <w:t>/</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016" w:type="dxa"/>
            <w:vMerge w:val="continue"/>
          </w:tcPr>
          <w:p>
            <w:pPr>
              <w:pStyle w:val="63"/>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Arial" w:hAnsi="Arial" w:eastAsia="宋体" w:cs="Arial"/>
                <w:color w:val="auto"/>
                <w:highlight w:val="none"/>
              </w:rPr>
            </w:pPr>
          </w:p>
        </w:tc>
        <w:tc>
          <w:tcPr>
            <w:tcW w:w="1197"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Arial" w:hAnsi="Arial" w:eastAsia="宋体" w:cs="Arial"/>
                <w:color w:val="auto"/>
                <w:highlight w:val="none"/>
              </w:rPr>
            </w:pPr>
            <w:r>
              <w:rPr>
                <w:rFonts w:hint="default" w:ascii="Arial" w:hAnsi="Arial" w:eastAsia="宋体" w:cs="Arial"/>
                <w:color w:val="auto"/>
                <w:highlight w:val="none"/>
              </w:rPr>
              <w:t>固体废物</w:t>
            </w:r>
          </w:p>
        </w:tc>
        <w:tc>
          <w:tcPr>
            <w:tcW w:w="1197"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Arial" w:hAnsi="Arial" w:eastAsia="宋体" w:cs="Arial"/>
                <w:color w:val="auto"/>
                <w:highlight w:val="none"/>
              </w:rPr>
            </w:pPr>
            <w:r>
              <w:rPr>
                <w:rFonts w:hint="default" w:ascii="Arial" w:hAnsi="Arial" w:eastAsia="宋体" w:cs="Arial"/>
                <w:color w:val="auto"/>
                <w:highlight w:val="none"/>
              </w:rPr>
              <w:t>影响评价</w:t>
            </w:r>
          </w:p>
        </w:tc>
        <w:tc>
          <w:tcPr>
            <w:tcW w:w="5593"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Arial" w:hAnsi="Arial" w:eastAsia="宋体" w:cs="Arial"/>
                <w:color w:val="auto"/>
                <w:highlight w:val="none"/>
              </w:rPr>
            </w:pPr>
            <w:r>
              <w:rPr>
                <w:rFonts w:hint="default" w:ascii="Arial" w:hAnsi="Arial" w:eastAsia="宋体" w:cs="Arial"/>
                <w:color w:val="auto"/>
                <w:highlight w:val="none"/>
              </w:rPr>
              <w:t>固体废物产生及处置情况</w:t>
            </w:r>
          </w:p>
        </w:tc>
      </w:t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tbl>
    <w:p>
      <w:pPr>
        <w:pStyle w:val="5"/>
        <w:pageBreakBefore w:val="0"/>
        <w:widowControl w:val="0"/>
        <w:kinsoku/>
        <w:wordWrap/>
        <w:overflowPunct/>
        <w:topLinePunct/>
        <w:autoSpaceDE w:val="0"/>
        <w:autoSpaceDN/>
        <w:bidi w:val="0"/>
        <w:adjustRightInd/>
        <w:snapToGrid/>
        <w:textAlignment w:val="auto"/>
        <w:rPr>
          <w:rFonts w:hint="default" w:ascii="Arial" w:hAnsi="Arial" w:eastAsia="宋体" w:cs="Arial"/>
          <w:color w:val="auto"/>
          <w:highlight w:val="none"/>
        </w:rPr>
      </w:pPr>
      <w:bookmarkStart w:id="147" w:name="_Toc28908"/>
      <w:r>
        <w:rPr>
          <w:rFonts w:hint="default" w:ascii="Arial" w:hAnsi="Arial" w:eastAsia="宋体" w:cs="Arial"/>
          <w:color w:val="auto"/>
          <w:highlight w:val="none"/>
        </w:rPr>
        <w:t>2.4环境功能区划及评价标准</w:t>
      </w:r>
      <w:bookmarkEnd w:id="147"/>
    </w:p>
    <w:p>
      <w:pPr>
        <w:pStyle w:val="6"/>
        <w:pageBreakBefore w:val="0"/>
        <w:widowControl w:val="0"/>
        <w:kinsoku/>
        <w:wordWrap/>
        <w:overflowPunct/>
        <w:topLinePunct/>
        <w:autoSpaceDE w:val="0"/>
        <w:autoSpaceDN/>
        <w:bidi w:val="0"/>
        <w:adjustRightInd/>
        <w:snapToGrid/>
        <w:textAlignment w:val="auto"/>
        <w:rPr>
          <w:rFonts w:hint="default" w:ascii="Arial" w:hAnsi="Arial" w:eastAsia="宋体" w:cs="Arial"/>
          <w:color w:val="auto"/>
          <w:highlight w:val="none"/>
        </w:rPr>
      </w:pPr>
      <w:bookmarkStart w:id="148" w:name="_Toc14366"/>
      <w:r>
        <w:rPr>
          <w:rFonts w:hint="default" w:ascii="Arial" w:hAnsi="Arial" w:eastAsia="宋体" w:cs="Arial"/>
          <w:color w:val="auto"/>
          <w:highlight w:val="none"/>
        </w:rPr>
        <w:t>2.4.1环境功能区划</w:t>
      </w:r>
      <w:bookmarkEnd w:id="148"/>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根据评价区功能区划和环境保护目标的要求，环境空气为二类功能区；地下水为农业及生活用水区，为Ⅲ类水质要求；声环境为2类功能区。</w:t>
      </w:r>
    </w:p>
    <w:p>
      <w:pPr>
        <w:pStyle w:val="6"/>
        <w:pageBreakBefore w:val="0"/>
        <w:widowControl w:val="0"/>
        <w:kinsoku/>
        <w:wordWrap/>
        <w:overflowPunct/>
        <w:topLinePunct/>
        <w:autoSpaceDE w:val="0"/>
        <w:autoSpaceDN/>
        <w:bidi w:val="0"/>
        <w:adjustRightInd/>
        <w:snapToGrid/>
        <w:textAlignment w:val="auto"/>
        <w:rPr>
          <w:rFonts w:hint="default" w:ascii="Arial" w:hAnsi="Arial" w:eastAsia="宋体" w:cs="Arial"/>
          <w:color w:val="auto"/>
          <w:highlight w:val="none"/>
        </w:rPr>
      </w:pPr>
      <w:bookmarkStart w:id="149" w:name="_Toc11271"/>
      <w:r>
        <w:rPr>
          <w:rFonts w:hint="default" w:ascii="Arial" w:hAnsi="Arial" w:eastAsia="宋体" w:cs="Arial"/>
          <w:color w:val="auto"/>
          <w:highlight w:val="none"/>
        </w:rPr>
        <w:t>2.4.2环境质量标准</w:t>
      </w:r>
      <w:bookmarkEnd w:id="149"/>
    </w:p>
    <w:p>
      <w:pPr>
        <w:pStyle w:val="7"/>
        <w:pageBreakBefore w:val="0"/>
        <w:widowControl w:val="0"/>
        <w:kinsoku/>
        <w:wordWrap/>
        <w:overflowPunct/>
        <w:topLinePunct/>
        <w:autoSpaceDE w:val="0"/>
        <w:autoSpaceDN/>
        <w:bidi w:val="0"/>
        <w:adjustRightInd/>
        <w:snapToGrid/>
        <w:textAlignment w:val="auto"/>
        <w:rPr>
          <w:rFonts w:hint="default" w:ascii="Arial" w:hAnsi="Arial" w:eastAsia="宋体" w:cs="Arial"/>
          <w:color w:val="auto"/>
          <w:highlight w:val="none"/>
        </w:rPr>
      </w:pPr>
      <w:r>
        <w:rPr>
          <w:rFonts w:hint="default" w:ascii="Arial" w:hAnsi="Arial" w:eastAsia="宋体" w:cs="Arial"/>
          <w:color w:val="auto"/>
          <w:highlight w:val="none"/>
        </w:rPr>
        <w:t>2.4.2.1环境空气</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项目所在区域属于环境空气质量二类功能区，</w:t>
      </w:r>
      <w:r>
        <w:rPr>
          <w:rFonts w:hint="default" w:ascii="Arial" w:hAnsi="Arial" w:eastAsia="宋体" w:cs="Arial"/>
          <w:bCs/>
          <w:color w:val="auto"/>
          <w:highlight w:val="none"/>
        </w:rPr>
        <w:t>PM</w:t>
      </w:r>
      <w:r>
        <w:rPr>
          <w:rFonts w:hint="default" w:ascii="Arial" w:hAnsi="Arial" w:eastAsia="宋体" w:cs="Arial"/>
          <w:bCs/>
          <w:color w:val="auto"/>
          <w:highlight w:val="none"/>
          <w:vertAlign w:val="subscript"/>
        </w:rPr>
        <w:t>10</w:t>
      </w:r>
      <w:r>
        <w:rPr>
          <w:rFonts w:hint="default" w:ascii="Arial" w:hAnsi="Arial" w:eastAsia="宋体" w:cs="Arial"/>
          <w:bCs/>
          <w:color w:val="auto"/>
          <w:highlight w:val="none"/>
        </w:rPr>
        <w:t>、PM</w:t>
      </w:r>
      <w:r>
        <w:rPr>
          <w:rFonts w:hint="default" w:ascii="Arial" w:hAnsi="Arial" w:eastAsia="宋体" w:cs="Arial"/>
          <w:bCs/>
          <w:color w:val="auto"/>
          <w:highlight w:val="none"/>
          <w:vertAlign w:val="subscript"/>
        </w:rPr>
        <w:t>2.5</w:t>
      </w:r>
      <w:r>
        <w:rPr>
          <w:rFonts w:hint="default" w:ascii="Arial" w:hAnsi="Arial" w:eastAsia="宋体" w:cs="Arial"/>
          <w:bCs/>
          <w:color w:val="auto"/>
          <w:highlight w:val="none"/>
        </w:rPr>
        <w:t>、SO</w:t>
      </w:r>
      <w:r>
        <w:rPr>
          <w:rFonts w:hint="default" w:ascii="Arial" w:hAnsi="Arial" w:eastAsia="宋体" w:cs="Arial"/>
          <w:bCs/>
          <w:color w:val="auto"/>
          <w:highlight w:val="none"/>
          <w:vertAlign w:val="subscript"/>
        </w:rPr>
        <w:t>2</w:t>
      </w:r>
      <w:r>
        <w:rPr>
          <w:rFonts w:hint="default" w:ascii="Arial" w:hAnsi="Arial" w:eastAsia="宋体" w:cs="Arial"/>
          <w:bCs/>
          <w:color w:val="auto"/>
          <w:highlight w:val="none"/>
        </w:rPr>
        <w:t>、NO</w:t>
      </w:r>
      <w:r>
        <w:rPr>
          <w:rFonts w:hint="default" w:ascii="Arial" w:hAnsi="Arial" w:eastAsia="宋体" w:cs="Arial"/>
          <w:bCs/>
          <w:color w:val="auto"/>
          <w:highlight w:val="none"/>
          <w:vertAlign w:val="subscript"/>
        </w:rPr>
        <w:t>2</w:t>
      </w:r>
      <w:r>
        <w:rPr>
          <w:rFonts w:hint="default" w:ascii="Arial" w:hAnsi="Arial" w:eastAsia="宋体" w:cs="Arial"/>
          <w:bCs/>
          <w:color w:val="auto"/>
          <w:highlight w:val="none"/>
        </w:rPr>
        <w:t>、CO、O</w:t>
      </w:r>
      <w:r>
        <w:rPr>
          <w:rFonts w:hint="default" w:ascii="Arial" w:hAnsi="Arial" w:eastAsia="宋体" w:cs="Arial"/>
          <w:bCs/>
          <w:color w:val="auto"/>
          <w:highlight w:val="none"/>
          <w:vertAlign w:val="subscript"/>
        </w:rPr>
        <w:t>3</w:t>
      </w:r>
      <w:r>
        <w:rPr>
          <w:rFonts w:hint="default" w:ascii="Arial" w:hAnsi="Arial" w:eastAsia="宋体" w:cs="Arial"/>
          <w:bCs/>
          <w:color w:val="auto"/>
          <w:highlight w:val="none"/>
        </w:rPr>
        <w:t>、TSP</w:t>
      </w:r>
      <w:r>
        <w:rPr>
          <w:rFonts w:hint="default" w:ascii="Arial" w:hAnsi="Arial" w:eastAsia="宋体" w:cs="Arial"/>
          <w:color w:val="auto"/>
          <w:highlight w:val="none"/>
        </w:rPr>
        <w:t>执行《环境空气质量标准》（GB3095-2012）中的二级标准；NH</w:t>
      </w:r>
      <w:r>
        <w:rPr>
          <w:rFonts w:hint="default" w:ascii="Arial" w:hAnsi="Arial" w:eastAsia="宋体" w:cs="Arial"/>
          <w:color w:val="auto"/>
          <w:highlight w:val="none"/>
          <w:vertAlign w:val="subscript"/>
        </w:rPr>
        <w:t>3</w:t>
      </w:r>
      <w:r>
        <w:rPr>
          <w:rFonts w:hint="default" w:ascii="Arial" w:hAnsi="Arial" w:eastAsia="宋体" w:cs="Arial"/>
          <w:color w:val="auto"/>
          <w:highlight w:val="none"/>
        </w:rPr>
        <w:t>、H</w:t>
      </w:r>
      <w:r>
        <w:rPr>
          <w:rFonts w:hint="default" w:ascii="Arial" w:hAnsi="Arial" w:eastAsia="宋体" w:cs="Arial"/>
          <w:color w:val="auto"/>
          <w:highlight w:val="none"/>
          <w:vertAlign w:val="subscript"/>
        </w:rPr>
        <w:t>2</w:t>
      </w:r>
      <w:r>
        <w:rPr>
          <w:rFonts w:hint="default" w:ascii="Arial" w:hAnsi="Arial" w:eastAsia="宋体" w:cs="Arial"/>
          <w:color w:val="auto"/>
          <w:highlight w:val="none"/>
        </w:rPr>
        <w:t>S执行《环境影响评价技术导则-大气环境》（HJ2.2-2018）中的附录D其他污染物空气质量浓度参考限值，详见下表。</w:t>
      </w:r>
    </w:p>
    <w:p>
      <w:pPr>
        <w:pStyle w:val="8"/>
        <w:pageBreakBefore w:val="0"/>
        <w:widowControl w:val="0"/>
        <w:kinsoku/>
        <w:wordWrap/>
        <w:overflowPunct/>
        <w:topLinePunct/>
        <w:autoSpaceDE w:val="0"/>
        <w:autoSpaceDN/>
        <w:bidi w:val="0"/>
        <w:adjustRightInd/>
        <w:snapToGrid/>
        <w:textAlignment w:val="auto"/>
        <w:rPr>
          <w:rFonts w:hint="default" w:ascii="Arial" w:hAnsi="Arial" w:eastAsia="宋体" w:cs="Arial"/>
          <w:color w:val="auto"/>
          <w:highlight w:val="none"/>
        </w:rPr>
      </w:pPr>
      <w:r>
        <w:rPr>
          <w:rFonts w:hint="default" w:ascii="Arial" w:hAnsi="Arial" w:eastAsia="宋体" w:cs="Arial"/>
          <w:color w:val="auto"/>
          <w:highlight w:val="none"/>
        </w:rPr>
        <w:t>表2.4-1    环境空气质量标准</w:t>
      </w:r>
    </w:p>
    <w:tbl>
      <w:tblPr>
        <w:tblStyle w:val="39"/>
        <w:tblW w:w="9004" w:type="dxa"/>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706"/>
        <w:gridCol w:w="938"/>
        <w:gridCol w:w="938"/>
        <w:gridCol w:w="2608"/>
        <w:gridCol w:w="1250"/>
        <w:gridCol w:w="2564"/>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340" w:hRule="atLeast"/>
          <w:jc w:val="center"/>
        </w:trPr>
        <w:tc>
          <w:tcPr>
            <w:tcW w:w="706" w:type="dxa"/>
            <w:vMerge w:val="restart"/>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序号</w:t>
            </w:r>
          </w:p>
        </w:tc>
        <w:tc>
          <w:tcPr>
            <w:tcW w:w="938" w:type="dxa"/>
            <w:vMerge w:val="restart"/>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污染物</w:t>
            </w:r>
          </w:p>
        </w:tc>
        <w:tc>
          <w:tcPr>
            <w:tcW w:w="4796" w:type="dxa"/>
            <w:gridSpan w:val="3"/>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浓度限值</w:t>
            </w:r>
            <w:r>
              <w:rPr>
                <w:rFonts w:hint="default" w:ascii="Arial" w:hAnsi="Arial" w:eastAsia="宋体" w:cs="Arial"/>
                <w:bCs/>
                <w:color w:val="auto"/>
                <w:sz w:val="21"/>
                <w:szCs w:val="21"/>
                <w:highlight w:val="none"/>
              </w:rPr>
              <w:t>（单位：</w:t>
            </w:r>
            <w:r>
              <w:rPr>
                <w:rFonts w:hint="default" w:ascii="Arial" w:hAnsi="Arial" w:eastAsia="宋体" w:cs="Arial"/>
                <w:color w:val="auto"/>
                <w:sz w:val="21"/>
                <w:szCs w:val="21"/>
                <w:highlight w:val="none"/>
              </w:rPr>
              <w:t>μg</w:t>
            </w:r>
            <w:r>
              <w:rPr>
                <w:rFonts w:hint="default" w:ascii="Arial" w:hAnsi="Arial" w:eastAsia="宋体" w:cs="Arial"/>
                <w:bCs/>
                <w:color w:val="auto"/>
                <w:sz w:val="21"/>
                <w:szCs w:val="21"/>
                <w:highlight w:val="none"/>
              </w:rPr>
              <w:t>/Nm</w:t>
            </w:r>
            <w:r>
              <w:rPr>
                <w:rFonts w:hint="default" w:ascii="Arial" w:hAnsi="Arial" w:eastAsia="宋体" w:cs="Arial"/>
                <w:bCs/>
                <w:color w:val="auto"/>
                <w:sz w:val="21"/>
                <w:szCs w:val="21"/>
                <w:highlight w:val="none"/>
                <w:vertAlign w:val="superscript"/>
              </w:rPr>
              <w:t>3</w:t>
            </w:r>
            <w:r>
              <w:rPr>
                <w:rFonts w:hint="default" w:ascii="Arial" w:hAnsi="Arial" w:eastAsia="宋体" w:cs="Arial"/>
                <w:bCs/>
                <w:color w:val="auto"/>
                <w:sz w:val="21"/>
                <w:szCs w:val="21"/>
                <w:highlight w:val="none"/>
              </w:rPr>
              <w:t>）</w:t>
            </w:r>
          </w:p>
        </w:tc>
        <w:tc>
          <w:tcPr>
            <w:tcW w:w="2564" w:type="dxa"/>
            <w:vMerge w:val="restart"/>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标准来源</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340" w:hRule="atLeast"/>
          <w:jc w:val="center"/>
        </w:trPr>
        <w:tc>
          <w:tcPr>
            <w:tcW w:w="706" w:type="dxa"/>
            <w:vMerge w:val="continue"/>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p>
        </w:tc>
        <w:tc>
          <w:tcPr>
            <w:tcW w:w="938" w:type="dxa"/>
            <w:vMerge w:val="continue"/>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p>
        </w:tc>
        <w:tc>
          <w:tcPr>
            <w:tcW w:w="938"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年平均</w:t>
            </w:r>
          </w:p>
        </w:tc>
        <w:tc>
          <w:tcPr>
            <w:tcW w:w="2608"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日平均</w:t>
            </w:r>
          </w:p>
        </w:tc>
        <w:tc>
          <w:tcPr>
            <w:tcW w:w="1250"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小时平均</w:t>
            </w:r>
          </w:p>
        </w:tc>
        <w:tc>
          <w:tcPr>
            <w:tcW w:w="2564" w:type="dxa"/>
            <w:vMerge w:val="continue"/>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340" w:hRule="atLeast"/>
          <w:jc w:val="center"/>
        </w:trPr>
        <w:tc>
          <w:tcPr>
            <w:tcW w:w="706"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1</w:t>
            </w:r>
          </w:p>
        </w:tc>
        <w:tc>
          <w:tcPr>
            <w:tcW w:w="938"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SO</w:t>
            </w:r>
            <w:r>
              <w:rPr>
                <w:rFonts w:hint="default" w:ascii="Arial" w:hAnsi="Arial" w:eastAsia="宋体" w:cs="Arial"/>
                <w:color w:val="auto"/>
                <w:sz w:val="21"/>
                <w:szCs w:val="21"/>
                <w:highlight w:val="none"/>
                <w:vertAlign w:val="subscript"/>
              </w:rPr>
              <w:t>2</w:t>
            </w:r>
          </w:p>
        </w:tc>
        <w:tc>
          <w:tcPr>
            <w:tcW w:w="938"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60</w:t>
            </w:r>
          </w:p>
        </w:tc>
        <w:tc>
          <w:tcPr>
            <w:tcW w:w="2608"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150</w:t>
            </w:r>
          </w:p>
        </w:tc>
        <w:tc>
          <w:tcPr>
            <w:tcW w:w="1250"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500</w:t>
            </w:r>
          </w:p>
        </w:tc>
        <w:tc>
          <w:tcPr>
            <w:tcW w:w="2564" w:type="dxa"/>
            <w:vMerge w:val="restart"/>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《环境空气质量标准》（GB3095-2012）</w:t>
            </w:r>
          </w:p>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二级标准</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340" w:hRule="atLeast"/>
          <w:jc w:val="center"/>
        </w:trPr>
        <w:tc>
          <w:tcPr>
            <w:tcW w:w="706"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2</w:t>
            </w:r>
          </w:p>
        </w:tc>
        <w:tc>
          <w:tcPr>
            <w:tcW w:w="938"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NO</w:t>
            </w:r>
            <w:r>
              <w:rPr>
                <w:rFonts w:hint="default" w:ascii="Arial" w:hAnsi="Arial" w:eastAsia="宋体" w:cs="Arial"/>
                <w:color w:val="auto"/>
                <w:sz w:val="21"/>
                <w:szCs w:val="21"/>
                <w:highlight w:val="none"/>
                <w:vertAlign w:val="subscript"/>
              </w:rPr>
              <w:t>2</w:t>
            </w:r>
          </w:p>
        </w:tc>
        <w:tc>
          <w:tcPr>
            <w:tcW w:w="938"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40</w:t>
            </w:r>
          </w:p>
        </w:tc>
        <w:tc>
          <w:tcPr>
            <w:tcW w:w="2608"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80</w:t>
            </w:r>
          </w:p>
        </w:tc>
        <w:tc>
          <w:tcPr>
            <w:tcW w:w="1250"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200</w:t>
            </w:r>
          </w:p>
        </w:tc>
        <w:tc>
          <w:tcPr>
            <w:tcW w:w="2564" w:type="dxa"/>
            <w:vMerge w:val="continue"/>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340" w:hRule="atLeast"/>
          <w:jc w:val="center"/>
        </w:trPr>
        <w:tc>
          <w:tcPr>
            <w:tcW w:w="706"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3</w:t>
            </w:r>
          </w:p>
        </w:tc>
        <w:tc>
          <w:tcPr>
            <w:tcW w:w="938"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TSP</w:t>
            </w:r>
          </w:p>
        </w:tc>
        <w:tc>
          <w:tcPr>
            <w:tcW w:w="938"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200</w:t>
            </w:r>
          </w:p>
        </w:tc>
        <w:tc>
          <w:tcPr>
            <w:tcW w:w="2608"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300</w:t>
            </w:r>
          </w:p>
        </w:tc>
        <w:tc>
          <w:tcPr>
            <w:tcW w:w="1250"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w:t>
            </w:r>
          </w:p>
        </w:tc>
        <w:tc>
          <w:tcPr>
            <w:tcW w:w="2564" w:type="dxa"/>
            <w:vMerge w:val="continue"/>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340" w:hRule="atLeast"/>
          <w:jc w:val="center"/>
        </w:trPr>
        <w:tc>
          <w:tcPr>
            <w:tcW w:w="706"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4</w:t>
            </w:r>
          </w:p>
        </w:tc>
        <w:tc>
          <w:tcPr>
            <w:tcW w:w="938"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PM</w:t>
            </w:r>
            <w:r>
              <w:rPr>
                <w:rFonts w:hint="default" w:ascii="Arial" w:hAnsi="Arial" w:eastAsia="宋体" w:cs="Arial"/>
                <w:color w:val="auto"/>
                <w:sz w:val="21"/>
                <w:szCs w:val="21"/>
                <w:highlight w:val="none"/>
                <w:vertAlign w:val="subscript"/>
              </w:rPr>
              <w:t>10</w:t>
            </w:r>
          </w:p>
        </w:tc>
        <w:tc>
          <w:tcPr>
            <w:tcW w:w="938"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70</w:t>
            </w:r>
          </w:p>
        </w:tc>
        <w:tc>
          <w:tcPr>
            <w:tcW w:w="2608"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150</w:t>
            </w:r>
          </w:p>
        </w:tc>
        <w:tc>
          <w:tcPr>
            <w:tcW w:w="1250"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w:t>
            </w:r>
          </w:p>
        </w:tc>
        <w:tc>
          <w:tcPr>
            <w:tcW w:w="2564" w:type="dxa"/>
            <w:vMerge w:val="continue"/>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340" w:hRule="atLeast"/>
          <w:jc w:val="center"/>
        </w:trPr>
        <w:tc>
          <w:tcPr>
            <w:tcW w:w="706"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5</w:t>
            </w:r>
          </w:p>
        </w:tc>
        <w:tc>
          <w:tcPr>
            <w:tcW w:w="938"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PM</w:t>
            </w:r>
            <w:r>
              <w:rPr>
                <w:rFonts w:hint="default" w:ascii="Arial" w:hAnsi="Arial" w:eastAsia="宋体" w:cs="Arial"/>
                <w:color w:val="auto"/>
                <w:sz w:val="21"/>
                <w:szCs w:val="21"/>
                <w:highlight w:val="none"/>
                <w:vertAlign w:val="subscript"/>
              </w:rPr>
              <w:t>2.5</w:t>
            </w:r>
          </w:p>
        </w:tc>
        <w:tc>
          <w:tcPr>
            <w:tcW w:w="938"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35</w:t>
            </w:r>
          </w:p>
        </w:tc>
        <w:tc>
          <w:tcPr>
            <w:tcW w:w="2608"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75</w:t>
            </w:r>
          </w:p>
        </w:tc>
        <w:tc>
          <w:tcPr>
            <w:tcW w:w="1250"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w:t>
            </w:r>
          </w:p>
        </w:tc>
        <w:tc>
          <w:tcPr>
            <w:tcW w:w="2564" w:type="dxa"/>
            <w:vMerge w:val="continue"/>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340" w:hRule="atLeast"/>
          <w:jc w:val="center"/>
        </w:trPr>
        <w:tc>
          <w:tcPr>
            <w:tcW w:w="706"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6</w:t>
            </w:r>
          </w:p>
        </w:tc>
        <w:tc>
          <w:tcPr>
            <w:tcW w:w="938"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O</w:t>
            </w:r>
            <w:r>
              <w:rPr>
                <w:rFonts w:hint="default" w:ascii="Arial" w:hAnsi="Arial" w:eastAsia="宋体" w:cs="Arial"/>
                <w:color w:val="auto"/>
                <w:sz w:val="21"/>
                <w:szCs w:val="21"/>
                <w:highlight w:val="none"/>
                <w:vertAlign w:val="subscript"/>
              </w:rPr>
              <w:t>3</w:t>
            </w:r>
          </w:p>
        </w:tc>
        <w:tc>
          <w:tcPr>
            <w:tcW w:w="938"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w:t>
            </w:r>
          </w:p>
        </w:tc>
        <w:tc>
          <w:tcPr>
            <w:tcW w:w="2608"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160(日最大</w:t>
            </w:r>
            <w:r>
              <w:rPr>
                <w:rFonts w:hint="default" w:ascii="Arial" w:hAnsi="Arial" w:eastAsia="宋体" w:cs="Arial"/>
                <w:color w:val="auto"/>
                <w:sz w:val="21"/>
                <w:szCs w:val="21"/>
                <w:highlight w:val="none"/>
                <w:lang w:val="en-US" w:eastAsia="zh-CN"/>
              </w:rPr>
              <w:t>8</w:t>
            </w:r>
            <w:r>
              <w:rPr>
                <w:rFonts w:hint="default" w:ascii="Arial" w:hAnsi="Arial" w:eastAsia="宋体" w:cs="Arial"/>
                <w:color w:val="auto"/>
                <w:sz w:val="21"/>
                <w:szCs w:val="21"/>
                <w:highlight w:val="none"/>
              </w:rPr>
              <w:t>小时平均)</w:t>
            </w:r>
          </w:p>
        </w:tc>
        <w:tc>
          <w:tcPr>
            <w:tcW w:w="1250"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200</w:t>
            </w:r>
          </w:p>
        </w:tc>
        <w:tc>
          <w:tcPr>
            <w:tcW w:w="2564" w:type="dxa"/>
            <w:vMerge w:val="continue"/>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340" w:hRule="atLeast"/>
          <w:jc w:val="center"/>
        </w:trPr>
        <w:tc>
          <w:tcPr>
            <w:tcW w:w="706"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7</w:t>
            </w:r>
          </w:p>
        </w:tc>
        <w:tc>
          <w:tcPr>
            <w:tcW w:w="938"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CO</w:t>
            </w:r>
          </w:p>
        </w:tc>
        <w:tc>
          <w:tcPr>
            <w:tcW w:w="938"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w:t>
            </w:r>
          </w:p>
        </w:tc>
        <w:tc>
          <w:tcPr>
            <w:tcW w:w="2608"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4(mg/m</w:t>
            </w:r>
            <w:r>
              <w:rPr>
                <w:rFonts w:hint="default" w:ascii="Arial" w:hAnsi="Arial" w:eastAsia="宋体" w:cs="Arial"/>
                <w:color w:val="auto"/>
                <w:sz w:val="21"/>
                <w:szCs w:val="21"/>
                <w:highlight w:val="none"/>
                <w:vertAlign w:val="superscript"/>
              </w:rPr>
              <w:t>3</w:t>
            </w:r>
            <w:r>
              <w:rPr>
                <w:rFonts w:hint="default" w:ascii="Arial" w:hAnsi="Arial" w:eastAsia="宋体" w:cs="Arial"/>
                <w:color w:val="auto"/>
                <w:sz w:val="21"/>
                <w:szCs w:val="21"/>
                <w:highlight w:val="none"/>
              </w:rPr>
              <w:t>)</w:t>
            </w:r>
          </w:p>
        </w:tc>
        <w:tc>
          <w:tcPr>
            <w:tcW w:w="1250"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10(mg/m</w:t>
            </w:r>
            <w:r>
              <w:rPr>
                <w:rFonts w:hint="default" w:ascii="Arial" w:hAnsi="Arial" w:eastAsia="宋体" w:cs="Arial"/>
                <w:color w:val="auto"/>
                <w:sz w:val="21"/>
                <w:szCs w:val="21"/>
                <w:highlight w:val="none"/>
                <w:vertAlign w:val="superscript"/>
              </w:rPr>
              <w:t>3</w:t>
            </w:r>
            <w:r>
              <w:rPr>
                <w:rFonts w:hint="default" w:ascii="Arial" w:hAnsi="Arial" w:eastAsia="宋体" w:cs="Arial"/>
                <w:color w:val="auto"/>
                <w:sz w:val="21"/>
                <w:szCs w:val="21"/>
                <w:highlight w:val="none"/>
              </w:rPr>
              <w:t>)</w:t>
            </w:r>
          </w:p>
        </w:tc>
        <w:tc>
          <w:tcPr>
            <w:tcW w:w="2564" w:type="dxa"/>
            <w:vMerge w:val="continue"/>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340" w:hRule="atLeast"/>
          <w:jc w:val="center"/>
        </w:trPr>
        <w:tc>
          <w:tcPr>
            <w:tcW w:w="706"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8</w:t>
            </w:r>
          </w:p>
        </w:tc>
        <w:tc>
          <w:tcPr>
            <w:tcW w:w="938"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bCs/>
                <w:color w:val="auto"/>
                <w:sz w:val="21"/>
                <w:szCs w:val="21"/>
                <w:highlight w:val="none"/>
                <w:lang w:bidi="en-US"/>
              </w:rPr>
            </w:pPr>
            <w:r>
              <w:rPr>
                <w:rFonts w:hint="default" w:ascii="Arial" w:hAnsi="Arial" w:eastAsia="宋体" w:cs="Arial"/>
                <w:bCs/>
                <w:color w:val="auto"/>
                <w:sz w:val="21"/>
                <w:szCs w:val="21"/>
                <w:highlight w:val="none"/>
                <w:lang w:bidi="en-US"/>
              </w:rPr>
              <w:t>NH</w:t>
            </w:r>
            <w:r>
              <w:rPr>
                <w:rFonts w:hint="default" w:ascii="Arial" w:hAnsi="Arial" w:eastAsia="宋体" w:cs="Arial"/>
                <w:bCs/>
                <w:color w:val="auto"/>
                <w:sz w:val="21"/>
                <w:szCs w:val="21"/>
                <w:highlight w:val="none"/>
                <w:vertAlign w:val="subscript"/>
                <w:lang w:bidi="en-US"/>
              </w:rPr>
              <w:t>3</w:t>
            </w:r>
          </w:p>
        </w:tc>
        <w:tc>
          <w:tcPr>
            <w:tcW w:w="938"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w:t>
            </w:r>
          </w:p>
        </w:tc>
        <w:tc>
          <w:tcPr>
            <w:tcW w:w="2608"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w:t>
            </w:r>
          </w:p>
        </w:tc>
        <w:tc>
          <w:tcPr>
            <w:tcW w:w="1250"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200</w:t>
            </w:r>
          </w:p>
        </w:tc>
        <w:tc>
          <w:tcPr>
            <w:tcW w:w="2564" w:type="dxa"/>
            <w:vMerge w:val="restart"/>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《环境影响评价技术导则-大气环境》（HJ2.2-2018）附录D</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340" w:hRule="atLeast"/>
          <w:jc w:val="center"/>
        </w:trPr>
        <w:tc>
          <w:tcPr>
            <w:tcW w:w="706"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9</w:t>
            </w:r>
          </w:p>
        </w:tc>
        <w:tc>
          <w:tcPr>
            <w:tcW w:w="938"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bCs/>
                <w:color w:val="auto"/>
                <w:sz w:val="21"/>
                <w:szCs w:val="21"/>
                <w:highlight w:val="none"/>
                <w:lang w:bidi="en-US"/>
              </w:rPr>
            </w:pPr>
            <w:r>
              <w:rPr>
                <w:rFonts w:hint="default" w:ascii="Arial" w:hAnsi="Arial" w:eastAsia="宋体" w:cs="Arial"/>
                <w:bCs/>
                <w:color w:val="auto"/>
                <w:sz w:val="21"/>
                <w:szCs w:val="21"/>
                <w:highlight w:val="none"/>
                <w:lang w:bidi="en-US"/>
              </w:rPr>
              <w:t>H</w:t>
            </w:r>
            <w:r>
              <w:rPr>
                <w:rFonts w:hint="default" w:ascii="Arial" w:hAnsi="Arial" w:eastAsia="宋体" w:cs="Arial"/>
                <w:bCs/>
                <w:color w:val="auto"/>
                <w:sz w:val="21"/>
                <w:szCs w:val="21"/>
                <w:highlight w:val="none"/>
                <w:vertAlign w:val="subscript"/>
                <w:lang w:bidi="en-US"/>
              </w:rPr>
              <w:t>2</w:t>
            </w:r>
            <w:r>
              <w:rPr>
                <w:rFonts w:hint="default" w:ascii="Arial" w:hAnsi="Arial" w:eastAsia="宋体" w:cs="Arial"/>
                <w:bCs/>
                <w:color w:val="auto"/>
                <w:sz w:val="21"/>
                <w:szCs w:val="21"/>
                <w:highlight w:val="none"/>
                <w:lang w:bidi="en-US"/>
              </w:rPr>
              <w:t>S</w:t>
            </w:r>
          </w:p>
        </w:tc>
        <w:tc>
          <w:tcPr>
            <w:tcW w:w="938"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w:t>
            </w:r>
          </w:p>
        </w:tc>
        <w:tc>
          <w:tcPr>
            <w:tcW w:w="2608"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w:t>
            </w:r>
          </w:p>
        </w:tc>
        <w:tc>
          <w:tcPr>
            <w:tcW w:w="1250"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10</w:t>
            </w:r>
          </w:p>
        </w:tc>
        <w:tc>
          <w:tcPr>
            <w:tcW w:w="2564" w:type="dxa"/>
            <w:vMerge w:val="continue"/>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p>
        </w:tc>
      </w:tr>
    </w:tbl>
    <w:p>
      <w:pPr>
        <w:pStyle w:val="7"/>
        <w:rPr>
          <w:rFonts w:hint="default" w:ascii="Arial" w:hAnsi="Arial" w:eastAsia="宋体" w:cs="Arial"/>
          <w:color w:val="auto"/>
          <w:highlight w:val="none"/>
        </w:rPr>
      </w:pPr>
      <w:r>
        <w:rPr>
          <w:rFonts w:hint="default" w:ascii="Arial" w:hAnsi="Arial" w:eastAsia="宋体" w:cs="Arial"/>
          <w:color w:val="auto"/>
          <w:highlight w:val="none"/>
        </w:rPr>
        <w:t>2.4.4.2地下水</w:t>
      </w:r>
    </w:p>
    <w:p>
      <w:pPr>
        <w:ind w:firstLine="480"/>
        <w:rPr>
          <w:rFonts w:hint="default" w:ascii="Arial" w:hAnsi="Arial" w:eastAsia="宋体" w:cs="Arial"/>
          <w:color w:val="auto"/>
          <w:highlight w:val="none"/>
        </w:rPr>
      </w:pPr>
      <w:r>
        <w:rPr>
          <w:rFonts w:hint="default" w:ascii="Arial" w:hAnsi="Arial" w:eastAsia="宋体" w:cs="Arial"/>
          <w:color w:val="auto"/>
          <w:highlight w:val="none"/>
        </w:rPr>
        <w:t>项目</w:t>
      </w:r>
      <w:r>
        <w:rPr>
          <w:rFonts w:hint="default" w:ascii="Arial" w:hAnsi="Arial" w:eastAsia="宋体" w:cs="Arial"/>
          <w:color w:val="auto"/>
          <w:highlight w:val="none"/>
          <w:lang w:eastAsia="zh-CN"/>
        </w:rPr>
        <w:t>区域</w:t>
      </w:r>
      <w:r>
        <w:rPr>
          <w:rFonts w:hint="default" w:ascii="Arial" w:hAnsi="Arial" w:eastAsia="宋体" w:cs="Arial"/>
          <w:color w:val="auto"/>
          <w:highlight w:val="none"/>
        </w:rPr>
        <w:t>地下水</w:t>
      </w:r>
      <w:r>
        <w:rPr>
          <w:rFonts w:hint="default" w:ascii="Arial" w:hAnsi="Arial" w:eastAsia="宋体" w:cs="Arial"/>
          <w:color w:val="auto"/>
          <w:highlight w:val="none"/>
          <w:lang w:eastAsia="zh-CN"/>
        </w:rPr>
        <w:t>环境质量</w:t>
      </w:r>
      <w:r>
        <w:rPr>
          <w:rFonts w:hint="default" w:ascii="Arial" w:hAnsi="Arial" w:eastAsia="宋体" w:cs="Arial"/>
          <w:color w:val="auto"/>
          <w:highlight w:val="none"/>
        </w:rPr>
        <w:t>执行《地下水质量标准》（GB/T14848-2017)III类标准，详见下表。</w:t>
      </w:r>
    </w:p>
    <w:p>
      <w:pPr>
        <w:pStyle w:val="8"/>
        <w:rPr>
          <w:rFonts w:hint="default" w:ascii="Arial" w:hAnsi="Arial" w:eastAsia="宋体" w:cs="Arial"/>
          <w:color w:val="auto"/>
          <w:highlight w:val="none"/>
        </w:rPr>
      </w:pPr>
      <w:r>
        <w:rPr>
          <w:rFonts w:hint="default" w:ascii="Arial" w:hAnsi="Arial" w:eastAsia="宋体" w:cs="Arial"/>
          <w:color w:val="auto"/>
          <w:highlight w:val="none"/>
        </w:rPr>
        <w:t>表2.4-2    地下水质量标准（单位：mg/L，pH值无量纲）</w:t>
      </w:r>
    </w:p>
    <w:tbl>
      <w:tblPr>
        <w:tblStyle w:val="39"/>
        <w:tblW w:w="9004" w:type="dxa"/>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932"/>
        <w:gridCol w:w="2867"/>
        <w:gridCol w:w="3495"/>
        <w:gridCol w:w="1710"/>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32" w:type="dxa"/>
            <w:vAlign w:val="center"/>
          </w:tcPr>
          <w:p>
            <w:pPr>
              <w:pStyle w:val="63"/>
              <w:keepNext w:val="0"/>
              <w:keepLines w:val="0"/>
              <w:pageBreakBefore w:val="0"/>
              <w:widowControl w:val="0"/>
              <w:kinsoku/>
              <w:wordWrap/>
              <w:overflowPunct/>
              <w:topLinePunct/>
              <w:autoSpaceDE w:val="0"/>
              <w:autoSpaceDN/>
              <w:bidi w:val="0"/>
              <w:adjustRightInd/>
              <w:snapToGrid/>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序号</w:t>
            </w:r>
          </w:p>
        </w:tc>
        <w:tc>
          <w:tcPr>
            <w:tcW w:w="2867" w:type="dxa"/>
            <w:vAlign w:val="center"/>
          </w:tcPr>
          <w:p>
            <w:pPr>
              <w:pStyle w:val="63"/>
              <w:keepNext w:val="0"/>
              <w:keepLines w:val="0"/>
              <w:pageBreakBefore w:val="0"/>
              <w:widowControl w:val="0"/>
              <w:kinsoku/>
              <w:wordWrap/>
              <w:overflowPunct/>
              <w:topLinePunct/>
              <w:autoSpaceDE w:val="0"/>
              <w:autoSpaceDN/>
              <w:bidi w:val="0"/>
              <w:adjustRightInd/>
              <w:snapToGrid/>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项目</w:t>
            </w:r>
          </w:p>
        </w:tc>
        <w:tc>
          <w:tcPr>
            <w:tcW w:w="3495" w:type="dxa"/>
            <w:vAlign w:val="center"/>
          </w:tcPr>
          <w:p>
            <w:pPr>
              <w:pStyle w:val="63"/>
              <w:keepNext w:val="0"/>
              <w:keepLines w:val="0"/>
              <w:pageBreakBefore w:val="0"/>
              <w:widowControl w:val="0"/>
              <w:kinsoku/>
              <w:wordWrap/>
              <w:overflowPunct/>
              <w:topLinePunct/>
              <w:autoSpaceDE w:val="0"/>
              <w:autoSpaceDN/>
              <w:bidi w:val="0"/>
              <w:adjustRightInd/>
              <w:snapToGrid/>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Ⅲ类标准</w:t>
            </w:r>
          </w:p>
        </w:tc>
        <w:tc>
          <w:tcPr>
            <w:tcW w:w="1710" w:type="dxa"/>
            <w:vAlign w:val="center"/>
          </w:tcPr>
          <w:p>
            <w:pPr>
              <w:pStyle w:val="63"/>
              <w:keepNext w:val="0"/>
              <w:keepLines w:val="0"/>
              <w:pageBreakBefore w:val="0"/>
              <w:widowControl w:val="0"/>
              <w:kinsoku/>
              <w:wordWrap/>
              <w:overflowPunct/>
              <w:topLinePunct/>
              <w:autoSpaceDE w:val="0"/>
              <w:autoSpaceDN/>
              <w:bidi w:val="0"/>
              <w:adjustRightInd/>
              <w:snapToGrid/>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标准来源</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cantSplit/>
          <w:trHeight w:val="340" w:hRule="atLeast"/>
          <w:jc w:val="center"/>
        </w:trPr>
        <w:tc>
          <w:tcPr>
            <w:tcW w:w="7294" w:type="dxa"/>
            <w:gridSpan w:val="3"/>
            <w:vAlign w:val="center"/>
          </w:tcPr>
          <w:p>
            <w:pPr>
              <w:pStyle w:val="63"/>
              <w:keepNext w:val="0"/>
              <w:keepLines w:val="0"/>
              <w:pageBreakBefore w:val="0"/>
              <w:widowControl w:val="0"/>
              <w:kinsoku/>
              <w:wordWrap/>
              <w:overflowPunct/>
              <w:topLinePunct/>
              <w:autoSpaceDE w:val="0"/>
              <w:autoSpaceDN/>
              <w:bidi w:val="0"/>
              <w:adjustRightInd/>
              <w:snapToGrid/>
              <w:rPr>
                <w:rFonts w:hint="default" w:ascii="Arial" w:hAnsi="Arial" w:eastAsia="宋体" w:cs="Arial"/>
                <w:color w:val="auto"/>
                <w:sz w:val="21"/>
                <w:szCs w:val="21"/>
                <w:highlight w:val="none"/>
                <w:lang w:eastAsia="zh-CN"/>
              </w:rPr>
            </w:pPr>
            <w:r>
              <w:rPr>
                <w:rFonts w:hint="default" w:ascii="Arial" w:hAnsi="Arial" w:eastAsia="宋体" w:cs="Arial"/>
                <w:b/>
                <w:bCs/>
                <w:color w:val="auto"/>
                <w:sz w:val="21"/>
                <w:szCs w:val="21"/>
                <w:highlight w:val="none"/>
                <w:lang w:eastAsia="zh-CN"/>
              </w:rPr>
              <w:t>感官性状及一般化学指标</w:t>
            </w:r>
          </w:p>
        </w:tc>
        <w:tc>
          <w:tcPr>
            <w:tcW w:w="1710" w:type="dxa"/>
            <w:vMerge w:val="restart"/>
            <w:vAlign w:val="center"/>
          </w:tcPr>
          <w:p>
            <w:pPr>
              <w:pStyle w:val="63"/>
              <w:keepNext w:val="0"/>
              <w:keepLines w:val="0"/>
              <w:pageBreakBefore w:val="0"/>
              <w:widowControl w:val="0"/>
              <w:kinsoku/>
              <w:wordWrap/>
              <w:overflowPunct/>
              <w:topLinePunct/>
              <w:autoSpaceDE w:val="0"/>
              <w:autoSpaceDN/>
              <w:bidi w:val="0"/>
              <w:adjustRightInd/>
              <w:snapToGrid/>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《地下水质量标准》（GB/T14848-2017）</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32" w:type="dxa"/>
            <w:vAlign w:val="center"/>
          </w:tcPr>
          <w:p>
            <w:pPr>
              <w:pStyle w:val="63"/>
              <w:keepNext w:val="0"/>
              <w:keepLines w:val="0"/>
              <w:pageBreakBefore w:val="0"/>
              <w:widowControl w:val="0"/>
              <w:kinsoku/>
              <w:wordWrap/>
              <w:overflowPunct/>
              <w:topLinePunct/>
              <w:autoSpaceDE w:val="0"/>
              <w:autoSpaceDN/>
              <w:bidi w:val="0"/>
              <w:adjustRightInd/>
              <w:snapToGrid/>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1</w:t>
            </w:r>
          </w:p>
        </w:tc>
        <w:tc>
          <w:tcPr>
            <w:tcW w:w="2867" w:type="dxa"/>
            <w:vAlign w:val="center"/>
          </w:tcPr>
          <w:p>
            <w:pPr>
              <w:pStyle w:val="63"/>
              <w:keepNext w:val="0"/>
              <w:keepLines w:val="0"/>
              <w:pageBreakBefore w:val="0"/>
              <w:widowControl w:val="0"/>
              <w:kinsoku/>
              <w:wordWrap/>
              <w:overflowPunct/>
              <w:topLinePunct/>
              <w:autoSpaceDE w:val="0"/>
              <w:autoSpaceDN/>
              <w:bidi w:val="0"/>
              <w:adjustRightInd/>
              <w:snapToGrid/>
              <w:ind w:firstLine="0" w:firstLineChars="0"/>
              <w:rPr>
                <w:rFonts w:hint="default" w:ascii="Arial" w:hAnsi="Arial" w:eastAsia="宋体" w:cs="Arial"/>
                <w:color w:val="auto"/>
                <w:sz w:val="21"/>
                <w:szCs w:val="21"/>
                <w:highlight w:val="none"/>
                <w:lang w:eastAsia="zh-CN"/>
              </w:rPr>
            </w:pPr>
            <w:r>
              <w:rPr>
                <w:rFonts w:hint="default" w:ascii="Arial" w:hAnsi="Arial" w:eastAsia="宋体" w:cs="Arial"/>
                <w:color w:val="auto"/>
                <w:sz w:val="21"/>
                <w:szCs w:val="21"/>
                <w:highlight w:val="none"/>
                <w:lang w:eastAsia="zh-CN"/>
              </w:rPr>
              <w:t>色</w:t>
            </w:r>
          </w:p>
        </w:tc>
        <w:tc>
          <w:tcPr>
            <w:tcW w:w="3495" w:type="dxa"/>
            <w:vAlign w:val="center"/>
          </w:tcPr>
          <w:p>
            <w:pPr>
              <w:pStyle w:val="63"/>
              <w:keepNext w:val="0"/>
              <w:keepLines w:val="0"/>
              <w:pageBreakBefore w:val="0"/>
              <w:widowControl w:val="0"/>
              <w:kinsoku/>
              <w:wordWrap/>
              <w:overflowPunct/>
              <w:topLinePunct/>
              <w:autoSpaceDE w:val="0"/>
              <w:autoSpaceDN/>
              <w:bidi w:val="0"/>
              <w:adjustRightInd/>
              <w:snapToGrid/>
              <w:ind w:firstLine="0" w:firstLineChars="0"/>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highlight w:val="none"/>
                <w:lang w:val="en-US" w:eastAsia="zh-CN"/>
              </w:rPr>
              <w:t>15</w:t>
            </w:r>
          </w:p>
        </w:tc>
        <w:tc>
          <w:tcPr>
            <w:tcW w:w="1710" w:type="dxa"/>
            <w:vMerge w:val="continue"/>
            <w:vAlign w:val="center"/>
          </w:tcPr>
          <w:p>
            <w:pPr>
              <w:pStyle w:val="63"/>
              <w:keepNext w:val="0"/>
              <w:keepLines w:val="0"/>
              <w:pageBreakBefore w:val="0"/>
              <w:widowControl w:val="0"/>
              <w:kinsoku/>
              <w:wordWrap/>
              <w:overflowPunct/>
              <w:topLinePunct/>
              <w:autoSpaceDE w:val="0"/>
              <w:autoSpaceDN/>
              <w:bidi w:val="0"/>
              <w:adjustRightInd/>
              <w:snapToGrid/>
              <w:rPr>
                <w:rFonts w:hint="default" w:ascii="Arial" w:hAnsi="Arial" w:eastAsia="宋体" w:cs="Arial"/>
                <w:color w:val="auto"/>
                <w:sz w:val="21"/>
                <w:szCs w:val="21"/>
                <w:highlight w:val="none"/>
              </w:rPr>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32" w:type="dxa"/>
            <w:vAlign w:val="center"/>
          </w:tcPr>
          <w:p>
            <w:pPr>
              <w:pStyle w:val="63"/>
              <w:keepNext w:val="0"/>
              <w:keepLines w:val="0"/>
              <w:pageBreakBefore w:val="0"/>
              <w:widowControl w:val="0"/>
              <w:kinsoku/>
              <w:wordWrap/>
              <w:overflowPunct/>
              <w:topLinePunct/>
              <w:autoSpaceDE w:val="0"/>
              <w:autoSpaceDN/>
              <w:bidi w:val="0"/>
              <w:adjustRightInd/>
              <w:snapToGrid/>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2</w:t>
            </w:r>
          </w:p>
        </w:tc>
        <w:tc>
          <w:tcPr>
            <w:tcW w:w="2867" w:type="dxa"/>
            <w:vAlign w:val="center"/>
          </w:tcPr>
          <w:p>
            <w:pPr>
              <w:pStyle w:val="63"/>
              <w:keepNext w:val="0"/>
              <w:keepLines w:val="0"/>
              <w:pageBreakBefore w:val="0"/>
              <w:widowControl w:val="0"/>
              <w:kinsoku/>
              <w:wordWrap/>
              <w:overflowPunct/>
              <w:topLinePunct/>
              <w:autoSpaceDE w:val="0"/>
              <w:autoSpaceDN/>
              <w:bidi w:val="0"/>
              <w:adjustRightInd/>
              <w:snapToGrid/>
              <w:ind w:firstLine="0" w:firstLineChars="0"/>
              <w:rPr>
                <w:rFonts w:hint="default" w:ascii="Arial" w:hAnsi="Arial" w:eastAsia="宋体" w:cs="Arial"/>
                <w:color w:val="auto"/>
                <w:sz w:val="21"/>
                <w:szCs w:val="21"/>
                <w:highlight w:val="none"/>
                <w:lang w:eastAsia="zh-CN"/>
              </w:rPr>
            </w:pPr>
            <w:r>
              <w:rPr>
                <w:rFonts w:hint="default" w:ascii="Arial" w:hAnsi="Arial" w:eastAsia="宋体" w:cs="Arial"/>
                <w:color w:val="auto"/>
                <w:sz w:val="21"/>
                <w:szCs w:val="21"/>
                <w:highlight w:val="none"/>
                <w:lang w:eastAsia="zh-CN"/>
              </w:rPr>
              <w:t>嗅和味</w:t>
            </w:r>
          </w:p>
        </w:tc>
        <w:tc>
          <w:tcPr>
            <w:tcW w:w="3495" w:type="dxa"/>
            <w:vAlign w:val="center"/>
          </w:tcPr>
          <w:p>
            <w:pPr>
              <w:pStyle w:val="63"/>
              <w:keepNext w:val="0"/>
              <w:keepLines w:val="0"/>
              <w:pageBreakBefore w:val="0"/>
              <w:widowControl w:val="0"/>
              <w:kinsoku/>
              <w:wordWrap/>
              <w:overflowPunct/>
              <w:topLinePunct/>
              <w:autoSpaceDE w:val="0"/>
              <w:autoSpaceDN/>
              <w:bidi w:val="0"/>
              <w:adjustRightInd/>
              <w:snapToGrid/>
              <w:ind w:firstLine="0" w:firstLineChars="0"/>
              <w:rPr>
                <w:rFonts w:hint="default" w:ascii="Arial" w:hAnsi="Arial" w:eastAsia="宋体" w:cs="Arial"/>
                <w:color w:val="auto"/>
                <w:sz w:val="21"/>
                <w:szCs w:val="21"/>
                <w:highlight w:val="none"/>
                <w:lang w:eastAsia="zh-CN"/>
              </w:rPr>
            </w:pPr>
            <w:r>
              <w:rPr>
                <w:rFonts w:hint="default" w:ascii="Arial" w:hAnsi="Arial" w:eastAsia="宋体" w:cs="Arial"/>
                <w:color w:val="auto"/>
                <w:sz w:val="21"/>
                <w:szCs w:val="21"/>
                <w:highlight w:val="none"/>
                <w:lang w:eastAsia="zh-CN"/>
              </w:rPr>
              <w:t>无</w:t>
            </w:r>
          </w:p>
        </w:tc>
        <w:tc>
          <w:tcPr>
            <w:tcW w:w="1710" w:type="dxa"/>
            <w:vMerge w:val="continue"/>
            <w:vAlign w:val="center"/>
          </w:tcPr>
          <w:p>
            <w:pPr>
              <w:pStyle w:val="63"/>
              <w:keepNext w:val="0"/>
              <w:keepLines w:val="0"/>
              <w:pageBreakBefore w:val="0"/>
              <w:widowControl w:val="0"/>
              <w:kinsoku/>
              <w:wordWrap/>
              <w:overflowPunct/>
              <w:topLinePunct/>
              <w:autoSpaceDE w:val="0"/>
              <w:autoSpaceDN/>
              <w:bidi w:val="0"/>
              <w:adjustRightInd/>
              <w:snapToGrid/>
              <w:rPr>
                <w:rFonts w:hint="default" w:ascii="Arial" w:hAnsi="Arial" w:eastAsia="宋体" w:cs="Arial"/>
                <w:color w:val="auto"/>
                <w:sz w:val="21"/>
                <w:szCs w:val="21"/>
                <w:highlight w:val="none"/>
              </w:rPr>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32" w:type="dxa"/>
            <w:vAlign w:val="center"/>
          </w:tcPr>
          <w:p>
            <w:pPr>
              <w:pStyle w:val="63"/>
              <w:keepNext w:val="0"/>
              <w:keepLines w:val="0"/>
              <w:pageBreakBefore w:val="0"/>
              <w:widowControl w:val="0"/>
              <w:kinsoku/>
              <w:wordWrap/>
              <w:overflowPunct/>
              <w:topLinePunct/>
              <w:autoSpaceDE w:val="0"/>
              <w:autoSpaceDN/>
              <w:bidi w:val="0"/>
              <w:adjustRightInd/>
              <w:snapToGrid/>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3</w:t>
            </w:r>
          </w:p>
        </w:tc>
        <w:tc>
          <w:tcPr>
            <w:tcW w:w="2867" w:type="dxa"/>
            <w:vAlign w:val="center"/>
          </w:tcPr>
          <w:p>
            <w:pPr>
              <w:pStyle w:val="63"/>
              <w:keepNext w:val="0"/>
              <w:keepLines w:val="0"/>
              <w:pageBreakBefore w:val="0"/>
              <w:widowControl w:val="0"/>
              <w:kinsoku/>
              <w:wordWrap/>
              <w:overflowPunct/>
              <w:topLinePunct/>
              <w:autoSpaceDE w:val="0"/>
              <w:autoSpaceDN/>
              <w:bidi w:val="0"/>
              <w:adjustRightInd/>
              <w:snapToGrid/>
              <w:ind w:firstLine="0" w:firstLineChars="0"/>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highlight w:val="none"/>
                <w:lang w:eastAsia="zh-CN"/>
              </w:rPr>
              <w:t>浑浊度</w:t>
            </w:r>
          </w:p>
        </w:tc>
        <w:tc>
          <w:tcPr>
            <w:tcW w:w="3495" w:type="dxa"/>
            <w:vAlign w:val="center"/>
          </w:tcPr>
          <w:p>
            <w:pPr>
              <w:pStyle w:val="63"/>
              <w:keepNext w:val="0"/>
              <w:keepLines w:val="0"/>
              <w:pageBreakBefore w:val="0"/>
              <w:widowControl w:val="0"/>
              <w:kinsoku/>
              <w:wordWrap/>
              <w:overflowPunct/>
              <w:topLinePunct/>
              <w:autoSpaceDE w:val="0"/>
              <w:autoSpaceDN/>
              <w:bidi w:val="0"/>
              <w:adjustRightInd/>
              <w:snapToGrid/>
              <w:ind w:firstLine="0" w:firstLineChars="0"/>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highlight w:val="none"/>
                <w:lang w:val="en-US" w:eastAsia="zh-CN"/>
              </w:rPr>
              <w:t>3</w:t>
            </w:r>
          </w:p>
        </w:tc>
        <w:tc>
          <w:tcPr>
            <w:tcW w:w="1710" w:type="dxa"/>
            <w:vMerge w:val="continue"/>
            <w:vAlign w:val="center"/>
          </w:tcPr>
          <w:p>
            <w:pPr>
              <w:pStyle w:val="63"/>
              <w:keepNext w:val="0"/>
              <w:keepLines w:val="0"/>
              <w:pageBreakBefore w:val="0"/>
              <w:widowControl w:val="0"/>
              <w:kinsoku/>
              <w:wordWrap/>
              <w:overflowPunct/>
              <w:topLinePunct/>
              <w:autoSpaceDE w:val="0"/>
              <w:autoSpaceDN/>
              <w:bidi w:val="0"/>
              <w:adjustRightInd/>
              <w:snapToGrid/>
              <w:rPr>
                <w:rFonts w:hint="default" w:ascii="Arial" w:hAnsi="Arial" w:eastAsia="宋体" w:cs="Arial"/>
                <w:color w:val="auto"/>
                <w:sz w:val="21"/>
                <w:szCs w:val="21"/>
                <w:highlight w:val="none"/>
              </w:rPr>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32" w:type="dxa"/>
            <w:vAlign w:val="center"/>
          </w:tcPr>
          <w:p>
            <w:pPr>
              <w:pStyle w:val="63"/>
              <w:keepNext w:val="0"/>
              <w:keepLines w:val="0"/>
              <w:pageBreakBefore w:val="0"/>
              <w:widowControl w:val="0"/>
              <w:kinsoku/>
              <w:wordWrap/>
              <w:overflowPunct/>
              <w:topLinePunct/>
              <w:autoSpaceDE w:val="0"/>
              <w:autoSpaceDN/>
              <w:bidi w:val="0"/>
              <w:adjustRightInd/>
              <w:snapToGrid/>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4</w:t>
            </w:r>
          </w:p>
        </w:tc>
        <w:tc>
          <w:tcPr>
            <w:tcW w:w="2867" w:type="dxa"/>
            <w:vAlign w:val="center"/>
          </w:tcPr>
          <w:p>
            <w:pPr>
              <w:pStyle w:val="63"/>
              <w:keepNext w:val="0"/>
              <w:keepLines w:val="0"/>
              <w:pageBreakBefore w:val="0"/>
              <w:widowControl w:val="0"/>
              <w:kinsoku/>
              <w:wordWrap/>
              <w:overflowPunct/>
              <w:topLinePunct/>
              <w:autoSpaceDE w:val="0"/>
              <w:autoSpaceDN/>
              <w:bidi w:val="0"/>
              <w:adjustRightInd/>
              <w:snapToGrid/>
              <w:ind w:firstLine="0" w:firstLineChars="0"/>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highlight w:val="none"/>
                <w:lang w:eastAsia="zh-CN"/>
              </w:rPr>
              <w:t>肉眼可见物</w:t>
            </w:r>
          </w:p>
        </w:tc>
        <w:tc>
          <w:tcPr>
            <w:tcW w:w="3495" w:type="dxa"/>
            <w:vAlign w:val="center"/>
          </w:tcPr>
          <w:p>
            <w:pPr>
              <w:pStyle w:val="63"/>
              <w:keepNext w:val="0"/>
              <w:keepLines w:val="0"/>
              <w:pageBreakBefore w:val="0"/>
              <w:widowControl w:val="0"/>
              <w:kinsoku/>
              <w:wordWrap/>
              <w:overflowPunct/>
              <w:topLinePunct/>
              <w:autoSpaceDE w:val="0"/>
              <w:autoSpaceDN/>
              <w:bidi w:val="0"/>
              <w:adjustRightInd/>
              <w:snapToGrid/>
              <w:ind w:firstLine="0" w:firstLineChars="0"/>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highlight w:val="none"/>
                <w:lang w:val="en-US" w:eastAsia="zh-CN"/>
              </w:rPr>
              <w:t>无</w:t>
            </w:r>
          </w:p>
        </w:tc>
        <w:tc>
          <w:tcPr>
            <w:tcW w:w="1710" w:type="dxa"/>
            <w:vMerge w:val="continue"/>
            <w:vAlign w:val="center"/>
          </w:tcPr>
          <w:p>
            <w:pPr>
              <w:pStyle w:val="63"/>
              <w:keepNext w:val="0"/>
              <w:keepLines w:val="0"/>
              <w:pageBreakBefore w:val="0"/>
              <w:widowControl w:val="0"/>
              <w:kinsoku/>
              <w:wordWrap/>
              <w:overflowPunct/>
              <w:topLinePunct/>
              <w:autoSpaceDE w:val="0"/>
              <w:autoSpaceDN/>
              <w:bidi w:val="0"/>
              <w:adjustRightInd/>
              <w:snapToGrid/>
              <w:rPr>
                <w:rFonts w:hint="default" w:ascii="Arial" w:hAnsi="Arial" w:eastAsia="宋体" w:cs="Arial"/>
                <w:color w:val="auto"/>
                <w:sz w:val="21"/>
                <w:szCs w:val="21"/>
                <w:highlight w:val="none"/>
              </w:rPr>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32" w:type="dxa"/>
            <w:vAlign w:val="center"/>
          </w:tcPr>
          <w:p>
            <w:pPr>
              <w:pStyle w:val="63"/>
              <w:keepNext w:val="0"/>
              <w:keepLines w:val="0"/>
              <w:pageBreakBefore w:val="0"/>
              <w:widowControl w:val="0"/>
              <w:kinsoku/>
              <w:wordWrap/>
              <w:overflowPunct/>
              <w:topLinePunct/>
              <w:autoSpaceDE w:val="0"/>
              <w:autoSpaceDN/>
              <w:bidi w:val="0"/>
              <w:adjustRightInd/>
              <w:snapToGrid/>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5</w:t>
            </w:r>
          </w:p>
        </w:tc>
        <w:tc>
          <w:tcPr>
            <w:tcW w:w="2867" w:type="dxa"/>
            <w:vAlign w:val="center"/>
          </w:tcPr>
          <w:p>
            <w:pPr>
              <w:pStyle w:val="63"/>
              <w:keepNext w:val="0"/>
              <w:keepLines w:val="0"/>
              <w:pageBreakBefore w:val="0"/>
              <w:widowControl w:val="0"/>
              <w:kinsoku/>
              <w:wordWrap/>
              <w:overflowPunct/>
              <w:topLinePunct/>
              <w:autoSpaceDE w:val="0"/>
              <w:autoSpaceDN/>
              <w:bidi w:val="0"/>
              <w:adjustRightInd/>
              <w:snapToGrid/>
              <w:ind w:firstLine="0" w:firstLineChars="0"/>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highlight w:val="none"/>
                <w:lang w:eastAsia="zh-CN"/>
              </w:rPr>
              <w:t>pH</w:t>
            </w:r>
          </w:p>
        </w:tc>
        <w:tc>
          <w:tcPr>
            <w:tcW w:w="3495" w:type="dxa"/>
            <w:vAlign w:val="center"/>
          </w:tcPr>
          <w:p>
            <w:pPr>
              <w:pStyle w:val="63"/>
              <w:keepNext w:val="0"/>
              <w:keepLines w:val="0"/>
              <w:pageBreakBefore w:val="0"/>
              <w:widowControl w:val="0"/>
              <w:kinsoku/>
              <w:wordWrap/>
              <w:overflowPunct/>
              <w:topLinePunct/>
              <w:autoSpaceDE w:val="0"/>
              <w:autoSpaceDN/>
              <w:bidi w:val="0"/>
              <w:adjustRightInd/>
              <w:snapToGrid/>
              <w:ind w:firstLine="0" w:firstLineChars="0"/>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highlight w:val="none"/>
                <w:lang w:eastAsia="zh-CN"/>
              </w:rPr>
              <w:t>6.5-8.5</w:t>
            </w:r>
          </w:p>
        </w:tc>
        <w:tc>
          <w:tcPr>
            <w:tcW w:w="1710" w:type="dxa"/>
            <w:vMerge w:val="continue"/>
            <w:vAlign w:val="center"/>
          </w:tcPr>
          <w:p>
            <w:pPr>
              <w:pStyle w:val="63"/>
              <w:keepNext w:val="0"/>
              <w:keepLines w:val="0"/>
              <w:pageBreakBefore w:val="0"/>
              <w:widowControl w:val="0"/>
              <w:kinsoku/>
              <w:wordWrap/>
              <w:overflowPunct/>
              <w:topLinePunct/>
              <w:autoSpaceDE w:val="0"/>
              <w:autoSpaceDN/>
              <w:bidi w:val="0"/>
              <w:adjustRightInd/>
              <w:snapToGrid/>
              <w:rPr>
                <w:rFonts w:hint="default" w:ascii="Arial" w:hAnsi="Arial" w:eastAsia="宋体" w:cs="Arial"/>
                <w:color w:val="auto"/>
                <w:sz w:val="21"/>
                <w:szCs w:val="21"/>
                <w:highlight w:val="none"/>
              </w:rPr>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32" w:type="dxa"/>
            <w:vAlign w:val="center"/>
          </w:tcPr>
          <w:p>
            <w:pPr>
              <w:pStyle w:val="63"/>
              <w:keepNext w:val="0"/>
              <w:keepLines w:val="0"/>
              <w:pageBreakBefore w:val="0"/>
              <w:widowControl w:val="0"/>
              <w:kinsoku/>
              <w:wordWrap/>
              <w:overflowPunct/>
              <w:topLinePunct/>
              <w:autoSpaceDE w:val="0"/>
              <w:autoSpaceDN/>
              <w:bidi w:val="0"/>
              <w:adjustRightInd/>
              <w:snapToGrid/>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6</w:t>
            </w:r>
          </w:p>
        </w:tc>
        <w:tc>
          <w:tcPr>
            <w:tcW w:w="2867" w:type="dxa"/>
            <w:vAlign w:val="center"/>
          </w:tcPr>
          <w:p>
            <w:pPr>
              <w:pStyle w:val="63"/>
              <w:keepNext w:val="0"/>
              <w:keepLines w:val="0"/>
              <w:pageBreakBefore w:val="0"/>
              <w:widowControl w:val="0"/>
              <w:kinsoku/>
              <w:wordWrap/>
              <w:overflowPunct/>
              <w:topLinePunct/>
              <w:autoSpaceDE w:val="0"/>
              <w:autoSpaceDN/>
              <w:bidi w:val="0"/>
              <w:adjustRightInd/>
              <w:snapToGrid/>
              <w:ind w:firstLine="0" w:firstLineChars="0"/>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highlight w:val="none"/>
                <w:lang w:eastAsia="zh-CN"/>
              </w:rPr>
              <w:t>总硬度</w:t>
            </w:r>
          </w:p>
        </w:tc>
        <w:tc>
          <w:tcPr>
            <w:tcW w:w="3495" w:type="dxa"/>
            <w:vAlign w:val="center"/>
          </w:tcPr>
          <w:p>
            <w:pPr>
              <w:pStyle w:val="63"/>
              <w:keepNext w:val="0"/>
              <w:keepLines w:val="0"/>
              <w:pageBreakBefore w:val="0"/>
              <w:widowControl w:val="0"/>
              <w:kinsoku/>
              <w:wordWrap/>
              <w:overflowPunct/>
              <w:topLinePunct/>
              <w:autoSpaceDE w:val="0"/>
              <w:autoSpaceDN/>
              <w:bidi w:val="0"/>
              <w:adjustRightInd/>
              <w:snapToGrid/>
              <w:ind w:firstLine="0" w:firstLineChars="0"/>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highlight w:val="none"/>
                <w:lang w:val="en-US" w:eastAsia="zh-CN"/>
              </w:rPr>
              <w:t>450</w:t>
            </w:r>
          </w:p>
        </w:tc>
        <w:tc>
          <w:tcPr>
            <w:tcW w:w="1710" w:type="dxa"/>
            <w:vMerge w:val="continue"/>
            <w:vAlign w:val="center"/>
          </w:tcPr>
          <w:p>
            <w:pPr>
              <w:pStyle w:val="63"/>
              <w:keepNext w:val="0"/>
              <w:keepLines w:val="0"/>
              <w:pageBreakBefore w:val="0"/>
              <w:widowControl w:val="0"/>
              <w:kinsoku/>
              <w:wordWrap/>
              <w:overflowPunct/>
              <w:topLinePunct/>
              <w:autoSpaceDE w:val="0"/>
              <w:autoSpaceDN/>
              <w:bidi w:val="0"/>
              <w:adjustRightInd/>
              <w:snapToGrid/>
              <w:rPr>
                <w:rFonts w:hint="default" w:ascii="Arial" w:hAnsi="Arial" w:eastAsia="宋体" w:cs="Arial"/>
                <w:color w:val="auto"/>
                <w:sz w:val="21"/>
                <w:szCs w:val="21"/>
                <w:highlight w:val="none"/>
              </w:rPr>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32" w:type="dxa"/>
            <w:vAlign w:val="center"/>
          </w:tcPr>
          <w:p>
            <w:pPr>
              <w:pStyle w:val="63"/>
              <w:keepNext w:val="0"/>
              <w:keepLines w:val="0"/>
              <w:pageBreakBefore w:val="0"/>
              <w:widowControl w:val="0"/>
              <w:kinsoku/>
              <w:wordWrap/>
              <w:overflowPunct/>
              <w:topLinePunct/>
              <w:autoSpaceDE w:val="0"/>
              <w:autoSpaceDN/>
              <w:bidi w:val="0"/>
              <w:adjustRightInd/>
              <w:snapToGrid/>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7</w:t>
            </w:r>
          </w:p>
        </w:tc>
        <w:tc>
          <w:tcPr>
            <w:tcW w:w="2867" w:type="dxa"/>
            <w:vAlign w:val="center"/>
          </w:tcPr>
          <w:p>
            <w:pPr>
              <w:pStyle w:val="63"/>
              <w:keepNext w:val="0"/>
              <w:keepLines w:val="0"/>
              <w:pageBreakBefore w:val="0"/>
              <w:widowControl w:val="0"/>
              <w:kinsoku/>
              <w:wordWrap/>
              <w:overflowPunct/>
              <w:topLinePunct/>
              <w:autoSpaceDE w:val="0"/>
              <w:autoSpaceDN/>
              <w:bidi w:val="0"/>
              <w:adjustRightInd/>
              <w:snapToGrid/>
              <w:ind w:firstLine="0" w:firstLineChars="0"/>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highlight w:val="none"/>
                <w:lang w:eastAsia="zh-CN"/>
              </w:rPr>
              <w:t>溶解性总固体</w:t>
            </w:r>
          </w:p>
        </w:tc>
        <w:tc>
          <w:tcPr>
            <w:tcW w:w="3495" w:type="dxa"/>
            <w:vAlign w:val="center"/>
          </w:tcPr>
          <w:p>
            <w:pPr>
              <w:pStyle w:val="63"/>
              <w:keepNext w:val="0"/>
              <w:keepLines w:val="0"/>
              <w:pageBreakBefore w:val="0"/>
              <w:widowControl w:val="0"/>
              <w:kinsoku/>
              <w:wordWrap/>
              <w:overflowPunct/>
              <w:topLinePunct/>
              <w:autoSpaceDE w:val="0"/>
              <w:autoSpaceDN/>
              <w:bidi w:val="0"/>
              <w:adjustRightInd/>
              <w:snapToGrid/>
              <w:ind w:firstLine="0" w:firstLineChars="0"/>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highlight w:val="none"/>
                <w:lang w:val="en-US" w:eastAsia="zh-CN"/>
              </w:rPr>
              <w:t>1000</w:t>
            </w:r>
          </w:p>
        </w:tc>
        <w:tc>
          <w:tcPr>
            <w:tcW w:w="1710" w:type="dxa"/>
            <w:vMerge w:val="continue"/>
            <w:vAlign w:val="center"/>
          </w:tcPr>
          <w:p>
            <w:pPr>
              <w:pStyle w:val="63"/>
              <w:keepNext w:val="0"/>
              <w:keepLines w:val="0"/>
              <w:pageBreakBefore w:val="0"/>
              <w:widowControl w:val="0"/>
              <w:kinsoku/>
              <w:wordWrap/>
              <w:overflowPunct/>
              <w:topLinePunct/>
              <w:autoSpaceDE w:val="0"/>
              <w:autoSpaceDN/>
              <w:bidi w:val="0"/>
              <w:adjustRightInd/>
              <w:snapToGrid/>
              <w:rPr>
                <w:rFonts w:hint="default" w:ascii="Arial" w:hAnsi="Arial" w:eastAsia="宋体" w:cs="Arial"/>
                <w:color w:val="auto"/>
                <w:sz w:val="21"/>
                <w:szCs w:val="21"/>
                <w:highlight w:val="none"/>
              </w:rPr>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32" w:type="dxa"/>
            <w:vAlign w:val="center"/>
          </w:tcPr>
          <w:p>
            <w:pPr>
              <w:pStyle w:val="63"/>
              <w:keepNext w:val="0"/>
              <w:keepLines w:val="0"/>
              <w:pageBreakBefore w:val="0"/>
              <w:widowControl w:val="0"/>
              <w:kinsoku/>
              <w:wordWrap/>
              <w:overflowPunct/>
              <w:topLinePunct/>
              <w:autoSpaceDE w:val="0"/>
              <w:autoSpaceDN/>
              <w:bidi w:val="0"/>
              <w:adjustRightInd/>
              <w:snapToGrid/>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8</w:t>
            </w:r>
          </w:p>
        </w:tc>
        <w:tc>
          <w:tcPr>
            <w:tcW w:w="2867" w:type="dxa"/>
            <w:vAlign w:val="center"/>
          </w:tcPr>
          <w:p>
            <w:pPr>
              <w:pStyle w:val="63"/>
              <w:keepNext w:val="0"/>
              <w:keepLines w:val="0"/>
              <w:pageBreakBefore w:val="0"/>
              <w:widowControl w:val="0"/>
              <w:kinsoku/>
              <w:wordWrap/>
              <w:overflowPunct/>
              <w:topLinePunct/>
              <w:autoSpaceDE w:val="0"/>
              <w:autoSpaceDN/>
              <w:bidi w:val="0"/>
              <w:adjustRightInd/>
              <w:snapToGrid/>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硫酸盐</w:t>
            </w:r>
          </w:p>
        </w:tc>
        <w:tc>
          <w:tcPr>
            <w:tcW w:w="3495" w:type="dxa"/>
            <w:vAlign w:val="center"/>
          </w:tcPr>
          <w:p>
            <w:pPr>
              <w:pStyle w:val="63"/>
              <w:keepNext w:val="0"/>
              <w:keepLines w:val="0"/>
              <w:pageBreakBefore w:val="0"/>
              <w:widowControl w:val="0"/>
              <w:kinsoku/>
              <w:wordWrap/>
              <w:overflowPunct/>
              <w:topLinePunct/>
              <w:autoSpaceDE w:val="0"/>
              <w:autoSpaceDN/>
              <w:bidi w:val="0"/>
              <w:adjustRightInd/>
              <w:snapToGrid/>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250</w:t>
            </w:r>
          </w:p>
        </w:tc>
        <w:tc>
          <w:tcPr>
            <w:tcW w:w="1710" w:type="dxa"/>
            <w:vMerge w:val="continue"/>
            <w:vAlign w:val="center"/>
          </w:tcPr>
          <w:p>
            <w:pPr>
              <w:pStyle w:val="63"/>
              <w:keepNext w:val="0"/>
              <w:keepLines w:val="0"/>
              <w:pageBreakBefore w:val="0"/>
              <w:widowControl w:val="0"/>
              <w:kinsoku/>
              <w:wordWrap/>
              <w:overflowPunct/>
              <w:topLinePunct/>
              <w:autoSpaceDE w:val="0"/>
              <w:autoSpaceDN/>
              <w:bidi w:val="0"/>
              <w:adjustRightInd/>
              <w:snapToGrid/>
              <w:rPr>
                <w:rFonts w:hint="default" w:ascii="Arial" w:hAnsi="Arial" w:eastAsia="宋体" w:cs="Arial"/>
                <w:color w:val="auto"/>
                <w:sz w:val="21"/>
                <w:szCs w:val="21"/>
                <w:highlight w:val="none"/>
              </w:rPr>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32" w:type="dxa"/>
            <w:vAlign w:val="center"/>
          </w:tcPr>
          <w:p>
            <w:pPr>
              <w:pStyle w:val="63"/>
              <w:keepNext w:val="0"/>
              <w:keepLines w:val="0"/>
              <w:pageBreakBefore w:val="0"/>
              <w:widowControl w:val="0"/>
              <w:kinsoku/>
              <w:wordWrap/>
              <w:overflowPunct/>
              <w:topLinePunct/>
              <w:autoSpaceDE w:val="0"/>
              <w:autoSpaceDN/>
              <w:bidi w:val="0"/>
              <w:adjustRightInd/>
              <w:snapToGrid/>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9</w:t>
            </w:r>
          </w:p>
        </w:tc>
        <w:tc>
          <w:tcPr>
            <w:tcW w:w="2867" w:type="dxa"/>
            <w:vAlign w:val="center"/>
          </w:tcPr>
          <w:p>
            <w:pPr>
              <w:pStyle w:val="63"/>
              <w:keepNext w:val="0"/>
              <w:keepLines w:val="0"/>
              <w:pageBreakBefore w:val="0"/>
              <w:widowControl w:val="0"/>
              <w:kinsoku/>
              <w:wordWrap/>
              <w:overflowPunct/>
              <w:topLinePunct/>
              <w:autoSpaceDE w:val="0"/>
              <w:autoSpaceDN/>
              <w:bidi w:val="0"/>
              <w:adjustRightInd/>
              <w:snapToGrid/>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氯化物</w:t>
            </w:r>
          </w:p>
        </w:tc>
        <w:tc>
          <w:tcPr>
            <w:tcW w:w="3495" w:type="dxa"/>
            <w:vAlign w:val="center"/>
          </w:tcPr>
          <w:p>
            <w:pPr>
              <w:pStyle w:val="63"/>
              <w:keepNext w:val="0"/>
              <w:keepLines w:val="0"/>
              <w:pageBreakBefore w:val="0"/>
              <w:widowControl w:val="0"/>
              <w:kinsoku/>
              <w:wordWrap/>
              <w:overflowPunct/>
              <w:topLinePunct/>
              <w:autoSpaceDE w:val="0"/>
              <w:autoSpaceDN/>
              <w:bidi w:val="0"/>
              <w:adjustRightInd/>
              <w:snapToGrid/>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250</w:t>
            </w:r>
          </w:p>
        </w:tc>
        <w:tc>
          <w:tcPr>
            <w:tcW w:w="1710" w:type="dxa"/>
            <w:vMerge w:val="continue"/>
            <w:vAlign w:val="center"/>
          </w:tcPr>
          <w:p>
            <w:pPr>
              <w:pStyle w:val="63"/>
              <w:keepNext w:val="0"/>
              <w:keepLines w:val="0"/>
              <w:pageBreakBefore w:val="0"/>
              <w:widowControl w:val="0"/>
              <w:kinsoku/>
              <w:wordWrap/>
              <w:overflowPunct/>
              <w:topLinePunct/>
              <w:autoSpaceDE w:val="0"/>
              <w:autoSpaceDN/>
              <w:bidi w:val="0"/>
              <w:adjustRightInd/>
              <w:snapToGrid/>
              <w:rPr>
                <w:rFonts w:hint="default" w:ascii="Arial" w:hAnsi="Arial" w:eastAsia="宋体" w:cs="Arial"/>
                <w:color w:val="auto"/>
                <w:sz w:val="21"/>
                <w:szCs w:val="21"/>
                <w:highlight w:val="none"/>
              </w:rPr>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32" w:type="dxa"/>
            <w:vAlign w:val="center"/>
          </w:tcPr>
          <w:p>
            <w:pPr>
              <w:pStyle w:val="63"/>
              <w:keepNext w:val="0"/>
              <w:keepLines w:val="0"/>
              <w:pageBreakBefore w:val="0"/>
              <w:widowControl w:val="0"/>
              <w:kinsoku/>
              <w:wordWrap/>
              <w:overflowPunct/>
              <w:topLinePunct/>
              <w:autoSpaceDE w:val="0"/>
              <w:autoSpaceDN/>
              <w:bidi w:val="0"/>
              <w:adjustRightInd/>
              <w:snapToGrid/>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10</w:t>
            </w:r>
          </w:p>
        </w:tc>
        <w:tc>
          <w:tcPr>
            <w:tcW w:w="2867" w:type="dxa"/>
            <w:vAlign w:val="center"/>
          </w:tcPr>
          <w:p>
            <w:pPr>
              <w:pStyle w:val="63"/>
              <w:keepNext w:val="0"/>
              <w:keepLines w:val="0"/>
              <w:pageBreakBefore w:val="0"/>
              <w:widowControl w:val="0"/>
              <w:kinsoku/>
              <w:wordWrap/>
              <w:overflowPunct/>
              <w:topLinePunct/>
              <w:autoSpaceDE w:val="0"/>
              <w:autoSpaceDN/>
              <w:bidi w:val="0"/>
              <w:adjustRightInd/>
              <w:snapToGrid/>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铁</w:t>
            </w:r>
          </w:p>
        </w:tc>
        <w:tc>
          <w:tcPr>
            <w:tcW w:w="3495" w:type="dxa"/>
            <w:vAlign w:val="center"/>
          </w:tcPr>
          <w:p>
            <w:pPr>
              <w:pStyle w:val="63"/>
              <w:keepNext w:val="0"/>
              <w:keepLines w:val="0"/>
              <w:pageBreakBefore w:val="0"/>
              <w:widowControl w:val="0"/>
              <w:kinsoku/>
              <w:wordWrap/>
              <w:overflowPunct/>
              <w:topLinePunct/>
              <w:autoSpaceDE w:val="0"/>
              <w:autoSpaceDN/>
              <w:bidi w:val="0"/>
              <w:adjustRightInd/>
              <w:snapToGrid/>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0.3</w:t>
            </w:r>
          </w:p>
        </w:tc>
        <w:tc>
          <w:tcPr>
            <w:tcW w:w="1710" w:type="dxa"/>
            <w:vMerge w:val="continue"/>
            <w:vAlign w:val="center"/>
          </w:tcPr>
          <w:p>
            <w:pPr>
              <w:pStyle w:val="63"/>
              <w:keepNext w:val="0"/>
              <w:keepLines w:val="0"/>
              <w:pageBreakBefore w:val="0"/>
              <w:widowControl w:val="0"/>
              <w:kinsoku/>
              <w:wordWrap/>
              <w:overflowPunct/>
              <w:topLinePunct/>
              <w:autoSpaceDE w:val="0"/>
              <w:autoSpaceDN/>
              <w:bidi w:val="0"/>
              <w:adjustRightInd/>
              <w:snapToGrid/>
              <w:rPr>
                <w:rFonts w:hint="default" w:ascii="Arial" w:hAnsi="Arial" w:eastAsia="宋体" w:cs="Arial"/>
                <w:color w:val="auto"/>
                <w:sz w:val="21"/>
                <w:szCs w:val="21"/>
                <w:highlight w:val="none"/>
              </w:rPr>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32" w:type="dxa"/>
            <w:vAlign w:val="center"/>
          </w:tcPr>
          <w:p>
            <w:pPr>
              <w:pStyle w:val="63"/>
              <w:keepNext w:val="0"/>
              <w:keepLines w:val="0"/>
              <w:pageBreakBefore w:val="0"/>
              <w:widowControl w:val="0"/>
              <w:kinsoku/>
              <w:wordWrap/>
              <w:overflowPunct/>
              <w:topLinePunct/>
              <w:autoSpaceDE w:val="0"/>
              <w:autoSpaceDN/>
              <w:bidi w:val="0"/>
              <w:adjustRightInd/>
              <w:snapToGrid/>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11</w:t>
            </w:r>
          </w:p>
        </w:tc>
        <w:tc>
          <w:tcPr>
            <w:tcW w:w="2867" w:type="dxa"/>
            <w:vAlign w:val="center"/>
          </w:tcPr>
          <w:p>
            <w:pPr>
              <w:pStyle w:val="63"/>
              <w:keepNext w:val="0"/>
              <w:keepLines w:val="0"/>
              <w:pageBreakBefore w:val="0"/>
              <w:widowControl w:val="0"/>
              <w:kinsoku/>
              <w:wordWrap/>
              <w:overflowPunct/>
              <w:topLinePunct/>
              <w:autoSpaceDE w:val="0"/>
              <w:autoSpaceDN/>
              <w:bidi w:val="0"/>
              <w:adjustRightInd/>
              <w:snapToGrid/>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锰</w:t>
            </w:r>
          </w:p>
        </w:tc>
        <w:tc>
          <w:tcPr>
            <w:tcW w:w="3495" w:type="dxa"/>
            <w:vAlign w:val="center"/>
          </w:tcPr>
          <w:p>
            <w:pPr>
              <w:pStyle w:val="63"/>
              <w:keepNext w:val="0"/>
              <w:keepLines w:val="0"/>
              <w:pageBreakBefore w:val="0"/>
              <w:widowControl w:val="0"/>
              <w:kinsoku/>
              <w:wordWrap/>
              <w:overflowPunct/>
              <w:topLinePunct/>
              <w:autoSpaceDE w:val="0"/>
              <w:autoSpaceDN/>
              <w:bidi w:val="0"/>
              <w:adjustRightInd/>
              <w:snapToGrid/>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0.10</w:t>
            </w:r>
          </w:p>
        </w:tc>
        <w:tc>
          <w:tcPr>
            <w:tcW w:w="1710" w:type="dxa"/>
            <w:vMerge w:val="continue"/>
            <w:vAlign w:val="center"/>
          </w:tcPr>
          <w:p>
            <w:pPr>
              <w:pStyle w:val="63"/>
              <w:keepNext w:val="0"/>
              <w:keepLines w:val="0"/>
              <w:pageBreakBefore w:val="0"/>
              <w:widowControl w:val="0"/>
              <w:kinsoku/>
              <w:wordWrap/>
              <w:overflowPunct/>
              <w:topLinePunct/>
              <w:autoSpaceDE w:val="0"/>
              <w:autoSpaceDN/>
              <w:bidi w:val="0"/>
              <w:adjustRightInd/>
              <w:snapToGrid/>
              <w:rPr>
                <w:rFonts w:hint="default" w:ascii="Arial" w:hAnsi="Arial" w:eastAsia="宋体" w:cs="Arial"/>
                <w:color w:val="auto"/>
                <w:sz w:val="21"/>
                <w:szCs w:val="21"/>
                <w:highlight w:val="none"/>
              </w:rPr>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32" w:type="dxa"/>
            <w:vAlign w:val="center"/>
          </w:tcPr>
          <w:p>
            <w:pPr>
              <w:pStyle w:val="63"/>
              <w:keepNext w:val="0"/>
              <w:keepLines w:val="0"/>
              <w:pageBreakBefore w:val="0"/>
              <w:widowControl w:val="0"/>
              <w:kinsoku/>
              <w:wordWrap/>
              <w:overflowPunct/>
              <w:topLinePunct/>
              <w:autoSpaceDE w:val="0"/>
              <w:autoSpaceDN/>
              <w:bidi w:val="0"/>
              <w:adjustRightInd/>
              <w:snapToGrid/>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12</w:t>
            </w:r>
          </w:p>
        </w:tc>
        <w:tc>
          <w:tcPr>
            <w:tcW w:w="2867" w:type="dxa"/>
            <w:vAlign w:val="center"/>
          </w:tcPr>
          <w:p>
            <w:pPr>
              <w:pStyle w:val="63"/>
              <w:keepNext w:val="0"/>
              <w:keepLines w:val="0"/>
              <w:pageBreakBefore w:val="0"/>
              <w:widowControl w:val="0"/>
              <w:kinsoku/>
              <w:wordWrap/>
              <w:overflowPunct/>
              <w:topLinePunct/>
              <w:autoSpaceDE w:val="0"/>
              <w:autoSpaceDN/>
              <w:bidi w:val="0"/>
              <w:adjustRightInd/>
              <w:snapToGrid/>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铜</w:t>
            </w:r>
          </w:p>
        </w:tc>
        <w:tc>
          <w:tcPr>
            <w:tcW w:w="3495" w:type="dxa"/>
            <w:vAlign w:val="center"/>
          </w:tcPr>
          <w:p>
            <w:pPr>
              <w:pStyle w:val="63"/>
              <w:keepNext w:val="0"/>
              <w:keepLines w:val="0"/>
              <w:pageBreakBefore w:val="0"/>
              <w:widowControl w:val="0"/>
              <w:kinsoku/>
              <w:wordWrap/>
              <w:overflowPunct/>
              <w:topLinePunct/>
              <w:autoSpaceDE w:val="0"/>
              <w:autoSpaceDN/>
              <w:bidi w:val="0"/>
              <w:adjustRightInd/>
              <w:snapToGrid/>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1</w:t>
            </w:r>
          </w:p>
        </w:tc>
        <w:tc>
          <w:tcPr>
            <w:tcW w:w="1710" w:type="dxa"/>
            <w:vMerge w:val="continue"/>
            <w:vAlign w:val="center"/>
          </w:tcPr>
          <w:p>
            <w:pPr>
              <w:pStyle w:val="63"/>
              <w:keepNext w:val="0"/>
              <w:keepLines w:val="0"/>
              <w:pageBreakBefore w:val="0"/>
              <w:widowControl w:val="0"/>
              <w:kinsoku/>
              <w:wordWrap/>
              <w:overflowPunct/>
              <w:topLinePunct/>
              <w:autoSpaceDE w:val="0"/>
              <w:autoSpaceDN/>
              <w:bidi w:val="0"/>
              <w:adjustRightInd/>
              <w:snapToGrid/>
              <w:rPr>
                <w:rFonts w:hint="default" w:ascii="Arial" w:hAnsi="Arial" w:eastAsia="宋体" w:cs="Arial"/>
                <w:color w:val="auto"/>
                <w:sz w:val="21"/>
                <w:szCs w:val="21"/>
                <w:highlight w:val="none"/>
              </w:rPr>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32" w:type="dxa"/>
            <w:vAlign w:val="center"/>
          </w:tcPr>
          <w:p>
            <w:pPr>
              <w:pStyle w:val="63"/>
              <w:keepNext w:val="0"/>
              <w:keepLines w:val="0"/>
              <w:pageBreakBefore w:val="0"/>
              <w:widowControl w:val="0"/>
              <w:kinsoku/>
              <w:wordWrap/>
              <w:overflowPunct/>
              <w:topLinePunct/>
              <w:autoSpaceDE w:val="0"/>
              <w:autoSpaceDN/>
              <w:bidi w:val="0"/>
              <w:adjustRightInd/>
              <w:snapToGrid/>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13</w:t>
            </w:r>
          </w:p>
        </w:tc>
        <w:tc>
          <w:tcPr>
            <w:tcW w:w="2867" w:type="dxa"/>
            <w:vAlign w:val="center"/>
          </w:tcPr>
          <w:p>
            <w:pPr>
              <w:pStyle w:val="63"/>
              <w:keepNext w:val="0"/>
              <w:keepLines w:val="0"/>
              <w:pageBreakBefore w:val="0"/>
              <w:widowControl w:val="0"/>
              <w:kinsoku/>
              <w:wordWrap/>
              <w:overflowPunct/>
              <w:topLinePunct/>
              <w:autoSpaceDE w:val="0"/>
              <w:autoSpaceDN/>
              <w:bidi w:val="0"/>
              <w:adjustRightInd/>
              <w:snapToGrid/>
              <w:rPr>
                <w:rFonts w:hint="default" w:ascii="Arial" w:hAnsi="Arial" w:eastAsia="宋体" w:cs="Arial"/>
                <w:color w:val="auto"/>
                <w:sz w:val="21"/>
                <w:szCs w:val="21"/>
                <w:highlight w:val="none"/>
                <w:lang w:eastAsia="zh-CN"/>
              </w:rPr>
            </w:pPr>
            <w:r>
              <w:rPr>
                <w:rFonts w:hint="default" w:ascii="Arial" w:hAnsi="Arial" w:eastAsia="宋体" w:cs="Arial"/>
                <w:color w:val="auto"/>
                <w:sz w:val="21"/>
                <w:szCs w:val="21"/>
                <w:highlight w:val="none"/>
                <w:lang w:eastAsia="zh-CN"/>
              </w:rPr>
              <w:t>锌</w:t>
            </w:r>
          </w:p>
        </w:tc>
        <w:tc>
          <w:tcPr>
            <w:tcW w:w="3495" w:type="dxa"/>
            <w:vAlign w:val="center"/>
          </w:tcPr>
          <w:p>
            <w:pPr>
              <w:pStyle w:val="63"/>
              <w:keepNext w:val="0"/>
              <w:keepLines w:val="0"/>
              <w:pageBreakBefore w:val="0"/>
              <w:widowControl w:val="0"/>
              <w:kinsoku/>
              <w:wordWrap/>
              <w:overflowPunct/>
              <w:topLinePunct/>
              <w:autoSpaceDE w:val="0"/>
              <w:autoSpaceDN/>
              <w:bidi w:val="0"/>
              <w:adjustRightInd/>
              <w:snapToGrid/>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highlight w:val="none"/>
                <w:lang w:val="en-US" w:eastAsia="zh-CN"/>
              </w:rPr>
              <w:t>1</w:t>
            </w:r>
          </w:p>
        </w:tc>
        <w:tc>
          <w:tcPr>
            <w:tcW w:w="1710" w:type="dxa"/>
            <w:vMerge w:val="continue"/>
            <w:vAlign w:val="center"/>
          </w:tcPr>
          <w:p>
            <w:pPr>
              <w:pStyle w:val="63"/>
              <w:keepNext w:val="0"/>
              <w:keepLines w:val="0"/>
              <w:pageBreakBefore w:val="0"/>
              <w:widowControl w:val="0"/>
              <w:kinsoku/>
              <w:wordWrap/>
              <w:overflowPunct/>
              <w:topLinePunct/>
              <w:autoSpaceDE w:val="0"/>
              <w:autoSpaceDN/>
              <w:bidi w:val="0"/>
              <w:adjustRightInd/>
              <w:snapToGrid/>
              <w:rPr>
                <w:rFonts w:hint="default" w:ascii="Arial" w:hAnsi="Arial" w:eastAsia="宋体" w:cs="Arial"/>
                <w:color w:val="auto"/>
                <w:sz w:val="21"/>
                <w:szCs w:val="21"/>
                <w:highlight w:val="none"/>
              </w:rPr>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32" w:type="dxa"/>
            <w:vAlign w:val="center"/>
          </w:tcPr>
          <w:p>
            <w:pPr>
              <w:pStyle w:val="63"/>
              <w:keepNext w:val="0"/>
              <w:keepLines w:val="0"/>
              <w:pageBreakBefore w:val="0"/>
              <w:widowControl w:val="0"/>
              <w:kinsoku/>
              <w:wordWrap/>
              <w:overflowPunct/>
              <w:topLinePunct/>
              <w:autoSpaceDE w:val="0"/>
              <w:autoSpaceDN/>
              <w:bidi w:val="0"/>
              <w:adjustRightInd/>
              <w:snapToGrid/>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14</w:t>
            </w:r>
          </w:p>
        </w:tc>
        <w:tc>
          <w:tcPr>
            <w:tcW w:w="2867" w:type="dxa"/>
            <w:vAlign w:val="center"/>
          </w:tcPr>
          <w:p>
            <w:pPr>
              <w:pStyle w:val="63"/>
              <w:keepNext w:val="0"/>
              <w:keepLines w:val="0"/>
              <w:pageBreakBefore w:val="0"/>
              <w:widowControl w:val="0"/>
              <w:kinsoku/>
              <w:wordWrap/>
              <w:overflowPunct/>
              <w:topLinePunct/>
              <w:autoSpaceDE w:val="0"/>
              <w:autoSpaceDN/>
              <w:bidi w:val="0"/>
              <w:adjustRightInd/>
              <w:snapToGrid/>
              <w:rPr>
                <w:rFonts w:hint="default" w:ascii="Arial" w:hAnsi="Arial" w:eastAsia="宋体" w:cs="Arial"/>
                <w:color w:val="auto"/>
                <w:sz w:val="21"/>
                <w:szCs w:val="21"/>
                <w:highlight w:val="none"/>
                <w:lang w:eastAsia="zh-CN"/>
              </w:rPr>
            </w:pPr>
            <w:r>
              <w:rPr>
                <w:rFonts w:hint="default" w:ascii="Arial" w:hAnsi="Arial" w:eastAsia="宋体" w:cs="Arial"/>
                <w:color w:val="auto"/>
                <w:sz w:val="21"/>
                <w:szCs w:val="21"/>
                <w:highlight w:val="none"/>
                <w:lang w:eastAsia="zh-CN"/>
              </w:rPr>
              <w:t>铝</w:t>
            </w:r>
          </w:p>
        </w:tc>
        <w:tc>
          <w:tcPr>
            <w:tcW w:w="3495" w:type="dxa"/>
            <w:vAlign w:val="center"/>
          </w:tcPr>
          <w:p>
            <w:pPr>
              <w:pStyle w:val="63"/>
              <w:keepNext w:val="0"/>
              <w:keepLines w:val="0"/>
              <w:pageBreakBefore w:val="0"/>
              <w:widowControl w:val="0"/>
              <w:kinsoku/>
              <w:wordWrap/>
              <w:overflowPunct/>
              <w:topLinePunct/>
              <w:autoSpaceDE w:val="0"/>
              <w:autoSpaceDN/>
              <w:bidi w:val="0"/>
              <w:adjustRightInd/>
              <w:snapToGrid/>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highlight w:val="none"/>
                <w:lang w:val="en-US" w:eastAsia="zh-CN"/>
              </w:rPr>
              <w:t>0.2</w:t>
            </w:r>
          </w:p>
        </w:tc>
        <w:tc>
          <w:tcPr>
            <w:tcW w:w="1710" w:type="dxa"/>
            <w:vMerge w:val="continue"/>
            <w:vAlign w:val="center"/>
          </w:tcPr>
          <w:p>
            <w:pPr>
              <w:pStyle w:val="63"/>
              <w:keepNext w:val="0"/>
              <w:keepLines w:val="0"/>
              <w:pageBreakBefore w:val="0"/>
              <w:widowControl w:val="0"/>
              <w:kinsoku/>
              <w:wordWrap/>
              <w:overflowPunct/>
              <w:topLinePunct/>
              <w:autoSpaceDE w:val="0"/>
              <w:autoSpaceDN/>
              <w:bidi w:val="0"/>
              <w:adjustRightInd/>
              <w:snapToGrid/>
              <w:rPr>
                <w:rFonts w:hint="default" w:ascii="Arial" w:hAnsi="Arial" w:eastAsia="宋体" w:cs="Arial"/>
                <w:color w:val="auto"/>
                <w:sz w:val="21"/>
                <w:szCs w:val="21"/>
                <w:highlight w:val="none"/>
              </w:rPr>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32" w:type="dxa"/>
            <w:vAlign w:val="center"/>
          </w:tcPr>
          <w:p>
            <w:pPr>
              <w:pStyle w:val="63"/>
              <w:keepNext w:val="0"/>
              <w:keepLines w:val="0"/>
              <w:pageBreakBefore w:val="0"/>
              <w:widowControl w:val="0"/>
              <w:kinsoku/>
              <w:wordWrap/>
              <w:overflowPunct/>
              <w:topLinePunct/>
              <w:autoSpaceDE w:val="0"/>
              <w:autoSpaceDN/>
              <w:bidi w:val="0"/>
              <w:adjustRightInd/>
              <w:snapToGrid/>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15</w:t>
            </w:r>
          </w:p>
        </w:tc>
        <w:tc>
          <w:tcPr>
            <w:tcW w:w="2867" w:type="dxa"/>
            <w:vAlign w:val="center"/>
          </w:tcPr>
          <w:p>
            <w:pPr>
              <w:pStyle w:val="63"/>
              <w:keepNext w:val="0"/>
              <w:keepLines w:val="0"/>
              <w:pageBreakBefore w:val="0"/>
              <w:widowControl w:val="0"/>
              <w:kinsoku/>
              <w:wordWrap/>
              <w:overflowPunct/>
              <w:topLinePunct/>
              <w:autoSpaceDE w:val="0"/>
              <w:autoSpaceDN/>
              <w:bidi w:val="0"/>
              <w:adjustRightInd/>
              <w:snapToGrid/>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bCs/>
                <w:color w:val="auto"/>
                <w:sz w:val="21"/>
                <w:szCs w:val="21"/>
                <w:highlight w:val="none"/>
              </w:rPr>
              <w:t>挥发性酚类</w:t>
            </w:r>
          </w:p>
        </w:tc>
        <w:tc>
          <w:tcPr>
            <w:tcW w:w="3495" w:type="dxa"/>
            <w:vAlign w:val="center"/>
          </w:tcPr>
          <w:p>
            <w:pPr>
              <w:pStyle w:val="63"/>
              <w:keepNext w:val="0"/>
              <w:keepLines w:val="0"/>
              <w:pageBreakBefore w:val="0"/>
              <w:widowControl w:val="0"/>
              <w:kinsoku/>
              <w:wordWrap/>
              <w:overflowPunct/>
              <w:topLinePunct/>
              <w:autoSpaceDE w:val="0"/>
              <w:autoSpaceDN/>
              <w:bidi w:val="0"/>
              <w:adjustRightInd/>
              <w:snapToGrid/>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0.002</w:t>
            </w:r>
          </w:p>
        </w:tc>
        <w:tc>
          <w:tcPr>
            <w:tcW w:w="1710" w:type="dxa"/>
            <w:vMerge w:val="continue"/>
            <w:vAlign w:val="center"/>
          </w:tcPr>
          <w:p>
            <w:pPr>
              <w:pStyle w:val="63"/>
              <w:keepNext w:val="0"/>
              <w:keepLines w:val="0"/>
              <w:pageBreakBefore w:val="0"/>
              <w:widowControl w:val="0"/>
              <w:kinsoku/>
              <w:wordWrap/>
              <w:overflowPunct/>
              <w:topLinePunct/>
              <w:autoSpaceDE w:val="0"/>
              <w:autoSpaceDN/>
              <w:bidi w:val="0"/>
              <w:adjustRightInd/>
              <w:snapToGrid/>
              <w:rPr>
                <w:rFonts w:hint="default" w:ascii="Arial" w:hAnsi="Arial" w:eastAsia="宋体" w:cs="Arial"/>
                <w:color w:val="auto"/>
                <w:sz w:val="21"/>
                <w:szCs w:val="21"/>
                <w:highlight w:val="none"/>
              </w:rPr>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32" w:type="dxa"/>
            <w:vAlign w:val="center"/>
          </w:tcPr>
          <w:p>
            <w:pPr>
              <w:pStyle w:val="63"/>
              <w:keepNext w:val="0"/>
              <w:keepLines w:val="0"/>
              <w:pageBreakBefore w:val="0"/>
              <w:widowControl w:val="0"/>
              <w:kinsoku/>
              <w:wordWrap/>
              <w:overflowPunct/>
              <w:topLinePunct/>
              <w:autoSpaceDE w:val="0"/>
              <w:autoSpaceDN/>
              <w:bidi w:val="0"/>
              <w:adjustRightInd/>
              <w:snapToGrid/>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16</w:t>
            </w:r>
          </w:p>
        </w:tc>
        <w:tc>
          <w:tcPr>
            <w:tcW w:w="2867" w:type="dxa"/>
            <w:vAlign w:val="center"/>
          </w:tcPr>
          <w:p>
            <w:pPr>
              <w:pStyle w:val="63"/>
              <w:keepNext w:val="0"/>
              <w:keepLines w:val="0"/>
              <w:pageBreakBefore w:val="0"/>
              <w:widowControl w:val="0"/>
              <w:kinsoku/>
              <w:wordWrap/>
              <w:overflowPunct/>
              <w:topLinePunct/>
              <w:autoSpaceDE w:val="0"/>
              <w:autoSpaceDN/>
              <w:bidi w:val="0"/>
              <w:adjustRightInd/>
              <w:snapToGrid/>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阴离子表面活性剂</w:t>
            </w:r>
          </w:p>
        </w:tc>
        <w:tc>
          <w:tcPr>
            <w:tcW w:w="3495" w:type="dxa"/>
            <w:vAlign w:val="center"/>
          </w:tcPr>
          <w:p>
            <w:pPr>
              <w:pStyle w:val="63"/>
              <w:keepNext w:val="0"/>
              <w:keepLines w:val="0"/>
              <w:pageBreakBefore w:val="0"/>
              <w:widowControl w:val="0"/>
              <w:kinsoku/>
              <w:wordWrap/>
              <w:overflowPunct/>
              <w:topLinePunct/>
              <w:autoSpaceDE w:val="0"/>
              <w:autoSpaceDN/>
              <w:bidi w:val="0"/>
              <w:adjustRightInd/>
              <w:snapToGrid/>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0.3</w:t>
            </w:r>
          </w:p>
        </w:tc>
        <w:tc>
          <w:tcPr>
            <w:tcW w:w="1710" w:type="dxa"/>
            <w:vMerge w:val="continue"/>
            <w:vAlign w:val="center"/>
          </w:tcPr>
          <w:p>
            <w:pPr>
              <w:pStyle w:val="63"/>
              <w:keepNext w:val="0"/>
              <w:keepLines w:val="0"/>
              <w:pageBreakBefore w:val="0"/>
              <w:widowControl w:val="0"/>
              <w:kinsoku/>
              <w:wordWrap/>
              <w:overflowPunct/>
              <w:topLinePunct/>
              <w:autoSpaceDE w:val="0"/>
              <w:autoSpaceDN/>
              <w:bidi w:val="0"/>
              <w:adjustRightInd/>
              <w:snapToGrid/>
              <w:rPr>
                <w:rFonts w:hint="default" w:ascii="Arial" w:hAnsi="Arial" w:eastAsia="宋体" w:cs="Arial"/>
                <w:color w:val="auto"/>
                <w:sz w:val="21"/>
                <w:szCs w:val="21"/>
                <w:highlight w:val="none"/>
              </w:rPr>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32" w:type="dxa"/>
            <w:vAlign w:val="center"/>
          </w:tcPr>
          <w:p>
            <w:pPr>
              <w:pStyle w:val="63"/>
              <w:keepNext w:val="0"/>
              <w:keepLines w:val="0"/>
              <w:pageBreakBefore w:val="0"/>
              <w:widowControl w:val="0"/>
              <w:kinsoku/>
              <w:wordWrap/>
              <w:overflowPunct/>
              <w:topLinePunct/>
              <w:autoSpaceDE w:val="0"/>
              <w:autoSpaceDN/>
              <w:bidi w:val="0"/>
              <w:adjustRightInd/>
              <w:snapToGrid/>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17</w:t>
            </w:r>
          </w:p>
        </w:tc>
        <w:tc>
          <w:tcPr>
            <w:tcW w:w="2867" w:type="dxa"/>
            <w:vAlign w:val="center"/>
          </w:tcPr>
          <w:p>
            <w:pPr>
              <w:pStyle w:val="63"/>
              <w:keepNext w:val="0"/>
              <w:keepLines w:val="0"/>
              <w:pageBreakBefore w:val="0"/>
              <w:widowControl w:val="0"/>
              <w:kinsoku/>
              <w:wordWrap/>
              <w:overflowPunct/>
              <w:topLinePunct/>
              <w:autoSpaceDE w:val="0"/>
              <w:autoSpaceDN/>
              <w:bidi w:val="0"/>
              <w:adjustRightInd/>
              <w:snapToGrid/>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耗氧量</w:t>
            </w:r>
          </w:p>
        </w:tc>
        <w:tc>
          <w:tcPr>
            <w:tcW w:w="3495" w:type="dxa"/>
            <w:vAlign w:val="center"/>
          </w:tcPr>
          <w:p>
            <w:pPr>
              <w:pStyle w:val="63"/>
              <w:keepNext w:val="0"/>
              <w:keepLines w:val="0"/>
              <w:pageBreakBefore w:val="0"/>
              <w:widowControl w:val="0"/>
              <w:kinsoku/>
              <w:wordWrap/>
              <w:overflowPunct/>
              <w:topLinePunct/>
              <w:autoSpaceDE w:val="0"/>
              <w:autoSpaceDN/>
              <w:bidi w:val="0"/>
              <w:adjustRightInd/>
              <w:snapToGrid/>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3.0</w:t>
            </w:r>
          </w:p>
        </w:tc>
        <w:tc>
          <w:tcPr>
            <w:tcW w:w="1710" w:type="dxa"/>
            <w:vMerge w:val="continue"/>
            <w:vAlign w:val="center"/>
          </w:tcPr>
          <w:p>
            <w:pPr>
              <w:pStyle w:val="63"/>
              <w:keepNext w:val="0"/>
              <w:keepLines w:val="0"/>
              <w:pageBreakBefore w:val="0"/>
              <w:widowControl w:val="0"/>
              <w:kinsoku/>
              <w:wordWrap/>
              <w:overflowPunct/>
              <w:topLinePunct/>
              <w:autoSpaceDE w:val="0"/>
              <w:autoSpaceDN/>
              <w:bidi w:val="0"/>
              <w:adjustRightInd/>
              <w:snapToGrid/>
              <w:rPr>
                <w:rFonts w:hint="default" w:ascii="Arial" w:hAnsi="Arial" w:eastAsia="宋体" w:cs="Arial"/>
                <w:color w:val="auto"/>
                <w:sz w:val="21"/>
                <w:szCs w:val="21"/>
                <w:highlight w:val="none"/>
              </w:rPr>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32" w:type="dxa"/>
            <w:vAlign w:val="center"/>
          </w:tcPr>
          <w:p>
            <w:pPr>
              <w:pStyle w:val="63"/>
              <w:keepNext w:val="0"/>
              <w:keepLines w:val="0"/>
              <w:pageBreakBefore w:val="0"/>
              <w:widowControl w:val="0"/>
              <w:kinsoku/>
              <w:wordWrap/>
              <w:overflowPunct/>
              <w:topLinePunct/>
              <w:autoSpaceDE w:val="0"/>
              <w:autoSpaceDN/>
              <w:bidi w:val="0"/>
              <w:adjustRightInd/>
              <w:snapToGrid/>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18</w:t>
            </w:r>
          </w:p>
        </w:tc>
        <w:tc>
          <w:tcPr>
            <w:tcW w:w="2867" w:type="dxa"/>
            <w:vAlign w:val="center"/>
          </w:tcPr>
          <w:p>
            <w:pPr>
              <w:pStyle w:val="63"/>
              <w:keepNext w:val="0"/>
              <w:keepLines w:val="0"/>
              <w:pageBreakBefore w:val="0"/>
              <w:widowControl w:val="0"/>
              <w:kinsoku/>
              <w:wordWrap/>
              <w:overflowPunct/>
              <w:topLinePunct/>
              <w:autoSpaceDE w:val="0"/>
              <w:autoSpaceDN/>
              <w:bidi w:val="0"/>
              <w:adjustRightInd/>
              <w:snapToGrid/>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氨氮</w:t>
            </w:r>
          </w:p>
        </w:tc>
        <w:tc>
          <w:tcPr>
            <w:tcW w:w="3495" w:type="dxa"/>
            <w:vAlign w:val="center"/>
          </w:tcPr>
          <w:p>
            <w:pPr>
              <w:pStyle w:val="63"/>
              <w:keepNext w:val="0"/>
              <w:keepLines w:val="0"/>
              <w:pageBreakBefore w:val="0"/>
              <w:widowControl w:val="0"/>
              <w:kinsoku/>
              <w:wordWrap/>
              <w:overflowPunct/>
              <w:topLinePunct/>
              <w:autoSpaceDE w:val="0"/>
              <w:autoSpaceDN/>
              <w:bidi w:val="0"/>
              <w:adjustRightInd/>
              <w:snapToGrid/>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lang w:val="en-GB"/>
              </w:rPr>
              <w:t>0.5</w:t>
            </w:r>
          </w:p>
        </w:tc>
        <w:tc>
          <w:tcPr>
            <w:tcW w:w="1710" w:type="dxa"/>
            <w:vMerge w:val="continue"/>
            <w:vAlign w:val="center"/>
          </w:tcPr>
          <w:p>
            <w:pPr>
              <w:pStyle w:val="63"/>
              <w:keepNext w:val="0"/>
              <w:keepLines w:val="0"/>
              <w:pageBreakBefore w:val="0"/>
              <w:widowControl w:val="0"/>
              <w:kinsoku/>
              <w:wordWrap/>
              <w:overflowPunct/>
              <w:topLinePunct/>
              <w:autoSpaceDE w:val="0"/>
              <w:autoSpaceDN/>
              <w:bidi w:val="0"/>
              <w:adjustRightInd/>
              <w:snapToGrid/>
              <w:rPr>
                <w:rFonts w:hint="default" w:ascii="Arial" w:hAnsi="Arial" w:eastAsia="宋体" w:cs="Arial"/>
                <w:color w:val="auto"/>
                <w:sz w:val="21"/>
                <w:szCs w:val="21"/>
                <w:highlight w:val="none"/>
              </w:rPr>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32" w:type="dxa"/>
            <w:vAlign w:val="center"/>
          </w:tcPr>
          <w:p>
            <w:pPr>
              <w:pStyle w:val="63"/>
              <w:keepNext w:val="0"/>
              <w:keepLines w:val="0"/>
              <w:pageBreakBefore w:val="0"/>
              <w:widowControl w:val="0"/>
              <w:kinsoku/>
              <w:wordWrap/>
              <w:overflowPunct/>
              <w:topLinePunct/>
              <w:autoSpaceDE w:val="0"/>
              <w:autoSpaceDN/>
              <w:bidi w:val="0"/>
              <w:adjustRightInd/>
              <w:snapToGrid/>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19</w:t>
            </w:r>
          </w:p>
        </w:tc>
        <w:tc>
          <w:tcPr>
            <w:tcW w:w="2867" w:type="dxa"/>
            <w:vAlign w:val="center"/>
          </w:tcPr>
          <w:p>
            <w:pPr>
              <w:pStyle w:val="63"/>
              <w:keepNext w:val="0"/>
              <w:keepLines w:val="0"/>
              <w:pageBreakBefore w:val="0"/>
              <w:widowControl w:val="0"/>
              <w:kinsoku/>
              <w:wordWrap/>
              <w:overflowPunct/>
              <w:topLinePunct/>
              <w:autoSpaceDE w:val="0"/>
              <w:autoSpaceDN/>
              <w:bidi w:val="0"/>
              <w:adjustRightInd/>
              <w:snapToGrid/>
              <w:rPr>
                <w:rFonts w:hint="default" w:ascii="Arial" w:hAnsi="Arial" w:eastAsia="宋体" w:cs="Arial"/>
                <w:color w:val="auto"/>
                <w:sz w:val="21"/>
                <w:szCs w:val="21"/>
                <w:highlight w:val="none"/>
                <w:lang w:eastAsia="zh-CN"/>
              </w:rPr>
            </w:pPr>
            <w:r>
              <w:rPr>
                <w:rFonts w:hint="default" w:ascii="Arial" w:hAnsi="Arial" w:eastAsia="宋体" w:cs="Arial"/>
                <w:color w:val="auto"/>
                <w:sz w:val="21"/>
                <w:szCs w:val="21"/>
                <w:highlight w:val="none"/>
                <w:lang w:eastAsia="zh-CN"/>
              </w:rPr>
              <w:t>硫化物</w:t>
            </w:r>
          </w:p>
        </w:tc>
        <w:tc>
          <w:tcPr>
            <w:tcW w:w="3495" w:type="dxa"/>
            <w:vAlign w:val="center"/>
          </w:tcPr>
          <w:p>
            <w:pPr>
              <w:pStyle w:val="63"/>
              <w:keepNext w:val="0"/>
              <w:keepLines w:val="0"/>
              <w:pageBreakBefore w:val="0"/>
              <w:widowControl w:val="0"/>
              <w:kinsoku/>
              <w:wordWrap/>
              <w:overflowPunct/>
              <w:topLinePunct/>
              <w:autoSpaceDE w:val="0"/>
              <w:autoSpaceDN/>
              <w:bidi w:val="0"/>
              <w:adjustRightInd/>
              <w:snapToGrid/>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highlight w:val="none"/>
                <w:lang w:val="en-US" w:eastAsia="zh-CN"/>
              </w:rPr>
              <w:t>0.02</w:t>
            </w:r>
          </w:p>
        </w:tc>
        <w:tc>
          <w:tcPr>
            <w:tcW w:w="1710" w:type="dxa"/>
            <w:vMerge w:val="continue"/>
            <w:vAlign w:val="center"/>
          </w:tcPr>
          <w:p>
            <w:pPr>
              <w:pStyle w:val="63"/>
              <w:keepNext w:val="0"/>
              <w:keepLines w:val="0"/>
              <w:pageBreakBefore w:val="0"/>
              <w:widowControl w:val="0"/>
              <w:kinsoku/>
              <w:wordWrap/>
              <w:overflowPunct/>
              <w:topLinePunct/>
              <w:autoSpaceDE w:val="0"/>
              <w:autoSpaceDN/>
              <w:bidi w:val="0"/>
              <w:adjustRightInd/>
              <w:snapToGrid/>
              <w:rPr>
                <w:rFonts w:hint="default" w:ascii="Arial" w:hAnsi="Arial" w:eastAsia="宋体" w:cs="Arial"/>
                <w:color w:val="auto"/>
                <w:sz w:val="21"/>
                <w:szCs w:val="21"/>
                <w:highlight w:val="none"/>
              </w:rPr>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32" w:type="dxa"/>
            <w:vAlign w:val="center"/>
          </w:tcPr>
          <w:p>
            <w:pPr>
              <w:pStyle w:val="63"/>
              <w:keepNext w:val="0"/>
              <w:keepLines w:val="0"/>
              <w:pageBreakBefore w:val="0"/>
              <w:widowControl w:val="0"/>
              <w:kinsoku/>
              <w:wordWrap/>
              <w:overflowPunct/>
              <w:topLinePunct/>
              <w:autoSpaceDE w:val="0"/>
              <w:autoSpaceDN/>
              <w:bidi w:val="0"/>
              <w:adjustRightInd/>
              <w:snapToGrid/>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20</w:t>
            </w:r>
          </w:p>
        </w:tc>
        <w:tc>
          <w:tcPr>
            <w:tcW w:w="2867" w:type="dxa"/>
            <w:vAlign w:val="center"/>
          </w:tcPr>
          <w:p>
            <w:pPr>
              <w:pStyle w:val="63"/>
              <w:keepNext w:val="0"/>
              <w:keepLines w:val="0"/>
              <w:pageBreakBefore w:val="0"/>
              <w:widowControl w:val="0"/>
              <w:kinsoku/>
              <w:wordWrap/>
              <w:overflowPunct/>
              <w:topLinePunct/>
              <w:autoSpaceDE w:val="0"/>
              <w:autoSpaceDN/>
              <w:bidi w:val="0"/>
              <w:adjustRightInd/>
              <w:snapToGrid/>
              <w:rPr>
                <w:rFonts w:hint="default" w:ascii="Arial" w:hAnsi="Arial" w:eastAsia="宋体" w:cs="Arial"/>
                <w:color w:val="auto"/>
                <w:sz w:val="21"/>
                <w:szCs w:val="21"/>
                <w:highlight w:val="none"/>
                <w:lang w:eastAsia="zh-CN"/>
              </w:rPr>
            </w:pPr>
            <w:r>
              <w:rPr>
                <w:rFonts w:hint="default" w:ascii="Arial" w:hAnsi="Arial" w:eastAsia="宋体" w:cs="Arial"/>
                <w:color w:val="auto"/>
                <w:sz w:val="21"/>
                <w:szCs w:val="21"/>
                <w:highlight w:val="none"/>
                <w:lang w:eastAsia="zh-CN"/>
              </w:rPr>
              <w:t>钠</w:t>
            </w:r>
          </w:p>
        </w:tc>
        <w:tc>
          <w:tcPr>
            <w:tcW w:w="3495" w:type="dxa"/>
            <w:vAlign w:val="center"/>
          </w:tcPr>
          <w:p>
            <w:pPr>
              <w:pStyle w:val="63"/>
              <w:keepNext w:val="0"/>
              <w:keepLines w:val="0"/>
              <w:pageBreakBefore w:val="0"/>
              <w:widowControl w:val="0"/>
              <w:kinsoku/>
              <w:wordWrap/>
              <w:overflowPunct/>
              <w:topLinePunct/>
              <w:autoSpaceDE w:val="0"/>
              <w:autoSpaceDN/>
              <w:bidi w:val="0"/>
              <w:adjustRightInd/>
              <w:snapToGrid/>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highlight w:val="none"/>
                <w:lang w:val="en-US" w:eastAsia="zh-CN"/>
              </w:rPr>
              <w:t>200</w:t>
            </w:r>
          </w:p>
        </w:tc>
        <w:tc>
          <w:tcPr>
            <w:tcW w:w="1710" w:type="dxa"/>
            <w:vMerge w:val="continue"/>
            <w:vAlign w:val="center"/>
          </w:tcPr>
          <w:p>
            <w:pPr>
              <w:pStyle w:val="63"/>
              <w:keepNext w:val="0"/>
              <w:keepLines w:val="0"/>
              <w:pageBreakBefore w:val="0"/>
              <w:widowControl w:val="0"/>
              <w:kinsoku/>
              <w:wordWrap/>
              <w:overflowPunct/>
              <w:topLinePunct/>
              <w:autoSpaceDE w:val="0"/>
              <w:autoSpaceDN/>
              <w:bidi w:val="0"/>
              <w:adjustRightInd/>
              <w:snapToGrid/>
              <w:rPr>
                <w:rFonts w:hint="default" w:ascii="Arial" w:hAnsi="Arial" w:eastAsia="宋体" w:cs="Arial"/>
                <w:color w:val="auto"/>
                <w:sz w:val="21"/>
                <w:szCs w:val="21"/>
                <w:highlight w:val="none"/>
              </w:rPr>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7294" w:type="dxa"/>
            <w:gridSpan w:val="3"/>
            <w:vAlign w:val="center"/>
          </w:tcPr>
          <w:p>
            <w:pPr>
              <w:pStyle w:val="63"/>
              <w:keepNext w:val="0"/>
              <w:keepLines w:val="0"/>
              <w:pageBreakBefore w:val="0"/>
              <w:widowControl w:val="0"/>
              <w:kinsoku/>
              <w:wordWrap/>
              <w:overflowPunct/>
              <w:topLinePunct/>
              <w:autoSpaceDE w:val="0"/>
              <w:autoSpaceDN/>
              <w:bidi w:val="0"/>
              <w:adjustRightInd/>
              <w:snapToGrid/>
              <w:rPr>
                <w:rFonts w:hint="default" w:ascii="Arial" w:hAnsi="Arial" w:eastAsia="宋体" w:cs="Arial"/>
                <w:color w:val="auto"/>
                <w:sz w:val="21"/>
                <w:szCs w:val="21"/>
                <w:highlight w:val="none"/>
                <w:lang w:eastAsia="zh-CN"/>
              </w:rPr>
            </w:pPr>
            <w:r>
              <w:rPr>
                <w:rFonts w:hint="default" w:ascii="Arial" w:hAnsi="Arial" w:eastAsia="宋体" w:cs="Arial"/>
                <w:b/>
                <w:bCs/>
                <w:color w:val="auto"/>
                <w:sz w:val="21"/>
                <w:szCs w:val="21"/>
                <w:highlight w:val="none"/>
                <w:lang w:eastAsia="zh-CN"/>
              </w:rPr>
              <w:t>微生物指标</w:t>
            </w:r>
          </w:p>
        </w:tc>
        <w:tc>
          <w:tcPr>
            <w:tcW w:w="1710" w:type="dxa"/>
            <w:vMerge w:val="continue"/>
            <w:vAlign w:val="center"/>
          </w:tcPr>
          <w:p>
            <w:pPr>
              <w:pStyle w:val="63"/>
              <w:keepNext w:val="0"/>
              <w:keepLines w:val="0"/>
              <w:pageBreakBefore w:val="0"/>
              <w:widowControl w:val="0"/>
              <w:kinsoku/>
              <w:wordWrap/>
              <w:overflowPunct/>
              <w:topLinePunct/>
              <w:autoSpaceDE w:val="0"/>
              <w:autoSpaceDN/>
              <w:bidi w:val="0"/>
              <w:adjustRightInd/>
              <w:snapToGrid/>
              <w:rPr>
                <w:rFonts w:hint="default" w:ascii="Arial" w:hAnsi="Arial" w:eastAsia="宋体" w:cs="Arial"/>
                <w:color w:val="auto"/>
                <w:sz w:val="21"/>
                <w:szCs w:val="21"/>
                <w:highlight w:val="none"/>
              </w:rPr>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32" w:type="dxa"/>
            <w:vAlign w:val="center"/>
          </w:tcPr>
          <w:p>
            <w:pPr>
              <w:pStyle w:val="63"/>
              <w:keepNext w:val="0"/>
              <w:keepLines w:val="0"/>
              <w:pageBreakBefore w:val="0"/>
              <w:widowControl w:val="0"/>
              <w:kinsoku/>
              <w:wordWrap/>
              <w:overflowPunct/>
              <w:topLinePunct/>
              <w:autoSpaceDE w:val="0"/>
              <w:autoSpaceDN/>
              <w:bidi w:val="0"/>
              <w:adjustRightInd/>
              <w:snapToGrid/>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highlight w:val="none"/>
                <w:lang w:val="en-US" w:eastAsia="zh-CN"/>
              </w:rPr>
              <w:t>21</w:t>
            </w:r>
          </w:p>
        </w:tc>
        <w:tc>
          <w:tcPr>
            <w:tcW w:w="2867" w:type="dxa"/>
            <w:vAlign w:val="center"/>
          </w:tcPr>
          <w:p>
            <w:pPr>
              <w:pStyle w:val="63"/>
              <w:keepNext w:val="0"/>
              <w:keepLines w:val="0"/>
              <w:pageBreakBefore w:val="0"/>
              <w:widowControl w:val="0"/>
              <w:kinsoku/>
              <w:wordWrap/>
              <w:overflowPunct/>
              <w:topLinePunct/>
              <w:autoSpaceDE w:val="0"/>
              <w:autoSpaceDN/>
              <w:bidi w:val="0"/>
              <w:adjustRightInd/>
              <w:snapToGrid/>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bCs/>
                <w:color w:val="auto"/>
                <w:sz w:val="21"/>
                <w:szCs w:val="21"/>
                <w:highlight w:val="none"/>
              </w:rPr>
              <w:t>总大肠菌群</w:t>
            </w:r>
          </w:p>
        </w:tc>
        <w:tc>
          <w:tcPr>
            <w:tcW w:w="3495" w:type="dxa"/>
            <w:vAlign w:val="center"/>
          </w:tcPr>
          <w:p>
            <w:pPr>
              <w:pStyle w:val="63"/>
              <w:keepNext w:val="0"/>
              <w:keepLines w:val="0"/>
              <w:pageBreakBefore w:val="0"/>
              <w:widowControl w:val="0"/>
              <w:kinsoku/>
              <w:wordWrap/>
              <w:overflowPunct/>
              <w:topLinePunct/>
              <w:autoSpaceDE w:val="0"/>
              <w:autoSpaceDN/>
              <w:bidi w:val="0"/>
              <w:adjustRightInd/>
              <w:snapToGrid/>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3.0</w:t>
            </w:r>
            <w:r>
              <w:rPr>
                <w:rFonts w:hint="default" w:ascii="Arial" w:hAnsi="Arial" w:eastAsia="宋体" w:cs="Arial"/>
                <w:color w:val="auto"/>
                <w:sz w:val="21"/>
                <w:szCs w:val="21"/>
                <w:highlight w:val="none"/>
                <w:lang w:eastAsia="zh-CN"/>
              </w:rPr>
              <w:t>（</w:t>
            </w:r>
            <w:r>
              <w:rPr>
                <w:rFonts w:hint="default" w:ascii="Arial" w:hAnsi="Arial" w:eastAsia="宋体" w:cs="Arial"/>
                <w:color w:val="auto"/>
                <w:sz w:val="21"/>
                <w:szCs w:val="21"/>
                <w:highlight w:val="none"/>
              </w:rPr>
              <w:t>MPN</w:t>
            </w:r>
            <w:r>
              <w:rPr>
                <w:rFonts w:hint="default" w:ascii="Arial" w:hAnsi="Arial" w:eastAsia="宋体" w:cs="Arial"/>
                <w:color w:val="auto"/>
                <w:sz w:val="21"/>
                <w:szCs w:val="21"/>
                <w:highlight w:val="none"/>
                <w:vertAlign w:val="superscript"/>
              </w:rPr>
              <w:t>b</w:t>
            </w:r>
            <w:r>
              <w:rPr>
                <w:rFonts w:hint="default" w:ascii="Arial" w:hAnsi="Arial" w:eastAsia="宋体" w:cs="Arial"/>
                <w:color w:val="auto"/>
                <w:sz w:val="21"/>
                <w:szCs w:val="21"/>
                <w:highlight w:val="none"/>
              </w:rPr>
              <w:t>/100ml</w:t>
            </w:r>
            <w:r>
              <w:rPr>
                <w:rFonts w:hint="default" w:ascii="Arial" w:hAnsi="Arial" w:eastAsia="宋体" w:cs="Arial"/>
                <w:color w:val="auto"/>
                <w:sz w:val="21"/>
                <w:szCs w:val="21"/>
                <w:highlight w:val="none"/>
                <w:lang w:eastAsia="zh-CN"/>
              </w:rPr>
              <w:t>）</w:t>
            </w:r>
          </w:p>
        </w:tc>
        <w:tc>
          <w:tcPr>
            <w:tcW w:w="1710" w:type="dxa"/>
            <w:vMerge w:val="continue"/>
            <w:vAlign w:val="center"/>
          </w:tcPr>
          <w:p>
            <w:pPr>
              <w:pStyle w:val="63"/>
              <w:keepNext w:val="0"/>
              <w:keepLines w:val="0"/>
              <w:pageBreakBefore w:val="0"/>
              <w:widowControl w:val="0"/>
              <w:kinsoku/>
              <w:wordWrap/>
              <w:overflowPunct/>
              <w:topLinePunct/>
              <w:autoSpaceDE w:val="0"/>
              <w:autoSpaceDN/>
              <w:bidi w:val="0"/>
              <w:adjustRightInd/>
              <w:snapToGrid/>
              <w:rPr>
                <w:rFonts w:hint="default" w:ascii="Arial" w:hAnsi="Arial" w:eastAsia="宋体" w:cs="Arial"/>
                <w:color w:val="auto"/>
                <w:sz w:val="21"/>
                <w:szCs w:val="21"/>
                <w:highlight w:val="none"/>
              </w:rPr>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PrEx>
        <w:trPr>
          <w:trHeight w:val="340" w:hRule="atLeast"/>
          <w:jc w:val="center"/>
        </w:trPr>
        <w:tc>
          <w:tcPr>
            <w:tcW w:w="932" w:type="dxa"/>
            <w:vAlign w:val="center"/>
          </w:tcPr>
          <w:p>
            <w:pPr>
              <w:pStyle w:val="63"/>
              <w:keepNext w:val="0"/>
              <w:keepLines w:val="0"/>
              <w:pageBreakBefore w:val="0"/>
              <w:widowControl w:val="0"/>
              <w:kinsoku/>
              <w:wordWrap/>
              <w:overflowPunct/>
              <w:topLinePunct/>
              <w:autoSpaceDE w:val="0"/>
              <w:autoSpaceDN/>
              <w:bidi w:val="0"/>
              <w:adjustRightInd/>
              <w:snapToGrid/>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highlight w:val="none"/>
                <w:lang w:val="en-US" w:eastAsia="zh-CN"/>
              </w:rPr>
              <w:t>22</w:t>
            </w:r>
          </w:p>
        </w:tc>
        <w:tc>
          <w:tcPr>
            <w:tcW w:w="2867" w:type="dxa"/>
            <w:vAlign w:val="center"/>
          </w:tcPr>
          <w:p>
            <w:pPr>
              <w:pStyle w:val="63"/>
              <w:keepNext w:val="0"/>
              <w:keepLines w:val="0"/>
              <w:pageBreakBefore w:val="0"/>
              <w:widowControl w:val="0"/>
              <w:kinsoku/>
              <w:wordWrap/>
              <w:overflowPunct/>
              <w:topLinePunct/>
              <w:autoSpaceDE w:val="0"/>
              <w:autoSpaceDN/>
              <w:bidi w:val="0"/>
              <w:adjustRightInd/>
              <w:snapToGrid/>
              <w:ind w:firstLine="0" w:firstLineChars="0"/>
              <w:rPr>
                <w:rFonts w:hint="default" w:ascii="Arial" w:hAnsi="Arial" w:eastAsia="宋体" w:cs="Arial"/>
                <w:bCs/>
                <w:color w:val="auto"/>
                <w:kern w:val="2"/>
                <w:sz w:val="21"/>
                <w:szCs w:val="21"/>
                <w:highlight w:val="none"/>
                <w:lang w:val="en-US" w:eastAsia="zh-CN" w:bidi="ar-SA"/>
              </w:rPr>
            </w:pPr>
            <w:r>
              <w:rPr>
                <w:rFonts w:hint="default" w:ascii="Arial" w:hAnsi="Arial" w:eastAsia="宋体" w:cs="Arial"/>
                <w:bCs/>
                <w:color w:val="auto"/>
                <w:sz w:val="21"/>
                <w:szCs w:val="21"/>
                <w:highlight w:val="none"/>
              </w:rPr>
              <w:t>菌落总数</w:t>
            </w:r>
          </w:p>
        </w:tc>
        <w:tc>
          <w:tcPr>
            <w:tcW w:w="3495" w:type="dxa"/>
            <w:vAlign w:val="center"/>
          </w:tcPr>
          <w:p>
            <w:pPr>
              <w:pStyle w:val="63"/>
              <w:keepNext w:val="0"/>
              <w:keepLines w:val="0"/>
              <w:pageBreakBefore w:val="0"/>
              <w:widowControl w:val="0"/>
              <w:kinsoku/>
              <w:wordWrap/>
              <w:overflowPunct/>
              <w:topLinePunct/>
              <w:autoSpaceDE w:val="0"/>
              <w:autoSpaceDN/>
              <w:bidi w:val="0"/>
              <w:adjustRightInd/>
              <w:snapToGrid/>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100</w:t>
            </w:r>
            <w:r>
              <w:rPr>
                <w:rFonts w:hint="default" w:ascii="Arial" w:hAnsi="Arial" w:eastAsia="宋体" w:cs="Arial"/>
                <w:color w:val="auto"/>
                <w:sz w:val="21"/>
                <w:szCs w:val="21"/>
                <w:highlight w:val="none"/>
                <w:lang w:eastAsia="zh-CN"/>
              </w:rPr>
              <w:t>（</w:t>
            </w:r>
            <w:r>
              <w:rPr>
                <w:rFonts w:hint="default" w:ascii="Arial" w:hAnsi="Arial" w:eastAsia="宋体" w:cs="Arial"/>
                <w:color w:val="auto"/>
                <w:sz w:val="21"/>
                <w:szCs w:val="21"/>
                <w:highlight w:val="none"/>
              </w:rPr>
              <w:t>CFU/ml</w:t>
            </w:r>
            <w:r>
              <w:rPr>
                <w:rFonts w:hint="default" w:ascii="Arial" w:hAnsi="Arial" w:eastAsia="宋体" w:cs="Arial"/>
                <w:color w:val="auto"/>
                <w:sz w:val="21"/>
                <w:szCs w:val="21"/>
                <w:highlight w:val="none"/>
                <w:lang w:eastAsia="zh-CN"/>
              </w:rPr>
              <w:t>）</w:t>
            </w:r>
          </w:p>
        </w:tc>
        <w:tc>
          <w:tcPr>
            <w:tcW w:w="1710" w:type="dxa"/>
            <w:vMerge w:val="continue"/>
            <w:vAlign w:val="center"/>
          </w:tcPr>
          <w:p>
            <w:pPr>
              <w:pStyle w:val="63"/>
              <w:keepNext w:val="0"/>
              <w:keepLines w:val="0"/>
              <w:pageBreakBefore w:val="0"/>
              <w:widowControl w:val="0"/>
              <w:kinsoku/>
              <w:wordWrap/>
              <w:overflowPunct/>
              <w:topLinePunct/>
              <w:autoSpaceDE w:val="0"/>
              <w:autoSpaceDN/>
              <w:bidi w:val="0"/>
              <w:adjustRightInd/>
              <w:snapToGrid/>
              <w:rPr>
                <w:rFonts w:hint="default" w:ascii="Arial" w:hAnsi="Arial" w:eastAsia="宋体" w:cs="Arial"/>
                <w:color w:val="auto"/>
                <w:sz w:val="21"/>
                <w:szCs w:val="21"/>
                <w:highlight w:val="none"/>
              </w:rPr>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7294" w:type="dxa"/>
            <w:gridSpan w:val="3"/>
            <w:vAlign w:val="center"/>
          </w:tcPr>
          <w:p>
            <w:pPr>
              <w:pStyle w:val="63"/>
              <w:keepNext w:val="0"/>
              <w:keepLines w:val="0"/>
              <w:pageBreakBefore w:val="0"/>
              <w:widowControl w:val="0"/>
              <w:kinsoku/>
              <w:wordWrap/>
              <w:overflowPunct/>
              <w:topLinePunct/>
              <w:autoSpaceDE w:val="0"/>
              <w:autoSpaceDN/>
              <w:bidi w:val="0"/>
              <w:adjustRightInd/>
              <w:snapToGrid/>
              <w:rPr>
                <w:rFonts w:hint="default" w:ascii="Arial" w:hAnsi="Arial" w:eastAsia="宋体" w:cs="Arial"/>
                <w:color w:val="auto"/>
                <w:sz w:val="21"/>
                <w:szCs w:val="21"/>
                <w:highlight w:val="none"/>
                <w:lang w:eastAsia="zh-CN"/>
              </w:rPr>
            </w:pPr>
            <w:r>
              <w:rPr>
                <w:rFonts w:hint="default" w:ascii="Arial" w:hAnsi="Arial" w:eastAsia="宋体" w:cs="Arial"/>
                <w:b/>
                <w:bCs/>
                <w:color w:val="auto"/>
                <w:sz w:val="21"/>
                <w:szCs w:val="21"/>
                <w:highlight w:val="none"/>
                <w:lang w:eastAsia="zh-CN"/>
              </w:rPr>
              <w:t>毒理学指标</w:t>
            </w:r>
          </w:p>
        </w:tc>
        <w:tc>
          <w:tcPr>
            <w:tcW w:w="1710" w:type="dxa"/>
            <w:vMerge w:val="continue"/>
            <w:vAlign w:val="center"/>
          </w:tcPr>
          <w:p>
            <w:pPr>
              <w:pStyle w:val="63"/>
              <w:keepNext w:val="0"/>
              <w:keepLines w:val="0"/>
              <w:pageBreakBefore w:val="0"/>
              <w:widowControl w:val="0"/>
              <w:kinsoku/>
              <w:wordWrap/>
              <w:overflowPunct/>
              <w:topLinePunct/>
              <w:autoSpaceDE w:val="0"/>
              <w:autoSpaceDN/>
              <w:bidi w:val="0"/>
              <w:adjustRightInd/>
              <w:snapToGrid/>
              <w:rPr>
                <w:rFonts w:hint="default" w:ascii="Arial" w:hAnsi="Arial" w:eastAsia="宋体" w:cs="Arial"/>
                <w:color w:val="auto"/>
                <w:sz w:val="21"/>
                <w:szCs w:val="21"/>
                <w:highlight w:val="none"/>
              </w:rPr>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32" w:type="dxa"/>
            <w:vAlign w:val="center"/>
          </w:tcPr>
          <w:p>
            <w:pPr>
              <w:pStyle w:val="63"/>
              <w:keepNext w:val="0"/>
              <w:keepLines w:val="0"/>
              <w:pageBreakBefore w:val="0"/>
              <w:widowControl w:val="0"/>
              <w:kinsoku/>
              <w:wordWrap/>
              <w:overflowPunct/>
              <w:topLinePunct/>
              <w:autoSpaceDE w:val="0"/>
              <w:autoSpaceDN/>
              <w:bidi w:val="0"/>
              <w:adjustRightInd/>
              <w:snapToGrid/>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highlight w:val="none"/>
                <w:lang w:val="en-US" w:eastAsia="zh-CN"/>
              </w:rPr>
              <w:t>23</w:t>
            </w:r>
          </w:p>
        </w:tc>
        <w:tc>
          <w:tcPr>
            <w:tcW w:w="2867" w:type="dxa"/>
            <w:vAlign w:val="center"/>
          </w:tcPr>
          <w:p>
            <w:pPr>
              <w:pStyle w:val="63"/>
              <w:keepNext w:val="0"/>
              <w:keepLines w:val="0"/>
              <w:pageBreakBefore w:val="0"/>
              <w:widowControl w:val="0"/>
              <w:kinsoku/>
              <w:wordWrap/>
              <w:overflowPunct/>
              <w:topLinePunct/>
              <w:autoSpaceDE w:val="0"/>
              <w:autoSpaceDN/>
              <w:bidi w:val="0"/>
              <w:adjustRightInd/>
              <w:snapToGrid/>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亚硝酸盐（以氮计）</w:t>
            </w:r>
          </w:p>
        </w:tc>
        <w:tc>
          <w:tcPr>
            <w:tcW w:w="3495" w:type="dxa"/>
            <w:vAlign w:val="center"/>
          </w:tcPr>
          <w:p>
            <w:pPr>
              <w:pStyle w:val="63"/>
              <w:keepNext w:val="0"/>
              <w:keepLines w:val="0"/>
              <w:pageBreakBefore w:val="0"/>
              <w:widowControl w:val="0"/>
              <w:kinsoku/>
              <w:wordWrap/>
              <w:overflowPunct/>
              <w:topLinePunct/>
              <w:autoSpaceDE w:val="0"/>
              <w:autoSpaceDN/>
              <w:bidi w:val="0"/>
              <w:adjustRightInd/>
              <w:snapToGrid/>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1.0</w:t>
            </w:r>
          </w:p>
        </w:tc>
        <w:tc>
          <w:tcPr>
            <w:tcW w:w="1710" w:type="dxa"/>
            <w:vMerge w:val="continue"/>
            <w:vAlign w:val="center"/>
          </w:tcPr>
          <w:p>
            <w:pPr>
              <w:pStyle w:val="63"/>
              <w:keepNext w:val="0"/>
              <w:keepLines w:val="0"/>
              <w:pageBreakBefore w:val="0"/>
              <w:widowControl w:val="0"/>
              <w:kinsoku/>
              <w:wordWrap/>
              <w:overflowPunct/>
              <w:topLinePunct/>
              <w:autoSpaceDE w:val="0"/>
              <w:autoSpaceDN/>
              <w:bidi w:val="0"/>
              <w:adjustRightInd/>
              <w:snapToGrid/>
              <w:rPr>
                <w:rFonts w:hint="default" w:ascii="Arial" w:hAnsi="Arial" w:eastAsia="宋体" w:cs="Arial"/>
                <w:color w:val="auto"/>
                <w:sz w:val="21"/>
                <w:szCs w:val="21"/>
                <w:highlight w:val="none"/>
              </w:rPr>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PrEx>
        <w:trPr>
          <w:trHeight w:val="340" w:hRule="atLeast"/>
          <w:jc w:val="center"/>
        </w:trPr>
        <w:tc>
          <w:tcPr>
            <w:tcW w:w="932" w:type="dxa"/>
            <w:vAlign w:val="center"/>
          </w:tcPr>
          <w:p>
            <w:pPr>
              <w:pStyle w:val="63"/>
              <w:keepNext w:val="0"/>
              <w:keepLines w:val="0"/>
              <w:pageBreakBefore w:val="0"/>
              <w:widowControl w:val="0"/>
              <w:kinsoku/>
              <w:wordWrap/>
              <w:overflowPunct/>
              <w:topLinePunct/>
              <w:autoSpaceDE w:val="0"/>
              <w:autoSpaceDN/>
              <w:bidi w:val="0"/>
              <w:adjustRightInd/>
              <w:snapToGrid/>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highlight w:val="none"/>
                <w:lang w:val="en-US" w:eastAsia="zh-CN"/>
              </w:rPr>
              <w:t>24</w:t>
            </w:r>
          </w:p>
        </w:tc>
        <w:tc>
          <w:tcPr>
            <w:tcW w:w="2867" w:type="dxa"/>
            <w:vAlign w:val="center"/>
          </w:tcPr>
          <w:p>
            <w:pPr>
              <w:pStyle w:val="63"/>
              <w:keepNext w:val="0"/>
              <w:keepLines w:val="0"/>
              <w:pageBreakBefore w:val="0"/>
              <w:widowControl w:val="0"/>
              <w:kinsoku/>
              <w:wordWrap/>
              <w:overflowPunct/>
              <w:topLinePunct/>
              <w:autoSpaceDE w:val="0"/>
              <w:autoSpaceDN/>
              <w:bidi w:val="0"/>
              <w:adjustRightInd/>
              <w:snapToGrid/>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lang w:eastAsia="zh-CN"/>
              </w:rPr>
              <w:t>硝酸盐（以氮计）</w:t>
            </w:r>
          </w:p>
        </w:tc>
        <w:tc>
          <w:tcPr>
            <w:tcW w:w="3495" w:type="dxa"/>
            <w:vAlign w:val="center"/>
          </w:tcPr>
          <w:p>
            <w:pPr>
              <w:pStyle w:val="63"/>
              <w:keepNext w:val="0"/>
              <w:keepLines w:val="0"/>
              <w:pageBreakBefore w:val="0"/>
              <w:widowControl w:val="0"/>
              <w:kinsoku/>
              <w:wordWrap/>
              <w:overflowPunct/>
              <w:topLinePunct/>
              <w:autoSpaceDE w:val="0"/>
              <w:autoSpaceDN/>
              <w:bidi w:val="0"/>
              <w:adjustRightInd/>
              <w:snapToGrid/>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lang w:eastAsia="zh-CN"/>
              </w:rPr>
              <w:t>20</w:t>
            </w:r>
          </w:p>
        </w:tc>
        <w:tc>
          <w:tcPr>
            <w:tcW w:w="1710" w:type="dxa"/>
            <w:vMerge w:val="continue"/>
            <w:vAlign w:val="center"/>
          </w:tcPr>
          <w:p>
            <w:pPr>
              <w:pStyle w:val="63"/>
              <w:keepNext w:val="0"/>
              <w:keepLines w:val="0"/>
              <w:pageBreakBefore w:val="0"/>
              <w:widowControl w:val="0"/>
              <w:kinsoku/>
              <w:wordWrap/>
              <w:overflowPunct/>
              <w:topLinePunct/>
              <w:autoSpaceDE w:val="0"/>
              <w:autoSpaceDN/>
              <w:bidi w:val="0"/>
              <w:adjustRightInd/>
              <w:snapToGrid/>
              <w:rPr>
                <w:rFonts w:hint="default" w:ascii="Arial" w:hAnsi="Arial" w:eastAsia="宋体" w:cs="Arial"/>
                <w:color w:val="auto"/>
                <w:sz w:val="21"/>
                <w:szCs w:val="21"/>
                <w:highlight w:val="none"/>
              </w:rPr>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32" w:type="dxa"/>
            <w:vAlign w:val="center"/>
          </w:tcPr>
          <w:p>
            <w:pPr>
              <w:pStyle w:val="63"/>
              <w:keepNext w:val="0"/>
              <w:keepLines w:val="0"/>
              <w:pageBreakBefore w:val="0"/>
              <w:widowControl w:val="0"/>
              <w:kinsoku/>
              <w:wordWrap/>
              <w:overflowPunct/>
              <w:topLinePunct/>
              <w:autoSpaceDE w:val="0"/>
              <w:autoSpaceDN/>
              <w:bidi w:val="0"/>
              <w:adjustRightInd/>
              <w:snapToGrid/>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highlight w:val="none"/>
                <w:lang w:val="en-US" w:eastAsia="zh-CN"/>
              </w:rPr>
              <w:t>25</w:t>
            </w:r>
          </w:p>
        </w:tc>
        <w:tc>
          <w:tcPr>
            <w:tcW w:w="2867" w:type="dxa"/>
            <w:vAlign w:val="center"/>
          </w:tcPr>
          <w:p>
            <w:pPr>
              <w:pStyle w:val="63"/>
              <w:keepNext w:val="0"/>
              <w:keepLines w:val="0"/>
              <w:pageBreakBefore w:val="0"/>
              <w:widowControl w:val="0"/>
              <w:kinsoku/>
              <w:wordWrap/>
              <w:overflowPunct/>
              <w:topLinePunct/>
              <w:autoSpaceDE w:val="0"/>
              <w:autoSpaceDN/>
              <w:bidi w:val="0"/>
              <w:adjustRightInd/>
              <w:snapToGrid/>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氰化物</w:t>
            </w:r>
          </w:p>
        </w:tc>
        <w:tc>
          <w:tcPr>
            <w:tcW w:w="3495" w:type="dxa"/>
            <w:vAlign w:val="center"/>
          </w:tcPr>
          <w:p>
            <w:pPr>
              <w:pStyle w:val="63"/>
              <w:keepNext w:val="0"/>
              <w:keepLines w:val="0"/>
              <w:pageBreakBefore w:val="0"/>
              <w:widowControl w:val="0"/>
              <w:kinsoku/>
              <w:wordWrap/>
              <w:overflowPunct/>
              <w:topLinePunct/>
              <w:autoSpaceDE w:val="0"/>
              <w:autoSpaceDN/>
              <w:bidi w:val="0"/>
              <w:adjustRightInd/>
              <w:snapToGrid/>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0.05</w:t>
            </w:r>
          </w:p>
        </w:tc>
        <w:tc>
          <w:tcPr>
            <w:tcW w:w="1710" w:type="dxa"/>
            <w:vMerge w:val="continue"/>
            <w:vAlign w:val="center"/>
          </w:tcPr>
          <w:p>
            <w:pPr>
              <w:pStyle w:val="63"/>
              <w:keepNext w:val="0"/>
              <w:keepLines w:val="0"/>
              <w:pageBreakBefore w:val="0"/>
              <w:widowControl w:val="0"/>
              <w:kinsoku/>
              <w:wordWrap/>
              <w:overflowPunct/>
              <w:topLinePunct/>
              <w:autoSpaceDE w:val="0"/>
              <w:autoSpaceDN/>
              <w:bidi w:val="0"/>
              <w:adjustRightInd/>
              <w:snapToGrid/>
              <w:rPr>
                <w:rFonts w:hint="default" w:ascii="Arial" w:hAnsi="Arial" w:eastAsia="宋体" w:cs="Arial"/>
                <w:color w:val="auto"/>
                <w:sz w:val="21"/>
                <w:szCs w:val="21"/>
                <w:highlight w:val="none"/>
              </w:rPr>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32" w:type="dxa"/>
            <w:vAlign w:val="center"/>
          </w:tcPr>
          <w:p>
            <w:pPr>
              <w:pStyle w:val="63"/>
              <w:keepNext w:val="0"/>
              <w:keepLines w:val="0"/>
              <w:pageBreakBefore w:val="0"/>
              <w:widowControl w:val="0"/>
              <w:kinsoku/>
              <w:wordWrap/>
              <w:overflowPunct/>
              <w:topLinePunct/>
              <w:autoSpaceDE w:val="0"/>
              <w:autoSpaceDN/>
              <w:bidi w:val="0"/>
              <w:adjustRightInd/>
              <w:snapToGrid/>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highlight w:val="none"/>
                <w:lang w:val="en-US" w:eastAsia="zh-CN"/>
              </w:rPr>
              <w:t>26</w:t>
            </w:r>
          </w:p>
        </w:tc>
        <w:tc>
          <w:tcPr>
            <w:tcW w:w="2867" w:type="dxa"/>
            <w:vAlign w:val="center"/>
          </w:tcPr>
          <w:p>
            <w:pPr>
              <w:pStyle w:val="63"/>
              <w:keepNext w:val="0"/>
              <w:keepLines w:val="0"/>
              <w:pageBreakBefore w:val="0"/>
              <w:widowControl w:val="0"/>
              <w:kinsoku/>
              <w:wordWrap/>
              <w:overflowPunct/>
              <w:topLinePunct/>
              <w:autoSpaceDE w:val="0"/>
              <w:autoSpaceDN/>
              <w:bidi w:val="0"/>
              <w:adjustRightInd/>
              <w:snapToGrid/>
              <w:rPr>
                <w:rFonts w:hint="default" w:ascii="Arial" w:hAnsi="Arial" w:eastAsia="宋体" w:cs="Arial"/>
                <w:color w:val="auto"/>
                <w:sz w:val="21"/>
                <w:szCs w:val="21"/>
                <w:highlight w:val="none"/>
                <w:lang w:eastAsia="zh-CN"/>
              </w:rPr>
            </w:pPr>
            <w:r>
              <w:rPr>
                <w:rFonts w:hint="default" w:ascii="Arial" w:hAnsi="Arial" w:eastAsia="宋体" w:cs="Arial"/>
                <w:color w:val="auto"/>
                <w:sz w:val="21"/>
                <w:szCs w:val="21"/>
                <w:highlight w:val="none"/>
                <w:lang w:eastAsia="zh-CN"/>
              </w:rPr>
              <w:t>氟化物</w:t>
            </w:r>
          </w:p>
        </w:tc>
        <w:tc>
          <w:tcPr>
            <w:tcW w:w="3495" w:type="dxa"/>
            <w:vAlign w:val="center"/>
          </w:tcPr>
          <w:p>
            <w:pPr>
              <w:pStyle w:val="63"/>
              <w:keepNext w:val="0"/>
              <w:keepLines w:val="0"/>
              <w:pageBreakBefore w:val="0"/>
              <w:widowControl w:val="0"/>
              <w:kinsoku/>
              <w:wordWrap/>
              <w:overflowPunct/>
              <w:topLinePunct/>
              <w:autoSpaceDE w:val="0"/>
              <w:autoSpaceDN/>
              <w:bidi w:val="0"/>
              <w:adjustRightInd/>
              <w:snapToGrid/>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highlight w:val="none"/>
                <w:lang w:val="en-US" w:eastAsia="zh-CN"/>
              </w:rPr>
              <w:t>1.0</w:t>
            </w:r>
          </w:p>
        </w:tc>
        <w:tc>
          <w:tcPr>
            <w:tcW w:w="1710" w:type="dxa"/>
            <w:vMerge w:val="continue"/>
            <w:vAlign w:val="center"/>
          </w:tcPr>
          <w:p>
            <w:pPr>
              <w:pStyle w:val="63"/>
              <w:keepNext w:val="0"/>
              <w:keepLines w:val="0"/>
              <w:pageBreakBefore w:val="0"/>
              <w:widowControl w:val="0"/>
              <w:kinsoku/>
              <w:wordWrap/>
              <w:overflowPunct/>
              <w:topLinePunct/>
              <w:autoSpaceDE w:val="0"/>
              <w:autoSpaceDN/>
              <w:bidi w:val="0"/>
              <w:adjustRightInd/>
              <w:snapToGrid/>
              <w:rPr>
                <w:rFonts w:hint="default" w:ascii="Arial" w:hAnsi="Arial" w:eastAsia="宋体" w:cs="Arial"/>
                <w:color w:val="auto"/>
                <w:sz w:val="21"/>
                <w:szCs w:val="21"/>
                <w:highlight w:val="none"/>
              </w:rPr>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32" w:type="dxa"/>
            <w:vAlign w:val="center"/>
          </w:tcPr>
          <w:p>
            <w:pPr>
              <w:pStyle w:val="63"/>
              <w:keepNext w:val="0"/>
              <w:keepLines w:val="0"/>
              <w:pageBreakBefore w:val="0"/>
              <w:widowControl w:val="0"/>
              <w:kinsoku/>
              <w:wordWrap/>
              <w:overflowPunct/>
              <w:topLinePunct/>
              <w:autoSpaceDE w:val="0"/>
              <w:autoSpaceDN/>
              <w:bidi w:val="0"/>
              <w:adjustRightInd/>
              <w:snapToGrid/>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highlight w:val="none"/>
                <w:lang w:val="en-US" w:eastAsia="zh-CN"/>
              </w:rPr>
              <w:t>27</w:t>
            </w:r>
          </w:p>
        </w:tc>
        <w:tc>
          <w:tcPr>
            <w:tcW w:w="2867" w:type="dxa"/>
            <w:vAlign w:val="center"/>
          </w:tcPr>
          <w:p>
            <w:pPr>
              <w:pStyle w:val="63"/>
              <w:keepNext w:val="0"/>
              <w:keepLines w:val="0"/>
              <w:pageBreakBefore w:val="0"/>
              <w:widowControl w:val="0"/>
              <w:kinsoku/>
              <w:wordWrap/>
              <w:overflowPunct/>
              <w:topLinePunct/>
              <w:autoSpaceDE w:val="0"/>
              <w:autoSpaceDN/>
              <w:bidi w:val="0"/>
              <w:adjustRightInd/>
              <w:snapToGrid/>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碘化物</w:t>
            </w:r>
          </w:p>
        </w:tc>
        <w:tc>
          <w:tcPr>
            <w:tcW w:w="3495" w:type="dxa"/>
            <w:vAlign w:val="center"/>
          </w:tcPr>
          <w:p>
            <w:pPr>
              <w:pStyle w:val="63"/>
              <w:keepNext w:val="0"/>
              <w:keepLines w:val="0"/>
              <w:pageBreakBefore w:val="0"/>
              <w:widowControl w:val="0"/>
              <w:kinsoku/>
              <w:wordWrap/>
              <w:overflowPunct/>
              <w:topLinePunct/>
              <w:autoSpaceDE w:val="0"/>
              <w:autoSpaceDN/>
              <w:bidi w:val="0"/>
              <w:adjustRightInd/>
              <w:snapToGrid/>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0.08</w:t>
            </w:r>
          </w:p>
        </w:tc>
        <w:tc>
          <w:tcPr>
            <w:tcW w:w="1710" w:type="dxa"/>
            <w:vMerge w:val="continue"/>
            <w:vAlign w:val="center"/>
          </w:tcPr>
          <w:p>
            <w:pPr>
              <w:pStyle w:val="63"/>
              <w:keepNext w:val="0"/>
              <w:keepLines w:val="0"/>
              <w:pageBreakBefore w:val="0"/>
              <w:widowControl w:val="0"/>
              <w:kinsoku/>
              <w:wordWrap/>
              <w:overflowPunct/>
              <w:topLinePunct/>
              <w:autoSpaceDE w:val="0"/>
              <w:autoSpaceDN/>
              <w:bidi w:val="0"/>
              <w:adjustRightInd/>
              <w:snapToGrid/>
              <w:rPr>
                <w:rFonts w:hint="default" w:ascii="Arial" w:hAnsi="Arial" w:eastAsia="宋体" w:cs="Arial"/>
                <w:color w:val="auto"/>
                <w:sz w:val="21"/>
                <w:szCs w:val="21"/>
                <w:highlight w:val="none"/>
              </w:rPr>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32" w:type="dxa"/>
            <w:vAlign w:val="center"/>
          </w:tcPr>
          <w:p>
            <w:pPr>
              <w:pStyle w:val="63"/>
              <w:keepNext w:val="0"/>
              <w:keepLines w:val="0"/>
              <w:pageBreakBefore w:val="0"/>
              <w:widowControl w:val="0"/>
              <w:kinsoku/>
              <w:wordWrap/>
              <w:overflowPunct/>
              <w:topLinePunct/>
              <w:autoSpaceDE w:val="0"/>
              <w:autoSpaceDN/>
              <w:bidi w:val="0"/>
              <w:adjustRightInd/>
              <w:snapToGrid/>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highlight w:val="none"/>
                <w:lang w:val="en-US" w:eastAsia="zh-CN"/>
              </w:rPr>
              <w:t>28</w:t>
            </w:r>
          </w:p>
        </w:tc>
        <w:tc>
          <w:tcPr>
            <w:tcW w:w="2867" w:type="dxa"/>
            <w:vAlign w:val="center"/>
          </w:tcPr>
          <w:p>
            <w:pPr>
              <w:pStyle w:val="63"/>
              <w:keepNext w:val="0"/>
              <w:keepLines w:val="0"/>
              <w:pageBreakBefore w:val="0"/>
              <w:widowControl w:val="0"/>
              <w:kinsoku/>
              <w:wordWrap/>
              <w:overflowPunct/>
              <w:topLinePunct/>
              <w:autoSpaceDE w:val="0"/>
              <w:autoSpaceDN/>
              <w:bidi w:val="0"/>
              <w:adjustRightInd/>
              <w:snapToGrid/>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汞</w:t>
            </w:r>
          </w:p>
        </w:tc>
        <w:tc>
          <w:tcPr>
            <w:tcW w:w="3495" w:type="dxa"/>
            <w:vAlign w:val="center"/>
          </w:tcPr>
          <w:p>
            <w:pPr>
              <w:pStyle w:val="63"/>
              <w:keepNext w:val="0"/>
              <w:keepLines w:val="0"/>
              <w:pageBreakBefore w:val="0"/>
              <w:widowControl w:val="0"/>
              <w:kinsoku/>
              <w:wordWrap/>
              <w:overflowPunct/>
              <w:topLinePunct/>
              <w:autoSpaceDE w:val="0"/>
              <w:autoSpaceDN/>
              <w:bidi w:val="0"/>
              <w:adjustRightInd/>
              <w:snapToGrid/>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0.001</w:t>
            </w:r>
          </w:p>
        </w:tc>
        <w:tc>
          <w:tcPr>
            <w:tcW w:w="1710" w:type="dxa"/>
            <w:vMerge w:val="continue"/>
            <w:vAlign w:val="center"/>
          </w:tcPr>
          <w:p>
            <w:pPr>
              <w:pStyle w:val="63"/>
              <w:keepNext w:val="0"/>
              <w:keepLines w:val="0"/>
              <w:pageBreakBefore w:val="0"/>
              <w:widowControl w:val="0"/>
              <w:kinsoku/>
              <w:wordWrap/>
              <w:overflowPunct/>
              <w:topLinePunct/>
              <w:autoSpaceDE w:val="0"/>
              <w:autoSpaceDN/>
              <w:bidi w:val="0"/>
              <w:adjustRightInd/>
              <w:snapToGrid/>
              <w:rPr>
                <w:rFonts w:hint="default" w:ascii="Arial" w:hAnsi="Arial" w:eastAsia="宋体" w:cs="Arial"/>
                <w:color w:val="auto"/>
                <w:sz w:val="21"/>
                <w:szCs w:val="21"/>
                <w:highlight w:val="none"/>
              </w:rPr>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32" w:type="dxa"/>
            <w:vAlign w:val="center"/>
          </w:tcPr>
          <w:p>
            <w:pPr>
              <w:pStyle w:val="63"/>
              <w:keepNext w:val="0"/>
              <w:keepLines w:val="0"/>
              <w:pageBreakBefore w:val="0"/>
              <w:widowControl w:val="0"/>
              <w:kinsoku/>
              <w:wordWrap/>
              <w:overflowPunct/>
              <w:topLinePunct/>
              <w:autoSpaceDE w:val="0"/>
              <w:autoSpaceDN/>
              <w:bidi w:val="0"/>
              <w:adjustRightInd/>
              <w:snapToGrid/>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highlight w:val="none"/>
                <w:lang w:val="en-US" w:eastAsia="zh-CN"/>
              </w:rPr>
              <w:t>29</w:t>
            </w:r>
          </w:p>
        </w:tc>
        <w:tc>
          <w:tcPr>
            <w:tcW w:w="2867" w:type="dxa"/>
            <w:vAlign w:val="center"/>
          </w:tcPr>
          <w:p>
            <w:pPr>
              <w:pStyle w:val="63"/>
              <w:keepNext w:val="0"/>
              <w:keepLines w:val="0"/>
              <w:pageBreakBefore w:val="0"/>
              <w:widowControl w:val="0"/>
              <w:kinsoku/>
              <w:wordWrap/>
              <w:overflowPunct/>
              <w:topLinePunct/>
              <w:autoSpaceDE w:val="0"/>
              <w:autoSpaceDN/>
              <w:bidi w:val="0"/>
              <w:adjustRightInd/>
              <w:snapToGrid/>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砷</w:t>
            </w:r>
          </w:p>
        </w:tc>
        <w:tc>
          <w:tcPr>
            <w:tcW w:w="3495" w:type="dxa"/>
            <w:vAlign w:val="center"/>
          </w:tcPr>
          <w:p>
            <w:pPr>
              <w:pStyle w:val="63"/>
              <w:keepNext w:val="0"/>
              <w:keepLines w:val="0"/>
              <w:pageBreakBefore w:val="0"/>
              <w:widowControl w:val="0"/>
              <w:kinsoku/>
              <w:wordWrap/>
              <w:overflowPunct/>
              <w:topLinePunct/>
              <w:autoSpaceDE w:val="0"/>
              <w:autoSpaceDN/>
              <w:bidi w:val="0"/>
              <w:adjustRightInd/>
              <w:snapToGrid/>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0.01</w:t>
            </w:r>
          </w:p>
        </w:tc>
        <w:tc>
          <w:tcPr>
            <w:tcW w:w="1710" w:type="dxa"/>
            <w:vMerge w:val="continue"/>
            <w:vAlign w:val="center"/>
          </w:tcPr>
          <w:p>
            <w:pPr>
              <w:pStyle w:val="63"/>
              <w:keepNext w:val="0"/>
              <w:keepLines w:val="0"/>
              <w:pageBreakBefore w:val="0"/>
              <w:widowControl w:val="0"/>
              <w:kinsoku/>
              <w:wordWrap/>
              <w:overflowPunct/>
              <w:topLinePunct/>
              <w:autoSpaceDE w:val="0"/>
              <w:autoSpaceDN/>
              <w:bidi w:val="0"/>
              <w:adjustRightInd/>
              <w:snapToGrid/>
              <w:rPr>
                <w:rFonts w:hint="default" w:ascii="Arial" w:hAnsi="Arial" w:eastAsia="宋体" w:cs="Arial"/>
                <w:color w:val="auto"/>
                <w:sz w:val="21"/>
                <w:szCs w:val="21"/>
                <w:highlight w:val="none"/>
              </w:rPr>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32" w:type="dxa"/>
            <w:vAlign w:val="center"/>
          </w:tcPr>
          <w:p>
            <w:pPr>
              <w:pStyle w:val="63"/>
              <w:keepNext w:val="0"/>
              <w:keepLines w:val="0"/>
              <w:pageBreakBefore w:val="0"/>
              <w:widowControl w:val="0"/>
              <w:kinsoku/>
              <w:wordWrap/>
              <w:overflowPunct/>
              <w:topLinePunct/>
              <w:autoSpaceDE w:val="0"/>
              <w:autoSpaceDN/>
              <w:bidi w:val="0"/>
              <w:adjustRightInd/>
              <w:snapToGrid/>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highlight w:val="none"/>
                <w:lang w:val="en-US" w:eastAsia="zh-CN"/>
              </w:rPr>
              <w:t>30</w:t>
            </w:r>
          </w:p>
        </w:tc>
        <w:tc>
          <w:tcPr>
            <w:tcW w:w="2867" w:type="dxa"/>
            <w:vAlign w:val="center"/>
          </w:tcPr>
          <w:p>
            <w:pPr>
              <w:pStyle w:val="63"/>
              <w:keepNext w:val="0"/>
              <w:keepLines w:val="0"/>
              <w:pageBreakBefore w:val="0"/>
              <w:widowControl w:val="0"/>
              <w:kinsoku/>
              <w:wordWrap/>
              <w:overflowPunct/>
              <w:topLinePunct/>
              <w:autoSpaceDE w:val="0"/>
              <w:autoSpaceDN/>
              <w:bidi w:val="0"/>
              <w:adjustRightInd/>
              <w:snapToGrid/>
              <w:rPr>
                <w:rFonts w:hint="default" w:ascii="Arial" w:hAnsi="Arial" w:eastAsia="宋体" w:cs="Arial"/>
                <w:color w:val="auto"/>
                <w:sz w:val="21"/>
                <w:szCs w:val="21"/>
                <w:highlight w:val="none"/>
                <w:lang w:eastAsia="zh-CN"/>
              </w:rPr>
            </w:pPr>
            <w:r>
              <w:rPr>
                <w:rFonts w:hint="default" w:ascii="Arial" w:hAnsi="Arial" w:eastAsia="宋体" w:cs="Arial"/>
                <w:color w:val="auto"/>
                <w:sz w:val="21"/>
                <w:szCs w:val="21"/>
                <w:highlight w:val="none"/>
                <w:lang w:eastAsia="zh-CN"/>
              </w:rPr>
              <w:t>硒</w:t>
            </w:r>
          </w:p>
        </w:tc>
        <w:tc>
          <w:tcPr>
            <w:tcW w:w="3495" w:type="dxa"/>
            <w:vAlign w:val="center"/>
          </w:tcPr>
          <w:p>
            <w:pPr>
              <w:pStyle w:val="63"/>
              <w:keepNext w:val="0"/>
              <w:keepLines w:val="0"/>
              <w:pageBreakBefore w:val="0"/>
              <w:widowControl w:val="0"/>
              <w:kinsoku/>
              <w:wordWrap/>
              <w:overflowPunct/>
              <w:topLinePunct/>
              <w:autoSpaceDE w:val="0"/>
              <w:autoSpaceDN/>
              <w:bidi w:val="0"/>
              <w:adjustRightInd/>
              <w:snapToGrid/>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highlight w:val="none"/>
                <w:lang w:val="en-US" w:eastAsia="zh-CN"/>
              </w:rPr>
              <w:t>0.01</w:t>
            </w:r>
          </w:p>
        </w:tc>
        <w:tc>
          <w:tcPr>
            <w:tcW w:w="1710" w:type="dxa"/>
            <w:vMerge w:val="continue"/>
            <w:vAlign w:val="center"/>
          </w:tcPr>
          <w:p>
            <w:pPr>
              <w:pStyle w:val="63"/>
              <w:keepNext w:val="0"/>
              <w:keepLines w:val="0"/>
              <w:pageBreakBefore w:val="0"/>
              <w:widowControl w:val="0"/>
              <w:kinsoku/>
              <w:wordWrap/>
              <w:overflowPunct/>
              <w:topLinePunct/>
              <w:autoSpaceDE w:val="0"/>
              <w:autoSpaceDN/>
              <w:bidi w:val="0"/>
              <w:adjustRightInd/>
              <w:snapToGrid/>
              <w:rPr>
                <w:rFonts w:hint="default" w:ascii="Arial" w:hAnsi="Arial" w:eastAsia="宋体" w:cs="Arial"/>
                <w:color w:val="auto"/>
                <w:sz w:val="21"/>
                <w:szCs w:val="21"/>
                <w:highlight w:val="none"/>
              </w:rPr>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32" w:type="dxa"/>
            <w:vAlign w:val="center"/>
          </w:tcPr>
          <w:p>
            <w:pPr>
              <w:pStyle w:val="63"/>
              <w:keepNext w:val="0"/>
              <w:keepLines w:val="0"/>
              <w:pageBreakBefore w:val="0"/>
              <w:widowControl w:val="0"/>
              <w:kinsoku/>
              <w:wordWrap/>
              <w:overflowPunct/>
              <w:topLinePunct/>
              <w:autoSpaceDE w:val="0"/>
              <w:autoSpaceDN/>
              <w:bidi w:val="0"/>
              <w:adjustRightInd/>
              <w:snapToGrid/>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highlight w:val="none"/>
                <w:lang w:val="en-US" w:eastAsia="zh-CN"/>
              </w:rPr>
              <w:t>31</w:t>
            </w:r>
          </w:p>
        </w:tc>
        <w:tc>
          <w:tcPr>
            <w:tcW w:w="2867" w:type="dxa"/>
            <w:vAlign w:val="center"/>
          </w:tcPr>
          <w:p>
            <w:pPr>
              <w:pStyle w:val="63"/>
              <w:keepNext w:val="0"/>
              <w:keepLines w:val="0"/>
              <w:pageBreakBefore w:val="0"/>
              <w:widowControl w:val="0"/>
              <w:kinsoku/>
              <w:wordWrap/>
              <w:overflowPunct/>
              <w:topLinePunct/>
              <w:autoSpaceDE w:val="0"/>
              <w:autoSpaceDN/>
              <w:bidi w:val="0"/>
              <w:adjustRightInd/>
              <w:snapToGrid/>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镉</w:t>
            </w:r>
          </w:p>
        </w:tc>
        <w:tc>
          <w:tcPr>
            <w:tcW w:w="3495" w:type="dxa"/>
            <w:vAlign w:val="center"/>
          </w:tcPr>
          <w:p>
            <w:pPr>
              <w:pStyle w:val="63"/>
              <w:keepNext w:val="0"/>
              <w:keepLines w:val="0"/>
              <w:pageBreakBefore w:val="0"/>
              <w:widowControl w:val="0"/>
              <w:kinsoku/>
              <w:wordWrap/>
              <w:overflowPunct/>
              <w:topLinePunct/>
              <w:autoSpaceDE w:val="0"/>
              <w:autoSpaceDN/>
              <w:bidi w:val="0"/>
              <w:adjustRightInd/>
              <w:snapToGrid/>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0.005</w:t>
            </w:r>
          </w:p>
        </w:tc>
        <w:tc>
          <w:tcPr>
            <w:tcW w:w="1710" w:type="dxa"/>
            <w:vMerge w:val="continue"/>
            <w:vAlign w:val="center"/>
          </w:tcPr>
          <w:p>
            <w:pPr>
              <w:pStyle w:val="63"/>
              <w:keepNext w:val="0"/>
              <w:keepLines w:val="0"/>
              <w:pageBreakBefore w:val="0"/>
              <w:widowControl w:val="0"/>
              <w:kinsoku/>
              <w:wordWrap/>
              <w:overflowPunct/>
              <w:topLinePunct/>
              <w:autoSpaceDE w:val="0"/>
              <w:autoSpaceDN/>
              <w:bidi w:val="0"/>
              <w:adjustRightInd/>
              <w:snapToGrid/>
              <w:rPr>
                <w:rFonts w:hint="default" w:ascii="Arial" w:hAnsi="Arial" w:eastAsia="宋体" w:cs="Arial"/>
                <w:color w:val="auto"/>
                <w:sz w:val="21"/>
                <w:szCs w:val="21"/>
                <w:highlight w:val="none"/>
              </w:rPr>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32" w:type="dxa"/>
            <w:vAlign w:val="center"/>
          </w:tcPr>
          <w:p>
            <w:pPr>
              <w:pStyle w:val="63"/>
              <w:keepNext w:val="0"/>
              <w:keepLines w:val="0"/>
              <w:pageBreakBefore w:val="0"/>
              <w:widowControl w:val="0"/>
              <w:kinsoku/>
              <w:wordWrap/>
              <w:overflowPunct/>
              <w:topLinePunct/>
              <w:autoSpaceDE w:val="0"/>
              <w:autoSpaceDN/>
              <w:bidi w:val="0"/>
              <w:adjustRightInd/>
              <w:snapToGrid/>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highlight w:val="none"/>
                <w:lang w:val="en-US" w:eastAsia="zh-CN"/>
              </w:rPr>
              <w:t>32</w:t>
            </w:r>
          </w:p>
        </w:tc>
        <w:tc>
          <w:tcPr>
            <w:tcW w:w="2867" w:type="dxa"/>
            <w:vAlign w:val="center"/>
          </w:tcPr>
          <w:p>
            <w:pPr>
              <w:pStyle w:val="63"/>
              <w:keepNext w:val="0"/>
              <w:keepLines w:val="0"/>
              <w:pageBreakBefore w:val="0"/>
              <w:widowControl w:val="0"/>
              <w:kinsoku/>
              <w:wordWrap/>
              <w:overflowPunct/>
              <w:topLinePunct/>
              <w:autoSpaceDE w:val="0"/>
              <w:autoSpaceDN/>
              <w:bidi w:val="0"/>
              <w:adjustRightInd/>
              <w:snapToGrid/>
              <w:rPr>
                <w:rFonts w:hint="default" w:ascii="Arial" w:hAnsi="Arial" w:eastAsia="宋体" w:cs="Arial"/>
                <w:color w:val="auto"/>
                <w:sz w:val="21"/>
                <w:szCs w:val="21"/>
                <w:highlight w:val="none"/>
                <w:lang w:eastAsia="zh-CN"/>
              </w:rPr>
            </w:pPr>
            <w:r>
              <w:rPr>
                <w:rFonts w:hint="default" w:ascii="Arial" w:hAnsi="Arial" w:eastAsia="宋体" w:cs="Arial"/>
                <w:color w:val="auto"/>
                <w:sz w:val="21"/>
                <w:szCs w:val="21"/>
                <w:highlight w:val="none"/>
              </w:rPr>
              <w:t>铬</w:t>
            </w:r>
            <w:r>
              <w:rPr>
                <w:rFonts w:hint="default" w:ascii="Arial" w:hAnsi="Arial" w:eastAsia="宋体" w:cs="Arial"/>
                <w:color w:val="auto"/>
                <w:sz w:val="21"/>
                <w:szCs w:val="21"/>
                <w:highlight w:val="none"/>
                <w:lang w:eastAsia="zh-CN"/>
              </w:rPr>
              <w:t>（六价）</w:t>
            </w:r>
          </w:p>
        </w:tc>
        <w:tc>
          <w:tcPr>
            <w:tcW w:w="3495" w:type="dxa"/>
            <w:vAlign w:val="center"/>
          </w:tcPr>
          <w:p>
            <w:pPr>
              <w:pStyle w:val="63"/>
              <w:keepNext w:val="0"/>
              <w:keepLines w:val="0"/>
              <w:pageBreakBefore w:val="0"/>
              <w:widowControl w:val="0"/>
              <w:kinsoku/>
              <w:wordWrap/>
              <w:overflowPunct/>
              <w:topLinePunct/>
              <w:autoSpaceDE w:val="0"/>
              <w:autoSpaceDN/>
              <w:bidi w:val="0"/>
              <w:adjustRightInd/>
              <w:snapToGrid/>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0.05</w:t>
            </w:r>
          </w:p>
        </w:tc>
        <w:tc>
          <w:tcPr>
            <w:tcW w:w="1710" w:type="dxa"/>
            <w:vMerge w:val="continue"/>
            <w:vAlign w:val="center"/>
          </w:tcPr>
          <w:p>
            <w:pPr>
              <w:pStyle w:val="63"/>
              <w:keepNext w:val="0"/>
              <w:keepLines w:val="0"/>
              <w:pageBreakBefore w:val="0"/>
              <w:widowControl w:val="0"/>
              <w:kinsoku/>
              <w:wordWrap/>
              <w:overflowPunct/>
              <w:topLinePunct/>
              <w:autoSpaceDE w:val="0"/>
              <w:autoSpaceDN/>
              <w:bidi w:val="0"/>
              <w:adjustRightInd/>
              <w:snapToGrid/>
              <w:rPr>
                <w:rFonts w:hint="default" w:ascii="Arial" w:hAnsi="Arial" w:eastAsia="宋体" w:cs="Arial"/>
                <w:color w:val="auto"/>
                <w:sz w:val="21"/>
                <w:szCs w:val="21"/>
                <w:highlight w:val="none"/>
              </w:rPr>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32" w:type="dxa"/>
            <w:vAlign w:val="center"/>
          </w:tcPr>
          <w:p>
            <w:pPr>
              <w:pStyle w:val="63"/>
              <w:keepNext w:val="0"/>
              <w:keepLines w:val="0"/>
              <w:pageBreakBefore w:val="0"/>
              <w:widowControl w:val="0"/>
              <w:kinsoku/>
              <w:wordWrap/>
              <w:overflowPunct/>
              <w:topLinePunct/>
              <w:autoSpaceDE w:val="0"/>
              <w:autoSpaceDN/>
              <w:bidi w:val="0"/>
              <w:adjustRightInd/>
              <w:snapToGrid/>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highlight w:val="none"/>
                <w:lang w:val="en-US" w:eastAsia="zh-CN"/>
              </w:rPr>
              <w:t>33</w:t>
            </w:r>
          </w:p>
        </w:tc>
        <w:tc>
          <w:tcPr>
            <w:tcW w:w="2867" w:type="dxa"/>
            <w:vAlign w:val="center"/>
          </w:tcPr>
          <w:p>
            <w:pPr>
              <w:pStyle w:val="63"/>
              <w:keepNext w:val="0"/>
              <w:keepLines w:val="0"/>
              <w:pageBreakBefore w:val="0"/>
              <w:widowControl w:val="0"/>
              <w:kinsoku/>
              <w:wordWrap/>
              <w:overflowPunct/>
              <w:topLinePunct/>
              <w:autoSpaceDE w:val="0"/>
              <w:autoSpaceDN/>
              <w:bidi w:val="0"/>
              <w:adjustRightInd/>
              <w:snapToGrid/>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铅</w:t>
            </w:r>
          </w:p>
        </w:tc>
        <w:tc>
          <w:tcPr>
            <w:tcW w:w="3495" w:type="dxa"/>
            <w:vAlign w:val="center"/>
          </w:tcPr>
          <w:p>
            <w:pPr>
              <w:pStyle w:val="63"/>
              <w:keepNext w:val="0"/>
              <w:keepLines w:val="0"/>
              <w:pageBreakBefore w:val="0"/>
              <w:widowControl w:val="0"/>
              <w:kinsoku/>
              <w:wordWrap/>
              <w:overflowPunct/>
              <w:topLinePunct/>
              <w:autoSpaceDE w:val="0"/>
              <w:autoSpaceDN/>
              <w:bidi w:val="0"/>
              <w:adjustRightInd/>
              <w:snapToGrid/>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0.01</w:t>
            </w:r>
          </w:p>
        </w:tc>
        <w:tc>
          <w:tcPr>
            <w:tcW w:w="1710" w:type="dxa"/>
            <w:vMerge w:val="continue"/>
            <w:vAlign w:val="center"/>
          </w:tcPr>
          <w:p>
            <w:pPr>
              <w:pStyle w:val="63"/>
              <w:keepNext w:val="0"/>
              <w:keepLines w:val="0"/>
              <w:pageBreakBefore w:val="0"/>
              <w:widowControl w:val="0"/>
              <w:kinsoku/>
              <w:wordWrap/>
              <w:overflowPunct/>
              <w:topLinePunct/>
              <w:autoSpaceDE w:val="0"/>
              <w:autoSpaceDN/>
              <w:bidi w:val="0"/>
              <w:adjustRightInd/>
              <w:snapToGrid/>
              <w:rPr>
                <w:rFonts w:hint="default" w:ascii="Arial" w:hAnsi="Arial" w:eastAsia="宋体" w:cs="Arial"/>
                <w:color w:val="auto"/>
                <w:sz w:val="21"/>
                <w:szCs w:val="21"/>
                <w:highlight w:val="none"/>
              </w:rPr>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32" w:type="dxa"/>
            <w:vAlign w:val="center"/>
          </w:tcPr>
          <w:p>
            <w:pPr>
              <w:pStyle w:val="63"/>
              <w:keepNext w:val="0"/>
              <w:keepLines w:val="0"/>
              <w:pageBreakBefore w:val="0"/>
              <w:widowControl w:val="0"/>
              <w:kinsoku/>
              <w:wordWrap/>
              <w:overflowPunct/>
              <w:topLinePunct/>
              <w:autoSpaceDE w:val="0"/>
              <w:autoSpaceDN/>
              <w:bidi w:val="0"/>
              <w:adjustRightInd/>
              <w:snapToGrid/>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highlight w:val="none"/>
                <w:lang w:val="en-US" w:eastAsia="zh-CN"/>
              </w:rPr>
              <w:t>34</w:t>
            </w:r>
          </w:p>
        </w:tc>
        <w:tc>
          <w:tcPr>
            <w:tcW w:w="2867" w:type="dxa"/>
            <w:vAlign w:val="center"/>
          </w:tcPr>
          <w:p>
            <w:pPr>
              <w:pStyle w:val="63"/>
              <w:keepNext w:val="0"/>
              <w:keepLines w:val="0"/>
              <w:pageBreakBefore w:val="0"/>
              <w:widowControl w:val="0"/>
              <w:kinsoku/>
              <w:wordWrap/>
              <w:overflowPunct/>
              <w:topLinePunct/>
              <w:autoSpaceDE w:val="0"/>
              <w:autoSpaceDN/>
              <w:bidi w:val="0"/>
              <w:adjustRightInd/>
              <w:snapToGrid/>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lang w:val="en-US" w:eastAsia="zh-CN"/>
              </w:rPr>
              <w:t>三氯甲烷</w:t>
            </w:r>
          </w:p>
        </w:tc>
        <w:tc>
          <w:tcPr>
            <w:tcW w:w="3495" w:type="dxa"/>
            <w:vAlign w:val="center"/>
          </w:tcPr>
          <w:p>
            <w:pPr>
              <w:pStyle w:val="63"/>
              <w:keepNext w:val="0"/>
              <w:keepLines w:val="0"/>
              <w:pageBreakBefore w:val="0"/>
              <w:widowControl w:val="0"/>
              <w:kinsoku/>
              <w:wordWrap/>
              <w:overflowPunct/>
              <w:topLinePunct/>
              <w:autoSpaceDE w:val="0"/>
              <w:autoSpaceDN/>
              <w:bidi w:val="0"/>
              <w:adjustRightInd/>
              <w:snapToGrid/>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highlight w:val="none"/>
                <w:lang w:val="en-US" w:eastAsia="zh-CN"/>
              </w:rPr>
              <w:t>60</w:t>
            </w:r>
          </w:p>
        </w:tc>
        <w:tc>
          <w:tcPr>
            <w:tcW w:w="1710" w:type="dxa"/>
            <w:vMerge w:val="continue"/>
            <w:vAlign w:val="center"/>
          </w:tcPr>
          <w:p>
            <w:pPr>
              <w:pStyle w:val="63"/>
              <w:keepNext w:val="0"/>
              <w:keepLines w:val="0"/>
              <w:pageBreakBefore w:val="0"/>
              <w:widowControl w:val="0"/>
              <w:kinsoku/>
              <w:wordWrap/>
              <w:overflowPunct/>
              <w:topLinePunct/>
              <w:autoSpaceDE w:val="0"/>
              <w:autoSpaceDN/>
              <w:bidi w:val="0"/>
              <w:adjustRightInd/>
              <w:snapToGrid/>
              <w:rPr>
                <w:rFonts w:hint="default" w:ascii="Arial" w:hAnsi="Arial" w:eastAsia="宋体" w:cs="Arial"/>
                <w:color w:val="auto"/>
                <w:sz w:val="21"/>
                <w:szCs w:val="21"/>
                <w:highlight w:val="none"/>
              </w:rPr>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32" w:type="dxa"/>
            <w:vAlign w:val="center"/>
          </w:tcPr>
          <w:p>
            <w:pPr>
              <w:pStyle w:val="63"/>
              <w:keepNext w:val="0"/>
              <w:keepLines w:val="0"/>
              <w:pageBreakBefore w:val="0"/>
              <w:widowControl w:val="0"/>
              <w:kinsoku/>
              <w:wordWrap/>
              <w:overflowPunct/>
              <w:topLinePunct/>
              <w:autoSpaceDE w:val="0"/>
              <w:autoSpaceDN/>
              <w:bidi w:val="0"/>
              <w:adjustRightInd/>
              <w:snapToGrid/>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highlight w:val="none"/>
                <w:lang w:val="en-US" w:eastAsia="zh-CN"/>
              </w:rPr>
              <w:t>35</w:t>
            </w:r>
          </w:p>
        </w:tc>
        <w:tc>
          <w:tcPr>
            <w:tcW w:w="2867" w:type="dxa"/>
            <w:vAlign w:val="center"/>
          </w:tcPr>
          <w:p>
            <w:pPr>
              <w:pStyle w:val="63"/>
              <w:keepNext w:val="0"/>
              <w:keepLines w:val="0"/>
              <w:pageBreakBefore w:val="0"/>
              <w:widowControl w:val="0"/>
              <w:kinsoku/>
              <w:wordWrap/>
              <w:overflowPunct/>
              <w:topLinePunct/>
              <w:autoSpaceDE w:val="0"/>
              <w:autoSpaceDN/>
              <w:bidi w:val="0"/>
              <w:adjustRightInd/>
              <w:snapToGrid/>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lang w:val="en-US" w:eastAsia="zh-CN"/>
              </w:rPr>
              <w:t>四氯化碳</w:t>
            </w:r>
          </w:p>
        </w:tc>
        <w:tc>
          <w:tcPr>
            <w:tcW w:w="3495" w:type="dxa"/>
            <w:vAlign w:val="center"/>
          </w:tcPr>
          <w:p>
            <w:pPr>
              <w:pStyle w:val="63"/>
              <w:keepNext w:val="0"/>
              <w:keepLines w:val="0"/>
              <w:pageBreakBefore w:val="0"/>
              <w:widowControl w:val="0"/>
              <w:kinsoku/>
              <w:wordWrap/>
              <w:overflowPunct/>
              <w:topLinePunct/>
              <w:autoSpaceDE w:val="0"/>
              <w:autoSpaceDN/>
              <w:bidi w:val="0"/>
              <w:adjustRightInd/>
              <w:snapToGrid/>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2</w:t>
            </w:r>
          </w:p>
        </w:tc>
        <w:tc>
          <w:tcPr>
            <w:tcW w:w="1710" w:type="dxa"/>
            <w:vMerge w:val="continue"/>
            <w:vAlign w:val="center"/>
          </w:tcPr>
          <w:p>
            <w:pPr>
              <w:pStyle w:val="63"/>
              <w:keepNext w:val="0"/>
              <w:keepLines w:val="0"/>
              <w:pageBreakBefore w:val="0"/>
              <w:widowControl w:val="0"/>
              <w:kinsoku/>
              <w:wordWrap/>
              <w:overflowPunct/>
              <w:topLinePunct/>
              <w:autoSpaceDE w:val="0"/>
              <w:autoSpaceDN/>
              <w:bidi w:val="0"/>
              <w:adjustRightInd/>
              <w:snapToGrid/>
              <w:rPr>
                <w:rFonts w:hint="default" w:ascii="Arial" w:hAnsi="Arial" w:eastAsia="宋体" w:cs="Arial"/>
                <w:color w:val="auto"/>
                <w:sz w:val="21"/>
                <w:szCs w:val="21"/>
                <w:highlight w:val="none"/>
              </w:rPr>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32" w:type="dxa"/>
            <w:vAlign w:val="center"/>
          </w:tcPr>
          <w:p>
            <w:pPr>
              <w:pStyle w:val="63"/>
              <w:keepNext w:val="0"/>
              <w:keepLines w:val="0"/>
              <w:pageBreakBefore w:val="0"/>
              <w:widowControl w:val="0"/>
              <w:kinsoku/>
              <w:wordWrap/>
              <w:overflowPunct/>
              <w:topLinePunct/>
              <w:autoSpaceDE w:val="0"/>
              <w:autoSpaceDN/>
              <w:bidi w:val="0"/>
              <w:adjustRightInd/>
              <w:snapToGrid/>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highlight w:val="none"/>
                <w:lang w:val="en-US" w:eastAsia="zh-CN"/>
              </w:rPr>
              <w:t>36</w:t>
            </w:r>
          </w:p>
        </w:tc>
        <w:tc>
          <w:tcPr>
            <w:tcW w:w="2867" w:type="dxa"/>
            <w:vAlign w:val="center"/>
          </w:tcPr>
          <w:p>
            <w:pPr>
              <w:pStyle w:val="63"/>
              <w:keepNext w:val="0"/>
              <w:keepLines w:val="0"/>
              <w:pageBreakBefore w:val="0"/>
              <w:widowControl w:val="0"/>
              <w:kinsoku/>
              <w:wordWrap/>
              <w:overflowPunct/>
              <w:topLinePunct/>
              <w:autoSpaceDE w:val="0"/>
              <w:autoSpaceDN/>
              <w:bidi w:val="0"/>
              <w:adjustRightInd/>
              <w:snapToGrid/>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lang w:val="en-US" w:eastAsia="zh-CN"/>
              </w:rPr>
              <w:t>苯</w:t>
            </w:r>
          </w:p>
        </w:tc>
        <w:tc>
          <w:tcPr>
            <w:tcW w:w="3495" w:type="dxa"/>
            <w:vAlign w:val="center"/>
          </w:tcPr>
          <w:p>
            <w:pPr>
              <w:pStyle w:val="63"/>
              <w:keepNext w:val="0"/>
              <w:keepLines w:val="0"/>
              <w:pageBreakBefore w:val="0"/>
              <w:widowControl w:val="0"/>
              <w:kinsoku/>
              <w:wordWrap/>
              <w:overflowPunct/>
              <w:topLinePunct/>
              <w:autoSpaceDE w:val="0"/>
              <w:autoSpaceDN/>
              <w:bidi w:val="0"/>
              <w:adjustRightInd/>
              <w:snapToGrid/>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10</w:t>
            </w:r>
          </w:p>
        </w:tc>
        <w:tc>
          <w:tcPr>
            <w:tcW w:w="1710" w:type="dxa"/>
            <w:vMerge w:val="continue"/>
            <w:vAlign w:val="center"/>
          </w:tcPr>
          <w:p>
            <w:pPr>
              <w:pStyle w:val="63"/>
              <w:keepNext w:val="0"/>
              <w:keepLines w:val="0"/>
              <w:pageBreakBefore w:val="0"/>
              <w:widowControl w:val="0"/>
              <w:kinsoku/>
              <w:wordWrap/>
              <w:overflowPunct/>
              <w:topLinePunct/>
              <w:autoSpaceDE w:val="0"/>
              <w:autoSpaceDN/>
              <w:bidi w:val="0"/>
              <w:adjustRightInd/>
              <w:snapToGrid/>
              <w:rPr>
                <w:rFonts w:hint="default" w:ascii="Arial" w:hAnsi="Arial" w:eastAsia="宋体" w:cs="Arial"/>
                <w:color w:val="auto"/>
                <w:sz w:val="21"/>
                <w:szCs w:val="21"/>
                <w:highlight w:val="none"/>
              </w:rPr>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32" w:type="dxa"/>
            <w:vAlign w:val="center"/>
          </w:tcPr>
          <w:p>
            <w:pPr>
              <w:pStyle w:val="63"/>
              <w:keepNext w:val="0"/>
              <w:keepLines w:val="0"/>
              <w:pageBreakBefore w:val="0"/>
              <w:widowControl w:val="0"/>
              <w:kinsoku/>
              <w:wordWrap/>
              <w:overflowPunct/>
              <w:topLinePunct/>
              <w:autoSpaceDE w:val="0"/>
              <w:autoSpaceDN/>
              <w:bidi w:val="0"/>
              <w:adjustRightInd/>
              <w:snapToGrid/>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highlight w:val="none"/>
                <w:lang w:val="en-US" w:eastAsia="zh-CN"/>
              </w:rPr>
              <w:t>37</w:t>
            </w:r>
          </w:p>
        </w:tc>
        <w:tc>
          <w:tcPr>
            <w:tcW w:w="2867" w:type="dxa"/>
            <w:vAlign w:val="center"/>
          </w:tcPr>
          <w:p>
            <w:pPr>
              <w:pStyle w:val="63"/>
              <w:keepNext w:val="0"/>
              <w:keepLines w:val="0"/>
              <w:pageBreakBefore w:val="0"/>
              <w:widowControl w:val="0"/>
              <w:kinsoku/>
              <w:wordWrap/>
              <w:overflowPunct/>
              <w:topLinePunct/>
              <w:autoSpaceDE w:val="0"/>
              <w:autoSpaceDN/>
              <w:bidi w:val="0"/>
              <w:adjustRightInd/>
              <w:snapToGrid/>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lang w:val="en-US" w:eastAsia="zh-CN"/>
              </w:rPr>
              <w:t>甲苯</w:t>
            </w:r>
          </w:p>
        </w:tc>
        <w:tc>
          <w:tcPr>
            <w:tcW w:w="3495" w:type="dxa"/>
            <w:vAlign w:val="center"/>
          </w:tcPr>
          <w:p>
            <w:pPr>
              <w:pStyle w:val="63"/>
              <w:keepNext w:val="0"/>
              <w:keepLines w:val="0"/>
              <w:pageBreakBefore w:val="0"/>
              <w:widowControl w:val="0"/>
              <w:kinsoku/>
              <w:wordWrap/>
              <w:overflowPunct/>
              <w:topLinePunct/>
              <w:autoSpaceDE w:val="0"/>
              <w:autoSpaceDN/>
              <w:bidi w:val="0"/>
              <w:adjustRightInd/>
              <w:snapToGrid/>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700</w:t>
            </w:r>
          </w:p>
        </w:tc>
        <w:tc>
          <w:tcPr>
            <w:tcW w:w="1710" w:type="dxa"/>
            <w:vMerge w:val="continue"/>
            <w:vAlign w:val="center"/>
          </w:tcPr>
          <w:p>
            <w:pPr>
              <w:pStyle w:val="63"/>
              <w:keepNext w:val="0"/>
              <w:keepLines w:val="0"/>
              <w:pageBreakBefore w:val="0"/>
              <w:widowControl w:val="0"/>
              <w:kinsoku/>
              <w:wordWrap/>
              <w:overflowPunct/>
              <w:topLinePunct/>
              <w:autoSpaceDE w:val="0"/>
              <w:autoSpaceDN/>
              <w:bidi w:val="0"/>
              <w:adjustRightInd/>
              <w:snapToGrid/>
              <w:rPr>
                <w:rFonts w:hint="default" w:ascii="Arial" w:hAnsi="Arial" w:eastAsia="宋体" w:cs="Arial"/>
                <w:color w:val="auto"/>
                <w:sz w:val="21"/>
                <w:szCs w:val="21"/>
                <w:highlight w:val="none"/>
              </w:rPr>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32" w:type="dxa"/>
            <w:vAlign w:val="center"/>
          </w:tcPr>
          <w:p>
            <w:pPr>
              <w:pStyle w:val="63"/>
              <w:keepNext w:val="0"/>
              <w:keepLines w:val="0"/>
              <w:pageBreakBefore w:val="0"/>
              <w:widowControl w:val="0"/>
              <w:kinsoku/>
              <w:wordWrap/>
              <w:overflowPunct/>
              <w:topLinePunct/>
              <w:autoSpaceDE w:val="0"/>
              <w:autoSpaceDN/>
              <w:bidi w:val="0"/>
              <w:adjustRightInd/>
              <w:snapToGrid/>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highlight w:val="none"/>
                <w:lang w:val="en-US" w:eastAsia="zh-CN"/>
              </w:rPr>
              <w:t>38</w:t>
            </w:r>
          </w:p>
        </w:tc>
        <w:tc>
          <w:tcPr>
            <w:tcW w:w="2867" w:type="dxa"/>
            <w:vAlign w:val="center"/>
          </w:tcPr>
          <w:p>
            <w:pPr>
              <w:pStyle w:val="63"/>
              <w:keepNext w:val="0"/>
              <w:keepLines w:val="0"/>
              <w:pageBreakBefore w:val="0"/>
              <w:widowControl w:val="0"/>
              <w:kinsoku/>
              <w:wordWrap/>
              <w:overflowPunct/>
              <w:topLinePunct/>
              <w:autoSpaceDE w:val="0"/>
              <w:autoSpaceDN/>
              <w:bidi w:val="0"/>
              <w:adjustRightInd/>
              <w:snapToGrid/>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rPr>
              <w:t>K</w:t>
            </w:r>
            <w:r>
              <w:rPr>
                <w:rFonts w:hint="default" w:ascii="Arial" w:hAnsi="Arial" w:eastAsia="宋体" w:cs="Arial"/>
                <w:color w:val="auto"/>
                <w:sz w:val="21"/>
                <w:szCs w:val="21"/>
                <w:vertAlign w:val="superscript"/>
              </w:rPr>
              <w:t>+</w:t>
            </w:r>
          </w:p>
        </w:tc>
        <w:tc>
          <w:tcPr>
            <w:tcW w:w="3495" w:type="dxa"/>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w:t>
            </w:r>
          </w:p>
        </w:tc>
        <w:tc>
          <w:tcPr>
            <w:tcW w:w="1710" w:type="dxa"/>
            <w:vMerge w:val="continue"/>
            <w:vAlign w:val="center"/>
          </w:tcPr>
          <w:p>
            <w:pPr>
              <w:pStyle w:val="63"/>
              <w:keepNext w:val="0"/>
              <w:keepLines w:val="0"/>
              <w:pageBreakBefore w:val="0"/>
              <w:widowControl w:val="0"/>
              <w:kinsoku/>
              <w:wordWrap/>
              <w:overflowPunct/>
              <w:topLinePunct/>
              <w:autoSpaceDE w:val="0"/>
              <w:autoSpaceDN/>
              <w:bidi w:val="0"/>
              <w:adjustRightInd/>
              <w:snapToGrid/>
              <w:rPr>
                <w:rFonts w:hint="default" w:ascii="Arial" w:hAnsi="Arial" w:eastAsia="宋体" w:cs="Arial"/>
                <w:color w:val="auto"/>
                <w:sz w:val="21"/>
                <w:szCs w:val="21"/>
                <w:highlight w:val="none"/>
              </w:rPr>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32" w:type="dxa"/>
            <w:vAlign w:val="center"/>
          </w:tcPr>
          <w:p>
            <w:pPr>
              <w:pStyle w:val="63"/>
              <w:keepNext w:val="0"/>
              <w:keepLines w:val="0"/>
              <w:pageBreakBefore w:val="0"/>
              <w:widowControl w:val="0"/>
              <w:kinsoku/>
              <w:wordWrap/>
              <w:overflowPunct/>
              <w:topLinePunct/>
              <w:autoSpaceDE w:val="0"/>
              <w:autoSpaceDN/>
              <w:bidi w:val="0"/>
              <w:adjustRightInd/>
              <w:snapToGrid/>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highlight w:val="none"/>
                <w:lang w:val="en-US" w:eastAsia="zh-CN"/>
              </w:rPr>
              <w:t>39</w:t>
            </w:r>
          </w:p>
        </w:tc>
        <w:tc>
          <w:tcPr>
            <w:tcW w:w="2867" w:type="dxa"/>
            <w:vAlign w:val="center"/>
          </w:tcPr>
          <w:p>
            <w:pPr>
              <w:pStyle w:val="63"/>
              <w:keepNext w:val="0"/>
              <w:keepLines w:val="0"/>
              <w:pageBreakBefore w:val="0"/>
              <w:widowControl w:val="0"/>
              <w:kinsoku/>
              <w:wordWrap/>
              <w:overflowPunct/>
              <w:topLinePunct/>
              <w:autoSpaceDE w:val="0"/>
              <w:autoSpaceDN/>
              <w:bidi w:val="0"/>
              <w:adjustRightInd/>
              <w:snapToGrid/>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rPr>
              <w:t>Na</w:t>
            </w:r>
            <w:r>
              <w:rPr>
                <w:rFonts w:hint="default" w:ascii="Arial" w:hAnsi="Arial" w:eastAsia="宋体" w:cs="Arial"/>
                <w:color w:val="auto"/>
                <w:sz w:val="21"/>
                <w:szCs w:val="21"/>
                <w:vertAlign w:val="superscript"/>
              </w:rPr>
              <w:t>+</w:t>
            </w:r>
          </w:p>
        </w:tc>
        <w:tc>
          <w:tcPr>
            <w:tcW w:w="3495" w:type="dxa"/>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w:t>
            </w:r>
          </w:p>
        </w:tc>
        <w:tc>
          <w:tcPr>
            <w:tcW w:w="1710" w:type="dxa"/>
            <w:vMerge w:val="continue"/>
            <w:vAlign w:val="center"/>
          </w:tcPr>
          <w:p>
            <w:pPr>
              <w:pStyle w:val="63"/>
              <w:keepNext w:val="0"/>
              <w:keepLines w:val="0"/>
              <w:pageBreakBefore w:val="0"/>
              <w:widowControl w:val="0"/>
              <w:kinsoku/>
              <w:wordWrap/>
              <w:overflowPunct/>
              <w:topLinePunct/>
              <w:autoSpaceDE w:val="0"/>
              <w:autoSpaceDN/>
              <w:bidi w:val="0"/>
              <w:adjustRightInd/>
              <w:snapToGrid/>
              <w:rPr>
                <w:rFonts w:hint="default" w:ascii="Arial" w:hAnsi="Arial" w:eastAsia="宋体" w:cs="Arial"/>
                <w:color w:val="auto"/>
                <w:sz w:val="21"/>
                <w:szCs w:val="21"/>
                <w:highlight w:val="none"/>
              </w:rPr>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32" w:type="dxa"/>
            <w:vAlign w:val="center"/>
          </w:tcPr>
          <w:p>
            <w:pPr>
              <w:pStyle w:val="63"/>
              <w:keepNext w:val="0"/>
              <w:keepLines w:val="0"/>
              <w:pageBreakBefore w:val="0"/>
              <w:widowControl w:val="0"/>
              <w:kinsoku/>
              <w:wordWrap/>
              <w:overflowPunct/>
              <w:topLinePunct/>
              <w:autoSpaceDE w:val="0"/>
              <w:autoSpaceDN/>
              <w:bidi w:val="0"/>
              <w:adjustRightInd/>
              <w:snapToGrid/>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highlight w:val="none"/>
                <w:lang w:val="en-US" w:eastAsia="zh-CN"/>
              </w:rPr>
              <w:t>40</w:t>
            </w:r>
          </w:p>
        </w:tc>
        <w:tc>
          <w:tcPr>
            <w:tcW w:w="2867" w:type="dxa"/>
            <w:vAlign w:val="center"/>
          </w:tcPr>
          <w:p>
            <w:pPr>
              <w:pStyle w:val="63"/>
              <w:keepNext w:val="0"/>
              <w:keepLines w:val="0"/>
              <w:pageBreakBefore w:val="0"/>
              <w:widowControl w:val="0"/>
              <w:kinsoku/>
              <w:wordWrap/>
              <w:overflowPunct/>
              <w:topLinePunct/>
              <w:autoSpaceDE w:val="0"/>
              <w:autoSpaceDN/>
              <w:bidi w:val="0"/>
              <w:adjustRightInd/>
              <w:snapToGrid/>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rPr>
              <w:t>Ca</w:t>
            </w:r>
            <w:r>
              <w:rPr>
                <w:rFonts w:hint="default" w:ascii="Arial" w:hAnsi="Arial" w:eastAsia="宋体" w:cs="Arial"/>
                <w:color w:val="auto"/>
                <w:sz w:val="21"/>
                <w:szCs w:val="21"/>
                <w:vertAlign w:val="superscript"/>
              </w:rPr>
              <w:t>2+</w:t>
            </w:r>
          </w:p>
        </w:tc>
        <w:tc>
          <w:tcPr>
            <w:tcW w:w="3495" w:type="dxa"/>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w:t>
            </w:r>
          </w:p>
        </w:tc>
        <w:tc>
          <w:tcPr>
            <w:tcW w:w="1710" w:type="dxa"/>
            <w:vMerge w:val="continue"/>
            <w:vAlign w:val="center"/>
          </w:tcPr>
          <w:p>
            <w:pPr>
              <w:pStyle w:val="63"/>
              <w:keepNext w:val="0"/>
              <w:keepLines w:val="0"/>
              <w:pageBreakBefore w:val="0"/>
              <w:widowControl w:val="0"/>
              <w:kinsoku/>
              <w:wordWrap/>
              <w:overflowPunct/>
              <w:topLinePunct/>
              <w:autoSpaceDE w:val="0"/>
              <w:autoSpaceDN/>
              <w:bidi w:val="0"/>
              <w:adjustRightInd/>
              <w:snapToGrid/>
              <w:rPr>
                <w:rFonts w:hint="default" w:ascii="Arial" w:hAnsi="Arial" w:eastAsia="宋体" w:cs="Arial"/>
                <w:color w:val="auto"/>
                <w:sz w:val="21"/>
                <w:szCs w:val="21"/>
                <w:highlight w:val="none"/>
              </w:rPr>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32" w:type="dxa"/>
            <w:vAlign w:val="center"/>
          </w:tcPr>
          <w:p>
            <w:pPr>
              <w:pStyle w:val="63"/>
              <w:keepNext w:val="0"/>
              <w:keepLines w:val="0"/>
              <w:pageBreakBefore w:val="0"/>
              <w:widowControl w:val="0"/>
              <w:kinsoku/>
              <w:wordWrap/>
              <w:overflowPunct/>
              <w:topLinePunct/>
              <w:autoSpaceDE w:val="0"/>
              <w:autoSpaceDN/>
              <w:bidi w:val="0"/>
              <w:adjustRightInd/>
              <w:snapToGrid/>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highlight w:val="none"/>
                <w:lang w:val="en-US" w:eastAsia="zh-CN"/>
              </w:rPr>
              <w:t>41</w:t>
            </w:r>
          </w:p>
        </w:tc>
        <w:tc>
          <w:tcPr>
            <w:tcW w:w="2867" w:type="dxa"/>
            <w:vAlign w:val="center"/>
          </w:tcPr>
          <w:p>
            <w:pPr>
              <w:pStyle w:val="63"/>
              <w:keepNext w:val="0"/>
              <w:keepLines w:val="0"/>
              <w:pageBreakBefore w:val="0"/>
              <w:widowControl w:val="0"/>
              <w:kinsoku/>
              <w:wordWrap/>
              <w:overflowPunct/>
              <w:topLinePunct/>
              <w:autoSpaceDE w:val="0"/>
              <w:autoSpaceDN/>
              <w:bidi w:val="0"/>
              <w:adjustRightInd/>
              <w:snapToGrid/>
              <w:rPr>
                <w:rFonts w:hint="default" w:ascii="Arial" w:hAnsi="Arial" w:eastAsia="宋体" w:cs="Arial"/>
                <w:color w:val="auto"/>
                <w:sz w:val="21"/>
                <w:szCs w:val="21"/>
                <w:highlight w:val="none"/>
              </w:rPr>
            </w:pPr>
            <w:r>
              <w:rPr>
                <w:rFonts w:hint="default" w:ascii="Arial" w:hAnsi="Arial" w:eastAsia="宋体" w:cs="Arial"/>
                <w:color w:val="auto"/>
                <w:sz w:val="21"/>
                <w:szCs w:val="21"/>
              </w:rPr>
              <w:t>Mg</w:t>
            </w:r>
            <w:r>
              <w:rPr>
                <w:rFonts w:hint="default" w:ascii="Arial" w:hAnsi="Arial" w:eastAsia="宋体" w:cs="Arial"/>
                <w:color w:val="auto"/>
                <w:sz w:val="21"/>
                <w:szCs w:val="21"/>
                <w:vertAlign w:val="superscript"/>
              </w:rPr>
              <w:t>2+</w:t>
            </w:r>
          </w:p>
        </w:tc>
        <w:tc>
          <w:tcPr>
            <w:tcW w:w="3495" w:type="dxa"/>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w:t>
            </w:r>
          </w:p>
        </w:tc>
        <w:tc>
          <w:tcPr>
            <w:tcW w:w="1710" w:type="dxa"/>
            <w:vMerge w:val="continue"/>
            <w:vAlign w:val="center"/>
          </w:tcPr>
          <w:p>
            <w:pPr>
              <w:pStyle w:val="63"/>
              <w:keepNext w:val="0"/>
              <w:keepLines w:val="0"/>
              <w:pageBreakBefore w:val="0"/>
              <w:widowControl w:val="0"/>
              <w:kinsoku/>
              <w:wordWrap/>
              <w:overflowPunct/>
              <w:topLinePunct/>
              <w:autoSpaceDE w:val="0"/>
              <w:autoSpaceDN/>
              <w:bidi w:val="0"/>
              <w:adjustRightInd/>
              <w:snapToGrid/>
              <w:rPr>
                <w:rFonts w:hint="default" w:ascii="Arial" w:hAnsi="Arial" w:eastAsia="宋体" w:cs="Arial"/>
                <w:color w:val="auto"/>
                <w:sz w:val="21"/>
                <w:szCs w:val="21"/>
                <w:highlight w:val="none"/>
              </w:rPr>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32" w:type="dxa"/>
            <w:vAlign w:val="center"/>
          </w:tcPr>
          <w:p>
            <w:pPr>
              <w:pStyle w:val="63"/>
              <w:keepNext w:val="0"/>
              <w:keepLines w:val="0"/>
              <w:pageBreakBefore w:val="0"/>
              <w:widowControl w:val="0"/>
              <w:kinsoku/>
              <w:wordWrap/>
              <w:overflowPunct/>
              <w:topLinePunct/>
              <w:autoSpaceDE w:val="0"/>
              <w:autoSpaceDN/>
              <w:bidi w:val="0"/>
              <w:adjustRightInd/>
              <w:snapToGrid/>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highlight w:val="none"/>
                <w:lang w:val="en-US" w:eastAsia="zh-CN"/>
              </w:rPr>
              <w:t>42</w:t>
            </w:r>
          </w:p>
        </w:tc>
        <w:tc>
          <w:tcPr>
            <w:tcW w:w="2867" w:type="dxa"/>
            <w:vAlign w:val="center"/>
          </w:tcPr>
          <w:p>
            <w:pPr>
              <w:pStyle w:val="63"/>
              <w:keepNext w:val="0"/>
              <w:keepLines w:val="0"/>
              <w:pageBreakBefore w:val="0"/>
              <w:widowControl w:val="0"/>
              <w:kinsoku/>
              <w:wordWrap/>
              <w:overflowPunct/>
              <w:topLinePunct/>
              <w:autoSpaceDE w:val="0"/>
              <w:autoSpaceDN/>
              <w:bidi w:val="0"/>
              <w:adjustRightInd/>
              <w:snapToGrid/>
              <w:rPr>
                <w:rFonts w:hint="default" w:ascii="Arial" w:hAnsi="Arial" w:eastAsia="宋体" w:cs="Arial"/>
                <w:color w:val="auto"/>
                <w:sz w:val="21"/>
                <w:szCs w:val="21"/>
                <w:highlight w:val="none"/>
              </w:rPr>
            </w:pPr>
            <w:r>
              <w:rPr>
                <w:rFonts w:hint="default" w:ascii="Arial" w:hAnsi="Arial" w:eastAsia="宋体" w:cs="Arial"/>
                <w:color w:val="auto"/>
                <w:sz w:val="21"/>
                <w:szCs w:val="21"/>
              </w:rPr>
              <w:t>Cl</w:t>
            </w:r>
            <w:r>
              <w:rPr>
                <w:rFonts w:hint="default" w:ascii="Arial" w:hAnsi="Arial" w:eastAsia="宋体" w:cs="Arial"/>
                <w:color w:val="auto"/>
                <w:sz w:val="21"/>
                <w:szCs w:val="21"/>
                <w:vertAlign w:val="superscript"/>
              </w:rPr>
              <w:t>-</w:t>
            </w:r>
          </w:p>
        </w:tc>
        <w:tc>
          <w:tcPr>
            <w:tcW w:w="3495" w:type="dxa"/>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w:t>
            </w:r>
          </w:p>
        </w:tc>
        <w:tc>
          <w:tcPr>
            <w:tcW w:w="1710" w:type="dxa"/>
            <w:vMerge w:val="continue"/>
            <w:vAlign w:val="center"/>
          </w:tcPr>
          <w:p>
            <w:pPr>
              <w:pStyle w:val="63"/>
              <w:keepNext w:val="0"/>
              <w:keepLines w:val="0"/>
              <w:pageBreakBefore w:val="0"/>
              <w:widowControl w:val="0"/>
              <w:kinsoku/>
              <w:wordWrap/>
              <w:overflowPunct/>
              <w:topLinePunct/>
              <w:autoSpaceDE w:val="0"/>
              <w:autoSpaceDN/>
              <w:bidi w:val="0"/>
              <w:adjustRightInd/>
              <w:snapToGrid/>
              <w:rPr>
                <w:rFonts w:hint="default" w:ascii="Arial" w:hAnsi="Arial" w:eastAsia="宋体" w:cs="Arial"/>
                <w:color w:val="auto"/>
                <w:sz w:val="21"/>
                <w:szCs w:val="21"/>
                <w:highlight w:val="none"/>
              </w:rPr>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32" w:type="dxa"/>
            <w:vAlign w:val="center"/>
          </w:tcPr>
          <w:p>
            <w:pPr>
              <w:pStyle w:val="63"/>
              <w:keepNext w:val="0"/>
              <w:keepLines w:val="0"/>
              <w:pageBreakBefore w:val="0"/>
              <w:widowControl w:val="0"/>
              <w:kinsoku/>
              <w:wordWrap/>
              <w:overflowPunct/>
              <w:topLinePunct/>
              <w:autoSpaceDE w:val="0"/>
              <w:autoSpaceDN/>
              <w:bidi w:val="0"/>
              <w:adjustRightInd/>
              <w:snapToGrid/>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highlight w:val="none"/>
                <w:lang w:val="en-US" w:eastAsia="zh-CN"/>
              </w:rPr>
              <w:t>43</w:t>
            </w:r>
          </w:p>
        </w:tc>
        <w:tc>
          <w:tcPr>
            <w:tcW w:w="2867" w:type="dxa"/>
            <w:vAlign w:val="center"/>
          </w:tcPr>
          <w:p>
            <w:pPr>
              <w:pStyle w:val="63"/>
              <w:keepNext w:val="0"/>
              <w:keepLines w:val="0"/>
              <w:pageBreakBefore w:val="0"/>
              <w:widowControl w:val="0"/>
              <w:kinsoku/>
              <w:wordWrap/>
              <w:overflowPunct/>
              <w:topLinePunct/>
              <w:autoSpaceDE w:val="0"/>
              <w:autoSpaceDN/>
              <w:bidi w:val="0"/>
              <w:adjustRightInd/>
              <w:snapToGrid/>
              <w:rPr>
                <w:rFonts w:hint="default" w:ascii="Arial" w:hAnsi="Arial" w:eastAsia="宋体" w:cs="Arial"/>
                <w:color w:val="auto"/>
                <w:sz w:val="21"/>
                <w:szCs w:val="21"/>
                <w:highlight w:val="none"/>
              </w:rPr>
            </w:pPr>
            <w:r>
              <w:rPr>
                <w:rFonts w:hint="default" w:ascii="Arial" w:hAnsi="Arial" w:eastAsia="宋体" w:cs="Arial"/>
                <w:color w:val="auto"/>
                <w:sz w:val="21"/>
                <w:szCs w:val="21"/>
                <w:lang w:val="en-US"/>
              </w:rPr>
              <w:t>SO</w:t>
            </w:r>
            <w:r>
              <w:rPr>
                <w:rFonts w:hint="default" w:ascii="Arial" w:hAnsi="Arial" w:eastAsia="宋体" w:cs="Arial"/>
                <w:color w:val="auto"/>
                <w:sz w:val="21"/>
                <w:szCs w:val="21"/>
                <w:vertAlign w:val="subscript"/>
                <w:lang w:val="en-US"/>
              </w:rPr>
              <w:t>4</w:t>
            </w:r>
            <w:r>
              <w:rPr>
                <w:rFonts w:hint="default" w:ascii="Arial" w:hAnsi="Arial" w:eastAsia="宋体" w:cs="Arial"/>
                <w:color w:val="auto"/>
                <w:sz w:val="21"/>
                <w:szCs w:val="21"/>
                <w:vertAlign w:val="superscript"/>
                <w:lang w:val="en-US"/>
              </w:rPr>
              <w:t>2-</w:t>
            </w:r>
          </w:p>
        </w:tc>
        <w:tc>
          <w:tcPr>
            <w:tcW w:w="3495" w:type="dxa"/>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w:t>
            </w:r>
          </w:p>
        </w:tc>
        <w:tc>
          <w:tcPr>
            <w:tcW w:w="1710" w:type="dxa"/>
            <w:vMerge w:val="continue"/>
            <w:vAlign w:val="center"/>
          </w:tcPr>
          <w:p>
            <w:pPr>
              <w:pStyle w:val="63"/>
              <w:keepNext w:val="0"/>
              <w:keepLines w:val="0"/>
              <w:pageBreakBefore w:val="0"/>
              <w:widowControl w:val="0"/>
              <w:kinsoku/>
              <w:wordWrap/>
              <w:overflowPunct/>
              <w:topLinePunct/>
              <w:autoSpaceDE w:val="0"/>
              <w:autoSpaceDN/>
              <w:bidi w:val="0"/>
              <w:adjustRightInd/>
              <w:snapToGrid/>
              <w:rPr>
                <w:rFonts w:hint="default" w:ascii="Arial" w:hAnsi="Arial" w:eastAsia="宋体" w:cs="Arial"/>
                <w:color w:val="auto"/>
                <w:sz w:val="21"/>
                <w:szCs w:val="21"/>
                <w:highlight w:val="none"/>
              </w:rPr>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32" w:type="dxa"/>
            <w:vAlign w:val="center"/>
          </w:tcPr>
          <w:p>
            <w:pPr>
              <w:pStyle w:val="63"/>
              <w:keepNext w:val="0"/>
              <w:keepLines w:val="0"/>
              <w:pageBreakBefore w:val="0"/>
              <w:widowControl w:val="0"/>
              <w:kinsoku/>
              <w:wordWrap/>
              <w:overflowPunct/>
              <w:topLinePunct/>
              <w:autoSpaceDE w:val="0"/>
              <w:autoSpaceDN/>
              <w:bidi w:val="0"/>
              <w:adjustRightInd/>
              <w:snapToGrid/>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highlight w:val="none"/>
                <w:lang w:val="en-US" w:eastAsia="zh-CN"/>
              </w:rPr>
              <w:t>44</w:t>
            </w:r>
          </w:p>
        </w:tc>
        <w:tc>
          <w:tcPr>
            <w:tcW w:w="2867" w:type="dxa"/>
            <w:vAlign w:val="center"/>
          </w:tcPr>
          <w:p>
            <w:pPr>
              <w:pStyle w:val="63"/>
              <w:keepNext w:val="0"/>
              <w:keepLines w:val="0"/>
              <w:pageBreakBefore w:val="0"/>
              <w:widowControl w:val="0"/>
              <w:kinsoku/>
              <w:wordWrap/>
              <w:overflowPunct/>
              <w:topLinePunct/>
              <w:autoSpaceDE w:val="0"/>
              <w:autoSpaceDN/>
              <w:bidi w:val="0"/>
              <w:adjustRightInd/>
              <w:snapToGrid/>
              <w:rPr>
                <w:rFonts w:hint="default" w:ascii="Arial" w:hAnsi="Arial" w:eastAsia="宋体" w:cs="Arial"/>
                <w:color w:val="auto"/>
                <w:sz w:val="21"/>
                <w:szCs w:val="21"/>
                <w:lang w:val="en-US" w:eastAsia="zh-CN"/>
              </w:rPr>
            </w:pPr>
            <w:r>
              <w:rPr>
                <w:rFonts w:hint="default" w:ascii="Arial" w:hAnsi="Arial" w:eastAsia="宋体" w:cs="Arial"/>
                <w:color w:val="auto"/>
                <w:sz w:val="21"/>
                <w:szCs w:val="21"/>
                <w:lang w:val="en-US" w:eastAsia="zh-CN"/>
              </w:rPr>
              <w:t>HCO</w:t>
            </w:r>
            <w:r>
              <w:rPr>
                <w:rFonts w:hint="default" w:ascii="Arial" w:hAnsi="Arial" w:eastAsia="宋体" w:cs="Arial"/>
                <w:color w:val="auto"/>
                <w:sz w:val="21"/>
                <w:szCs w:val="21"/>
                <w:vertAlign w:val="subscript"/>
                <w:lang w:val="en-US" w:eastAsia="zh-CN"/>
              </w:rPr>
              <w:t>3</w:t>
            </w:r>
            <w:r>
              <w:rPr>
                <w:rFonts w:hint="default" w:ascii="Arial" w:hAnsi="Arial" w:eastAsia="宋体" w:cs="Arial"/>
                <w:color w:val="auto"/>
                <w:sz w:val="21"/>
                <w:szCs w:val="21"/>
                <w:vertAlign w:val="superscript"/>
                <w:lang w:val="en-US"/>
              </w:rPr>
              <w:t>-</w:t>
            </w:r>
          </w:p>
        </w:tc>
        <w:tc>
          <w:tcPr>
            <w:tcW w:w="3495" w:type="dxa"/>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w:t>
            </w:r>
          </w:p>
        </w:tc>
        <w:tc>
          <w:tcPr>
            <w:tcW w:w="1710" w:type="dxa"/>
            <w:vMerge w:val="continue"/>
            <w:vAlign w:val="center"/>
          </w:tcPr>
          <w:p>
            <w:pPr>
              <w:pStyle w:val="63"/>
              <w:keepNext w:val="0"/>
              <w:keepLines w:val="0"/>
              <w:pageBreakBefore w:val="0"/>
              <w:widowControl w:val="0"/>
              <w:kinsoku/>
              <w:wordWrap/>
              <w:overflowPunct/>
              <w:topLinePunct/>
              <w:autoSpaceDE w:val="0"/>
              <w:autoSpaceDN/>
              <w:bidi w:val="0"/>
              <w:adjustRightInd/>
              <w:snapToGrid/>
              <w:rPr>
                <w:rFonts w:hint="default" w:ascii="Arial" w:hAnsi="Arial" w:eastAsia="宋体" w:cs="Arial"/>
                <w:color w:val="auto"/>
                <w:sz w:val="21"/>
                <w:szCs w:val="21"/>
                <w:highlight w:val="none"/>
              </w:rPr>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32" w:type="dxa"/>
            <w:vAlign w:val="center"/>
          </w:tcPr>
          <w:p>
            <w:pPr>
              <w:pStyle w:val="63"/>
              <w:keepNext w:val="0"/>
              <w:keepLines w:val="0"/>
              <w:pageBreakBefore w:val="0"/>
              <w:widowControl w:val="0"/>
              <w:kinsoku/>
              <w:wordWrap/>
              <w:overflowPunct/>
              <w:topLinePunct/>
              <w:autoSpaceDE w:val="0"/>
              <w:autoSpaceDN/>
              <w:bidi w:val="0"/>
              <w:adjustRightInd/>
              <w:snapToGrid/>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highlight w:val="none"/>
                <w:lang w:val="en-US" w:eastAsia="zh-CN"/>
              </w:rPr>
              <w:t>45</w:t>
            </w:r>
          </w:p>
        </w:tc>
        <w:tc>
          <w:tcPr>
            <w:tcW w:w="2867" w:type="dxa"/>
            <w:vAlign w:val="center"/>
          </w:tcPr>
          <w:p>
            <w:pPr>
              <w:pStyle w:val="63"/>
              <w:keepNext w:val="0"/>
              <w:keepLines w:val="0"/>
              <w:pageBreakBefore w:val="0"/>
              <w:widowControl w:val="0"/>
              <w:kinsoku/>
              <w:wordWrap/>
              <w:overflowPunct/>
              <w:topLinePunct/>
              <w:autoSpaceDE w:val="0"/>
              <w:autoSpaceDN/>
              <w:bidi w:val="0"/>
              <w:adjustRightInd/>
              <w:snapToGrid/>
              <w:rPr>
                <w:rFonts w:hint="default" w:ascii="Arial" w:hAnsi="Arial" w:eastAsia="宋体" w:cs="Arial"/>
                <w:color w:val="auto"/>
                <w:sz w:val="21"/>
                <w:szCs w:val="21"/>
                <w:highlight w:val="none"/>
              </w:rPr>
            </w:pPr>
            <w:r>
              <w:rPr>
                <w:rFonts w:hint="default" w:ascii="Arial" w:hAnsi="Arial" w:eastAsia="宋体" w:cs="Arial"/>
                <w:color w:val="auto"/>
                <w:sz w:val="21"/>
                <w:szCs w:val="21"/>
                <w:lang w:val="en-US" w:eastAsia="zh-CN"/>
              </w:rPr>
              <w:t>CO</w:t>
            </w:r>
            <w:r>
              <w:rPr>
                <w:rFonts w:hint="default" w:ascii="Arial" w:hAnsi="Arial" w:eastAsia="宋体" w:cs="Arial"/>
                <w:color w:val="auto"/>
                <w:sz w:val="21"/>
                <w:szCs w:val="21"/>
                <w:vertAlign w:val="subscript"/>
                <w:lang w:val="en-US" w:eastAsia="zh-CN"/>
              </w:rPr>
              <w:t>3</w:t>
            </w:r>
            <w:r>
              <w:rPr>
                <w:rFonts w:hint="default" w:ascii="Arial" w:hAnsi="Arial" w:eastAsia="宋体" w:cs="Arial"/>
                <w:color w:val="auto"/>
                <w:sz w:val="21"/>
                <w:szCs w:val="21"/>
                <w:vertAlign w:val="superscript"/>
                <w:lang w:val="en-US"/>
              </w:rPr>
              <w:t>2-</w:t>
            </w:r>
          </w:p>
        </w:tc>
        <w:tc>
          <w:tcPr>
            <w:tcW w:w="3495" w:type="dxa"/>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w:t>
            </w:r>
          </w:p>
        </w:tc>
        <w:tc>
          <w:tcPr>
            <w:tcW w:w="1710" w:type="dxa"/>
            <w:vMerge w:val="continue"/>
            <w:vAlign w:val="center"/>
          </w:tcPr>
          <w:p>
            <w:pPr>
              <w:pStyle w:val="63"/>
              <w:keepNext w:val="0"/>
              <w:keepLines w:val="0"/>
              <w:pageBreakBefore w:val="0"/>
              <w:widowControl w:val="0"/>
              <w:kinsoku/>
              <w:wordWrap/>
              <w:overflowPunct/>
              <w:topLinePunct/>
              <w:autoSpaceDE w:val="0"/>
              <w:autoSpaceDN/>
              <w:bidi w:val="0"/>
              <w:adjustRightInd/>
              <w:snapToGrid/>
              <w:rPr>
                <w:rFonts w:hint="default" w:ascii="Arial" w:hAnsi="Arial" w:eastAsia="宋体" w:cs="Arial"/>
                <w:color w:val="auto"/>
                <w:sz w:val="21"/>
                <w:szCs w:val="21"/>
                <w:highlight w:val="none"/>
              </w:rPr>
            </w:pPr>
          </w:p>
        </w:tc>
      </w:tr>
    </w:tbl>
    <w:p>
      <w:pPr>
        <w:pStyle w:val="7"/>
        <w:rPr>
          <w:rFonts w:hint="default" w:ascii="Arial" w:hAnsi="Arial" w:eastAsia="宋体" w:cs="Arial"/>
          <w:color w:val="auto"/>
          <w:highlight w:val="none"/>
        </w:rPr>
      </w:pPr>
      <w:r>
        <w:rPr>
          <w:rFonts w:hint="default" w:ascii="Arial" w:hAnsi="Arial" w:eastAsia="宋体" w:cs="Arial"/>
          <w:color w:val="auto"/>
          <w:highlight w:val="none"/>
        </w:rPr>
        <w:t>2.4.4.3土壤质量</w:t>
      </w:r>
    </w:p>
    <w:p>
      <w:pPr>
        <w:ind w:firstLine="480"/>
        <w:rPr>
          <w:rFonts w:hint="default" w:ascii="Arial" w:hAnsi="Arial" w:eastAsia="宋体" w:cs="Arial"/>
          <w:color w:val="auto"/>
          <w:highlight w:val="none"/>
        </w:rPr>
      </w:pPr>
      <w:r>
        <w:rPr>
          <w:rFonts w:hint="default" w:ascii="Arial" w:hAnsi="Arial" w:eastAsia="宋体" w:cs="Arial"/>
          <w:color w:val="auto"/>
          <w:highlight w:val="none"/>
        </w:rPr>
        <w:t>项目</w:t>
      </w:r>
      <w:r>
        <w:rPr>
          <w:rFonts w:hint="default" w:ascii="Arial" w:hAnsi="Arial" w:eastAsia="宋体" w:cs="Arial"/>
          <w:color w:val="auto"/>
          <w:highlight w:val="none"/>
          <w:lang w:eastAsia="zh-CN"/>
        </w:rPr>
        <w:t>区</w:t>
      </w:r>
      <w:r>
        <w:rPr>
          <w:rFonts w:hint="default" w:ascii="Arial" w:hAnsi="Arial" w:eastAsia="宋体" w:cs="Arial"/>
          <w:color w:val="auto"/>
          <w:highlight w:val="none"/>
        </w:rPr>
        <w:t>土壤</w:t>
      </w:r>
      <w:r>
        <w:rPr>
          <w:rFonts w:hint="default" w:ascii="Arial" w:hAnsi="Arial" w:eastAsia="宋体" w:cs="Arial"/>
          <w:color w:val="auto"/>
          <w:highlight w:val="none"/>
          <w:lang w:eastAsia="zh-CN"/>
        </w:rPr>
        <w:t>环境质量</w:t>
      </w:r>
      <w:r>
        <w:rPr>
          <w:rFonts w:hint="default" w:ascii="Arial" w:hAnsi="Arial" w:eastAsia="宋体" w:cs="Arial"/>
          <w:color w:val="auto"/>
          <w:highlight w:val="none"/>
        </w:rPr>
        <w:t>执行</w:t>
      </w:r>
      <w:r>
        <w:rPr>
          <w:rFonts w:hint="default" w:ascii="Arial" w:hAnsi="Arial" w:eastAsia="宋体" w:cs="Arial"/>
          <w:color w:val="auto"/>
          <w:highlight w:val="none"/>
          <w:lang w:eastAsia="zh-CN"/>
        </w:rPr>
        <w:t>《土壤环境质量 农用地土壤污染风险管控标准（试行）》（GB 15618-2018）表1农用地土壤污染风险筛选值（基本项目）--“其他”标准</w:t>
      </w:r>
      <w:r>
        <w:rPr>
          <w:rFonts w:hint="default" w:ascii="Arial" w:hAnsi="Arial" w:eastAsia="宋体" w:cs="Arial"/>
          <w:color w:val="auto"/>
          <w:highlight w:val="none"/>
        </w:rPr>
        <w:t>，见下表。</w:t>
      </w:r>
    </w:p>
    <w:p>
      <w:pPr>
        <w:keepNext w:val="0"/>
        <w:keepLines w:val="0"/>
        <w:pageBreakBefore w:val="0"/>
        <w:widowControl w:val="0"/>
        <w:kinsoku/>
        <w:wordWrap/>
        <w:overflowPunct/>
        <w:topLinePunct/>
        <w:autoSpaceDE w:val="0"/>
        <w:autoSpaceDN/>
        <w:bidi w:val="0"/>
        <w:adjustRightInd/>
        <w:snapToGrid/>
        <w:spacing w:line="480" w:lineRule="exact"/>
        <w:ind w:firstLine="0" w:firstLineChars="0"/>
        <w:jc w:val="center"/>
        <w:textAlignment w:val="auto"/>
        <w:rPr>
          <w:rFonts w:hint="default" w:ascii="Arial" w:hAnsi="Arial" w:eastAsia="宋体" w:cs="Arial"/>
          <w:b/>
          <w:color w:val="auto"/>
          <w:highlight w:val="none"/>
        </w:rPr>
      </w:pPr>
      <w:r>
        <w:rPr>
          <w:rFonts w:hint="default" w:ascii="Arial" w:hAnsi="Arial" w:eastAsia="宋体" w:cs="Arial"/>
          <w:b/>
          <w:color w:val="auto"/>
          <w:highlight w:val="none"/>
        </w:rPr>
        <w:t xml:space="preserve">表2.4-3  </w:t>
      </w:r>
      <w:r>
        <w:rPr>
          <w:rFonts w:hint="default" w:ascii="Arial" w:hAnsi="Arial" w:eastAsia="宋体" w:cs="Arial"/>
          <w:b/>
          <w:color w:val="auto"/>
          <w:highlight w:val="none"/>
          <w:lang w:val="en-US" w:eastAsia="zh-CN"/>
        </w:rPr>
        <w:t xml:space="preserve"> </w:t>
      </w:r>
      <w:r>
        <w:rPr>
          <w:rFonts w:hint="default" w:ascii="Arial" w:hAnsi="Arial" w:eastAsia="宋体" w:cs="Arial"/>
          <w:b/>
          <w:color w:val="auto"/>
          <w:highlight w:val="none"/>
        </w:rPr>
        <w:t>土壤环境质量 农用地污染风险管控标准</w:t>
      </w:r>
      <w:r>
        <w:rPr>
          <w:rFonts w:hint="default" w:ascii="Arial" w:hAnsi="Arial" w:eastAsia="宋体" w:cs="Arial"/>
          <w:b/>
          <w:color w:val="auto"/>
          <w:highlight w:val="none"/>
          <w:lang w:val="en-US" w:eastAsia="zh-CN"/>
        </w:rPr>
        <w:t xml:space="preserve">   </w:t>
      </w:r>
      <w:r>
        <w:rPr>
          <w:rFonts w:hint="default" w:ascii="Arial" w:hAnsi="Arial" w:eastAsia="宋体" w:cs="Arial"/>
          <w:b/>
          <w:color w:val="auto"/>
          <w:highlight w:val="none"/>
        </w:rPr>
        <w:t xml:space="preserve"> 单位：mg/kg</w:t>
      </w:r>
    </w:p>
    <w:tbl>
      <w:tblPr>
        <w:tblStyle w:val="39"/>
        <w:tblW w:w="9003" w:type="dxa"/>
        <w:jc w:val="center"/>
        <w:tblBorders>
          <w:top w:val="single" w:color="auto" w:sz="8" w:space="0"/>
          <w:left w:val="none" w:color="auto" w:sz="0" w:space="0"/>
          <w:bottom w:val="single" w:color="auto" w:sz="8"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250"/>
        <w:gridCol w:w="2251"/>
        <w:gridCol w:w="2251"/>
        <w:gridCol w:w="2251"/>
      </w:tblGrid>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00" w:type="dxa"/>
            <w:vMerge w:val="restart"/>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序号</w:t>
            </w:r>
          </w:p>
        </w:tc>
        <w:tc>
          <w:tcPr>
            <w:tcW w:w="3602" w:type="dxa"/>
            <w:gridSpan w:val="2"/>
            <w:vMerge w:val="restart"/>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污染物项目</w:t>
            </w:r>
          </w:p>
        </w:tc>
        <w:tc>
          <w:tcPr>
            <w:tcW w:w="1801"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风险筛选值</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00" w:type="dxa"/>
            <w:vMerge w:val="continue"/>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p>
        </w:tc>
        <w:tc>
          <w:tcPr>
            <w:tcW w:w="3602" w:type="dxa"/>
            <w:gridSpan w:val="2"/>
            <w:vMerge w:val="continue"/>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p>
        </w:tc>
        <w:tc>
          <w:tcPr>
            <w:tcW w:w="1801"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pH≥7.5</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00"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1</w:t>
            </w:r>
          </w:p>
        </w:tc>
        <w:tc>
          <w:tcPr>
            <w:tcW w:w="1801"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镉</w:t>
            </w:r>
          </w:p>
        </w:tc>
        <w:tc>
          <w:tcPr>
            <w:tcW w:w="1801"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其他</w:t>
            </w:r>
          </w:p>
        </w:tc>
        <w:tc>
          <w:tcPr>
            <w:tcW w:w="1801"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0.6</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00"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2</w:t>
            </w:r>
          </w:p>
        </w:tc>
        <w:tc>
          <w:tcPr>
            <w:tcW w:w="1801"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汞</w:t>
            </w:r>
          </w:p>
        </w:tc>
        <w:tc>
          <w:tcPr>
            <w:tcW w:w="1801"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其他</w:t>
            </w:r>
          </w:p>
        </w:tc>
        <w:tc>
          <w:tcPr>
            <w:tcW w:w="1801"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3.4</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00"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3</w:t>
            </w:r>
          </w:p>
        </w:tc>
        <w:tc>
          <w:tcPr>
            <w:tcW w:w="1801"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砷</w:t>
            </w:r>
          </w:p>
        </w:tc>
        <w:tc>
          <w:tcPr>
            <w:tcW w:w="1801"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其他</w:t>
            </w:r>
          </w:p>
        </w:tc>
        <w:tc>
          <w:tcPr>
            <w:tcW w:w="1801"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25</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00"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4</w:t>
            </w:r>
          </w:p>
        </w:tc>
        <w:tc>
          <w:tcPr>
            <w:tcW w:w="1801"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铅</w:t>
            </w:r>
          </w:p>
        </w:tc>
        <w:tc>
          <w:tcPr>
            <w:tcW w:w="1801"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其他</w:t>
            </w:r>
          </w:p>
        </w:tc>
        <w:tc>
          <w:tcPr>
            <w:tcW w:w="1801"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170</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00"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5</w:t>
            </w:r>
          </w:p>
        </w:tc>
        <w:tc>
          <w:tcPr>
            <w:tcW w:w="1801"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铬</w:t>
            </w:r>
          </w:p>
        </w:tc>
        <w:tc>
          <w:tcPr>
            <w:tcW w:w="1801"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其他</w:t>
            </w:r>
          </w:p>
        </w:tc>
        <w:tc>
          <w:tcPr>
            <w:tcW w:w="1801"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250</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00"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6</w:t>
            </w:r>
          </w:p>
        </w:tc>
        <w:tc>
          <w:tcPr>
            <w:tcW w:w="1801"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铜</w:t>
            </w:r>
          </w:p>
        </w:tc>
        <w:tc>
          <w:tcPr>
            <w:tcW w:w="1801"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其他</w:t>
            </w:r>
          </w:p>
        </w:tc>
        <w:tc>
          <w:tcPr>
            <w:tcW w:w="1801"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100</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00"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7</w:t>
            </w:r>
          </w:p>
        </w:tc>
        <w:tc>
          <w:tcPr>
            <w:tcW w:w="3602" w:type="dxa"/>
            <w:gridSpan w:val="2"/>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镍</w:t>
            </w:r>
          </w:p>
        </w:tc>
        <w:tc>
          <w:tcPr>
            <w:tcW w:w="1801"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190</w:t>
            </w:r>
          </w:p>
        </w:tc>
      </w:tr>
      <w:tr>
        <w:tblPrEx>
          <w:tblBorders>
            <w:top w:val="single" w:color="auto" w:sz="8" w:space="0"/>
            <w:left w:val="none" w:color="auto" w:sz="0" w:space="0"/>
            <w:bottom w:val="single" w:color="auto" w:sz="8"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00"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8</w:t>
            </w:r>
          </w:p>
        </w:tc>
        <w:tc>
          <w:tcPr>
            <w:tcW w:w="3602" w:type="dxa"/>
            <w:gridSpan w:val="2"/>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锌</w:t>
            </w:r>
          </w:p>
        </w:tc>
        <w:tc>
          <w:tcPr>
            <w:tcW w:w="1801"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300</w:t>
            </w:r>
          </w:p>
        </w:tc>
      </w:tr>
    </w:tbl>
    <w:p>
      <w:pPr>
        <w:pStyle w:val="7"/>
        <w:rPr>
          <w:rFonts w:hint="default" w:ascii="Arial" w:hAnsi="Arial" w:eastAsia="宋体" w:cs="Arial"/>
          <w:color w:val="auto"/>
          <w:highlight w:val="none"/>
        </w:rPr>
      </w:pPr>
      <w:r>
        <w:rPr>
          <w:rFonts w:hint="default" w:ascii="Arial" w:hAnsi="Arial" w:eastAsia="宋体" w:cs="Arial"/>
          <w:color w:val="auto"/>
          <w:highlight w:val="none"/>
        </w:rPr>
        <w:t>2.4.4.4声环境</w:t>
      </w:r>
    </w:p>
    <w:p>
      <w:pPr>
        <w:ind w:firstLine="480"/>
        <w:rPr>
          <w:rFonts w:hint="default" w:ascii="Arial" w:hAnsi="Arial" w:eastAsia="宋体" w:cs="Arial"/>
          <w:color w:val="auto"/>
          <w:highlight w:val="none"/>
        </w:rPr>
      </w:pPr>
      <w:r>
        <w:rPr>
          <w:rFonts w:hint="default" w:ascii="Arial" w:hAnsi="Arial" w:eastAsia="宋体" w:cs="Arial"/>
          <w:color w:val="auto"/>
          <w:highlight w:val="none"/>
        </w:rPr>
        <w:t>项目所在区域执行《声环境质量标准》（GB3096-2008）中2类标准，见下表。</w:t>
      </w:r>
    </w:p>
    <w:p>
      <w:pPr>
        <w:pStyle w:val="8"/>
        <w:rPr>
          <w:rFonts w:hint="default" w:ascii="Arial" w:hAnsi="Arial" w:eastAsia="宋体" w:cs="Arial"/>
          <w:color w:val="auto"/>
          <w:highlight w:val="none"/>
        </w:rPr>
      </w:pPr>
      <w:r>
        <w:rPr>
          <w:rFonts w:hint="default" w:ascii="Arial" w:hAnsi="Arial" w:eastAsia="宋体" w:cs="Arial"/>
          <w:color w:val="auto"/>
          <w:highlight w:val="none"/>
        </w:rPr>
        <w:t>表2.4-</w:t>
      </w:r>
      <w:r>
        <w:rPr>
          <w:rFonts w:hint="default" w:ascii="Arial" w:hAnsi="Arial" w:eastAsia="宋体" w:cs="Arial"/>
          <w:color w:val="auto"/>
          <w:highlight w:val="none"/>
          <w:lang w:val="en-US" w:eastAsia="zh-CN"/>
        </w:rPr>
        <w:t xml:space="preserve">4 </w:t>
      </w:r>
      <w:r>
        <w:rPr>
          <w:rFonts w:hint="default" w:ascii="Arial" w:hAnsi="Arial" w:eastAsia="宋体" w:cs="Arial"/>
          <w:color w:val="auto"/>
          <w:highlight w:val="none"/>
        </w:rPr>
        <w:t xml:space="preserve">   声环境质量标准</w:t>
      </w:r>
    </w:p>
    <w:tbl>
      <w:tblPr>
        <w:tblStyle w:val="39"/>
        <w:tblW w:w="9004" w:type="dxa"/>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1544"/>
        <w:gridCol w:w="1162"/>
        <w:gridCol w:w="1855"/>
        <w:gridCol w:w="1855"/>
        <w:gridCol w:w="2588"/>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544" w:type="dxa"/>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功能区</w:t>
            </w:r>
          </w:p>
        </w:tc>
        <w:tc>
          <w:tcPr>
            <w:tcW w:w="1162" w:type="dxa"/>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类别</w:t>
            </w:r>
          </w:p>
        </w:tc>
        <w:tc>
          <w:tcPr>
            <w:tcW w:w="1855" w:type="dxa"/>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昼间</w:t>
            </w:r>
          </w:p>
        </w:tc>
        <w:tc>
          <w:tcPr>
            <w:tcW w:w="1855" w:type="dxa"/>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夜间</w:t>
            </w:r>
          </w:p>
        </w:tc>
        <w:tc>
          <w:tcPr>
            <w:tcW w:w="2588" w:type="dxa"/>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标准来源</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544" w:type="dxa"/>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村庄</w:t>
            </w:r>
          </w:p>
        </w:tc>
        <w:tc>
          <w:tcPr>
            <w:tcW w:w="1162" w:type="dxa"/>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2</w:t>
            </w:r>
          </w:p>
        </w:tc>
        <w:tc>
          <w:tcPr>
            <w:tcW w:w="1855" w:type="dxa"/>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60dB(A)</w:t>
            </w:r>
          </w:p>
        </w:tc>
        <w:tc>
          <w:tcPr>
            <w:tcW w:w="1855" w:type="dxa"/>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50dB(A)</w:t>
            </w:r>
          </w:p>
        </w:tc>
        <w:tc>
          <w:tcPr>
            <w:tcW w:w="2588" w:type="dxa"/>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GB3096-2008</w:t>
            </w:r>
          </w:p>
        </w:tc>
      </w:tr>
    </w:tbl>
    <w:p>
      <w:pPr>
        <w:pStyle w:val="6"/>
        <w:rPr>
          <w:rFonts w:hint="default" w:ascii="Arial" w:hAnsi="Arial" w:eastAsia="宋体" w:cs="Arial"/>
          <w:color w:val="auto"/>
          <w:highlight w:val="none"/>
        </w:rPr>
      </w:pPr>
      <w:bookmarkStart w:id="150" w:name="_Toc1535"/>
      <w:r>
        <w:rPr>
          <w:rFonts w:hint="default" w:ascii="Arial" w:hAnsi="Arial" w:eastAsia="宋体" w:cs="Arial"/>
          <w:color w:val="auto"/>
          <w:highlight w:val="none"/>
        </w:rPr>
        <w:t>2.4.3污染物排放标准</w:t>
      </w:r>
      <w:bookmarkEnd w:id="150"/>
    </w:p>
    <w:p>
      <w:pPr>
        <w:pStyle w:val="7"/>
        <w:rPr>
          <w:rFonts w:hint="default" w:ascii="Arial" w:hAnsi="Arial" w:eastAsia="宋体" w:cs="Arial"/>
          <w:color w:val="auto"/>
          <w:highlight w:val="none"/>
        </w:rPr>
      </w:pPr>
      <w:r>
        <w:rPr>
          <w:rFonts w:hint="default" w:ascii="Arial" w:hAnsi="Arial" w:eastAsia="宋体" w:cs="Arial"/>
          <w:color w:val="auto"/>
          <w:highlight w:val="none"/>
        </w:rPr>
        <w:t>2.4.3.1粪污资源化利用标准</w:t>
      </w:r>
    </w:p>
    <w:p>
      <w:pPr>
        <w:ind w:firstLine="480"/>
        <w:rPr>
          <w:rFonts w:hint="default" w:ascii="Arial" w:hAnsi="Arial" w:eastAsia="宋体" w:cs="Arial"/>
          <w:color w:val="auto"/>
          <w:highlight w:val="none"/>
        </w:rPr>
      </w:pPr>
      <w:r>
        <w:rPr>
          <w:rFonts w:hint="default" w:ascii="Arial" w:hAnsi="Arial" w:eastAsia="宋体" w:cs="Arial"/>
          <w:color w:val="auto"/>
          <w:highlight w:val="none"/>
        </w:rPr>
        <w:t>项目牛舍粪便</w:t>
      </w:r>
      <w:r>
        <w:rPr>
          <w:rFonts w:hint="default" w:ascii="Arial" w:hAnsi="Arial" w:eastAsia="宋体" w:cs="Arial"/>
          <w:color w:val="auto"/>
          <w:highlight w:val="none"/>
          <w:lang w:eastAsia="zh-CN"/>
        </w:rPr>
        <w:t>堆肥后，作为有机肥外售给当地农民，</w:t>
      </w:r>
      <w:r>
        <w:rPr>
          <w:rFonts w:hint="default" w:ascii="Arial" w:hAnsi="Arial" w:eastAsia="宋体" w:cs="Arial"/>
          <w:color w:val="auto"/>
          <w:highlight w:val="none"/>
        </w:rPr>
        <w:t>实现粪污合规利用，还田利用应满足《畜禽粪便无害化处理技术规范》（GB/T36195-2018）、</w:t>
      </w:r>
      <w:r>
        <w:rPr>
          <w:rFonts w:hint="default" w:ascii="Arial" w:hAnsi="Arial" w:eastAsia="宋体" w:cs="Arial"/>
          <w:color w:val="auto"/>
          <w:highlight w:val="none"/>
          <w:shd w:val="clear" w:color="auto" w:fill="FFFFFF"/>
        </w:rPr>
        <w:t>《畜禽粪便还田技术规范》（GB/T25246-2010）</w:t>
      </w:r>
      <w:r>
        <w:rPr>
          <w:rFonts w:hint="default" w:ascii="Arial" w:hAnsi="Arial" w:eastAsia="宋体" w:cs="Arial"/>
          <w:color w:val="auto"/>
          <w:szCs w:val="24"/>
          <w:highlight w:val="none"/>
        </w:rPr>
        <w:t>中相关限值要求</w:t>
      </w:r>
      <w:r>
        <w:rPr>
          <w:rFonts w:hint="default" w:ascii="Arial" w:hAnsi="Arial" w:eastAsia="宋体" w:cs="Arial"/>
          <w:color w:val="auto"/>
          <w:highlight w:val="none"/>
        </w:rPr>
        <w:t>。</w:t>
      </w:r>
    </w:p>
    <w:p>
      <w:pPr>
        <w:ind w:firstLine="480"/>
        <w:rPr>
          <w:rFonts w:hint="default" w:ascii="Arial" w:hAnsi="Arial" w:eastAsia="宋体" w:cs="Arial"/>
          <w:color w:val="auto"/>
          <w:highlight w:val="none"/>
        </w:rPr>
      </w:pPr>
      <w:r>
        <w:rPr>
          <w:rFonts w:hint="default" w:ascii="Arial" w:hAnsi="Arial" w:eastAsia="宋体" w:cs="Arial"/>
          <w:color w:val="auto"/>
          <w:highlight w:val="none"/>
        </w:rPr>
        <w:t>项目粪污综合利用限值见下表。</w:t>
      </w:r>
    </w:p>
    <w:p>
      <w:pPr>
        <w:pStyle w:val="8"/>
        <w:rPr>
          <w:rFonts w:hint="default" w:ascii="Arial" w:hAnsi="Arial" w:eastAsia="宋体" w:cs="Arial"/>
          <w:color w:val="auto"/>
          <w:highlight w:val="none"/>
        </w:rPr>
      </w:pPr>
      <w:r>
        <w:rPr>
          <w:rFonts w:hint="default" w:ascii="Arial" w:hAnsi="Arial" w:eastAsia="宋体" w:cs="Arial"/>
          <w:color w:val="auto"/>
          <w:highlight w:val="none"/>
        </w:rPr>
        <w:t>表2.4-5    粪污农肥综合利用标准节选表</w:t>
      </w:r>
    </w:p>
    <w:tbl>
      <w:tblPr>
        <w:tblStyle w:val="39"/>
        <w:tblW w:w="9003"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73"/>
        <w:gridCol w:w="2879"/>
        <w:gridCol w:w="1687"/>
        <w:gridCol w:w="1150"/>
        <w:gridCol w:w="1154"/>
        <w:gridCol w:w="1460"/>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3" w:type="dxa"/>
            <w:vMerge w:val="restart"/>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类别</w:t>
            </w:r>
          </w:p>
        </w:tc>
        <w:tc>
          <w:tcPr>
            <w:tcW w:w="2879" w:type="dxa"/>
            <w:vMerge w:val="restart"/>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标准名称及级（类）别</w:t>
            </w:r>
          </w:p>
        </w:tc>
        <w:tc>
          <w:tcPr>
            <w:tcW w:w="1687" w:type="dxa"/>
            <w:vMerge w:val="restart"/>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污染因子</w:t>
            </w:r>
          </w:p>
        </w:tc>
        <w:tc>
          <w:tcPr>
            <w:tcW w:w="2304" w:type="dxa"/>
            <w:gridSpan w:val="2"/>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标准值</w:t>
            </w:r>
          </w:p>
        </w:tc>
        <w:tc>
          <w:tcPr>
            <w:tcW w:w="1460" w:type="dxa"/>
            <w:vMerge w:val="restart"/>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备注</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3" w:type="dxa"/>
            <w:vMerge w:val="continue"/>
            <w:vAlign w:val="center"/>
          </w:tcPr>
          <w:p>
            <w:pPr>
              <w:pStyle w:val="63"/>
              <w:rPr>
                <w:rFonts w:hint="default" w:ascii="Arial" w:hAnsi="Arial" w:eastAsia="宋体" w:cs="Arial"/>
                <w:color w:val="auto"/>
                <w:sz w:val="21"/>
                <w:szCs w:val="21"/>
                <w:highlight w:val="none"/>
              </w:rPr>
            </w:pPr>
          </w:p>
        </w:tc>
        <w:tc>
          <w:tcPr>
            <w:tcW w:w="2879" w:type="dxa"/>
            <w:vMerge w:val="continue"/>
            <w:vAlign w:val="center"/>
          </w:tcPr>
          <w:p>
            <w:pPr>
              <w:pStyle w:val="63"/>
              <w:rPr>
                <w:rFonts w:hint="default" w:ascii="Arial" w:hAnsi="Arial" w:eastAsia="宋体" w:cs="Arial"/>
                <w:color w:val="auto"/>
                <w:sz w:val="21"/>
                <w:szCs w:val="21"/>
                <w:highlight w:val="none"/>
              </w:rPr>
            </w:pPr>
          </w:p>
        </w:tc>
        <w:tc>
          <w:tcPr>
            <w:tcW w:w="1687" w:type="dxa"/>
            <w:vMerge w:val="continue"/>
            <w:vAlign w:val="center"/>
          </w:tcPr>
          <w:p>
            <w:pPr>
              <w:pStyle w:val="63"/>
              <w:rPr>
                <w:rFonts w:hint="default" w:ascii="Arial" w:hAnsi="Arial" w:eastAsia="宋体" w:cs="Arial"/>
                <w:color w:val="auto"/>
                <w:sz w:val="21"/>
                <w:szCs w:val="21"/>
                <w:highlight w:val="none"/>
              </w:rPr>
            </w:pPr>
          </w:p>
        </w:tc>
        <w:tc>
          <w:tcPr>
            <w:tcW w:w="1150"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单位</w:t>
            </w:r>
          </w:p>
        </w:tc>
        <w:tc>
          <w:tcPr>
            <w:tcW w:w="1154" w:type="dxa"/>
            <w:tcBorders>
              <w:bottom w:val="single" w:color="auto" w:sz="4" w:space="0"/>
            </w:tcBorders>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数值</w:t>
            </w:r>
          </w:p>
        </w:tc>
        <w:tc>
          <w:tcPr>
            <w:tcW w:w="1460" w:type="dxa"/>
            <w:vMerge w:val="continue"/>
            <w:tcBorders>
              <w:bottom w:val="single" w:color="auto" w:sz="4" w:space="0"/>
            </w:tcBorders>
            <w:vAlign w:val="center"/>
          </w:tcPr>
          <w:p>
            <w:pPr>
              <w:pStyle w:val="63"/>
              <w:rPr>
                <w:rFonts w:hint="default" w:ascii="Arial" w:hAnsi="Arial" w:eastAsia="宋体" w:cs="Arial"/>
                <w:color w:val="auto"/>
                <w:sz w:val="21"/>
                <w:szCs w:val="21"/>
                <w:highlight w:val="none"/>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3" w:type="dxa"/>
            <w:vMerge w:val="restart"/>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粪便</w:t>
            </w:r>
          </w:p>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农肥</w:t>
            </w:r>
          </w:p>
        </w:tc>
        <w:tc>
          <w:tcPr>
            <w:tcW w:w="6870" w:type="dxa"/>
            <w:gridSpan w:val="4"/>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满足《畜禽规模养殖污染防治条例》（第643号）有关畜禽粪便综合利用与治理相关要求。</w:t>
            </w:r>
          </w:p>
        </w:tc>
        <w:tc>
          <w:tcPr>
            <w:tcW w:w="1460"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合规利用</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3" w:type="dxa"/>
            <w:vMerge w:val="continue"/>
            <w:vAlign w:val="center"/>
          </w:tcPr>
          <w:p>
            <w:pPr>
              <w:pStyle w:val="63"/>
              <w:rPr>
                <w:rFonts w:hint="default" w:ascii="Arial" w:hAnsi="Arial" w:eastAsia="宋体" w:cs="Arial"/>
                <w:color w:val="auto"/>
                <w:sz w:val="21"/>
                <w:szCs w:val="21"/>
                <w:highlight w:val="none"/>
              </w:rPr>
            </w:pPr>
          </w:p>
        </w:tc>
        <w:tc>
          <w:tcPr>
            <w:tcW w:w="2879" w:type="dxa"/>
            <w:vMerge w:val="restart"/>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《畜禽粪便无害化处理技术规范》（GB/T36195-2018）、</w:t>
            </w:r>
            <w:r>
              <w:rPr>
                <w:rFonts w:hint="default" w:ascii="Arial" w:hAnsi="Arial" w:eastAsia="宋体" w:cs="Arial"/>
                <w:color w:val="auto"/>
                <w:sz w:val="21"/>
                <w:szCs w:val="21"/>
                <w:highlight w:val="none"/>
                <w:shd w:val="clear" w:color="auto" w:fill="FFFFFF"/>
              </w:rPr>
              <w:t>《畜禽粪便还田技术规范》（GB/T25246-2010）</w:t>
            </w:r>
          </w:p>
        </w:tc>
        <w:tc>
          <w:tcPr>
            <w:tcW w:w="1687"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蛔虫卵</w:t>
            </w:r>
          </w:p>
        </w:tc>
        <w:tc>
          <w:tcPr>
            <w:tcW w:w="1150" w:type="dxa"/>
            <w:tcBorders>
              <w:right w:val="single" w:color="auto" w:sz="8" w:space="0"/>
            </w:tcBorders>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w:t>
            </w:r>
          </w:p>
        </w:tc>
        <w:tc>
          <w:tcPr>
            <w:tcW w:w="1154" w:type="dxa"/>
            <w:tcBorders>
              <w:left w:val="single" w:color="auto" w:sz="8" w:space="0"/>
            </w:tcBorders>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死亡率≥95%</w:t>
            </w:r>
          </w:p>
        </w:tc>
        <w:tc>
          <w:tcPr>
            <w:tcW w:w="1460" w:type="dxa"/>
            <w:vMerge w:val="restart"/>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lang w:eastAsia="zh-CN"/>
              </w:rPr>
              <w:t>有机肥</w:t>
            </w:r>
            <w:r>
              <w:rPr>
                <w:rFonts w:hint="default" w:ascii="Arial" w:hAnsi="Arial" w:eastAsia="宋体" w:cs="Arial"/>
                <w:color w:val="auto"/>
                <w:sz w:val="21"/>
                <w:szCs w:val="21"/>
                <w:highlight w:val="none"/>
              </w:rPr>
              <w:t>经无害化处理还田利用</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3" w:type="dxa"/>
            <w:vMerge w:val="continue"/>
            <w:vAlign w:val="center"/>
          </w:tcPr>
          <w:p>
            <w:pPr>
              <w:pStyle w:val="63"/>
              <w:rPr>
                <w:rFonts w:hint="default" w:ascii="Arial" w:hAnsi="Arial" w:eastAsia="宋体" w:cs="Arial"/>
                <w:color w:val="auto"/>
                <w:sz w:val="21"/>
                <w:szCs w:val="21"/>
                <w:highlight w:val="none"/>
              </w:rPr>
            </w:pPr>
          </w:p>
        </w:tc>
        <w:tc>
          <w:tcPr>
            <w:tcW w:w="2879" w:type="dxa"/>
            <w:vMerge w:val="continue"/>
            <w:vAlign w:val="center"/>
          </w:tcPr>
          <w:p>
            <w:pPr>
              <w:pStyle w:val="63"/>
              <w:rPr>
                <w:rFonts w:hint="default" w:ascii="Arial" w:hAnsi="Arial" w:eastAsia="宋体" w:cs="Arial"/>
                <w:color w:val="auto"/>
                <w:sz w:val="21"/>
                <w:szCs w:val="21"/>
                <w:highlight w:val="none"/>
              </w:rPr>
            </w:pPr>
          </w:p>
        </w:tc>
        <w:tc>
          <w:tcPr>
            <w:tcW w:w="1687"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粪大肠菌群数</w:t>
            </w:r>
          </w:p>
        </w:tc>
        <w:tc>
          <w:tcPr>
            <w:tcW w:w="1150" w:type="dxa"/>
            <w:tcBorders>
              <w:right w:val="single" w:color="auto" w:sz="8" w:space="0"/>
            </w:tcBorders>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个/kg</w:t>
            </w:r>
          </w:p>
        </w:tc>
        <w:tc>
          <w:tcPr>
            <w:tcW w:w="1154" w:type="dxa"/>
            <w:tcBorders>
              <w:left w:val="single" w:color="auto" w:sz="8" w:space="0"/>
            </w:tcBorders>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≤10</w:t>
            </w:r>
            <w:r>
              <w:rPr>
                <w:rFonts w:hint="default" w:ascii="Arial" w:hAnsi="Arial" w:eastAsia="宋体" w:cs="Arial"/>
                <w:color w:val="auto"/>
                <w:sz w:val="21"/>
                <w:szCs w:val="21"/>
                <w:highlight w:val="none"/>
                <w:vertAlign w:val="superscript"/>
              </w:rPr>
              <w:t>5</w:t>
            </w:r>
          </w:p>
        </w:tc>
        <w:tc>
          <w:tcPr>
            <w:tcW w:w="1460" w:type="dxa"/>
            <w:vMerge w:val="continue"/>
            <w:vAlign w:val="center"/>
          </w:tcPr>
          <w:p>
            <w:pPr>
              <w:pStyle w:val="63"/>
              <w:rPr>
                <w:rFonts w:hint="default" w:ascii="Arial" w:hAnsi="Arial" w:eastAsia="宋体" w:cs="Arial"/>
                <w:color w:val="auto"/>
                <w:sz w:val="21"/>
                <w:szCs w:val="21"/>
                <w:highlight w:val="none"/>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3" w:type="dxa"/>
            <w:vMerge w:val="continue"/>
            <w:vAlign w:val="center"/>
          </w:tcPr>
          <w:p>
            <w:pPr>
              <w:pStyle w:val="63"/>
              <w:rPr>
                <w:rFonts w:hint="default" w:ascii="Arial" w:hAnsi="Arial" w:eastAsia="宋体" w:cs="Arial"/>
                <w:color w:val="auto"/>
                <w:sz w:val="21"/>
                <w:szCs w:val="21"/>
                <w:highlight w:val="none"/>
              </w:rPr>
            </w:pPr>
          </w:p>
        </w:tc>
        <w:tc>
          <w:tcPr>
            <w:tcW w:w="2879" w:type="dxa"/>
            <w:vMerge w:val="continue"/>
            <w:vAlign w:val="center"/>
          </w:tcPr>
          <w:p>
            <w:pPr>
              <w:pStyle w:val="63"/>
              <w:rPr>
                <w:rFonts w:hint="default" w:ascii="Arial" w:hAnsi="Arial" w:eastAsia="宋体" w:cs="Arial"/>
                <w:color w:val="auto"/>
                <w:sz w:val="21"/>
                <w:szCs w:val="21"/>
                <w:highlight w:val="none"/>
              </w:rPr>
            </w:pPr>
          </w:p>
        </w:tc>
        <w:tc>
          <w:tcPr>
            <w:tcW w:w="1687"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苍蝇</w:t>
            </w:r>
          </w:p>
        </w:tc>
        <w:tc>
          <w:tcPr>
            <w:tcW w:w="2304" w:type="dxa"/>
            <w:gridSpan w:val="2"/>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堆体周围不应有活的蛆、蛹或新羽化的成蝇</w:t>
            </w:r>
          </w:p>
        </w:tc>
        <w:tc>
          <w:tcPr>
            <w:tcW w:w="1460" w:type="dxa"/>
            <w:vMerge w:val="continue"/>
            <w:vAlign w:val="center"/>
          </w:tcPr>
          <w:p>
            <w:pPr>
              <w:pStyle w:val="63"/>
              <w:rPr>
                <w:rFonts w:hint="default" w:ascii="Arial" w:hAnsi="Arial" w:eastAsia="宋体" w:cs="Arial"/>
                <w:color w:val="auto"/>
                <w:sz w:val="21"/>
                <w:szCs w:val="21"/>
                <w:highlight w:val="none"/>
              </w:rPr>
            </w:pPr>
          </w:p>
        </w:tc>
      </w:tr>
    </w:tbl>
    <w:p>
      <w:pPr>
        <w:pStyle w:val="7"/>
        <w:rPr>
          <w:rFonts w:hint="default" w:ascii="Arial" w:hAnsi="Arial" w:eastAsia="宋体" w:cs="Arial"/>
          <w:color w:val="auto"/>
          <w:highlight w:val="none"/>
        </w:rPr>
      </w:pPr>
      <w:r>
        <w:rPr>
          <w:rFonts w:hint="default" w:ascii="Arial" w:hAnsi="Arial" w:eastAsia="宋体" w:cs="Arial"/>
          <w:color w:val="auto"/>
          <w:highlight w:val="none"/>
        </w:rPr>
        <w:t>2.4.3.2废水</w:t>
      </w:r>
    </w:p>
    <w:p>
      <w:pPr>
        <w:ind w:firstLine="480"/>
        <w:rPr>
          <w:rFonts w:hint="default" w:ascii="Arial" w:hAnsi="Arial" w:eastAsia="宋体" w:cs="Arial"/>
          <w:color w:val="auto"/>
          <w:highlight w:val="none"/>
        </w:rPr>
      </w:pPr>
      <w:r>
        <w:rPr>
          <w:rFonts w:hint="default" w:ascii="Arial" w:hAnsi="Arial" w:eastAsia="宋体" w:cs="Arial"/>
          <w:color w:val="auto"/>
          <w:highlight w:val="none"/>
        </w:rPr>
        <w:t>项目</w:t>
      </w:r>
      <w:r>
        <w:rPr>
          <w:rFonts w:hint="default" w:ascii="Arial" w:hAnsi="Arial" w:eastAsia="宋体" w:cs="Arial"/>
          <w:color w:val="auto"/>
          <w:highlight w:val="none"/>
          <w:lang w:val="en-US" w:eastAsia="zh-CN"/>
        </w:rPr>
        <w:t>养殖用水</w:t>
      </w:r>
      <w:r>
        <w:rPr>
          <w:rFonts w:hint="default" w:ascii="Arial" w:hAnsi="Arial" w:eastAsia="宋体" w:cs="Arial"/>
          <w:color w:val="auto"/>
          <w:highlight w:val="none"/>
        </w:rPr>
        <w:t>执行《畜禽养殖业污染物排放标准》（GB18596-2001），具体指标见下表。</w:t>
      </w:r>
    </w:p>
    <w:p>
      <w:pPr>
        <w:pStyle w:val="8"/>
        <w:rPr>
          <w:rFonts w:hint="default" w:ascii="Arial" w:hAnsi="Arial" w:eastAsia="宋体" w:cs="Arial"/>
          <w:color w:val="auto"/>
          <w:highlight w:val="none"/>
        </w:rPr>
      </w:pPr>
      <w:r>
        <w:rPr>
          <w:rFonts w:hint="default" w:ascii="Arial" w:hAnsi="Arial" w:eastAsia="宋体" w:cs="Arial"/>
          <w:color w:val="auto"/>
          <w:highlight w:val="none"/>
        </w:rPr>
        <w:t>表2.4-</w:t>
      </w:r>
      <w:r>
        <w:rPr>
          <w:rFonts w:hint="default" w:ascii="Arial" w:hAnsi="Arial" w:eastAsia="宋体" w:cs="Arial"/>
          <w:color w:val="auto"/>
          <w:highlight w:val="none"/>
          <w:lang w:val="en-US" w:eastAsia="zh-CN"/>
        </w:rPr>
        <w:t>6</w:t>
      </w:r>
      <w:r>
        <w:rPr>
          <w:rFonts w:hint="default" w:ascii="Arial" w:hAnsi="Arial" w:eastAsia="宋体" w:cs="Arial"/>
          <w:color w:val="auto"/>
          <w:highlight w:val="none"/>
        </w:rPr>
        <w:t xml:space="preserve">    集约化畜禽养殖业干清粪工艺最高允许排水量</w:t>
      </w:r>
    </w:p>
    <w:tbl>
      <w:tblPr>
        <w:tblStyle w:val="39"/>
        <w:tblW w:w="9004" w:type="dxa"/>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2632"/>
        <w:gridCol w:w="3186"/>
        <w:gridCol w:w="3186"/>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12" w:hRule="atLeast"/>
          <w:jc w:val="center"/>
        </w:trPr>
        <w:tc>
          <w:tcPr>
            <w:tcW w:w="2632" w:type="dxa"/>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种类</w:t>
            </w:r>
          </w:p>
        </w:tc>
        <w:tc>
          <w:tcPr>
            <w:tcW w:w="6372" w:type="dxa"/>
            <w:gridSpan w:val="2"/>
            <w:vAlign w:val="center"/>
          </w:tcPr>
          <w:p>
            <w:pPr>
              <w:pStyle w:val="63"/>
              <w:rPr>
                <w:rFonts w:hint="default" w:ascii="Arial" w:hAnsi="Arial" w:eastAsia="宋体" w:cs="Arial"/>
                <w:bCs/>
                <w:color w:val="auto"/>
                <w:highlight w:val="none"/>
              </w:rPr>
            </w:pPr>
            <w:r>
              <w:rPr>
                <w:rFonts w:hint="default" w:ascii="Arial" w:hAnsi="Arial" w:eastAsia="宋体" w:cs="Arial"/>
                <w:bCs/>
                <w:color w:val="auto"/>
                <w:highlight w:val="none"/>
              </w:rPr>
              <w:t>牛（m</w:t>
            </w:r>
            <w:r>
              <w:rPr>
                <w:rFonts w:hint="default" w:ascii="Arial" w:hAnsi="Arial" w:eastAsia="宋体" w:cs="Arial"/>
                <w:bCs/>
                <w:color w:val="auto"/>
                <w:highlight w:val="none"/>
                <w:vertAlign w:val="superscript"/>
              </w:rPr>
              <w:t>3</w:t>
            </w:r>
            <w:r>
              <w:rPr>
                <w:rFonts w:hint="default" w:ascii="Arial" w:hAnsi="Arial" w:eastAsia="宋体" w:cs="Arial"/>
                <w:bCs/>
                <w:color w:val="auto"/>
                <w:highlight w:val="none"/>
              </w:rPr>
              <w:t>/（百头·d））</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12" w:hRule="atLeast"/>
          <w:jc w:val="center"/>
        </w:trPr>
        <w:tc>
          <w:tcPr>
            <w:tcW w:w="2632" w:type="dxa"/>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季节</w:t>
            </w:r>
          </w:p>
        </w:tc>
        <w:tc>
          <w:tcPr>
            <w:tcW w:w="3186" w:type="dxa"/>
            <w:vAlign w:val="center"/>
          </w:tcPr>
          <w:p>
            <w:pPr>
              <w:pStyle w:val="63"/>
              <w:rPr>
                <w:rFonts w:hint="default" w:ascii="Arial" w:hAnsi="Arial" w:eastAsia="宋体" w:cs="Arial"/>
                <w:bCs/>
                <w:color w:val="auto"/>
                <w:highlight w:val="none"/>
              </w:rPr>
            </w:pPr>
            <w:r>
              <w:rPr>
                <w:rFonts w:hint="default" w:ascii="Arial" w:hAnsi="Arial" w:eastAsia="宋体" w:cs="Arial"/>
                <w:bCs/>
                <w:color w:val="auto"/>
                <w:highlight w:val="none"/>
              </w:rPr>
              <w:t>冬季</w:t>
            </w:r>
          </w:p>
        </w:tc>
        <w:tc>
          <w:tcPr>
            <w:tcW w:w="3186" w:type="dxa"/>
            <w:vAlign w:val="center"/>
          </w:tcPr>
          <w:p>
            <w:pPr>
              <w:pStyle w:val="63"/>
              <w:rPr>
                <w:rFonts w:hint="default" w:ascii="Arial" w:hAnsi="Arial" w:eastAsia="宋体" w:cs="Arial"/>
                <w:bCs/>
                <w:color w:val="auto"/>
                <w:highlight w:val="none"/>
              </w:rPr>
            </w:pPr>
            <w:r>
              <w:rPr>
                <w:rFonts w:hint="default" w:ascii="Arial" w:hAnsi="Arial" w:eastAsia="宋体" w:cs="Arial"/>
                <w:bCs/>
                <w:color w:val="auto"/>
                <w:highlight w:val="none"/>
              </w:rPr>
              <w:t>夏季</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12" w:hRule="atLeast"/>
          <w:jc w:val="center"/>
        </w:trPr>
        <w:tc>
          <w:tcPr>
            <w:tcW w:w="2632" w:type="dxa"/>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标准值</w:t>
            </w:r>
          </w:p>
        </w:tc>
        <w:tc>
          <w:tcPr>
            <w:tcW w:w="3186" w:type="dxa"/>
            <w:vAlign w:val="center"/>
          </w:tcPr>
          <w:p>
            <w:pPr>
              <w:pStyle w:val="63"/>
              <w:rPr>
                <w:rFonts w:hint="default" w:ascii="Arial" w:hAnsi="Arial" w:eastAsia="宋体" w:cs="Arial"/>
                <w:bCs/>
                <w:color w:val="auto"/>
                <w:highlight w:val="none"/>
              </w:rPr>
            </w:pPr>
            <w:r>
              <w:rPr>
                <w:rFonts w:hint="default" w:ascii="Arial" w:hAnsi="Arial" w:eastAsia="宋体" w:cs="Arial"/>
                <w:bCs/>
                <w:color w:val="auto"/>
                <w:highlight w:val="none"/>
              </w:rPr>
              <w:t>17</w:t>
            </w:r>
          </w:p>
        </w:tc>
        <w:tc>
          <w:tcPr>
            <w:tcW w:w="3186" w:type="dxa"/>
            <w:vAlign w:val="center"/>
          </w:tcPr>
          <w:p>
            <w:pPr>
              <w:pStyle w:val="63"/>
              <w:rPr>
                <w:rFonts w:hint="default" w:ascii="Arial" w:hAnsi="Arial" w:eastAsia="宋体" w:cs="Arial"/>
                <w:bCs/>
                <w:color w:val="auto"/>
                <w:highlight w:val="none"/>
              </w:rPr>
            </w:pPr>
            <w:r>
              <w:rPr>
                <w:rFonts w:hint="default" w:ascii="Arial" w:hAnsi="Arial" w:eastAsia="宋体" w:cs="Arial"/>
                <w:bCs/>
                <w:color w:val="auto"/>
                <w:highlight w:val="none"/>
              </w:rPr>
              <w:t>20</w:t>
            </w:r>
          </w:p>
        </w:tc>
      </w:tr>
    </w:tbl>
    <w:p>
      <w:pPr>
        <w:pStyle w:val="7"/>
        <w:rPr>
          <w:rFonts w:hint="default" w:ascii="Arial" w:hAnsi="Arial" w:eastAsia="宋体" w:cs="Arial"/>
          <w:color w:val="auto"/>
          <w:highlight w:val="none"/>
        </w:rPr>
      </w:pPr>
      <w:r>
        <w:rPr>
          <w:rFonts w:hint="default" w:ascii="Arial" w:hAnsi="Arial" w:eastAsia="宋体" w:cs="Arial"/>
          <w:color w:val="auto"/>
          <w:highlight w:val="none"/>
        </w:rPr>
        <w:t>2.4.3.3废气</w:t>
      </w:r>
    </w:p>
    <w:p>
      <w:pPr>
        <w:ind w:firstLine="480"/>
        <w:rPr>
          <w:rFonts w:hint="default" w:ascii="Arial" w:hAnsi="Arial" w:eastAsia="宋体" w:cs="Arial"/>
          <w:color w:val="auto"/>
          <w:highlight w:val="none"/>
        </w:rPr>
      </w:pPr>
      <w:r>
        <w:rPr>
          <w:rFonts w:hint="default" w:ascii="Arial" w:hAnsi="Arial" w:eastAsia="宋体" w:cs="Arial"/>
          <w:color w:val="auto"/>
          <w:highlight w:val="none"/>
        </w:rPr>
        <w:t>项目臭气浓度排放执行《畜禽养殖业污染物排放标准》（GB18596-2001），H</w:t>
      </w:r>
      <w:r>
        <w:rPr>
          <w:rFonts w:hint="default" w:ascii="Arial" w:hAnsi="Arial" w:eastAsia="宋体" w:cs="Arial"/>
          <w:color w:val="auto"/>
          <w:highlight w:val="none"/>
          <w:vertAlign w:val="subscript"/>
        </w:rPr>
        <w:t>2</w:t>
      </w:r>
      <w:r>
        <w:rPr>
          <w:rFonts w:hint="default" w:ascii="Arial" w:hAnsi="Arial" w:eastAsia="宋体" w:cs="Arial"/>
          <w:color w:val="auto"/>
          <w:highlight w:val="none"/>
        </w:rPr>
        <w:t>S、NH</w:t>
      </w:r>
      <w:r>
        <w:rPr>
          <w:rFonts w:hint="default" w:ascii="Arial" w:hAnsi="Arial" w:eastAsia="宋体" w:cs="Arial"/>
          <w:color w:val="auto"/>
          <w:highlight w:val="none"/>
          <w:vertAlign w:val="subscript"/>
        </w:rPr>
        <w:t>3</w:t>
      </w:r>
      <w:r>
        <w:rPr>
          <w:rFonts w:hint="default" w:ascii="Arial" w:hAnsi="Arial" w:eastAsia="宋体" w:cs="Arial"/>
          <w:color w:val="auto"/>
          <w:highlight w:val="none"/>
        </w:rPr>
        <w:t>排放执行《恶臭污染物排放标准》（GB14554-93）二级新建要求，运营期颗粒物排放执行《大气污染物综合排放标准》（GB16297-1996）表2新污染源排放二级标准，详见下表。</w:t>
      </w:r>
    </w:p>
    <w:p>
      <w:pPr>
        <w:pStyle w:val="8"/>
        <w:rPr>
          <w:rFonts w:hint="default" w:ascii="Arial" w:hAnsi="Arial" w:eastAsia="宋体" w:cs="Arial"/>
          <w:color w:val="auto"/>
          <w:highlight w:val="none"/>
        </w:rPr>
      </w:pPr>
      <w:r>
        <w:rPr>
          <w:rFonts w:hint="default" w:ascii="Arial" w:hAnsi="Arial" w:eastAsia="宋体" w:cs="Arial"/>
          <w:color w:val="auto"/>
          <w:highlight w:val="none"/>
        </w:rPr>
        <w:t>表2.4-</w:t>
      </w:r>
      <w:r>
        <w:rPr>
          <w:rFonts w:hint="default" w:ascii="Arial" w:hAnsi="Arial" w:eastAsia="宋体" w:cs="Arial"/>
          <w:color w:val="auto"/>
          <w:highlight w:val="none"/>
          <w:lang w:val="en-US" w:eastAsia="zh-CN"/>
        </w:rPr>
        <w:t>7</w:t>
      </w:r>
      <w:r>
        <w:rPr>
          <w:rFonts w:hint="default" w:ascii="Arial" w:hAnsi="Arial" w:eastAsia="宋体" w:cs="Arial"/>
          <w:color w:val="auto"/>
          <w:highlight w:val="none"/>
        </w:rPr>
        <w:t xml:space="preserve">    大气污染物排放标准</w:t>
      </w:r>
    </w:p>
    <w:tbl>
      <w:tblPr>
        <w:tblStyle w:val="39"/>
        <w:tblW w:w="9003" w:type="dxa"/>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1799"/>
        <w:gridCol w:w="1800"/>
        <w:gridCol w:w="1800"/>
        <w:gridCol w:w="1802"/>
        <w:gridCol w:w="1802"/>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125" w:type="dxa"/>
            <w:vMerge w:val="restart"/>
            <w:vAlign w:val="center"/>
          </w:tcPr>
          <w:p>
            <w:pPr>
              <w:pStyle w:val="63"/>
              <w:rPr>
                <w:rFonts w:hint="default" w:ascii="Arial" w:hAnsi="Arial" w:eastAsia="宋体" w:cs="Arial"/>
                <w:color w:val="auto"/>
                <w:highlight w:val="none"/>
                <w:lang w:bidi="en-US"/>
              </w:rPr>
            </w:pPr>
            <w:r>
              <w:rPr>
                <w:rFonts w:hint="default" w:ascii="Arial" w:hAnsi="Arial" w:eastAsia="宋体" w:cs="Arial"/>
                <w:color w:val="auto"/>
                <w:highlight w:val="none"/>
                <w:lang w:bidi="en-US"/>
              </w:rPr>
              <w:t>序号</w:t>
            </w:r>
          </w:p>
        </w:tc>
        <w:tc>
          <w:tcPr>
            <w:tcW w:w="1125" w:type="dxa"/>
            <w:vMerge w:val="restart"/>
            <w:vAlign w:val="center"/>
          </w:tcPr>
          <w:p>
            <w:pPr>
              <w:pStyle w:val="63"/>
              <w:rPr>
                <w:rFonts w:hint="default" w:ascii="Arial" w:hAnsi="Arial" w:eastAsia="宋体" w:cs="Arial"/>
                <w:color w:val="auto"/>
                <w:highlight w:val="none"/>
                <w:lang w:bidi="en-US"/>
              </w:rPr>
            </w:pPr>
            <w:r>
              <w:rPr>
                <w:rFonts w:hint="default" w:ascii="Arial" w:hAnsi="Arial" w:eastAsia="宋体" w:cs="Arial"/>
                <w:color w:val="auto"/>
                <w:highlight w:val="none"/>
                <w:lang w:bidi="en-US"/>
              </w:rPr>
              <w:t>标准来源</w:t>
            </w:r>
          </w:p>
        </w:tc>
        <w:tc>
          <w:tcPr>
            <w:tcW w:w="1125" w:type="dxa"/>
            <w:vMerge w:val="restart"/>
            <w:vAlign w:val="center"/>
          </w:tcPr>
          <w:p>
            <w:pPr>
              <w:pStyle w:val="63"/>
              <w:rPr>
                <w:rFonts w:hint="default" w:ascii="Arial" w:hAnsi="Arial" w:eastAsia="宋体" w:cs="Arial"/>
                <w:color w:val="auto"/>
                <w:highlight w:val="none"/>
                <w:lang w:bidi="en-US"/>
              </w:rPr>
            </w:pPr>
            <w:r>
              <w:rPr>
                <w:rFonts w:hint="default" w:ascii="Arial" w:hAnsi="Arial" w:eastAsia="宋体" w:cs="Arial"/>
                <w:color w:val="auto"/>
                <w:highlight w:val="none"/>
                <w:lang w:bidi="en-US"/>
              </w:rPr>
              <w:t>污染物</w:t>
            </w:r>
          </w:p>
        </w:tc>
        <w:tc>
          <w:tcPr>
            <w:tcW w:w="2252" w:type="dxa"/>
            <w:gridSpan w:val="2"/>
            <w:vAlign w:val="center"/>
          </w:tcPr>
          <w:p>
            <w:pPr>
              <w:pStyle w:val="63"/>
              <w:rPr>
                <w:rFonts w:hint="default" w:ascii="Arial" w:hAnsi="Arial" w:eastAsia="宋体" w:cs="Arial"/>
                <w:color w:val="auto"/>
                <w:highlight w:val="none"/>
                <w:lang w:bidi="en-US"/>
              </w:rPr>
            </w:pPr>
            <w:r>
              <w:rPr>
                <w:rFonts w:hint="default" w:ascii="Arial" w:hAnsi="Arial" w:eastAsia="宋体" w:cs="Arial"/>
                <w:color w:val="auto"/>
                <w:highlight w:val="none"/>
                <w:lang w:bidi="en-US"/>
              </w:rPr>
              <w:t>无组织排放限值</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125" w:type="dxa"/>
            <w:vMerge w:val="continue"/>
            <w:vAlign w:val="center"/>
          </w:tcPr>
          <w:p>
            <w:pPr>
              <w:pStyle w:val="63"/>
              <w:rPr>
                <w:rFonts w:hint="default" w:ascii="Arial" w:hAnsi="Arial" w:eastAsia="宋体" w:cs="Arial"/>
                <w:color w:val="auto"/>
                <w:highlight w:val="none"/>
              </w:rPr>
            </w:pPr>
          </w:p>
        </w:tc>
        <w:tc>
          <w:tcPr>
            <w:tcW w:w="1125" w:type="dxa"/>
            <w:vMerge w:val="continue"/>
            <w:vAlign w:val="center"/>
          </w:tcPr>
          <w:p>
            <w:pPr>
              <w:pStyle w:val="63"/>
              <w:rPr>
                <w:rFonts w:hint="default" w:ascii="Arial" w:hAnsi="Arial" w:eastAsia="宋体" w:cs="Arial"/>
                <w:color w:val="auto"/>
                <w:highlight w:val="none"/>
              </w:rPr>
            </w:pPr>
          </w:p>
        </w:tc>
        <w:tc>
          <w:tcPr>
            <w:tcW w:w="1125" w:type="dxa"/>
            <w:vMerge w:val="continue"/>
            <w:vAlign w:val="center"/>
          </w:tcPr>
          <w:p>
            <w:pPr>
              <w:pStyle w:val="63"/>
              <w:rPr>
                <w:rFonts w:hint="default" w:ascii="Arial" w:hAnsi="Arial" w:eastAsia="宋体" w:cs="Arial"/>
                <w:color w:val="auto"/>
                <w:highlight w:val="none"/>
              </w:rPr>
            </w:pPr>
          </w:p>
        </w:tc>
        <w:tc>
          <w:tcPr>
            <w:tcW w:w="1126" w:type="dxa"/>
            <w:vAlign w:val="center"/>
          </w:tcPr>
          <w:p>
            <w:pPr>
              <w:pStyle w:val="63"/>
              <w:rPr>
                <w:rFonts w:hint="default" w:ascii="Arial" w:hAnsi="Arial" w:eastAsia="宋体" w:cs="Arial"/>
                <w:color w:val="auto"/>
                <w:highlight w:val="none"/>
                <w:lang w:bidi="en-US"/>
              </w:rPr>
            </w:pPr>
            <w:r>
              <w:rPr>
                <w:rFonts w:hint="default" w:ascii="Arial" w:hAnsi="Arial" w:eastAsia="宋体" w:cs="Arial"/>
                <w:color w:val="auto"/>
                <w:highlight w:val="none"/>
                <w:lang w:bidi="en-US"/>
              </w:rPr>
              <w:t>监控点</w:t>
            </w:r>
          </w:p>
        </w:tc>
        <w:tc>
          <w:tcPr>
            <w:tcW w:w="1126" w:type="dxa"/>
            <w:vAlign w:val="center"/>
          </w:tcPr>
          <w:p>
            <w:pPr>
              <w:pStyle w:val="63"/>
              <w:rPr>
                <w:rFonts w:hint="default" w:ascii="Arial" w:hAnsi="Arial" w:eastAsia="宋体" w:cs="Arial"/>
                <w:color w:val="auto"/>
                <w:highlight w:val="none"/>
                <w:lang w:eastAsia="zh-CN" w:bidi="en-US"/>
              </w:rPr>
            </w:pPr>
            <w:r>
              <w:rPr>
                <w:rFonts w:hint="default" w:ascii="Arial" w:hAnsi="Arial" w:eastAsia="宋体" w:cs="Arial"/>
                <w:color w:val="auto"/>
                <w:highlight w:val="none"/>
                <w:lang w:bidi="en-US"/>
              </w:rPr>
              <w:t>浓度</w:t>
            </w:r>
            <w:r>
              <w:rPr>
                <w:rFonts w:hint="default" w:ascii="Arial" w:hAnsi="Arial" w:eastAsia="宋体" w:cs="Arial"/>
                <w:color w:val="auto"/>
                <w:highlight w:val="none"/>
                <w:lang w:eastAsia="zh-CN" w:bidi="en-US"/>
              </w:rPr>
              <w:t>（</w:t>
            </w:r>
            <w:r>
              <w:rPr>
                <w:rFonts w:hint="default" w:ascii="Arial" w:hAnsi="Arial" w:eastAsia="宋体" w:cs="Arial"/>
                <w:color w:val="auto"/>
                <w:highlight w:val="none"/>
                <w:lang w:bidi="en-US"/>
              </w:rPr>
              <w:t>mg/m</w:t>
            </w:r>
            <w:r>
              <w:rPr>
                <w:rFonts w:hint="default" w:ascii="Arial" w:hAnsi="Arial" w:eastAsia="宋体" w:cs="Arial"/>
                <w:color w:val="auto"/>
                <w:highlight w:val="none"/>
                <w:vertAlign w:val="superscript"/>
                <w:lang w:bidi="en-US"/>
              </w:rPr>
              <w:t>3</w:t>
            </w:r>
            <w:r>
              <w:rPr>
                <w:rFonts w:hint="default" w:ascii="Arial" w:hAnsi="Arial" w:eastAsia="宋体" w:cs="Arial"/>
                <w:color w:val="auto"/>
                <w:highlight w:val="none"/>
                <w:lang w:eastAsia="zh-CN" w:bidi="en-US"/>
              </w:rPr>
              <w:t>）</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125" w:type="dxa"/>
            <w:vAlign w:val="center"/>
          </w:tcPr>
          <w:p>
            <w:pPr>
              <w:pStyle w:val="63"/>
              <w:rPr>
                <w:rFonts w:hint="default" w:ascii="Arial" w:hAnsi="Arial" w:eastAsia="宋体" w:cs="Arial"/>
                <w:color w:val="auto"/>
                <w:highlight w:val="none"/>
                <w:lang w:bidi="en-US"/>
              </w:rPr>
            </w:pPr>
            <w:r>
              <w:rPr>
                <w:rFonts w:hint="default" w:ascii="Arial" w:hAnsi="Arial" w:eastAsia="宋体" w:cs="Arial"/>
                <w:color w:val="auto"/>
                <w:highlight w:val="none"/>
                <w:lang w:bidi="en-US"/>
              </w:rPr>
              <w:t>1</w:t>
            </w:r>
          </w:p>
        </w:tc>
        <w:tc>
          <w:tcPr>
            <w:tcW w:w="1125" w:type="dxa"/>
            <w:vMerge w:val="restart"/>
            <w:vAlign w:val="center"/>
          </w:tcPr>
          <w:p>
            <w:pPr>
              <w:pStyle w:val="63"/>
              <w:rPr>
                <w:rFonts w:hint="default" w:ascii="Arial" w:hAnsi="Arial" w:eastAsia="宋体" w:cs="Arial"/>
                <w:color w:val="auto"/>
                <w:highlight w:val="none"/>
                <w:lang w:bidi="en-US"/>
              </w:rPr>
            </w:pPr>
            <w:r>
              <w:rPr>
                <w:rFonts w:hint="default" w:ascii="Arial" w:hAnsi="Arial" w:eastAsia="宋体" w:cs="Arial"/>
                <w:color w:val="auto"/>
                <w:highlight w:val="none"/>
                <w:lang w:bidi="en-US"/>
              </w:rPr>
              <w:t>GB14554-1993</w:t>
            </w:r>
          </w:p>
        </w:tc>
        <w:tc>
          <w:tcPr>
            <w:tcW w:w="1125" w:type="dxa"/>
            <w:vAlign w:val="center"/>
          </w:tcPr>
          <w:p>
            <w:pPr>
              <w:pStyle w:val="63"/>
              <w:rPr>
                <w:rFonts w:hint="default" w:ascii="Arial" w:hAnsi="Arial" w:eastAsia="宋体" w:cs="Arial"/>
                <w:color w:val="auto"/>
                <w:highlight w:val="none"/>
                <w:lang w:bidi="en-US"/>
              </w:rPr>
            </w:pPr>
            <w:r>
              <w:rPr>
                <w:rFonts w:hint="default" w:ascii="Arial" w:hAnsi="Arial" w:eastAsia="宋体" w:cs="Arial"/>
                <w:color w:val="auto"/>
                <w:highlight w:val="none"/>
                <w:lang w:bidi="en-US"/>
              </w:rPr>
              <w:t>NH</w:t>
            </w:r>
            <w:r>
              <w:rPr>
                <w:rFonts w:hint="default" w:ascii="Arial" w:hAnsi="Arial" w:eastAsia="宋体" w:cs="Arial"/>
                <w:color w:val="auto"/>
                <w:highlight w:val="none"/>
                <w:vertAlign w:val="subscript"/>
                <w:lang w:bidi="en-US"/>
              </w:rPr>
              <w:t>3</w:t>
            </w:r>
          </w:p>
        </w:tc>
        <w:tc>
          <w:tcPr>
            <w:tcW w:w="1126" w:type="dxa"/>
            <w:vAlign w:val="center"/>
          </w:tcPr>
          <w:p>
            <w:pPr>
              <w:pStyle w:val="63"/>
              <w:rPr>
                <w:rFonts w:hint="default" w:ascii="Arial" w:hAnsi="Arial" w:eastAsia="宋体" w:cs="Arial"/>
                <w:color w:val="auto"/>
                <w:highlight w:val="none"/>
                <w:lang w:bidi="en-US"/>
              </w:rPr>
            </w:pPr>
            <w:r>
              <w:rPr>
                <w:rFonts w:hint="default" w:ascii="Arial" w:hAnsi="Arial" w:eastAsia="宋体" w:cs="Arial"/>
                <w:color w:val="auto"/>
                <w:highlight w:val="none"/>
                <w:lang w:bidi="en-US"/>
              </w:rPr>
              <w:t>厂界</w:t>
            </w:r>
          </w:p>
        </w:tc>
        <w:tc>
          <w:tcPr>
            <w:tcW w:w="1126" w:type="dxa"/>
            <w:vAlign w:val="center"/>
          </w:tcPr>
          <w:p>
            <w:pPr>
              <w:pStyle w:val="63"/>
              <w:rPr>
                <w:rFonts w:hint="default" w:ascii="Arial" w:hAnsi="Arial" w:eastAsia="宋体" w:cs="Arial"/>
                <w:color w:val="auto"/>
                <w:highlight w:val="none"/>
                <w:lang w:bidi="en-US"/>
              </w:rPr>
            </w:pPr>
            <w:r>
              <w:rPr>
                <w:rFonts w:hint="default" w:ascii="Arial" w:hAnsi="Arial" w:eastAsia="宋体" w:cs="Arial"/>
                <w:color w:val="auto"/>
                <w:highlight w:val="none"/>
                <w:lang w:bidi="en-US"/>
              </w:rPr>
              <w:t>1.5</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125" w:type="dxa"/>
            <w:vAlign w:val="center"/>
          </w:tcPr>
          <w:p>
            <w:pPr>
              <w:pStyle w:val="63"/>
              <w:rPr>
                <w:rFonts w:hint="default" w:ascii="Arial" w:hAnsi="Arial" w:eastAsia="宋体" w:cs="Arial"/>
                <w:color w:val="auto"/>
                <w:highlight w:val="none"/>
                <w:lang w:bidi="en-US"/>
              </w:rPr>
            </w:pPr>
            <w:r>
              <w:rPr>
                <w:rFonts w:hint="default" w:ascii="Arial" w:hAnsi="Arial" w:eastAsia="宋体" w:cs="Arial"/>
                <w:color w:val="auto"/>
                <w:highlight w:val="none"/>
                <w:lang w:bidi="en-US"/>
              </w:rPr>
              <w:t>2</w:t>
            </w:r>
          </w:p>
        </w:tc>
        <w:tc>
          <w:tcPr>
            <w:tcW w:w="1125" w:type="dxa"/>
            <w:vMerge w:val="continue"/>
            <w:vAlign w:val="center"/>
          </w:tcPr>
          <w:p>
            <w:pPr>
              <w:pStyle w:val="63"/>
              <w:rPr>
                <w:rFonts w:hint="default" w:ascii="Arial" w:hAnsi="Arial" w:eastAsia="宋体" w:cs="Arial"/>
                <w:color w:val="auto"/>
                <w:highlight w:val="none"/>
              </w:rPr>
            </w:pPr>
          </w:p>
        </w:tc>
        <w:tc>
          <w:tcPr>
            <w:tcW w:w="1125" w:type="dxa"/>
            <w:vAlign w:val="center"/>
          </w:tcPr>
          <w:p>
            <w:pPr>
              <w:pStyle w:val="63"/>
              <w:rPr>
                <w:rFonts w:hint="default" w:ascii="Arial" w:hAnsi="Arial" w:eastAsia="宋体" w:cs="Arial"/>
                <w:color w:val="auto"/>
                <w:highlight w:val="none"/>
                <w:lang w:bidi="en-US"/>
              </w:rPr>
            </w:pPr>
            <w:r>
              <w:rPr>
                <w:rFonts w:hint="default" w:ascii="Arial" w:hAnsi="Arial" w:eastAsia="宋体" w:cs="Arial"/>
                <w:color w:val="auto"/>
                <w:highlight w:val="none"/>
                <w:lang w:bidi="en-US"/>
              </w:rPr>
              <w:t>H</w:t>
            </w:r>
            <w:r>
              <w:rPr>
                <w:rFonts w:hint="default" w:ascii="Arial" w:hAnsi="Arial" w:eastAsia="宋体" w:cs="Arial"/>
                <w:color w:val="auto"/>
                <w:highlight w:val="none"/>
                <w:vertAlign w:val="subscript"/>
                <w:lang w:bidi="en-US"/>
              </w:rPr>
              <w:t>2</w:t>
            </w:r>
            <w:r>
              <w:rPr>
                <w:rFonts w:hint="default" w:ascii="Arial" w:hAnsi="Arial" w:eastAsia="宋体" w:cs="Arial"/>
                <w:color w:val="auto"/>
                <w:highlight w:val="none"/>
                <w:lang w:bidi="en-US"/>
              </w:rPr>
              <w:t>S</w:t>
            </w:r>
          </w:p>
        </w:tc>
        <w:tc>
          <w:tcPr>
            <w:tcW w:w="1126" w:type="dxa"/>
            <w:vAlign w:val="center"/>
          </w:tcPr>
          <w:p>
            <w:pPr>
              <w:pStyle w:val="63"/>
              <w:rPr>
                <w:rFonts w:hint="default" w:ascii="Arial" w:hAnsi="Arial" w:eastAsia="宋体" w:cs="Arial"/>
                <w:color w:val="auto"/>
                <w:highlight w:val="none"/>
                <w:lang w:bidi="en-US"/>
              </w:rPr>
            </w:pPr>
            <w:r>
              <w:rPr>
                <w:rFonts w:hint="default" w:ascii="Arial" w:hAnsi="Arial" w:eastAsia="宋体" w:cs="Arial"/>
                <w:color w:val="auto"/>
                <w:highlight w:val="none"/>
                <w:lang w:bidi="en-US"/>
              </w:rPr>
              <w:t>厂界</w:t>
            </w:r>
          </w:p>
        </w:tc>
        <w:tc>
          <w:tcPr>
            <w:tcW w:w="1126" w:type="dxa"/>
            <w:vAlign w:val="center"/>
          </w:tcPr>
          <w:p>
            <w:pPr>
              <w:pStyle w:val="63"/>
              <w:rPr>
                <w:rFonts w:hint="default" w:ascii="Arial" w:hAnsi="Arial" w:eastAsia="宋体" w:cs="Arial"/>
                <w:color w:val="auto"/>
                <w:highlight w:val="none"/>
                <w:lang w:bidi="en-US"/>
              </w:rPr>
            </w:pPr>
            <w:r>
              <w:rPr>
                <w:rFonts w:hint="default" w:ascii="Arial" w:hAnsi="Arial" w:eastAsia="宋体" w:cs="Arial"/>
                <w:color w:val="auto"/>
                <w:highlight w:val="none"/>
                <w:lang w:bidi="en-US"/>
              </w:rPr>
              <w:t>0.06</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125" w:type="dxa"/>
            <w:vAlign w:val="center"/>
          </w:tcPr>
          <w:p>
            <w:pPr>
              <w:pStyle w:val="63"/>
              <w:rPr>
                <w:rFonts w:hint="default" w:ascii="Arial" w:hAnsi="Arial" w:eastAsia="宋体" w:cs="Arial"/>
                <w:color w:val="auto"/>
                <w:highlight w:val="none"/>
                <w:lang w:bidi="en-US"/>
              </w:rPr>
            </w:pPr>
            <w:r>
              <w:rPr>
                <w:rFonts w:hint="default" w:ascii="Arial" w:hAnsi="Arial" w:eastAsia="宋体" w:cs="Arial"/>
                <w:color w:val="auto"/>
                <w:highlight w:val="none"/>
                <w:lang w:bidi="en-US"/>
              </w:rPr>
              <w:t>3</w:t>
            </w:r>
          </w:p>
        </w:tc>
        <w:tc>
          <w:tcPr>
            <w:tcW w:w="1125" w:type="dxa"/>
            <w:vAlign w:val="center"/>
          </w:tcPr>
          <w:p>
            <w:pPr>
              <w:pStyle w:val="63"/>
              <w:rPr>
                <w:rFonts w:hint="default" w:ascii="Arial" w:hAnsi="Arial" w:eastAsia="宋体" w:cs="Arial"/>
                <w:color w:val="auto"/>
                <w:highlight w:val="none"/>
                <w:lang w:bidi="en-US"/>
              </w:rPr>
            </w:pPr>
            <w:r>
              <w:rPr>
                <w:rFonts w:hint="default" w:ascii="Arial" w:hAnsi="Arial" w:eastAsia="宋体" w:cs="Arial"/>
                <w:color w:val="auto"/>
                <w:highlight w:val="none"/>
                <w:lang w:bidi="en-US"/>
              </w:rPr>
              <w:t>GB18596-2001</w:t>
            </w:r>
          </w:p>
        </w:tc>
        <w:tc>
          <w:tcPr>
            <w:tcW w:w="1125" w:type="dxa"/>
            <w:vAlign w:val="center"/>
          </w:tcPr>
          <w:p>
            <w:pPr>
              <w:pStyle w:val="63"/>
              <w:rPr>
                <w:rFonts w:hint="default" w:ascii="Arial" w:hAnsi="Arial" w:eastAsia="宋体" w:cs="Arial"/>
                <w:color w:val="auto"/>
                <w:highlight w:val="none"/>
                <w:lang w:bidi="en-US"/>
              </w:rPr>
            </w:pPr>
            <w:r>
              <w:rPr>
                <w:rFonts w:hint="default" w:ascii="Arial" w:hAnsi="Arial" w:eastAsia="宋体" w:cs="Arial"/>
                <w:color w:val="auto"/>
                <w:highlight w:val="none"/>
                <w:lang w:bidi="en-US"/>
              </w:rPr>
              <w:t>臭气浓度</w:t>
            </w:r>
          </w:p>
          <w:p>
            <w:pPr>
              <w:pStyle w:val="63"/>
              <w:rPr>
                <w:rFonts w:hint="default" w:ascii="Arial" w:hAnsi="Arial" w:eastAsia="宋体" w:cs="Arial"/>
                <w:color w:val="auto"/>
                <w:highlight w:val="none"/>
                <w:lang w:bidi="en-US"/>
              </w:rPr>
            </w:pPr>
            <w:r>
              <w:rPr>
                <w:rFonts w:hint="default" w:ascii="Arial" w:hAnsi="Arial" w:eastAsia="宋体" w:cs="Arial"/>
                <w:color w:val="auto"/>
                <w:highlight w:val="none"/>
                <w:lang w:bidi="en-US"/>
              </w:rPr>
              <w:t>（无量纲）</w:t>
            </w:r>
          </w:p>
        </w:tc>
        <w:tc>
          <w:tcPr>
            <w:tcW w:w="1126" w:type="dxa"/>
            <w:vAlign w:val="center"/>
          </w:tcPr>
          <w:p>
            <w:pPr>
              <w:pStyle w:val="63"/>
              <w:rPr>
                <w:rFonts w:hint="default" w:ascii="Arial" w:hAnsi="Arial" w:eastAsia="宋体" w:cs="Arial"/>
                <w:color w:val="auto"/>
                <w:highlight w:val="none"/>
                <w:lang w:bidi="en-US"/>
              </w:rPr>
            </w:pPr>
            <w:r>
              <w:rPr>
                <w:rFonts w:hint="default" w:ascii="Arial" w:hAnsi="Arial" w:eastAsia="宋体" w:cs="Arial"/>
                <w:color w:val="auto"/>
                <w:highlight w:val="none"/>
                <w:lang w:bidi="en-US"/>
              </w:rPr>
              <w:t>厂界</w:t>
            </w:r>
          </w:p>
        </w:tc>
        <w:tc>
          <w:tcPr>
            <w:tcW w:w="1126" w:type="dxa"/>
            <w:vAlign w:val="center"/>
          </w:tcPr>
          <w:p>
            <w:pPr>
              <w:pStyle w:val="63"/>
              <w:rPr>
                <w:rFonts w:hint="default" w:ascii="Arial" w:hAnsi="Arial" w:eastAsia="宋体" w:cs="Arial"/>
                <w:color w:val="auto"/>
                <w:highlight w:val="none"/>
                <w:lang w:bidi="en-US"/>
              </w:rPr>
            </w:pPr>
            <w:r>
              <w:rPr>
                <w:rFonts w:hint="default" w:ascii="Arial" w:hAnsi="Arial" w:eastAsia="宋体" w:cs="Arial"/>
                <w:color w:val="auto"/>
                <w:highlight w:val="none"/>
                <w:lang w:bidi="en-US"/>
              </w:rPr>
              <w:t>70</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125" w:type="dxa"/>
            <w:vAlign w:val="center"/>
          </w:tcPr>
          <w:p>
            <w:pPr>
              <w:pStyle w:val="63"/>
              <w:rPr>
                <w:rFonts w:hint="default" w:ascii="Arial" w:hAnsi="Arial" w:eastAsia="宋体" w:cs="Arial"/>
                <w:color w:val="auto"/>
                <w:highlight w:val="none"/>
                <w:lang w:bidi="en-US"/>
              </w:rPr>
            </w:pPr>
            <w:r>
              <w:rPr>
                <w:rFonts w:hint="default" w:ascii="Arial" w:hAnsi="Arial" w:eastAsia="宋体" w:cs="Arial"/>
                <w:color w:val="auto"/>
                <w:highlight w:val="none"/>
                <w:lang w:bidi="en-US"/>
              </w:rPr>
              <w:t>4</w:t>
            </w:r>
          </w:p>
        </w:tc>
        <w:tc>
          <w:tcPr>
            <w:tcW w:w="1125" w:type="dxa"/>
            <w:vAlign w:val="center"/>
          </w:tcPr>
          <w:p>
            <w:pPr>
              <w:pStyle w:val="63"/>
              <w:rPr>
                <w:rFonts w:hint="default" w:ascii="Arial" w:hAnsi="Arial" w:eastAsia="宋体" w:cs="Arial"/>
                <w:color w:val="auto"/>
                <w:highlight w:val="none"/>
                <w:lang w:bidi="en-US"/>
              </w:rPr>
            </w:pPr>
            <w:r>
              <w:rPr>
                <w:rFonts w:hint="default" w:ascii="Arial" w:hAnsi="Arial" w:eastAsia="宋体" w:cs="Arial"/>
                <w:color w:val="auto"/>
                <w:highlight w:val="none"/>
              </w:rPr>
              <w:t>GB16297-1996</w:t>
            </w:r>
          </w:p>
        </w:tc>
        <w:tc>
          <w:tcPr>
            <w:tcW w:w="1125" w:type="dxa"/>
            <w:vAlign w:val="center"/>
          </w:tcPr>
          <w:p>
            <w:pPr>
              <w:pStyle w:val="63"/>
              <w:rPr>
                <w:rFonts w:hint="default" w:ascii="Arial" w:hAnsi="Arial" w:eastAsia="宋体" w:cs="Arial"/>
                <w:color w:val="auto"/>
                <w:highlight w:val="none"/>
                <w:lang w:bidi="en-US"/>
              </w:rPr>
            </w:pPr>
            <w:r>
              <w:rPr>
                <w:rFonts w:hint="default" w:ascii="Arial" w:hAnsi="Arial" w:eastAsia="宋体" w:cs="Arial"/>
                <w:color w:val="auto"/>
                <w:highlight w:val="none"/>
              </w:rPr>
              <w:t>颗粒物</w:t>
            </w:r>
          </w:p>
        </w:tc>
        <w:tc>
          <w:tcPr>
            <w:tcW w:w="1126" w:type="dxa"/>
            <w:vAlign w:val="center"/>
          </w:tcPr>
          <w:p>
            <w:pPr>
              <w:pStyle w:val="63"/>
              <w:rPr>
                <w:rFonts w:hint="default" w:ascii="Arial" w:hAnsi="Arial" w:eastAsia="宋体" w:cs="Arial"/>
                <w:color w:val="auto"/>
                <w:highlight w:val="none"/>
                <w:lang w:bidi="en-US"/>
              </w:rPr>
            </w:pPr>
            <w:r>
              <w:rPr>
                <w:rFonts w:hint="default" w:ascii="Arial" w:hAnsi="Arial" w:eastAsia="宋体" w:cs="Arial"/>
                <w:color w:val="auto"/>
                <w:highlight w:val="none"/>
                <w:lang w:bidi="en-US"/>
              </w:rPr>
              <w:t>无组织排放浓度限值</w:t>
            </w:r>
          </w:p>
        </w:tc>
        <w:tc>
          <w:tcPr>
            <w:tcW w:w="1126" w:type="dxa"/>
            <w:vAlign w:val="center"/>
          </w:tcPr>
          <w:p>
            <w:pPr>
              <w:pStyle w:val="63"/>
              <w:rPr>
                <w:rFonts w:hint="default" w:ascii="Arial" w:hAnsi="Arial" w:eastAsia="宋体" w:cs="Arial"/>
                <w:color w:val="auto"/>
                <w:highlight w:val="none"/>
                <w:lang w:bidi="en-US"/>
              </w:rPr>
            </w:pPr>
            <w:r>
              <w:rPr>
                <w:rFonts w:hint="default" w:ascii="Arial" w:hAnsi="Arial" w:eastAsia="宋体" w:cs="Arial"/>
                <w:color w:val="auto"/>
                <w:highlight w:val="none"/>
                <w:lang w:bidi="en-US"/>
              </w:rPr>
              <w:t>1.0</w:t>
            </w:r>
          </w:p>
        </w:tc>
      </w:tr>
    </w:tbl>
    <w:p>
      <w:pPr>
        <w:pStyle w:val="7"/>
        <w:rPr>
          <w:rFonts w:hint="default" w:ascii="Arial" w:hAnsi="Arial" w:eastAsia="宋体" w:cs="Arial"/>
          <w:color w:val="auto"/>
          <w:highlight w:val="none"/>
        </w:rPr>
      </w:pPr>
      <w:r>
        <w:rPr>
          <w:rFonts w:hint="default" w:ascii="Arial" w:hAnsi="Arial" w:eastAsia="宋体" w:cs="Arial"/>
          <w:color w:val="auto"/>
          <w:highlight w:val="none"/>
        </w:rPr>
        <w:t>2.4.3.4噪声</w:t>
      </w:r>
    </w:p>
    <w:p>
      <w:pPr>
        <w:ind w:firstLine="480"/>
        <w:rPr>
          <w:rFonts w:hint="default" w:ascii="Arial" w:hAnsi="Arial" w:eastAsia="宋体" w:cs="Arial"/>
          <w:color w:val="auto"/>
          <w:highlight w:val="none"/>
        </w:rPr>
      </w:pPr>
      <w:r>
        <w:rPr>
          <w:rFonts w:hint="default" w:ascii="Arial" w:hAnsi="Arial" w:eastAsia="宋体" w:cs="Arial"/>
          <w:color w:val="auto"/>
          <w:highlight w:val="none"/>
        </w:rPr>
        <w:t>（1）施工期</w:t>
      </w:r>
    </w:p>
    <w:p>
      <w:pPr>
        <w:ind w:firstLine="480"/>
        <w:rPr>
          <w:rFonts w:hint="default" w:ascii="Arial" w:hAnsi="Arial" w:eastAsia="宋体" w:cs="Arial"/>
          <w:color w:val="auto"/>
          <w:highlight w:val="none"/>
        </w:rPr>
      </w:pPr>
      <w:r>
        <w:rPr>
          <w:rFonts w:hint="default" w:ascii="Arial" w:hAnsi="Arial" w:eastAsia="宋体" w:cs="Arial"/>
          <w:color w:val="auto"/>
          <w:highlight w:val="none"/>
        </w:rPr>
        <w:t>施工噪声执行《建筑施工场界环境噪声排放标准》（GB12523-2011），即昼间70dB(A)、夜间55dB(A)。</w:t>
      </w:r>
    </w:p>
    <w:p>
      <w:pPr>
        <w:ind w:firstLine="480"/>
        <w:rPr>
          <w:rFonts w:hint="default" w:ascii="Arial" w:hAnsi="Arial" w:eastAsia="宋体" w:cs="Arial"/>
          <w:color w:val="auto"/>
          <w:highlight w:val="none"/>
        </w:rPr>
      </w:pPr>
      <w:r>
        <w:rPr>
          <w:rFonts w:hint="default" w:ascii="Arial" w:hAnsi="Arial" w:eastAsia="宋体" w:cs="Arial"/>
          <w:color w:val="auto"/>
          <w:highlight w:val="none"/>
        </w:rPr>
        <w:t>（2）运营期</w:t>
      </w:r>
    </w:p>
    <w:p>
      <w:pPr>
        <w:ind w:firstLine="480"/>
        <w:rPr>
          <w:rFonts w:hint="default" w:ascii="Arial" w:hAnsi="Arial" w:eastAsia="宋体" w:cs="Arial"/>
          <w:color w:val="auto"/>
          <w:highlight w:val="none"/>
        </w:rPr>
      </w:pPr>
      <w:r>
        <w:rPr>
          <w:rFonts w:hint="default" w:ascii="Arial" w:hAnsi="Arial" w:eastAsia="宋体" w:cs="Arial"/>
          <w:color w:val="auto"/>
          <w:highlight w:val="none"/>
        </w:rPr>
        <w:t>项目厂界噪声执行《工业企业厂界环境噪声排放标准》（GB12348-2008）2类标准。厂界噪声标准见下表。</w:t>
      </w:r>
    </w:p>
    <w:p>
      <w:pPr>
        <w:pStyle w:val="8"/>
        <w:rPr>
          <w:rFonts w:hint="default" w:ascii="Arial" w:hAnsi="Arial" w:eastAsia="宋体" w:cs="Arial"/>
          <w:color w:val="auto"/>
          <w:highlight w:val="none"/>
        </w:rPr>
      </w:pPr>
      <w:r>
        <w:rPr>
          <w:rFonts w:hint="default" w:ascii="Arial" w:hAnsi="Arial" w:eastAsia="宋体" w:cs="Arial"/>
          <w:color w:val="auto"/>
          <w:highlight w:val="none"/>
        </w:rPr>
        <w:t>表2.4-</w:t>
      </w:r>
      <w:r>
        <w:rPr>
          <w:rFonts w:hint="default" w:ascii="Arial" w:hAnsi="Arial" w:eastAsia="宋体" w:cs="Arial"/>
          <w:color w:val="auto"/>
          <w:highlight w:val="none"/>
          <w:lang w:val="en-US" w:eastAsia="zh-CN"/>
        </w:rPr>
        <w:t>8</w:t>
      </w:r>
      <w:r>
        <w:rPr>
          <w:rFonts w:hint="default" w:ascii="Arial" w:hAnsi="Arial" w:eastAsia="宋体" w:cs="Arial"/>
          <w:color w:val="auto"/>
          <w:highlight w:val="none"/>
        </w:rPr>
        <w:t xml:space="preserve">    厂界噪声标准值表</w:t>
      </w:r>
    </w:p>
    <w:tbl>
      <w:tblPr>
        <w:tblStyle w:val="39"/>
        <w:tblW w:w="9003" w:type="dxa"/>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2767"/>
        <w:gridCol w:w="1468"/>
        <w:gridCol w:w="1469"/>
        <w:gridCol w:w="1469"/>
        <w:gridCol w:w="1830"/>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767" w:type="dxa"/>
            <w:vMerge w:val="restart"/>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厂界</w:t>
            </w:r>
          </w:p>
        </w:tc>
        <w:tc>
          <w:tcPr>
            <w:tcW w:w="1468" w:type="dxa"/>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类别</w:t>
            </w:r>
          </w:p>
        </w:tc>
        <w:tc>
          <w:tcPr>
            <w:tcW w:w="1469" w:type="dxa"/>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昼间</w:t>
            </w:r>
          </w:p>
        </w:tc>
        <w:tc>
          <w:tcPr>
            <w:tcW w:w="1469" w:type="dxa"/>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夜间</w:t>
            </w:r>
          </w:p>
        </w:tc>
        <w:tc>
          <w:tcPr>
            <w:tcW w:w="1830" w:type="dxa"/>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标准来源</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767" w:type="dxa"/>
            <w:vMerge w:val="continue"/>
            <w:vAlign w:val="center"/>
          </w:tcPr>
          <w:p>
            <w:pPr>
              <w:pStyle w:val="63"/>
              <w:rPr>
                <w:rFonts w:hint="default" w:ascii="Arial" w:hAnsi="Arial" w:eastAsia="宋体" w:cs="Arial"/>
                <w:color w:val="auto"/>
                <w:highlight w:val="none"/>
              </w:rPr>
            </w:pPr>
          </w:p>
        </w:tc>
        <w:tc>
          <w:tcPr>
            <w:tcW w:w="1468" w:type="dxa"/>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2类</w:t>
            </w:r>
          </w:p>
        </w:tc>
        <w:tc>
          <w:tcPr>
            <w:tcW w:w="1469" w:type="dxa"/>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60dB(A)</w:t>
            </w:r>
          </w:p>
        </w:tc>
        <w:tc>
          <w:tcPr>
            <w:tcW w:w="1469" w:type="dxa"/>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50dB(A)</w:t>
            </w:r>
          </w:p>
        </w:tc>
        <w:tc>
          <w:tcPr>
            <w:tcW w:w="1830" w:type="dxa"/>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GB12348-2008</w:t>
            </w:r>
          </w:p>
        </w:tc>
      </w:tr>
    </w:tbl>
    <w:p>
      <w:pPr>
        <w:pStyle w:val="7"/>
        <w:pageBreakBefore w:val="0"/>
        <w:widowControl w:val="0"/>
        <w:kinsoku/>
        <w:wordWrap/>
        <w:topLinePunct/>
        <w:autoSpaceDE w:val="0"/>
        <w:autoSpaceDN/>
        <w:bidi w:val="0"/>
        <w:adjustRightInd/>
        <w:snapToGrid/>
        <w:spacing w:line="480" w:lineRule="exact"/>
        <w:textAlignment w:val="auto"/>
        <w:rPr>
          <w:rFonts w:hint="default" w:ascii="Arial" w:hAnsi="Arial" w:eastAsia="宋体" w:cs="Arial"/>
          <w:color w:val="auto"/>
          <w:highlight w:val="none"/>
        </w:rPr>
      </w:pPr>
      <w:r>
        <w:rPr>
          <w:rFonts w:hint="default" w:ascii="Arial" w:hAnsi="Arial" w:eastAsia="宋体" w:cs="Arial"/>
          <w:color w:val="auto"/>
          <w:highlight w:val="none"/>
        </w:rPr>
        <w:t>2.4.3.5固体废物</w:t>
      </w:r>
    </w:p>
    <w:p>
      <w:pPr>
        <w:pageBreakBefore w:val="0"/>
        <w:widowControl w:val="0"/>
        <w:kinsoku/>
        <w:wordWrap/>
        <w:topLinePunct/>
        <w:autoSpaceDE w:val="0"/>
        <w:autoSpaceDN/>
        <w:bidi w:val="0"/>
        <w:adjustRightInd/>
        <w:snapToGrid/>
        <w:spacing w:line="480" w:lineRule="exact"/>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一般固废执行《一般工业固体废物贮存和填埋污染控制标准》（GB18599-2020）的相关要求；</w:t>
      </w:r>
    </w:p>
    <w:p>
      <w:pPr>
        <w:pageBreakBefore w:val="0"/>
        <w:widowControl w:val="0"/>
        <w:kinsoku/>
        <w:wordWrap/>
        <w:topLinePunct/>
        <w:autoSpaceDE w:val="0"/>
        <w:autoSpaceDN/>
        <w:bidi w:val="0"/>
        <w:adjustRightInd/>
        <w:snapToGrid/>
        <w:spacing w:line="480" w:lineRule="exact"/>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医疗废物执行《危险废物贮存污染物控制标准》（GB18597-2001）及其修改单的公告（环境保护部公告，公告2013年第36号）；</w:t>
      </w:r>
    </w:p>
    <w:p>
      <w:pPr>
        <w:pageBreakBefore w:val="0"/>
        <w:widowControl w:val="0"/>
        <w:kinsoku/>
        <w:wordWrap/>
        <w:topLinePunct/>
        <w:autoSpaceDE w:val="0"/>
        <w:autoSpaceDN/>
        <w:bidi w:val="0"/>
        <w:adjustRightInd/>
        <w:snapToGrid/>
        <w:spacing w:line="480" w:lineRule="exact"/>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项目产生的</w:t>
      </w:r>
      <w:r>
        <w:rPr>
          <w:rFonts w:hint="default" w:ascii="Arial" w:hAnsi="Arial" w:eastAsia="宋体" w:cs="Arial"/>
          <w:color w:val="auto"/>
          <w:highlight w:val="none"/>
          <w:lang w:eastAsia="zh-CN"/>
        </w:rPr>
        <w:t>牛粪便</w:t>
      </w:r>
      <w:r>
        <w:rPr>
          <w:rFonts w:hint="default" w:ascii="Arial" w:hAnsi="Arial" w:eastAsia="宋体" w:cs="Arial"/>
          <w:color w:val="auto"/>
          <w:highlight w:val="none"/>
        </w:rPr>
        <w:t>参照《畜禽养殖业污染物排放标准》（GB18596-2001）中“表6畜禽养殖业废渣无害化环境标准”要求，具体见表2.4-5；</w:t>
      </w:r>
    </w:p>
    <w:p>
      <w:pPr>
        <w:pageBreakBefore w:val="0"/>
        <w:widowControl w:val="0"/>
        <w:kinsoku/>
        <w:wordWrap/>
        <w:topLinePunct/>
        <w:autoSpaceDE w:val="0"/>
        <w:autoSpaceDN/>
        <w:bidi w:val="0"/>
        <w:adjustRightInd/>
        <w:snapToGrid/>
        <w:spacing w:line="480" w:lineRule="exact"/>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lang w:eastAsia="zh-CN"/>
        </w:rPr>
        <w:t>病死畜</w:t>
      </w:r>
      <w:r>
        <w:rPr>
          <w:rFonts w:hint="default" w:ascii="Arial" w:hAnsi="Arial" w:eastAsia="宋体" w:cs="Arial"/>
          <w:color w:val="auto"/>
          <w:highlight w:val="none"/>
        </w:rPr>
        <w:t>同时参照《畜禽养殖业污染治理工程技术规范》（HJ497-2009）、《病害动物和病害动物产品生物安全处理规程》（GB16548-2006）以及《病死及病害动物无害化处理技术规范》（农医发[2017]25号）中的相关规定进行处置。</w:t>
      </w:r>
    </w:p>
    <w:p>
      <w:pPr>
        <w:pStyle w:val="5"/>
        <w:pageBreakBefore w:val="0"/>
        <w:widowControl w:val="0"/>
        <w:kinsoku/>
        <w:wordWrap/>
        <w:topLinePunct/>
        <w:autoSpaceDE w:val="0"/>
        <w:autoSpaceDN/>
        <w:bidi w:val="0"/>
        <w:adjustRightInd/>
        <w:snapToGrid/>
        <w:spacing w:line="480" w:lineRule="exact"/>
        <w:textAlignment w:val="auto"/>
        <w:rPr>
          <w:rFonts w:hint="default" w:ascii="Arial" w:hAnsi="Arial" w:eastAsia="宋体" w:cs="Arial"/>
          <w:color w:val="auto"/>
          <w:highlight w:val="none"/>
        </w:rPr>
      </w:pPr>
      <w:bookmarkStart w:id="151" w:name="_Toc512871528"/>
      <w:bookmarkStart w:id="152" w:name="_Toc24685"/>
      <w:r>
        <w:rPr>
          <w:rFonts w:hint="default" w:ascii="Arial" w:hAnsi="Arial" w:eastAsia="宋体" w:cs="Arial"/>
          <w:color w:val="auto"/>
          <w:highlight w:val="none"/>
        </w:rPr>
        <w:t>2.5评价等级及评价范围</w:t>
      </w:r>
      <w:bookmarkEnd w:id="151"/>
      <w:bookmarkEnd w:id="152"/>
    </w:p>
    <w:p>
      <w:pPr>
        <w:pStyle w:val="6"/>
        <w:pageBreakBefore w:val="0"/>
        <w:widowControl w:val="0"/>
        <w:kinsoku/>
        <w:wordWrap/>
        <w:topLinePunct/>
        <w:autoSpaceDE w:val="0"/>
        <w:autoSpaceDN/>
        <w:bidi w:val="0"/>
        <w:adjustRightInd/>
        <w:snapToGrid/>
        <w:spacing w:line="480" w:lineRule="exact"/>
        <w:textAlignment w:val="auto"/>
        <w:rPr>
          <w:rFonts w:hint="default" w:ascii="Arial" w:hAnsi="Arial" w:eastAsia="宋体" w:cs="Arial"/>
          <w:color w:val="auto"/>
          <w:highlight w:val="none"/>
        </w:rPr>
      </w:pPr>
      <w:bookmarkStart w:id="153" w:name="_Toc452567811"/>
      <w:bookmarkStart w:id="154" w:name="_Toc453603066"/>
      <w:bookmarkStart w:id="155" w:name="_Toc512871529"/>
      <w:bookmarkStart w:id="156" w:name="_Toc13714"/>
      <w:bookmarkStart w:id="157" w:name="_Toc15316"/>
      <w:r>
        <w:rPr>
          <w:rFonts w:hint="default" w:ascii="Arial" w:hAnsi="Arial" w:eastAsia="宋体" w:cs="Arial"/>
          <w:color w:val="auto"/>
          <w:highlight w:val="none"/>
        </w:rPr>
        <w:t>2.5.1大气环境</w:t>
      </w:r>
      <w:bookmarkEnd w:id="153"/>
      <w:bookmarkEnd w:id="154"/>
      <w:bookmarkEnd w:id="155"/>
      <w:bookmarkEnd w:id="156"/>
      <w:bookmarkEnd w:id="157"/>
    </w:p>
    <w:p>
      <w:pPr>
        <w:pageBreakBefore w:val="0"/>
        <w:widowControl w:val="0"/>
        <w:kinsoku/>
        <w:wordWrap/>
        <w:overflowPunct w:val="0"/>
        <w:topLinePunct/>
        <w:autoSpaceDE w:val="0"/>
        <w:autoSpaceDN/>
        <w:bidi w:val="0"/>
        <w:adjustRightInd/>
        <w:snapToGrid/>
        <w:spacing w:line="480" w:lineRule="exact"/>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（1）评价等级判定</w:t>
      </w:r>
    </w:p>
    <w:p>
      <w:pPr>
        <w:pageBreakBefore w:val="0"/>
        <w:widowControl w:val="0"/>
        <w:kinsoku/>
        <w:wordWrap/>
        <w:overflowPunct w:val="0"/>
        <w:topLinePunct/>
        <w:autoSpaceDE w:val="0"/>
        <w:autoSpaceDN/>
        <w:bidi w:val="0"/>
        <w:adjustRightInd/>
        <w:snapToGrid/>
        <w:spacing w:line="480" w:lineRule="exact"/>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根据《环境影响评价技术导则－大气环境》（HJ2.2-2018）中规定，根据项目污染源初步调查结果，分别计算项目排放主要污染物的最大地面空气质量浓度占标率P</w:t>
      </w:r>
      <w:r>
        <w:rPr>
          <w:rFonts w:hint="default" w:ascii="Arial" w:hAnsi="Arial" w:eastAsia="宋体" w:cs="Arial"/>
          <w:color w:val="auto"/>
          <w:highlight w:val="none"/>
          <w:vertAlign w:val="subscript"/>
        </w:rPr>
        <w:t>i</w:t>
      </w:r>
      <w:r>
        <w:rPr>
          <w:rFonts w:hint="default" w:ascii="Arial" w:hAnsi="Arial" w:eastAsia="宋体" w:cs="Arial"/>
          <w:color w:val="auto"/>
          <w:highlight w:val="none"/>
        </w:rPr>
        <w:t>（第i个污染物，简称“最大浓度占标率”），及第i个污染物的地面空气质量浓度达到标准值的10%时所对应的最远距离D</w:t>
      </w:r>
      <w:r>
        <w:rPr>
          <w:rFonts w:hint="default" w:ascii="Arial" w:hAnsi="Arial" w:eastAsia="宋体" w:cs="Arial"/>
          <w:color w:val="auto"/>
          <w:highlight w:val="none"/>
          <w:vertAlign w:val="subscript"/>
        </w:rPr>
        <w:t>10</w:t>
      </w:r>
      <w:r>
        <w:rPr>
          <w:rFonts w:hint="default" w:ascii="Arial" w:hAnsi="Arial" w:eastAsia="宋体" w:cs="Arial"/>
          <w:color w:val="auto"/>
          <w:highlight w:val="none"/>
        </w:rPr>
        <w:t>%。其中P</w:t>
      </w:r>
      <w:r>
        <w:rPr>
          <w:rFonts w:hint="default" w:ascii="Arial" w:hAnsi="Arial" w:eastAsia="宋体" w:cs="Arial"/>
          <w:color w:val="auto"/>
          <w:highlight w:val="none"/>
          <w:vertAlign w:val="subscript"/>
        </w:rPr>
        <w:t>i</w:t>
      </w:r>
      <w:r>
        <w:rPr>
          <w:rFonts w:hint="default" w:ascii="Arial" w:hAnsi="Arial" w:eastAsia="宋体" w:cs="Arial"/>
          <w:color w:val="auto"/>
          <w:highlight w:val="none"/>
        </w:rPr>
        <w:t>定义见公式。</w:t>
      </w:r>
    </w:p>
    <w:p>
      <w:pPr>
        <w:keepNext w:val="0"/>
        <w:keepLines w:val="0"/>
        <w:pageBreakBefore w:val="0"/>
        <w:widowControl w:val="0"/>
        <w:kinsoku/>
        <w:wordWrap/>
        <w:overflowPunct w:val="0"/>
        <w:topLinePunct/>
        <w:autoSpaceDE w:val="0"/>
        <w:autoSpaceDN/>
        <w:bidi w:val="0"/>
        <w:adjustRightInd/>
        <w:snapToGrid/>
        <w:spacing w:line="360" w:lineRule="auto"/>
        <w:ind w:firstLine="480"/>
        <w:jc w:val="center"/>
        <w:textAlignment w:val="auto"/>
        <w:rPr>
          <w:rFonts w:hint="default" w:ascii="Arial" w:hAnsi="Arial" w:eastAsia="宋体" w:cs="Arial"/>
          <w:color w:val="auto"/>
          <w:highlight w:val="none"/>
        </w:rPr>
      </w:pPr>
      <w:r>
        <w:rPr>
          <w:rFonts w:hint="default" w:ascii="Arial" w:hAnsi="Arial" w:eastAsia="宋体" w:cs="Arial"/>
          <w:color w:val="auto"/>
          <w:highlight w:val="none"/>
        </w:rPr>
        <w:object>
          <v:shape id="_x0000_i1025" o:spt="75" type="#_x0000_t75" style="height:36.7pt;width:102.55pt;" o:ole="t" filled="f" o:preferrelative="t" stroked="f" coordsize="21600,21600">
            <v:path/>
            <v:fill on="f" focussize="0,0"/>
            <v:stroke on="f" joinstyle="miter"/>
            <v:imagedata r:id="rId14" o:title=""/>
            <o:lock v:ext="edit" aspectratio="t"/>
            <w10:wrap type="none"/>
            <w10:anchorlock/>
          </v:shape>
          <o:OLEObject Type="Embed" ProgID="Equation.3" ShapeID="_x0000_i1025" DrawAspect="Content" ObjectID="_1468075725" r:id="rId13">
            <o:LockedField>false</o:LockedField>
          </o:OLEObject>
        </w:object>
      </w:r>
    </w:p>
    <w:p>
      <w:pPr>
        <w:pageBreakBefore w:val="0"/>
        <w:widowControl w:val="0"/>
        <w:kinsoku/>
        <w:wordWrap/>
        <w:overflowPunct w:val="0"/>
        <w:topLinePunct/>
        <w:autoSpaceDE w:val="0"/>
        <w:autoSpaceDN/>
        <w:bidi w:val="0"/>
        <w:adjustRightInd/>
        <w:snapToGrid/>
        <w:spacing w:line="480" w:lineRule="exact"/>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式中：P</w:t>
      </w:r>
      <w:r>
        <w:rPr>
          <w:rFonts w:hint="default" w:ascii="Arial" w:hAnsi="Arial" w:eastAsia="宋体" w:cs="Arial"/>
          <w:color w:val="auto"/>
          <w:highlight w:val="none"/>
          <w:vertAlign w:val="subscript"/>
        </w:rPr>
        <w:t>i</w:t>
      </w:r>
      <w:r>
        <w:rPr>
          <w:rFonts w:hint="default" w:ascii="Arial" w:hAnsi="Arial" w:eastAsia="宋体" w:cs="Arial"/>
          <w:color w:val="auto"/>
          <w:highlight w:val="none"/>
        </w:rPr>
        <w:t>－第i个污染物的最大地面空气质量浓度占标率，%；</w:t>
      </w:r>
    </w:p>
    <w:p>
      <w:pPr>
        <w:pageBreakBefore w:val="0"/>
        <w:widowControl w:val="0"/>
        <w:kinsoku/>
        <w:wordWrap/>
        <w:topLinePunct/>
        <w:autoSpaceDE w:val="0"/>
        <w:autoSpaceDN/>
        <w:bidi w:val="0"/>
        <w:adjustRightInd/>
        <w:snapToGrid/>
        <w:spacing w:line="480" w:lineRule="exact"/>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 xml:space="preserve">      C</w:t>
      </w:r>
      <w:r>
        <w:rPr>
          <w:rFonts w:hint="default" w:ascii="Arial" w:hAnsi="Arial" w:eastAsia="宋体" w:cs="Arial"/>
          <w:color w:val="auto"/>
          <w:highlight w:val="none"/>
          <w:vertAlign w:val="subscript"/>
        </w:rPr>
        <w:t>i</w:t>
      </w:r>
      <w:r>
        <w:rPr>
          <w:rFonts w:hint="default" w:ascii="Arial" w:hAnsi="Arial" w:eastAsia="宋体" w:cs="Arial"/>
          <w:color w:val="auto"/>
          <w:highlight w:val="none"/>
        </w:rPr>
        <w:t>－采用估算模式计算出的第i个污染物的最大1h地面空气质量浓度，mg/m</w:t>
      </w:r>
      <w:r>
        <w:rPr>
          <w:rFonts w:hint="default" w:ascii="Arial" w:hAnsi="Arial" w:eastAsia="宋体" w:cs="Arial"/>
          <w:color w:val="auto"/>
          <w:highlight w:val="none"/>
          <w:vertAlign w:val="superscript"/>
        </w:rPr>
        <w:t>3</w:t>
      </w:r>
      <w:r>
        <w:rPr>
          <w:rFonts w:hint="default" w:ascii="Arial" w:hAnsi="Arial" w:eastAsia="宋体" w:cs="Arial"/>
          <w:color w:val="auto"/>
          <w:highlight w:val="none"/>
        </w:rPr>
        <w:t>；</w:t>
      </w:r>
    </w:p>
    <w:p>
      <w:pPr>
        <w:pageBreakBefore w:val="0"/>
        <w:widowControl w:val="0"/>
        <w:kinsoku/>
        <w:wordWrap/>
        <w:overflowPunct w:val="0"/>
        <w:topLinePunct/>
        <w:autoSpaceDE w:val="0"/>
        <w:autoSpaceDN/>
        <w:bidi w:val="0"/>
        <w:adjustRightInd/>
        <w:snapToGrid/>
        <w:spacing w:line="480" w:lineRule="exact"/>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 xml:space="preserve">      C</w:t>
      </w:r>
      <w:r>
        <w:rPr>
          <w:rFonts w:hint="default" w:ascii="Arial" w:hAnsi="Arial" w:eastAsia="宋体" w:cs="Arial"/>
          <w:color w:val="auto"/>
          <w:highlight w:val="none"/>
          <w:vertAlign w:val="subscript"/>
        </w:rPr>
        <w:t>0i</w:t>
      </w:r>
      <w:r>
        <w:rPr>
          <w:rFonts w:hint="default" w:ascii="Arial" w:hAnsi="Arial" w:eastAsia="宋体" w:cs="Arial"/>
          <w:color w:val="auto"/>
          <w:highlight w:val="none"/>
        </w:rPr>
        <w:t>－第i个污染物的环境空气质量标准，μg/m</w:t>
      </w:r>
      <w:r>
        <w:rPr>
          <w:rFonts w:hint="default" w:ascii="Arial" w:hAnsi="Arial" w:eastAsia="宋体" w:cs="Arial"/>
          <w:color w:val="auto"/>
          <w:highlight w:val="none"/>
          <w:vertAlign w:val="superscript"/>
        </w:rPr>
        <w:t>3</w:t>
      </w:r>
      <w:r>
        <w:rPr>
          <w:rFonts w:hint="default" w:ascii="Arial" w:hAnsi="Arial" w:eastAsia="宋体" w:cs="Arial"/>
          <w:color w:val="auto"/>
          <w:highlight w:val="none"/>
        </w:rPr>
        <w:t>。</w:t>
      </w:r>
    </w:p>
    <w:p>
      <w:pPr>
        <w:pageBreakBefore w:val="0"/>
        <w:widowControl w:val="0"/>
        <w:kinsoku/>
        <w:wordWrap/>
        <w:overflowPunct w:val="0"/>
        <w:topLinePunct/>
        <w:autoSpaceDE w:val="0"/>
        <w:autoSpaceDN/>
        <w:bidi w:val="0"/>
        <w:adjustRightInd/>
        <w:snapToGrid/>
        <w:spacing w:line="480" w:lineRule="exact"/>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评价工作等级按表2.5-1的分级判据进行划分。最大地面空气质量浓度占标率P</w:t>
      </w:r>
      <w:r>
        <w:rPr>
          <w:rFonts w:hint="default" w:ascii="Arial" w:hAnsi="Arial" w:eastAsia="宋体" w:cs="Arial"/>
          <w:color w:val="auto"/>
          <w:highlight w:val="none"/>
          <w:vertAlign w:val="subscript"/>
        </w:rPr>
        <w:t>i</w:t>
      </w:r>
      <w:r>
        <w:rPr>
          <w:rFonts w:hint="default" w:ascii="Arial" w:hAnsi="Arial" w:eastAsia="宋体" w:cs="Arial"/>
          <w:color w:val="auto"/>
          <w:highlight w:val="none"/>
        </w:rPr>
        <w:t>按上公式计算，如污染物i大于1，取P值中的最大者P</w:t>
      </w:r>
      <w:r>
        <w:rPr>
          <w:rFonts w:hint="default" w:ascii="Arial" w:hAnsi="Arial" w:eastAsia="宋体" w:cs="Arial"/>
          <w:color w:val="auto"/>
          <w:highlight w:val="none"/>
          <w:vertAlign w:val="subscript"/>
        </w:rPr>
        <w:t>max</w:t>
      </w:r>
      <w:r>
        <w:rPr>
          <w:rFonts w:hint="default" w:ascii="Arial" w:hAnsi="Arial" w:eastAsia="宋体" w:cs="Arial"/>
          <w:color w:val="auto"/>
          <w:highlight w:val="none"/>
        </w:rPr>
        <w:t>。</w:t>
      </w:r>
    </w:p>
    <w:p>
      <w:pPr>
        <w:pStyle w:val="8"/>
        <w:pageBreakBefore w:val="0"/>
        <w:widowControl w:val="0"/>
        <w:kinsoku/>
        <w:wordWrap/>
        <w:topLinePunct/>
        <w:autoSpaceDE w:val="0"/>
        <w:autoSpaceDN/>
        <w:bidi w:val="0"/>
        <w:adjustRightInd/>
        <w:snapToGrid/>
        <w:spacing w:line="480" w:lineRule="exact"/>
        <w:textAlignment w:val="auto"/>
        <w:rPr>
          <w:rFonts w:hint="default" w:ascii="Arial" w:hAnsi="Arial" w:eastAsia="宋体" w:cs="Arial"/>
          <w:color w:val="auto"/>
          <w:highlight w:val="none"/>
        </w:rPr>
      </w:pPr>
      <w:r>
        <w:rPr>
          <w:rFonts w:hint="default" w:ascii="Arial" w:hAnsi="Arial" w:eastAsia="宋体" w:cs="Arial"/>
          <w:color w:val="auto"/>
          <w:highlight w:val="none"/>
        </w:rPr>
        <w:t>表</w:t>
      </w:r>
      <w:r>
        <w:rPr>
          <w:rFonts w:hint="default" w:ascii="Arial" w:hAnsi="Arial" w:eastAsia="宋体" w:cs="Arial"/>
          <w:color w:val="auto"/>
          <w:szCs w:val="24"/>
          <w:highlight w:val="none"/>
        </w:rPr>
        <w:t xml:space="preserve">2.5-1    </w:t>
      </w:r>
      <w:r>
        <w:rPr>
          <w:rFonts w:hint="default" w:ascii="Arial" w:hAnsi="Arial" w:eastAsia="宋体" w:cs="Arial"/>
          <w:color w:val="auto"/>
          <w:highlight w:val="none"/>
        </w:rPr>
        <w:t>评价等级判别表</w:t>
      </w:r>
    </w:p>
    <w:tbl>
      <w:tblPr>
        <w:tblStyle w:val="39"/>
        <w:tblW w:w="9003"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3861"/>
        <w:gridCol w:w="5142"/>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861" w:type="dxa"/>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评价工作等级</w:t>
            </w:r>
          </w:p>
        </w:tc>
        <w:tc>
          <w:tcPr>
            <w:tcW w:w="5142" w:type="dxa"/>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评价工作分级判据</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861" w:type="dxa"/>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一级评价</w:t>
            </w:r>
          </w:p>
        </w:tc>
        <w:tc>
          <w:tcPr>
            <w:tcW w:w="5142" w:type="dxa"/>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Pmax≥10%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861" w:type="dxa"/>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二级评价</w:t>
            </w:r>
          </w:p>
        </w:tc>
        <w:tc>
          <w:tcPr>
            <w:tcW w:w="5142" w:type="dxa"/>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1%≤Pmax＜10%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861" w:type="dxa"/>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三级评价</w:t>
            </w:r>
          </w:p>
        </w:tc>
        <w:tc>
          <w:tcPr>
            <w:tcW w:w="5142" w:type="dxa"/>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Pmax＜1%</w:t>
            </w:r>
          </w:p>
        </w:tc>
      </w:tr>
    </w:tbl>
    <w:p>
      <w:pPr>
        <w:pageBreakBefore w:val="0"/>
        <w:widowControl w:val="0"/>
        <w:kinsoku/>
        <w:wordWrap/>
        <w:overflowPunct w:val="0"/>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本评价采用《环境影响评价技术导则大气环境》（HJ2.2-2018）推荐模式清单中的估算模式（AERSCREEN）分别计算各源各污染物的短期浓度最大值及对应距离，用以分析最大影响程度和最远影响范围。</w:t>
      </w:r>
    </w:p>
    <w:p>
      <w:pPr>
        <w:pageBreakBefore w:val="0"/>
        <w:widowControl w:val="0"/>
        <w:kinsoku/>
        <w:wordWrap/>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（2）估算模型参数</w:t>
      </w:r>
    </w:p>
    <w:p>
      <w:pPr>
        <w:pageBreakBefore w:val="0"/>
        <w:widowControl w:val="0"/>
        <w:kinsoku/>
        <w:wordWrap/>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估算模型参数见表2.5-2。</w:t>
      </w:r>
    </w:p>
    <w:p>
      <w:pPr>
        <w:pStyle w:val="8"/>
        <w:pageBreakBefore w:val="0"/>
        <w:widowControl w:val="0"/>
        <w:kinsoku/>
        <w:wordWrap/>
        <w:topLinePunct/>
        <w:autoSpaceDE w:val="0"/>
        <w:autoSpaceDN/>
        <w:bidi w:val="0"/>
        <w:adjustRightInd/>
        <w:snapToGrid/>
        <w:textAlignment w:val="auto"/>
        <w:rPr>
          <w:rFonts w:hint="default" w:ascii="Arial" w:hAnsi="Arial" w:eastAsia="宋体" w:cs="Arial"/>
          <w:color w:val="auto"/>
          <w:highlight w:val="none"/>
        </w:rPr>
      </w:pPr>
      <w:r>
        <w:rPr>
          <w:rFonts w:hint="default" w:ascii="Arial" w:hAnsi="Arial" w:eastAsia="宋体" w:cs="Arial"/>
          <w:color w:val="auto"/>
          <w:highlight w:val="none"/>
        </w:rPr>
        <w:t>表2.5-2    估算模型参数表</w:t>
      </w:r>
    </w:p>
    <w:tbl>
      <w:tblPr>
        <w:tblStyle w:val="39"/>
        <w:tblW w:w="9003"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787"/>
        <w:gridCol w:w="3403"/>
        <w:gridCol w:w="2813"/>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190" w:type="dxa"/>
            <w:gridSpan w:val="2"/>
            <w:tcBorders>
              <w:tl2br w:val="nil"/>
              <w:tr2bl w:val="nil"/>
            </w:tcBorders>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kern w:val="0"/>
                <w:highlight w:val="none"/>
              </w:rPr>
            </w:pPr>
            <w:r>
              <w:rPr>
                <w:rFonts w:hint="default" w:ascii="Arial" w:hAnsi="Arial" w:eastAsia="宋体" w:cs="Arial"/>
                <w:color w:val="auto"/>
                <w:kern w:val="0"/>
                <w:highlight w:val="none"/>
              </w:rPr>
              <w:t>参数</w:t>
            </w:r>
          </w:p>
        </w:tc>
        <w:tc>
          <w:tcPr>
            <w:tcW w:w="2813" w:type="dxa"/>
            <w:tcBorders>
              <w:tl2br w:val="nil"/>
              <w:tr2bl w:val="nil"/>
            </w:tcBorders>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kern w:val="0"/>
                <w:highlight w:val="none"/>
              </w:rPr>
            </w:pPr>
            <w:r>
              <w:rPr>
                <w:rFonts w:hint="default" w:ascii="Arial" w:hAnsi="Arial" w:eastAsia="宋体" w:cs="Arial"/>
                <w:color w:val="auto"/>
                <w:kern w:val="0"/>
                <w:highlight w:val="none"/>
              </w:rPr>
              <w:t>取值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787" w:type="dxa"/>
            <w:vMerge w:val="restart"/>
            <w:tcBorders>
              <w:tl2br w:val="nil"/>
              <w:tr2bl w:val="nil"/>
            </w:tcBorders>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kern w:val="0"/>
                <w:highlight w:val="none"/>
              </w:rPr>
            </w:pPr>
            <w:r>
              <w:rPr>
                <w:rFonts w:hint="default" w:ascii="Arial" w:hAnsi="Arial" w:eastAsia="宋体" w:cs="Arial"/>
                <w:color w:val="auto"/>
                <w:kern w:val="0"/>
                <w:highlight w:val="none"/>
              </w:rPr>
              <w:t>城市/农村选项</w:t>
            </w:r>
          </w:p>
        </w:tc>
        <w:tc>
          <w:tcPr>
            <w:tcW w:w="3403" w:type="dxa"/>
            <w:tcBorders>
              <w:tl2br w:val="nil"/>
              <w:tr2bl w:val="nil"/>
            </w:tcBorders>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kern w:val="0"/>
                <w:highlight w:val="none"/>
              </w:rPr>
            </w:pPr>
            <w:r>
              <w:rPr>
                <w:rFonts w:hint="default" w:ascii="Arial" w:hAnsi="Arial" w:eastAsia="宋体" w:cs="Arial"/>
                <w:color w:val="auto"/>
                <w:kern w:val="0"/>
                <w:highlight w:val="none"/>
              </w:rPr>
              <w:t>城市/农村</w:t>
            </w:r>
          </w:p>
        </w:tc>
        <w:tc>
          <w:tcPr>
            <w:tcW w:w="2813" w:type="dxa"/>
            <w:tcBorders>
              <w:tl2br w:val="nil"/>
              <w:tr2bl w:val="nil"/>
            </w:tcBorders>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kern w:val="0"/>
                <w:highlight w:val="none"/>
              </w:rPr>
            </w:pPr>
            <w:r>
              <w:rPr>
                <w:rFonts w:hint="default" w:ascii="Arial" w:hAnsi="Arial" w:eastAsia="宋体" w:cs="Arial"/>
                <w:color w:val="auto"/>
                <w:kern w:val="0"/>
                <w:highlight w:val="none"/>
              </w:rPr>
              <w:t>农村</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787" w:type="dxa"/>
            <w:vMerge w:val="continue"/>
            <w:tcBorders>
              <w:tl2br w:val="nil"/>
              <w:tr2bl w:val="nil"/>
            </w:tcBorders>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kern w:val="0"/>
                <w:highlight w:val="none"/>
              </w:rPr>
            </w:pPr>
          </w:p>
        </w:tc>
        <w:tc>
          <w:tcPr>
            <w:tcW w:w="3403" w:type="dxa"/>
            <w:tcBorders>
              <w:tl2br w:val="nil"/>
              <w:tr2bl w:val="nil"/>
            </w:tcBorders>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kern w:val="0"/>
                <w:highlight w:val="none"/>
              </w:rPr>
            </w:pPr>
            <w:r>
              <w:rPr>
                <w:rFonts w:hint="default" w:ascii="Arial" w:hAnsi="Arial" w:eastAsia="宋体" w:cs="Arial"/>
                <w:color w:val="auto"/>
                <w:kern w:val="0"/>
                <w:highlight w:val="none"/>
              </w:rPr>
              <w:t>人口数（城市选型时）</w:t>
            </w:r>
          </w:p>
        </w:tc>
        <w:tc>
          <w:tcPr>
            <w:tcW w:w="2813" w:type="dxa"/>
            <w:tcBorders>
              <w:tl2br w:val="nil"/>
              <w:tr2bl w:val="nil"/>
            </w:tcBorders>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kern w:val="0"/>
                <w:highlight w:val="none"/>
              </w:rPr>
            </w:pPr>
            <w:r>
              <w:rPr>
                <w:rFonts w:hint="default" w:ascii="Arial" w:hAnsi="Arial" w:eastAsia="宋体" w:cs="Arial"/>
                <w:color w:val="auto"/>
                <w:kern w:val="0"/>
                <w:highlight w:val="none"/>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190" w:type="dxa"/>
            <w:gridSpan w:val="2"/>
            <w:tcBorders>
              <w:tl2br w:val="nil"/>
              <w:tr2bl w:val="nil"/>
            </w:tcBorders>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kern w:val="0"/>
                <w:highlight w:val="none"/>
              </w:rPr>
            </w:pPr>
            <w:r>
              <w:rPr>
                <w:rFonts w:hint="default" w:ascii="Arial" w:hAnsi="Arial" w:eastAsia="宋体" w:cs="Arial"/>
                <w:color w:val="auto"/>
                <w:kern w:val="0"/>
                <w:highlight w:val="none"/>
              </w:rPr>
              <w:t>最高环境温度/℃</w:t>
            </w:r>
          </w:p>
        </w:tc>
        <w:tc>
          <w:tcPr>
            <w:tcW w:w="2813" w:type="dxa"/>
            <w:tcBorders>
              <w:tl2br w:val="nil"/>
              <w:tr2bl w:val="nil"/>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0"/>
                <w:sz w:val="21"/>
                <w:szCs w:val="22"/>
                <w:highlight w:val="none"/>
                <w:lang w:val="en-US" w:eastAsia="zh-CN" w:bidi="ar-SA"/>
              </w:rPr>
            </w:pPr>
            <w:r>
              <w:rPr>
                <w:rFonts w:hint="default" w:ascii="Arial" w:hAnsi="Arial" w:eastAsia="宋体" w:cs="Arial"/>
                <w:color w:val="auto"/>
                <w:sz w:val="21"/>
                <w:szCs w:val="21"/>
                <w:lang w:val="en-US" w:eastAsia="zh-CN"/>
              </w:rPr>
              <w:t>38.1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190" w:type="dxa"/>
            <w:gridSpan w:val="2"/>
            <w:tcBorders>
              <w:tl2br w:val="nil"/>
              <w:tr2bl w:val="nil"/>
            </w:tcBorders>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kern w:val="0"/>
                <w:highlight w:val="none"/>
              </w:rPr>
            </w:pPr>
            <w:r>
              <w:rPr>
                <w:rFonts w:hint="default" w:ascii="Arial" w:hAnsi="Arial" w:eastAsia="宋体" w:cs="Arial"/>
                <w:color w:val="auto"/>
                <w:kern w:val="0"/>
                <w:highlight w:val="none"/>
              </w:rPr>
              <w:t>最低环境温度/℃</w:t>
            </w:r>
          </w:p>
        </w:tc>
        <w:tc>
          <w:tcPr>
            <w:tcW w:w="2813" w:type="dxa"/>
            <w:tcBorders>
              <w:tl2br w:val="nil"/>
              <w:tr2bl w:val="nil"/>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0"/>
                <w:sz w:val="21"/>
                <w:szCs w:val="22"/>
                <w:highlight w:val="none"/>
                <w:lang w:val="en-US" w:eastAsia="zh-CN" w:bidi="ar-SA"/>
              </w:rPr>
            </w:pPr>
            <w:r>
              <w:rPr>
                <w:rFonts w:hint="default" w:ascii="Arial" w:hAnsi="Arial" w:eastAsia="宋体" w:cs="Arial"/>
                <w:color w:val="auto"/>
                <w:sz w:val="21"/>
                <w:szCs w:val="21"/>
              </w:rPr>
              <w:t>-2</w:t>
            </w:r>
            <w:r>
              <w:rPr>
                <w:rFonts w:hint="default" w:ascii="Arial" w:hAnsi="Arial" w:eastAsia="宋体" w:cs="Arial"/>
                <w:color w:val="auto"/>
                <w:sz w:val="21"/>
                <w:szCs w:val="21"/>
                <w:lang w:val="en-US" w:eastAsia="zh-CN"/>
              </w:rPr>
              <w:t>9</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190" w:type="dxa"/>
            <w:gridSpan w:val="2"/>
            <w:tcBorders>
              <w:tl2br w:val="nil"/>
              <w:tr2bl w:val="nil"/>
            </w:tcBorders>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kern w:val="0"/>
                <w:highlight w:val="none"/>
              </w:rPr>
            </w:pPr>
            <w:r>
              <w:rPr>
                <w:rFonts w:hint="default" w:ascii="Arial" w:hAnsi="Arial" w:eastAsia="宋体" w:cs="Arial"/>
                <w:color w:val="auto"/>
                <w:kern w:val="0"/>
                <w:highlight w:val="none"/>
              </w:rPr>
              <w:t>土地利用类型</w:t>
            </w:r>
          </w:p>
        </w:tc>
        <w:tc>
          <w:tcPr>
            <w:tcW w:w="2813" w:type="dxa"/>
            <w:tcBorders>
              <w:tl2br w:val="nil"/>
              <w:tr2bl w:val="nil"/>
            </w:tcBorders>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kern w:val="0"/>
                <w:highlight w:val="none"/>
              </w:rPr>
            </w:pPr>
            <w:r>
              <w:rPr>
                <w:rFonts w:hint="default" w:ascii="Arial" w:hAnsi="Arial" w:eastAsia="宋体" w:cs="Arial"/>
                <w:color w:val="auto"/>
                <w:kern w:val="0"/>
                <w:highlight w:val="none"/>
              </w:rPr>
              <w:t>农用地</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6190" w:type="dxa"/>
            <w:gridSpan w:val="2"/>
            <w:tcBorders>
              <w:tl2br w:val="nil"/>
              <w:tr2bl w:val="nil"/>
            </w:tcBorders>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kern w:val="0"/>
                <w:highlight w:val="none"/>
              </w:rPr>
            </w:pPr>
            <w:r>
              <w:rPr>
                <w:rFonts w:hint="default" w:ascii="Arial" w:hAnsi="Arial" w:eastAsia="宋体" w:cs="Arial"/>
                <w:color w:val="auto"/>
                <w:kern w:val="0"/>
                <w:highlight w:val="none"/>
              </w:rPr>
              <w:t>区域湿度条件</w:t>
            </w:r>
          </w:p>
        </w:tc>
        <w:tc>
          <w:tcPr>
            <w:tcW w:w="2813" w:type="dxa"/>
            <w:tcBorders>
              <w:tl2br w:val="nil"/>
              <w:tr2bl w:val="nil"/>
            </w:tcBorders>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kern w:val="0"/>
                <w:highlight w:val="none"/>
              </w:rPr>
            </w:pPr>
            <w:r>
              <w:rPr>
                <w:rFonts w:hint="default" w:ascii="Arial" w:hAnsi="Arial" w:eastAsia="宋体" w:cs="Arial"/>
                <w:color w:val="auto"/>
                <w:kern w:val="0"/>
                <w:highlight w:val="none"/>
              </w:rPr>
              <w:t>干旱地区</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787" w:type="dxa"/>
            <w:vMerge w:val="restart"/>
            <w:tcBorders>
              <w:tl2br w:val="nil"/>
              <w:tr2bl w:val="nil"/>
            </w:tcBorders>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kern w:val="0"/>
                <w:highlight w:val="none"/>
              </w:rPr>
            </w:pPr>
            <w:r>
              <w:rPr>
                <w:rFonts w:hint="default" w:ascii="Arial" w:hAnsi="Arial" w:eastAsia="宋体" w:cs="Arial"/>
                <w:color w:val="auto"/>
                <w:kern w:val="0"/>
                <w:highlight w:val="none"/>
              </w:rPr>
              <w:t>是否考虑地形</w:t>
            </w:r>
          </w:p>
        </w:tc>
        <w:tc>
          <w:tcPr>
            <w:tcW w:w="3403" w:type="dxa"/>
            <w:tcBorders>
              <w:tl2br w:val="nil"/>
              <w:tr2bl w:val="nil"/>
            </w:tcBorders>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kern w:val="0"/>
                <w:highlight w:val="none"/>
              </w:rPr>
            </w:pPr>
            <w:r>
              <w:rPr>
                <w:rFonts w:hint="default" w:ascii="Arial" w:hAnsi="Arial" w:eastAsia="宋体" w:cs="Arial"/>
                <w:color w:val="auto"/>
                <w:kern w:val="0"/>
                <w:highlight w:val="none"/>
              </w:rPr>
              <w:t>考虑地形</w:t>
            </w:r>
          </w:p>
        </w:tc>
        <w:tc>
          <w:tcPr>
            <w:tcW w:w="2813" w:type="dxa"/>
            <w:tcBorders>
              <w:tl2br w:val="nil"/>
              <w:tr2bl w:val="nil"/>
            </w:tcBorders>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kern w:val="0"/>
                <w:highlight w:val="none"/>
              </w:rPr>
            </w:pPr>
            <w:r>
              <w:rPr>
                <w:rFonts w:hint="default" w:ascii="Arial" w:hAnsi="Arial" w:eastAsia="宋体" w:cs="Arial"/>
                <w:color w:val="auto"/>
                <w:kern w:val="0"/>
                <w:highlight w:val="none"/>
              </w:rPr>
              <w:sym w:font="Wingdings 2" w:char="0052"/>
            </w:r>
            <w:r>
              <w:rPr>
                <w:rFonts w:hint="default" w:ascii="Arial" w:hAnsi="Arial" w:eastAsia="宋体" w:cs="Arial"/>
                <w:color w:val="auto"/>
                <w:kern w:val="0"/>
                <w:highlight w:val="none"/>
              </w:rPr>
              <w:t>是   □否</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787" w:type="dxa"/>
            <w:vMerge w:val="continue"/>
            <w:tcBorders>
              <w:tl2br w:val="nil"/>
              <w:tr2bl w:val="nil"/>
            </w:tcBorders>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kern w:val="0"/>
                <w:highlight w:val="none"/>
              </w:rPr>
            </w:pPr>
          </w:p>
        </w:tc>
        <w:tc>
          <w:tcPr>
            <w:tcW w:w="3403" w:type="dxa"/>
            <w:tcBorders>
              <w:tl2br w:val="nil"/>
              <w:tr2bl w:val="nil"/>
            </w:tcBorders>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kern w:val="0"/>
                <w:highlight w:val="none"/>
              </w:rPr>
            </w:pPr>
            <w:r>
              <w:rPr>
                <w:rFonts w:hint="default" w:ascii="Arial" w:hAnsi="Arial" w:eastAsia="宋体" w:cs="Arial"/>
                <w:color w:val="auto"/>
                <w:kern w:val="0"/>
                <w:highlight w:val="none"/>
              </w:rPr>
              <w:t>地形数据分辨率/m</w:t>
            </w:r>
          </w:p>
        </w:tc>
        <w:tc>
          <w:tcPr>
            <w:tcW w:w="2813" w:type="dxa"/>
            <w:tcBorders>
              <w:tl2br w:val="nil"/>
              <w:tr2bl w:val="nil"/>
            </w:tcBorders>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kern w:val="0"/>
                <w:highlight w:val="none"/>
              </w:rPr>
            </w:pPr>
            <w:r>
              <w:rPr>
                <w:rFonts w:hint="default" w:ascii="Arial" w:hAnsi="Arial" w:eastAsia="宋体" w:cs="Arial"/>
                <w:color w:val="auto"/>
                <w:kern w:val="0"/>
                <w:highlight w:val="none"/>
              </w:rPr>
              <w:t>90m</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787" w:type="dxa"/>
            <w:vMerge w:val="restart"/>
            <w:tcBorders>
              <w:tl2br w:val="nil"/>
              <w:tr2bl w:val="nil"/>
            </w:tcBorders>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kern w:val="0"/>
                <w:highlight w:val="none"/>
              </w:rPr>
            </w:pPr>
            <w:r>
              <w:rPr>
                <w:rFonts w:hint="default" w:ascii="Arial" w:hAnsi="Arial" w:eastAsia="宋体" w:cs="Arial"/>
                <w:color w:val="auto"/>
                <w:kern w:val="0"/>
                <w:highlight w:val="none"/>
              </w:rPr>
              <w:t>是否考虑岸线熏烟</w:t>
            </w:r>
          </w:p>
        </w:tc>
        <w:tc>
          <w:tcPr>
            <w:tcW w:w="3403" w:type="dxa"/>
            <w:tcBorders>
              <w:tl2br w:val="nil"/>
              <w:tr2bl w:val="nil"/>
            </w:tcBorders>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kern w:val="0"/>
                <w:highlight w:val="none"/>
              </w:rPr>
            </w:pPr>
            <w:r>
              <w:rPr>
                <w:rFonts w:hint="default" w:ascii="Arial" w:hAnsi="Arial" w:eastAsia="宋体" w:cs="Arial"/>
                <w:color w:val="auto"/>
                <w:kern w:val="0"/>
                <w:highlight w:val="none"/>
              </w:rPr>
              <w:t>考虑岸线熏烟</w:t>
            </w:r>
          </w:p>
        </w:tc>
        <w:tc>
          <w:tcPr>
            <w:tcW w:w="2813" w:type="dxa"/>
            <w:tcBorders>
              <w:tl2br w:val="nil"/>
              <w:tr2bl w:val="nil"/>
            </w:tcBorders>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kern w:val="0"/>
                <w:highlight w:val="none"/>
              </w:rPr>
            </w:pPr>
            <w:r>
              <w:rPr>
                <w:rFonts w:hint="default" w:ascii="Arial" w:hAnsi="Arial" w:eastAsia="宋体" w:cs="Arial"/>
                <w:color w:val="auto"/>
                <w:kern w:val="0"/>
                <w:highlight w:val="none"/>
              </w:rPr>
              <w:t xml:space="preserve">□是   </w:t>
            </w:r>
            <w:r>
              <w:rPr>
                <w:rFonts w:hint="default" w:ascii="Arial" w:hAnsi="Arial" w:eastAsia="宋体" w:cs="Arial"/>
                <w:color w:val="auto"/>
                <w:kern w:val="0"/>
                <w:highlight w:val="none"/>
              </w:rPr>
              <w:sym w:font="Wingdings 2" w:char="0052"/>
            </w:r>
            <w:r>
              <w:rPr>
                <w:rFonts w:hint="default" w:ascii="Arial" w:hAnsi="Arial" w:eastAsia="宋体" w:cs="Arial"/>
                <w:color w:val="auto"/>
                <w:kern w:val="0"/>
                <w:highlight w:val="none"/>
              </w:rPr>
              <w:t>否</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787" w:type="dxa"/>
            <w:vMerge w:val="continue"/>
            <w:tcBorders>
              <w:tl2br w:val="nil"/>
              <w:tr2bl w:val="nil"/>
            </w:tcBorders>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kern w:val="0"/>
                <w:highlight w:val="none"/>
              </w:rPr>
            </w:pPr>
          </w:p>
        </w:tc>
        <w:tc>
          <w:tcPr>
            <w:tcW w:w="3403" w:type="dxa"/>
            <w:tcBorders>
              <w:tl2br w:val="nil"/>
              <w:tr2bl w:val="nil"/>
            </w:tcBorders>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kern w:val="0"/>
                <w:highlight w:val="none"/>
              </w:rPr>
            </w:pPr>
            <w:r>
              <w:rPr>
                <w:rFonts w:hint="default" w:ascii="Arial" w:hAnsi="Arial" w:eastAsia="宋体" w:cs="Arial"/>
                <w:color w:val="auto"/>
                <w:kern w:val="0"/>
                <w:highlight w:val="none"/>
              </w:rPr>
              <w:t>岸线距离/km</w:t>
            </w:r>
          </w:p>
        </w:tc>
        <w:tc>
          <w:tcPr>
            <w:tcW w:w="2813" w:type="dxa"/>
            <w:tcBorders>
              <w:tl2br w:val="nil"/>
              <w:tr2bl w:val="nil"/>
            </w:tcBorders>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kern w:val="0"/>
                <w:highlight w:val="none"/>
              </w:rPr>
            </w:pPr>
            <w:r>
              <w:rPr>
                <w:rFonts w:hint="default" w:ascii="Arial" w:hAnsi="Arial" w:eastAsia="宋体" w:cs="Arial"/>
                <w:color w:val="auto"/>
                <w:kern w:val="0"/>
                <w:highlight w:val="none"/>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787" w:type="dxa"/>
            <w:vMerge w:val="continue"/>
            <w:tcBorders>
              <w:tl2br w:val="nil"/>
              <w:tr2bl w:val="nil"/>
            </w:tcBorders>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kern w:val="0"/>
                <w:highlight w:val="none"/>
              </w:rPr>
            </w:pPr>
          </w:p>
        </w:tc>
        <w:tc>
          <w:tcPr>
            <w:tcW w:w="3403" w:type="dxa"/>
            <w:tcBorders>
              <w:tl2br w:val="nil"/>
              <w:tr2bl w:val="nil"/>
            </w:tcBorders>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kern w:val="0"/>
                <w:highlight w:val="none"/>
              </w:rPr>
            </w:pPr>
            <w:r>
              <w:rPr>
                <w:rFonts w:hint="default" w:ascii="Arial" w:hAnsi="Arial" w:eastAsia="宋体" w:cs="Arial"/>
                <w:color w:val="auto"/>
                <w:kern w:val="0"/>
                <w:highlight w:val="none"/>
              </w:rPr>
              <w:t>岸线方向/°</w:t>
            </w:r>
          </w:p>
        </w:tc>
        <w:tc>
          <w:tcPr>
            <w:tcW w:w="2813" w:type="dxa"/>
            <w:tcBorders>
              <w:tl2br w:val="nil"/>
              <w:tr2bl w:val="nil"/>
            </w:tcBorders>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kern w:val="0"/>
                <w:highlight w:val="none"/>
              </w:rPr>
            </w:pPr>
            <w:r>
              <w:rPr>
                <w:rFonts w:hint="default" w:ascii="Arial" w:hAnsi="Arial" w:eastAsia="宋体" w:cs="Arial"/>
                <w:color w:val="auto"/>
                <w:kern w:val="0"/>
                <w:highlight w:val="none"/>
              </w:rPr>
              <w:t>/</w:t>
            </w:r>
          </w:p>
        </w:tc>
      </w:tr>
    </w:tbl>
    <w:p>
      <w:pPr>
        <w:topLinePunct w:val="0"/>
        <w:autoSpaceDE/>
        <w:ind w:firstLine="480"/>
        <w:rPr>
          <w:rFonts w:hint="default" w:ascii="Arial" w:hAnsi="Arial" w:eastAsia="宋体" w:cs="Arial"/>
          <w:color w:val="auto"/>
          <w:szCs w:val="21"/>
          <w:highlight w:val="none"/>
        </w:rPr>
      </w:pPr>
      <w:r>
        <w:rPr>
          <w:rFonts w:hint="default" w:ascii="Arial" w:hAnsi="Arial" w:eastAsia="宋体" w:cs="Arial"/>
          <w:color w:val="auto"/>
          <w:szCs w:val="21"/>
          <w:highlight w:val="none"/>
        </w:rPr>
        <w:t>项目运营过程中产生的恶臭污染物的无组织排放</w:t>
      </w:r>
      <w:r>
        <w:rPr>
          <w:rFonts w:hint="default" w:ascii="Arial" w:hAnsi="Arial" w:eastAsia="宋体" w:cs="Arial"/>
          <w:color w:val="auto"/>
          <w:kern w:val="0"/>
          <w:szCs w:val="21"/>
          <w:highlight w:val="none"/>
        </w:rPr>
        <w:t>见表2.5-3。</w:t>
      </w:r>
    </w:p>
    <w:p>
      <w:pPr>
        <w:pStyle w:val="8"/>
        <w:rPr>
          <w:rFonts w:hint="default" w:ascii="Arial" w:hAnsi="Arial" w:eastAsia="宋体" w:cs="Arial"/>
          <w:color w:val="auto"/>
          <w:highlight w:val="none"/>
        </w:rPr>
      </w:pPr>
      <w:r>
        <w:rPr>
          <w:rFonts w:hint="default" w:ascii="Arial" w:hAnsi="Arial" w:eastAsia="宋体" w:cs="Arial"/>
          <w:color w:val="auto"/>
          <w:highlight w:val="none"/>
        </w:rPr>
        <w:t>表2.5-3    主要污染源强参数（矩形面源）一览表</w:t>
      </w:r>
    </w:p>
    <w:tbl>
      <w:tblPr>
        <w:tblStyle w:val="39"/>
        <w:tblW w:w="9004" w:type="dxa"/>
        <w:tblInd w:w="0" w:type="dxa"/>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759"/>
        <w:gridCol w:w="1401"/>
        <w:gridCol w:w="1298"/>
        <w:gridCol w:w="695"/>
        <w:gridCol w:w="629"/>
        <w:gridCol w:w="629"/>
        <w:gridCol w:w="611"/>
        <w:gridCol w:w="560"/>
        <w:gridCol w:w="695"/>
        <w:gridCol w:w="1143"/>
        <w:gridCol w:w="584"/>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769" w:type="dxa"/>
            <w:vMerge w:val="restart"/>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污染源名称</w:t>
            </w:r>
          </w:p>
        </w:tc>
        <w:tc>
          <w:tcPr>
            <w:tcW w:w="2739" w:type="dxa"/>
            <w:gridSpan w:val="2"/>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右上角坐标(</w:t>
            </w:r>
            <w:r>
              <w:rPr>
                <w:rFonts w:hint="default" w:ascii="Arial" w:hAnsi="Arial" w:eastAsia="宋体" w:cs="Arial"/>
                <w:color w:val="auto"/>
                <w:sz w:val="21"/>
                <w:szCs w:val="21"/>
                <w:highlight w:val="none"/>
                <w:vertAlign w:val="superscript"/>
              </w:rPr>
              <w:t>o</w:t>
            </w:r>
            <w:r>
              <w:rPr>
                <w:rFonts w:hint="default" w:ascii="Arial" w:hAnsi="Arial" w:eastAsia="宋体" w:cs="Arial"/>
                <w:color w:val="auto"/>
                <w:sz w:val="21"/>
                <w:szCs w:val="21"/>
                <w:highlight w:val="none"/>
              </w:rPr>
              <w:t>)</w:t>
            </w:r>
          </w:p>
        </w:tc>
        <w:tc>
          <w:tcPr>
            <w:tcW w:w="703" w:type="dxa"/>
            <w:vMerge w:val="restart"/>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与正</w:t>
            </w:r>
          </w:p>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北方</w:t>
            </w:r>
          </w:p>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向逆</w:t>
            </w:r>
          </w:p>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时针</w:t>
            </w:r>
          </w:p>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夹角（°）</w:t>
            </w:r>
          </w:p>
        </w:tc>
        <w:tc>
          <w:tcPr>
            <w:tcW w:w="636" w:type="dxa"/>
            <w:vMerge w:val="restart"/>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海拔高度(m)</w:t>
            </w:r>
          </w:p>
        </w:tc>
        <w:tc>
          <w:tcPr>
            <w:tcW w:w="1820" w:type="dxa"/>
            <w:gridSpan w:val="3"/>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矩形面源</w:t>
            </w:r>
          </w:p>
        </w:tc>
        <w:tc>
          <w:tcPr>
            <w:tcW w:w="703" w:type="dxa"/>
            <w:vMerge w:val="restart"/>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污染物</w:t>
            </w:r>
          </w:p>
        </w:tc>
        <w:tc>
          <w:tcPr>
            <w:tcW w:w="1159" w:type="dxa"/>
            <w:vMerge w:val="restart"/>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排放</w:t>
            </w:r>
          </w:p>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速率</w:t>
            </w:r>
          </w:p>
        </w:tc>
        <w:tc>
          <w:tcPr>
            <w:tcW w:w="590" w:type="dxa"/>
            <w:vMerge w:val="restart"/>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单位</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769" w:type="dxa"/>
            <w:vMerge w:val="continue"/>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p>
        </w:tc>
        <w:tc>
          <w:tcPr>
            <w:tcW w:w="1422"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经度</w:t>
            </w:r>
          </w:p>
        </w:tc>
        <w:tc>
          <w:tcPr>
            <w:tcW w:w="1317"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经度</w:t>
            </w:r>
          </w:p>
        </w:tc>
        <w:tc>
          <w:tcPr>
            <w:tcW w:w="703" w:type="dxa"/>
            <w:vMerge w:val="continue"/>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p>
        </w:tc>
        <w:tc>
          <w:tcPr>
            <w:tcW w:w="636" w:type="dxa"/>
            <w:vMerge w:val="continue"/>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p>
        </w:tc>
        <w:tc>
          <w:tcPr>
            <w:tcW w:w="636"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长度</w:t>
            </w:r>
          </w:p>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(m)</w:t>
            </w:r>
          </w:p>
        </w:tc>
        <w:tc>
          <w:tcPr>
            <w:tcW w:w="618"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宽度</w:t>
            </w:r>
          </w:p>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(m)</w:t>
            </w:r>
          </w:p>
        </w:tc>
        <w:tc>
          <w:tcPr>
            <w:tcW w:w="566"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有效高度</w:t>
            </w:r>
          </w:p>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(m)</w:t>
            </w:r>
          </w:p>
        </w:tc>
        <w:tc>
          <w:tcPr>
            <w:tcW w:w="703" w:type="dxa"/>
            <w:vMerge w:val="continue"/>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p>
        </w:tc>
        <w:tc>
          <w:tcPr>
            <w:tcW w:w="1159" w:type="dxa"/>
            <w:vMerge w:val="continue"/>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p>
        </w:tc>
        <w:tc>
          <w:tcPr>
            <w:tcW w:w="590" w:type="dxa"/>
            <w:vMerge w:val="continue"/>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769" w:type="dxa"/>
            <w:vMerge w:val="restart"/>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牛舍及运动场</w:t>
            </w:r>
          </w:p>
        </w:tc>
        <w:tc>
          <w:tcPr>
            <w:tcW w:w="1422" w:type="dxa"/>
            <w:vMerge w:val="restart"/>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10</w:t>
            </w:r>
            <w:r>
              <w:rPr>
                <w:rFonts w:hint="default" w:ascii="Arial" w:hAnsi="Arial" w:eastAsia="宋体" w:cs="Arial"/>
                <w:color w:val="auto"/>
                <w:sz w:val="21"/>
                <w:szCs w:val="21"/>
                <w:highlight w:val="none"/>
                <w:lang w:val="en-US" w:eastAsia="zh-CN"/>
              </w:rPr>
              <w:t>7</w:t>
            </w:r>
            <w:r>
              <w:rPr>
                <w:rFonts w:hint="default" w:ascii="Arial" w:hAnsi="Arial" w:eastAsia="宋体" w:cs="Arial"/>
                <w:color w:val="auto"/>
                <w:sz w:val="21"/>
                <w:szCs w:val="21"/>
                <w:highlight w:val="none"/>
              </w:rPr>
              <w:t>°</w:t>
            </w:r>
            <w:r>
              <w:rPr>
                <w:rFonts w:hint="default" w:ascii="Arial" w:hAnsi="Arial" w:eastAsia="宋体" w:cs="Arial"/>
                <w:color w:val="auto"/>
                <w:sz w:val="21"/>
                <w:szCs w:val="21"/>
                <w:highlight w:val="none"/>
                <w:lang w:val="en-US" w:eastAsia="zh-CN"/>
              </w:rPr>
              <w:t>40</w:t>
            </w:r>
            <w:r>
              <w:rPr>
                <w:rFonts w:hint="default" w:ascii="Arial" w:hAnsi="Arial" w:eastAsia="宋体" w:cs="Arial"/>
                <w:color w:val="auto"/>
                <w:sz w:val="21"/>
                <w:szCs w:val="21"/>
                <w:highlight w:val="none"/>
              </w:rPr>
              <w:t>'</w:t>
            </w:r>
            <w:r>
              <w:rPr>
                <w:rFonts w:hint="default" w:ascii="Arial" w:hAnsi="Arial" w:eastAsia="宋体" w:cs="Arial"/>
                <w:color w:val="auto"/>
                <w:sz w:val="21"/>
                <w:szCs w:val="21"/>
                <w:highlight w:val="none"/>
                <w:lang w:val="en-US" w:eastAsia="zh-CN"/>
              </w:rPr>
              <w:t>48.43</w:t>
            </w:r>
            <w:r>
              <w:rPr>
                <w:rFonts w:hint="default" w:ascii="Arial" w:hAnsi="Arial" w:eastAsia="宋体" w:cs="Arial"/>
                <w:color w:val="auto"/>
                <w:sz w:val="21"/>
                <w:szCs w:val="21"/>
                <w:highlight w:val="none"/>
              </w:rPr>
              <w:t>"</w:t>
            </w:r>
          </w:p>
        </w:tc>
        <w:tc>
          <w:tcPr>
            <w:tcW w:w="1317" w:type="dxa"/>
            <w:vMerge w:val="restart"/>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40°</w:t>
            </w:r>
            <w:r>
              <w:rPr>
                <w:rFonts w:hint="default" w:ascii="Arial" w:hAnsi="Arial" w:eastAsia="宋体" w:cs="Arial"/>
                <w:color w:val="auto"/>
                <w:sz w:val="21"/>
                <w:szCs w:val="21"/>
                <w:highlight w:val="none"/>
                <w:lang w:val="en-US" w:eastAsia="zh-CN"/>
              </w:rPr>
              <w:t>56</w:t>
            </w:r>
            <w:r>
              <w:rPr>
                <w:rFonts w:hint="default" w:ascii="Arial" w:hAnsi="Arial" w:eastAsia="宋体" w:cs="Arial"/>
                <w:color w:val="auto"/>
                <w:sz w:val="21"/>
                <w:szCs w:val="21"/>
                <w:highlight w:val="none"/>
              </w:rPr>
              <w:t>'</w:t>
            </w:r>
            <w:r>
              <w:rPr>
                <w:rFonts w:hint="default" w:ascii="Arial" w:hAnsi="Arial" w:eastAsia="宋体" w:cs="Arial"/>
                <w:color w:val="auto"/>
                <w:sz w:val="21"/>
                <w:szCs w:val="21"/>
                <w:highlight w:val="none"/>
                <w:lang w:val="en-US" w:eastAsia="zh-CN"/>
              </w:rPr>
              <w:t>14.91</w:t>
            </w:r>
            <w:r>
              <w:rPr>
                <w:rFonts w:hint="default" w:ascii="Arial" w:hAnsi="Arial" w:eastAsia="宋体" w:cs="Arial"/>
                <w:color w:val="auto"/>
                <w:sz w:val="21"/>
                <w:szCs w:val="21"/>
                <w:highlight w:val="none"/>
              </w:rPr>
              <w:t>"</w:t>
            </w:r>
          </w:p>
        </w:tc>
        <w:tc>
          <w:tcPr>
            <w:tcW w:w="703" w:type="dxa"/>
            <w:vMerge w:val="restart"/>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0</w:t>
            </w:r>
          </w:p>
        </w:tc>
        <w:tc>
          <w:tcPr>
            <w:tcW w:w="636" w:type="dxa"/>
            <w:vMerge w:val="restart"/>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highlight w:val="none"/>
                <w:lang w:val="en-US" w:eastAsia="zh-CN"/>
              </w:rPr>
              <w:t>1032</w:t>
            </w:r>
          </w:p>
        </w:tc>
        <w:tc>
          <w:tcPr>
            <w:tcW w:w="636" w:type="dxa"/>
            <w:vMerge w:val="restart"/>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highlight w:val="none"/>
                <w:lang w:val="en-US" w:eastAsia="zh-CN"/>
              </w:rPr>
              <w:t>680</w:t>
            </w:r>
          </w:p>
        </w:tc>
        <w:tc>
          <w:tcPr>
            <w:tcW w:w="618" w:type="dxa"/>
            <w:vMerge w:val="restart"/>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highlight w:val="none"/>
                <w:lang w:val="en-US" w:eastAsia="zh-CN"/>
              </w:rPr>
              <w:t>550</w:t>
            </w:r>
          </w:p>
        </w:tc>
        <w:tc>
          <w:tcPr>
            <w:tcW w:w="566" w:type="dxa"/>
            <w:vMerge w:val="restart"/>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lang w:val="en-US" w:eastAsia="zh-CN"/>
              </w:rPr>
              <w:t>3</w:t>
            </w:r>
            <w:r>
              <w:rPr>
                <w:rFonts w:hint="default" w:ascii="Arial" w:hAnsi="Arial" w:eastAsia="宋体" w:cs="Arial"/>
                <w:color w:val="auto"/>
                <w:sz w:val="21"/>
                <w:szCs w:val="21"/>
                <w:highlight w:val="none"/>
              </w:rPr>
              <w:t>.0</w:t>
            </w:r>
          </w:p>
        </w:tc>
        <w:tc>
          <w:tcPr>
            <w:tcW w:w="703"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NH</w:t>
            </w:r>
            <w:r>
              <w:rPr>
                <w:rFonts w:hint="default" w:ascii="Arial" w:hAnsi="Arial" w:eastAsia="宋体" w:cs="Arial"/>
                <w:color w:val="auto"/>
                <w:sz w:val="21"/>
                <w:szCs w:val="21"/>
                <w:highlight w:val="none"/>
                <w:vertAlign w:val="subscript"/>
              </w:rPr>
              <w:t>3</w:t>
            </w:r>
          </w:p>
        </w:tc>
        <w:tc>
          <w:tcPr>
            <w:tcW w:w="1159" w:type="dxa"/>
            <w:vAlign w:val="center"/>
          </w:tcPr>
          <w:p>
            <w:pPr>
              <w:pStyle w:val="63"/>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Cs w:val="21"/>
                <w:highlight w:val="none"/>
                <w:lang w:val="en-US" w:eastAsia="zh-CN"/>
              </w:rPr>
              <w:t>0.0833</w:t>
            </w:r>
          </w:p>
        </w:tc>
        <w:tc>
          <w:tcPr>
            <w:tcW w:w="590" w:type="dxa"/>
            <w:vMerge w:val="restart"/>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kg/h</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769" w:type="dxa"/>
            <w:vMerge w:val="continue"/>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p>
        </w:tc>
        <w:tc>
          <w:tcPr>
            <w:tcW w:w="1422" w:type="dxa"/>
            <w:vMerge w:val="continue"/>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p>
        </w:tc>
        <w:tc>
          <w:tcPr>
            <w:tcW w:w="1317" w:type="dxa"/>
            <w:vMerge w:val="continue"/>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p>
        </w:tc>
        <w:tc>
          <w:tcPr>
            <w:tcW w:w="703" w:type="dxa"/>
            <w:vMerge w:val="continue"/>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p>
        </w:tc>
        <w:tc>
          <w:tcPr>
            <w:tcW w:w="636" w:type="dxa"/>
            <w:vMerge w:val="continue"/>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p>
        </w:tc>
        <w:tc>
          <w:tcPr>
            <w:tcW w:w="636" w:type="dxa"/>
            <w:vMerge w:val="continue"/>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p>
        </w:tc>
        <w:tc>
          <w:tcPr>
            <w:tcW w:w="618" w:type="dxa"/>
            <w:vMerge w:val="continue"/>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p>
        </w:tc>
        <w:tc>
          <w:tcPr>
            <w:tcW w:w="566" w:type="dxa"/>
            <w:vMerge w:val="continue"/>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p>
        </w:tc>
        <w:tc>
          <w:tcPr>
            <w:tcW w:w="703"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H</w:t>
            </w:r>
            <w:r>
              <w:rPr>
                <w:rFonts w:hint="default" w:ascii="Arial" w:hAnsi="Arial" w:eastAsia="宋体" w:cs="Arial"/>
                <w:color w:val="auto"/>
                <w:sz w:val="21"/>
                <w:szCs w:val="21"/>
                <w:highlight w:val="none"/>
                <w:vertAlign w:val="subscript"/>
              </w:rPr>
              <w:t>2</w:t>
            </w:r>
            <w:r>
              <w:rPr>
                <w:rFonts w:hint="default" w:ascii="Arial" w:hAnsi="Arial" w:eastAsia="宋体" w:cs="Arial"/>
                <w:color w:val="auto"/>
                <w:sz w:val="21"/>
                <w:szCs w:val="21"/>
                <w:highlight w:val="none"/>
              </w:rPr>
              <w:t>S</w:t>
            </w:r>
          </w:p>
        </w:tc>
        <w:tc>
          <w:tcPr>
            <w:tcW w:w="1159" w:type="dxa"/>
            <w:vAlign w:val="center"/>
          </w:tcPr>
          <w:p>
            <w:pPr>
              <w:pStyle w:val="63"/>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highlight w:val="none"/>
              </w:rPr>
              <w:t>0.00</w:t>
            </w:r>
            <w:r>
              <w:rPr>
                <w:rFonts w:hint="default" w:ascii="Arial" w:hAnsi="Arial" w:eastAsia="宋体" w:cs="Arial"/>
                <w:color w:val="auto"/>
                <w:highlight w:val="none"/>
                <w:lang w:val="en-US" w:eastAsia="zh-CN"/>
              </w:rPr>
              <w:t>11</w:t>
            </w:r>
          </w:p>
        </w:tc>
        <w:tc>
          <w:tcPr>
            <w:tcW w:w="590" w:type="dxa"/>
            <w:vMerge w:val="continue"/>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769" w:type="dxa"/>
            <w:vMerge w:val="restart"/>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highlight w:val="none"/>
                <w:lang w:eastAsia="zh-CN"/>
              </w:rPr>
              <w:t>堆肥场</w:t>
            </w:r>
          </w:p>
        </w:tc>
        <w:tc>
          <w:tcPr>
            <w:tcW w:w="1422" w:type="dxa"/>
            <w:vMerge w:val="restart"/>
            <w:vAlign w:val="center"/>
          </w:tcPr>
          <w:p>
            <w:pPr>
              <w:pStyle w:val="63"/>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highlight w:val="none"/>
              </w:rPr>
              <w:t>10</w:t>
            </w:r>
            <w:r>
              <w:rPr>
                <w:rFonts w:hint="default" w:ascii="Arial" w:hAnsi="Arial" w:eastAsia="宋体" w:cs="Arial"/>
                <w:color w:val="auto"/>
                <w:sz w:val="21"/>
                <w:szCs w:val="21"/>
                <w:highlight w:val="none"/>
                <w:lang w:val="en-US" w:eastAsia="zh-CN"/>
              </w:rPr>
              <w:t>7</w:t>
            </w:r>
            <w:r>
              <w:rPr>
                <w:rFonts w:hint="default" w:ascii="Arial" w:hAnsi="Arial" w:eastAsia="宋体" w:cs="Arial"/>
                <w:color w:val="auto"/>
                <w:sz w:val="21"/>
                <w:szCs w:val="21"/>
                <w:highlight w:val="none"/>
              </w:rPr>
              <w:t>°</w:t>
            </w:r>
            <w:r>
              <w:rPr>
                <w:rFonts w:hint="default" w:ascii="Arial" w:hAnsi="Arial" w:eastAsia="宋体" w:cs="Arial"/>
                <w:color w:val="auto"/>
                <w:sz w:val="21"/>
                <w:szCs w:val="21"/>
                <w:highlight w:val="none"/>
                <w:lang w:val="en-US" w:eastAsia="zh-CN"/>
              </w:rPr>
              <w:t>40</w:t>
            </w:r>
            <w:r>
              <w:rPr>
                <w:rFonts w:hint="default" w:ascii="Arial" w:hAnsi="Arial" w:eastAsia="宋体" w:cs="Arial"/>
                <w:color w:val="auto"/>
                <w:sz w:val="21"/>
                <w:szCs w:val="21"/>
                <w:highlight w:val="none"/>
              </w:rPr>
              <w:t>'</w:t>
            </w:r>
            <w:r>
              <w:rPr>
                <w:rFonts w:hint="default" w:ascii="Arial" w:hAnsi="Arial" w:eastAsia="宋体" w:cs="Arial"/>
                <w:color w:val="auto"/>
                <w:sz w:val="21"/>
                <w:szCs w:val="21"/>
                <w:highlight w:val="none"/>
                <w:lang w:val="en-US" w:eastAsia="zh-CN"/>
              </w:rPr>
              <w:t>40.01</w:t>
            </w:r>
            <w:r>
              <w:rPr>
                <w:rFonts w:hint="default" w:ascii="Arial" w:hAnsi="Arial" w:eastAsia="宋体" w:cs="Arial"/>
                <w:color w:val="auto"/>
                <w:sz w:val="21"/>
                <w:szCs w:val="21"/>
                <w:highlight w:val="none"/>
              </w:rPr>
              <w:t>"</w:t>
            </w:r>
          </w:p>
        </w:tc>
        <w:tc>
          <w:tcPr>
            <w:tcW w:w="1317" w:type="dxa"/>
            <w:vMerge w:val="restart"/>
            <w:vAlign w:val="center"/>
          </w:tcPr>
          <w:p>
            <w:pPr>
              <w:pStyle w:val="63"/>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40°</w:t>
            </w:r>
            <w:r>
              <w:rPr>
                <w:rFonts w:hint="default" w:ascii="Arial" w:hAnsi="Arial" w:eastAsia="宋体" w:cs="Arial"/>
                <w:color w:val="auto"/>
                <w:sz w:val="21"/>
                <w:szCs w:val="21"/>
                <w:highlight w:val="none"/>
                <w:lang w:val="en-US" w:eastAsia="zh-CN"/>
              </w:rPr>
              <w:t>56</w:t>
            </w:r>
            <w:r>
              <w:rPr>
                <w:rFonts w:hint="default" w:ascii="Arial" w:hAnsi="Arial" w:eastAsia="宋体" w:cs="Arial"/>
                <w:color w:val="auto"/>
                <w:sz w:val="21"/>
                <w:szCs w:val="21"/>
                <w:highlight w:val="none"/>
              </w:rPr>
              <w:t>'</w:t>
            </w:r>
            <w:r>
              <w:rPr>
                <w:rFonts w:hint="default" w:ascii="Arial" w:hAnsi="Arial" w:eastAsia="宋体" w:cs="Arial"/>
                <w:color w:val="auto"/>
                <w:sz w:val="21"/>
                <w:szCs w:val="21"/>
                <w:highlight w:val="none"/>
                <w:lang w:val="en-US" w:eastAsia="zh-CN"/>
              </w:rPr>
              <w:t>17.07</w:t>
            </w:r>
            <w:r>
              <w:rPr>
                <w:rFonts w:hint="default" w:ascii="Arial" w:hAnsi="Arial" w:eastAsia="宋体" w:cs="Arial"/>
                <w:color w:val="auto"/>
                <w:sz w:val="21"/>
                <w:szCs w:val="21"/>
                <w:highlight w:val="none"/>
              </w:rPr>
              <w:t>"</w:t>
            </w:r>
          </w:p>
        </w:tc>
        <w:tc>
          <w:tcPr>
            <w:tcW w:w="703" w:type="dxa"/>
            <w:vMerge w:val="restart"/>
            <w:vAlign w:val="center"/>
          </w:tcPr>
          <w:p>
            <w:pPr>
              <w:pStyle w:val="63"/>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0</w:t>
            </w:r>
          </w:p>
        </w:tc>
        <w:tc>
          <w:tcPr>
            <w:tcW w:w="636" w:type="dxa"/>
            <w:vMerge w:val="restart"/>
            <w:vAlign w:val="center"/>
          </w:tcPr>
          <w:p>
            <w:pPr>
              <w:pStyle w:val="63"/>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lang w:val="en-US" w:eastAsia="zh-CN"/>
              </w:rPr>
              <w:t>1032</w:t>
            </w:r>
          </w:p>
        </w:tc>
        <w:tc>
          <w:tcPr>
            <w:tcW w:w="636" w:type="dxa"/>
            <w:vMerge w:val="restart"/>
            <w:vAlign w:val="center"/>
          </w:tcPr>
          <w:p>
            <w:pPr>
              <w:pStyle w:val="63"/>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50</w:t>
            </w:r>
          </w:p>
        </w:tc>
        <w:tc>
          <w:tcPr>
            <w:tcW w:w="618" w:type="dxa"/>
            <w:vMerge w:val="restart"/>
            <w:vAlign w:val="center"/>
          </w:tcPr>
          <w:p>
            <w:pPr>
              <w:pStyle w:val="63"/>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lang w:val="en-US" w:eastAsia="zh-CN"/>
              </w:rPr>
              <w:t>30</w:t>
            </w:r>
          </w:p>
        </w:tc>
        <w:tc>
          <w:tcPr>
            <w:tcW w:w="566" w:type="dxa"/>
            <w:vMerge w:val="restart"/>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highlight w:val="none"/>
                <w:lang w:val="en-US" w:eastAsia="zh-CN"/>
              </w:rPr>
              <w:t>3.0</w:t>
            </w:r>
          </w:p>
        </w:tc>
        <w:tc>
          <w:tcPr>
            <w:tcW w:w="703" w:type="dxa"/>
            <w:vAlign w:val="center"/>
          </w:tcPr>
          <w:p>
            <w:pPr>
              <w:pStyle w:val="63"/>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NH</w:t>
            </w:r>
            <w:r>
              <w:rPr>
                <w:rFonts w:hint="default" w:ascii="Arial" w:hAnsi="Arial" w:eastAsia="宋体" w:cs="Arial"/>
                <w:color w:val="auto"/>
                <w:sz w:val="21"/>
                <w:szCs w:val="21"/>
                <w:highlight w:val="none"/>
                <w:vertAlign w:val="subscript"/>
              </w:rPr>
              <w:t>3</w:t>
            </w:r>
          </w:p>
        </w:tc>
        <w:tc>
          <w:tcPr>
            <w:tcW w:w="1159" w:type="dxa"/>
            <w:vAlign w:val="center"/>
          </w:tcPr>
          <w:p>
            <w:pPr>
              <w:pStyle w:val="63"/>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Cs w:val="21"/>
                <w:highlight w:val="none"/>
              </w:rPr>
              <w:t>0.</w:t>
            </w:r>
            <w:r>
              <w:rPr>
                <w:rFonts w:hint="default" w:ascii="Arial" w:hAnsi="Arial" w:eastAsia="宋体" w:cs="Arial"/>
                <w:color w:val="auto"/>
                <w:szCs w:val="21"/>
                <w:highlight w:val="none"/>
                <w:lang w:val="en-US" w:eastAsia="zh-CN"/>
              </w:rPr>
              <w:t>0555</w:t>
            </w:r>
          </w:p>
        </w:tc>
        <w:tc>
          <w:tcPr>
            <w:tcW w:w="590" w:type="dxa"/>
            <w:vMerge w:val="restart"/>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kg/h</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769" w:type="dxa"/>
            <w:vMerge w:val="continue"/>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p>
        </w:tc>
        <w:tc>
          <w:tcPr>
            <w:tcW w:w="1422" w:type="dxa"/>
            <w:vMerge w:val="continue"/>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p>
        </w:tc>
        <w:tc>
          <w:tcPr>
            <w:tcW w:w="1317" w:type="dxa"/>
            <w:vMerge w:val="continue"/>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p>
        </w:tc>
        <w:tc>
          <w:tcPr>
            <w:tcW w:w="703" w:type="dxa"/>
            <w:vMerge w:val="continue"/>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p>
        </w:tc>
        <w:tc>
          <w:tcPr>
            <w:tcW w:w="636" w:type="dxa"/>
            <w:vMerge w:val="continue"/>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p>
        </w:tc>
        <w:tc>
          <w:tcPr>
            <w:tcW w:w="636" w:type="dxa"/>
            <w:vMerge w:val="continue"/>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p>
        </w:tc>
        <w:tc>
          <w:tcPr>
            <w:tcW w:w="618" w:type="dxa"/>
            <w:vMerge w:val="continue"/>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p>
        </w:tc>
        <w:tc>
          <w:tcPr>
            <w:tcW w:w="566" w:type="dxa"/>
            <w:vMerge w:val="continue"/>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p>
        </w:tc>
        <w:tc>
          <w:tcPr>
            <w:tcW w:w="703" w:type="dxa"/>
            <w:vAlign w:val="center"/>
          </w:tcPr>
          <w:p>
            <w:pPr>
              <w:pStyle w:val="63"/>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H</w:t>
            </w:r>
            <w:r>
              <w:rPr>
                <w:rFonts w:hint="default" w:ascii="Arial" w:hAnsi="Arial" w:eastAsia="宋体" w:cs="Arial"/>
                <w:color w:val="auto"/>
                <w:sz w:val="21"/>
                <w:szCs w:val="21"/>
                <w:highlight w:val="none"/>
                <w:vertAlign w:val="subscript"/>
              </w:rPr>
              <w:t>2</w:t>
            </w:r>
            <w:r>
              <w:rPr>
                <w:rFonts w:hint="default" w:ascii="Arial" w:hAnsi="Arial" w:eastAsia="宋体" w:cs="Arial"/>
                <w:color w:val="auto"/>
                <w:sz w:val="21"/>
                <w:szCs w:val="21"/>
                <w:highlight w:val="none"/>
              </w:rPr>
              <w:t>S</w:t>
            </w:r>
          </w:p>
        </w:tc>
        <w:tc>
          <w:tcPr>
            <w:tcW w:w="1159" w:type="dxa"/>
            <w:vAlign w:val="center"/>
          </w:tcPr>
          <w:p>
            <w:pPr>
              <w:pStyle w:val="63"/>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highlight w:val="none"/>
              </w:rPr>
              <w:t>0.00</w:t>
            </w:r>
            <w:r>
              <w:rPr>
                <w:rFonts w:hint="default" w:ascii="Arial" w:hAnsi="Arial" w:eastAsia="宋体" w:cs="Arial"/>
                <w:color w:val="auto"/>
                <w:highlight w:val="none"/>
                <w:lang w:val="en-US" w:eastAsia="zh-CN"/>
              </w:rPr>
              <w:t>07</w:t>
            </w:r>
          </w:p>
        </w:tc>
        <w:tc>
          <w:tcPr>
            <w:tcW w:w="590" w:type="dxa"/>
            <w:vMerge w:val="continue"/>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769"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lang w:eastAsia="zh-CN"/>
              </w:rPr>
            </w:pPr>
            <w:r>
              <w:rPr>
                <w:rFonts w:hint="default" w:ascii="Arial" w:hAnsi="Arial" w:eastAsia="宋体" w:cs="Arial"/>
                <w:color w:val="auto"/>
                <w:highlight w:val="none"/>
                <w:lang w:eastAsia="zh-CN"/>
              </w:rPr>
              <w:t>饲草料库房</w:t>
            </w:r>
          </w:p>
        </w:tc>
        <w:tc>
          <w:tcPr>
            <w:tcW w:w="1422" w:type="dxa"/>
            <w:vAlign w:val="center"/>
          </w:tcPr>
          <w:p>
            <w:pPr>
              <w:pStyle w:val="63"/>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10</w:t>
            </w:r>
            <w:r>
              <w:rPr>
                <w:rFonts w:hint="default" w:ascii="Arial" w:hAnsi="Arial" w:eastAsia="宋体" w:cs="Arial"/>
                <w:color w:val="auto"/>
                <w:sz w:val="21"/>
                <w:szCs w:val="21"/>
                <w:highlight w:val="none"/>
                <w:lang w:val="en-US" w:eastAsia="zh-CN"/>
              </w:rPr>
              <w:t>7</w:t>
            </w:r>
            <w:r>
              <w:rPr>
                <w:rFonts w:hint="default" w:ascii="Arial" w:hAnsi="Arial" w:eastAsia="宋体" w:cs="Arial"/>
                <w:color w:val="auto"/>
                <w:sz w:val="21"/>
                <w:szCs w:val="21"/>
                <w:highlight w:val="none"/>
              </w:rPr>
              <w:t>°</w:t>
            </w:r>
            <w:r>
              <w:rPr>
                <w:rFonts w:hint="default" w:ascii="Arial" w:hAnsi="Arial" w:eastAsia="宋体" w:cs="Arial"/>
                <w:color w:val="auto"/>
                <w:sz w:val="21"/>
                <w:szCs w:val="21"/>
                <w:highlight w:val="none"/>
                <w:lang w:val="en-US" w:eastAsia="zh-CN"/>
              </w:rPr>
              <w:t>40</w:t>
            </w:r>
            <w:r>
              <w:rPr>
                <w:rFonts w:hint="default" w:ascii="Arial" w:hAnsi="Arial" w:eastAsia="宋体" w:cs="Arial"/>
                <w:color w:val="auto"/>
                <w:sz w:val="21"/>
                <w:szCs w:val="21"/>
                <w:highlight w:val="none"/>
              </w:rPr>
              <w:t>'</w:t>
            </w:r>
            <w:r>
              <w:rPr>
                <w:rFonts w:hint="default" w:ascii="Arial" w:hAnsi="Arial" w:eastAsia="宋体" w:cs="Arial"/>
                <w:color w:val="auto"/>
                <w:sz w:val="21"/>
                <w:szCs w:val="21"/>
                <w:highlight w:val="none"/>
                <w:lang w:val="en-US" w:eastAsia="zh-CN"/>
              </w:rPr>
              <w:t>56.61</w:t>
            </w:r>
            <w:r>
              <w:rPr>
                <w:rFonts w:hint="default" w:ascii="Arial" w:hAnsi="Arial" w:eastAsia="宋体" w:cs="Arial"/>
                <w:color w:val="auto"/>
                <w:sz w:val="21"/>
                <w:szCs w:val="21"/>
                <w:highlight w:val="none"/>
              </w:rPr>
              <w:t>"</w:t>
            </w:r>
          </w:p>
        </w:tc>
        <w:tc>
          <w:tcPr>
            <w:tcW w:w="1317" w:type="dxa"/>
            <w:vAlign w:val="center"/>
          </w:tcPr>
          <w:p>
            <w:pPr>
              <w:pStyle w:val="63"/>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40°</w:t>
            </w:r>
            <w:r>
              <w:rPr>
                <w:rFonts w:hint="default" w:ascii="Arial" w:hAnsi="Arial" w:eastAsia="宋体" w:cs="Arial"/>
                <w:color w:val="auto"/>
                <w:sz w:val="21"/>
                <w:szCs w:val="21"/>
                <w:highlight w:val="none"/>
                <w:lang w:val="en-US" w:eastAsia="zh-CN"/>
              </w:rPr>
              <w:t>56</w:t>
            </w:r>
            <w:r>
              <w:rPr>
                <w:rFonts w:hint="default" w:ascii="Arial" w:hAnsi="Arial" w:eastAsia="宋体" w:cs="Arial"/>
                <w:color w:val="auto"/>
                <w:sz w:val="21"/>
                <w:szCs w:val="21"/>
                <w:highlight w:val="none"/>
              </w:rPr>
              <w:t>'</w:t>
            </w:r>
            <w:r>
              <w:rPr>
                <w:rFonts w:hint="default" w:ascii="Arial" w:hAnsi="Arial" w:eastAsia="宋体" w:cs="Arial"/>
                <w:color w:val="auto"/>
                <w:sz w:val="21"/>
                <w:szCs w:val="21"/>
                <w:highlight w:val="none"/>
                <w:lang w:val="en-US" w:eastAsia="zh-CN"/>
              </w:rPr>
              <w:t>10.89</w:t>
            </w:r>
            <w:r>
              <w:rPr>
                <w:rFonts w:hint="default" w:ascii="Arial" w:hAnsi="Arial" w:eastAsia="宋体" w:cs="Arial"/>
                <w:color w:val="auto"/>
                <w:sz w:val="21"/>
                <w:szCs w:val="21"/>
                <w:highlight w:val="none"/>
              </w:rPr>
              <w:t>"</w:t>
            </w:r>
          </w:p>
        </w:tc>
        <w:tc>
          <w:tcPr>
            <w:tcW w:w="703"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0</w:t>
            </w:r>
          </w:p>
        </w:tc>
        <w:tc>
          <w:tcPr>
            <w:tcW w:w="636"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lang w:val="en-US" w:eastAsia="zh-CN"/>
              </w:rPr>
              <w:t>1032</w:t>
            </w:r>
          </w:p>
        </w:tc>
        <w:tc>
          <w:tcPr>
            <w:tcW w:w="636"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highlight w:val="none"/>
                <w:lang w:val="en-US" w:eastAsia="zh-CN"/>
              </w:rPr>
              <w:t>100</w:t>
            </w:r>
          </w:p>
        </w:tc>
        <w:tc>
          <w:tcPr>
            <w:tcW w:w="618"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highlight w:val="none"/>
                <w:lang w:val="en-US" w:eastAsia="zh-CN"/>
              </w:rPr>
              <w:t>10</w:t>
            </w:r>
          </w:p>
        </w:tc>
        <w:tc>
          <w:tcPr>
            <w:tcW w:w="566"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lang w:val="en-US" w:eastAsia="zh-CN"/>
              </w:rPr>
              <w:t>5</w:t>
            </w:r>
            <w:r>
              <w:rPr>
                <w:rFonts w:hint="default" w:ascii="Arial" w:hAnsi="Arial" w:eastAsia="宋体" w:cs="Arial"/>
                <w:color w:val="auto"/>
                <w:sz w:val="21"/>
                <w:szCs w:val="21"/>
                <w:highlight w:val="none"/>
              </w:rPr>
              <w:t>.0</w:t>
            </w:r>
          </w:p>
        </w:tc>
        <w:tc>
          <w:tcPr>
            <w:tcW w:w="703"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TSP</w:t>
            </w:r>
          </w:p>
        </w:tc>
        <w:tc>
          <w:tcPr>
            <w:tcW w:w="1159" w:type="dxa"/>
            <w:vAlign w:val="center"/>
          </w:tcPr>
          <w:p>
            <w:pPr>
              <w:pStyle w:val="63"/>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highlight w:val="none"/>
                <w:lang w:val="en-US" w:eastAsia="zh-CN"/>
              </w:rPr>
              <w:t>0.157</w:t>
            </w:r>
          </w:p>
        </w:tc>
        <w:tc>
          <w:tcPr>
            <w:tcW w:w="590"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kg/h</w:t>
            </w:r>
          </w:p>
        </w:tc>
      </w:tr>
    </w:tbl>
    <w:p>
      <w:pPr>
        <w:pageBreakBefore w:val="0"/>
        <w:widowControl w:val="0"/>
        <w:kinsoku/>
        <w:wordWrap/>
        <w:overflowPunct w:val="0"/>
        <w:autoSpaceDN/>
        <w:bidi w:val="0"/>
        <w:adjustRightInd/>
        <w:snapToGrid/>
        <w:ind w:firstLine="480" w:firstLineChars="200"/>
        <w:textAlignment w:val="auto"/>
        <w:rPr>
          <w:rFonts w:hint="default" w:ascii="Arial" w:hAnsi="Arial" w:eastAsia="宋体" w:cs="Arial"/>
          <w:color w:val="auto"/>
          <w:highlight w:val="none"/>
        </w:rPr>
      </w:pPr>
      <w:r>
        <w:rPr>
          <w:rFonts w:hint="default" w:ascii="Arial" w:hAnsi="Arial" w:eastAsia="宋体" w:cs="Arial"/>
          <w:color w:val="auto"/>
          <w:highlight w:val="none"/>
        </w:rPr>
        <w:t>（4）估算模型计算结果</w:t>
      </w:r>
    </w:p>
    <w:p>
      <w:pPr>
        <w:pageBreakBefore w:val="0"/>
        <w:widowControl w:val="0"/>
        <w:kinsoku/>
        <w:wordWrap/>
        <w:topLinePunct w:val="0"/>
        <w:autoSpaceDE/>
        <w:autoSpaceDN/>
        <w:bidi w:val="0"/>
        <w:adjustRightInd/>
        <w:snapToGrid/>
        <w:ind w:firstLine="480" w:firstLineChars="200"/>
        <w:jc w:val="left"/>
        <w:textAlignment w:val="auto"/>
        <w:rPr>
          <w:rFonts w:hint="default" w:ascii="Arial" w:hAnsi="Arial" w:eastAsia="宋体" w:cs="Arial"/>
          <w:color w:val="auto"/>
          <w:szCs w:val="21"/>
          <w:highlight w:val="none"/>
        </w:rPr>
      </w:pPr>
      <w:r>
        <w:rPr>
          <w:rFonts w:hint="default" w:ascii="Arial" w:hAnsi="Arial" w:eastAsia="宋体" w:cs="Arial"/>
          <w:color w:val="auto"/>
          <w:szCs w:val="21"/>
          <w:highlight w:val="none"/>
        </w:rPr>
        <w:t>采用导则推荐的估算模式计算最大落地浓度和占标率，本项目所有污染源的正常排放的污染物的P</w:t>
      </w:r>
      <w:r>
        <w:rPr>
          <w:rFonts w:hint="default" w:ascii="Arial" w:hAnsi="Arial" w:eastAsia="宋体" w:cs="Arial"/>
          <w:color w:val="auto"/>
          <w:szCs w:val="21"/>
          <w:highlight w:val="none"/>
          <w:vertAlign w:val="subscript"/>
        </w:rPr>
        <w:t>max</w:t>
      </w:r>
      <w:r>
        <w:rPr>
          <w:rFonts w:hint="default" w:ascii="Arial" w:hAnsi="Arial" w:eastAsia="宋体" w:cs="Arial"/>
          <w:color w:val="auto"/>
          <w:szCs w:val="21"/>
          <w:highlight w:val="none"/>
        </w:rPr>
        <w:t>和D</w:t>
      </w:r>
      <w:r>
        <w:rPr>
          <w:rFonts w:hint="default" w:ascii="Arial" w:hAnsi="Arial" w:eastAsia="宋体" w:cs="Arial"/>
          <w:color w:val="auto"/>
          <w:szCs w:val="21"/>
          <w:highlight w:val="none"/>
          <w:vertAlign w:val="subscript"/>
        </w:rPr>
        <w:t>10%</w:t>
      </w:r>
      <w:r>
        <w:rPr>
          <w:rFonts w:hint="default" w:ascii="Arial" w:hAnsi="Arial" w:eastAsia="宋体" w:cs="Arial"/>
          <w:color w:val="auto"/>
          <w:szCs w:val="21"/>
          <w:highlight w:val="none"/>
        </w:rPr>
        <w:t>预测结果详见下表。</w:t>
      </w:r>
    </w:p>
    <w:p>
      <w:pPr>
        <w:pStyle w:val="8"/>
        <w:pageBreakBefore w:val="0"/>
        <w:widowControl w:val="0"/>
        <w:kinsoku/>
        <w:wordWrap/>
        <w:autoSpaceDN/>
        <w:bidi w:val="0"/>
        <w:adjustRightInd/>
        <w:snapToGrid/>
        <w:ind w:firstLine="482" w:firstLineChars="200"/>
        <w:textAlignment w:val="auto"/>
        <w:rPr>
          <w:rFonts w:hint="default" w:ascii="Arial" w:hAnsi="Arial" w:eastAsia="宋体" w:cs="Arial"/>
          <w:color w:val="auto"/>
          <w:highlight w:val="none"/>
        </w:rPr>
      </w:pPr>
      <w:r>
        <w:rPr>
          <w:rFonts w:hint="default" w:ascii="Arial" w:hAnsi="Arial" w:eastAsia="宋体" w:cs="Arial"/>
          <w:color w:val="auto"/>
          <w:highlight w:val="none"/>
        </w:rPr>
        <w:t>表2.5-4    主要污染源估算模型计算结果表</w:t>
      </w:r>
    </w:p>
    <w:tbl>
      <w:tblPr>
        <w:tblStyle w:val="39"/>
        <w:tblW w:w="9003"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108"/>
        <w:gridCol w:w="1541"/>
        <w:gridCol w:w="1226"/>
        <w:gridCol w:w="1878"/>
        <w:gridCol w:w="1750"/>
        <w:gridCol w:w="1500"/>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08" w:type="dxa"/>
            <w:vAlign w:val="center"/>
          </w:tcPr>
          <w:p>
            <w:pPr>
              <w:pStyle w:val="63"/>
              <w:rPr>
                <w:rFonts w:hint="default" w:ascii="Arial" w:hAnsi="Arial" w:eastAsia="宋体" w:cs="Arial"/>
                <w:snapToGrid w:val="0"/>
                <w:color w:val="auto"/>
                <w:sz w:val="21"/>
                <w:szCs w:val="21"/>
                <w:highlight w:val="none"/>
              </w:rPr>
            </w:pPr>
            <w:r>
              <w:rPr>
                <w:rFonts w:hint="default" w:ascii="Arial" w:hAnsi="Arial" w:eastAsia="宋体" w:cs="Arial"/>
                <w:snapToGrid w:val="0"/>
                <w:color w:val="auto"/>
                <w:sz w:val="21"/>
                <w:szCs w:val="21"/>
                <w:highlight w:val="none"/>
              </w:rPr>
              <w:t>污染源</w:t>
            </w:r>
          </w:p>
        </w:tc>
        <w:tc>
          <w:tcPr>
            <w:tcW w:w="1541" w:type="dxa"/>
            <w:vAlign w:val="center"/>
          </w:tcPr>
          <w:p>
            <w:pPr>
              <w:pStyle w:val="63"/>
              <w:rPr>
                <w:rFonts w:hint="default" w:ascii="Arial" w:hAnsi="Arial" w:eastAsia="宋体" w:cs="Arial"/>
                <w:snapToGrid w:val="0"/>
                <w:color w:val="auto"/>
                <w:sz w:val="21"/>
                <w:szCs w:val="21"/>
                <w:highlight w:val="none"/>
              </w:rPr>
            </w:pPr>
            <w:r>
              <w:rPr>
                <w:rFonts w:hint="default" w:ascii="Arial" w:hAnsi="Arial" w:eastAsia="宋体" w:cs="Arial"/>
                <w:snapToGrid w:val="0"/>
                <w:color w:val="auto"/>
                <w:sz w:val="21"/>
                <w:szCs w:val="21"/>
                <w:highlight w:val="none"/>
              </w:rPr>
              <w:t>因子</w:t>
            </w:r>
          </w:p>
        </w:tc>
        <w:tc>
          <w:tcPr>
            <w:tcW w:w="1226" w:type="dxa"/>
            <w:vAlign w:val="center"/>
          </w:tcPr>
          <w:p>
            <w:pPr>
              <w:pStyle w:val="63"/>
              <w:rPr>
                <w:rFonts w:hint="default" w:ascii="Arial" w:hAnsi="Arial" w:eastAsia="宋体" w:cs="Arial"/>
                <w:snapToGrid w:val="0"/>
                <w:color w:val="auto"/>
                <w:sz w:val="21"/>
                <w:szCs w:val="21"/>
                <w:highlight w:val="none"/>
              </w:rPr>
            </w:pPr>
            <w:r>
              <w:rPr>
                <w:rFonts w:hint="default" w:ascii="Arial" w:hAnsi="Arial" w:eastAsia="宋体" w:cs="Arial"/>
                <w:snapToGrid w:val="0"/>
                <w:color w:val="auto"/>
                <w:sz w:val="21"/>
                <w:szCs w:val="21"/>
                <w:highlight w:val="none"/>
              </w:rPr>
              <w:t>源强（kg/h）</w:t>
            </w:r>
          </w:p>
        </w:tc>
        <w:tc>
          <w:tcPr>
            <w:tcW w:w="1878" w:type="dxa"/>
            <w:vAlign w:val="center"/>
          </w:tcPr>
          <w:p>
            <w:pPr>
              <w:pStyle w:val="63"/>
              <w:rPr>
                <w:rFonts w:hint="default" w:ascii="Arial" w:hAnsi="Arial" w:eastAsia="宋体" w:cs="Arial"/>
                <w:snapToGrid w:val="0"/>
                <w:color w:val="auto"/>
                <w:sz w:val="21"/>
                <w:szCs w:val="21"/>
                <w:highlight w:val="none"/>
              </w:rPr>
            </w:pPr>
            <w:r>
              <w:rPr>
                <w:rFonts w:hint="default" w:ascii="Arial" w:hAnsi="Arial" w:eastAsia="宋体" w:cs="Arial"/>
                <w:snapToGrid w:val="0"/>
                <w:color w:val="auto"/>
                <w:sz w:val="21"/>
                <w:szCs w:val="21"/>
                <w:highlight w:val="none"/>
              </w:rPr>
              <w:t>最大质量浓度</w:t>
            </w:r>
          </w:p>
          <w:p>
            <w:pPr>
              <w:pStyle w:val="63"/>
              <w:rPr>
                <w:rFonts w:hint="default" w:ascii="Arial" w:hAnsi="Arial" w:eastAsia="宋体" w:cs="Arial"/>
                <w:snapToGrid w:val="0"/>
                <w:color w:val="auto"/>
                <w:sz w:val="21"/>
                <w:szCs w:val="21"/>
                <w:highlight w:val="none"/>
              </w:rPr>
            </w:pPr>
            <w:r>
              <w:rPr>
                <w:rFonts w:hint="default" w:ascii="Arial" w:hAnsi="Arial" w:eastAsia="宋体" w:cs="Arial"/>
                <w:snapToGrid w:val="0"/>
                <w:color w:val="auto"/>
                <w:sz w:val="21"/>
                <w:szCs w:val="21"/>
                <w:highlight w:val="none"/>
              </w:rPr>
              <w:t>（μg/m</w:t>
            </w:r>
            <w:r>
              <w:rPr>
                <w:rFonts w:hint="default" w:ascii="Arial" w:hAnsi="Arial" w:eastAsia="宋体" w:cs="Arial"/>
                <w:snapToGrid w:val="0"/>
                <w:color w:val="auto"/>
                <w:sz w:val="21"/>
                <w:szCs w:val="21"/>
                <w:highlight w:val="none"/>
                <w:vertAlign w:val="superscript"/>
              </w:rPr>
              <w:t>3</w:t>
            </w:r>
            <w:r>
              <w:rPr>
                <w:rFonts w:hint="default" w:ascii="Arial" w:hAnsi="Arial" w:eastAsia="宋体" w:cs="Arial"/>
                <w:snapToGrid w:val="0"/>
                <w:color w:val="auto"/>
                <w:sz w:val="21"/>
                <w:szCs w:val="21"/>
                <w:highlight w:val="none"/>
              </w:rPr>
              <w:t>）</w:t>
            </w:r>
          </w:p>
        </w:tc>
        <w:tc>
          <w:tcPr>
            <w:tcW w:w="1750" w:type="dxa"/>
            <w:vAlign w:val="center"/>
          </w:tcPr>
          <w:p>
            <w:pPr>
              <w:pStyle w:val="63"/>
              <w:rPr>
                <w:rFonts w:hint="default" w:ascii="Arial" w:hAnsi="Arial" w:eastAsia="宋体" w:cs="Arial"/>
                <w:snapToGrid w:val="0"/>
                <w:color w:val="auto"/>
                <w:sz w:val="21"/>
                <w:szCs w:val="21"/>
                <w:highlight w:val="none"/>
              </w:rPr>
            </w:pPr>
            <w:r>
              <w:rPr>
                <w:rFonts w:hint="default" w:ascii="Arial" w:hAnsi="Arial" w:eastAsia="宋体" w:cs="Arial"/>
                <w:snapToGrid w:val="0"/>
                <w:color w:val="auto"/>
                <w:sz w:val="21"/>
                <w:szCs w:val="21"/>
                <w:highlight w:val="none"/>
              </w:rPr>
              <w:t>最大质量浓度占标率（%）</w:t>
            </w:r>
          </w:p>
        </w:tc>
        <w:tc>
          <w:tcPr>
            <w:tcW w:w="1500" w:type="dxa"/>
            <w:vAlign w:val="center"/>
          </w:tcPr>
          <w:p>
            <w:pPr>
              <w:pStyle w:val="63"/>
              <w:rPr>
                <w:rFonts w:hint="default" w:ascii="Arial" w:hAnsi="Arial" w:eastAsia="宋体" w:cs="Arial"/>
                <w:snapToGrid w:val="0"/>
                <w:color w:val="auto"/>
                <w:sz w:val="21"/>
                <w:szCs w:val="21"/>
                <w:highlight w:val="none"/>
              </w:rPr>
            </w:pPr>
            <w:r>
              <w:rPr>
                <w:rFonts w:hint="default" w:ascii="Arial" w:hAnsi="Arial" w:eastAsia="宋体" w:cs="Arial"/>
                <w:snapToGrid w:val="0"/>
                <w:color w:val="auto"/>
                <w:sz w:val="21"/>
                <w:szCs w:val="21"/>
                <w:highlight w:val="none"/>
              </w:rPr>
              <w:t>D10%最远距离（m）</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08" w:type="dxa"/>
            <w:vMerge w:val="restart"/>
            <w:vAlign w:val="center"/>
          </w:tcPr>
          <w:p>
            <w:pPr>
              <w:pStyle w:val="63"/>
              <w:rPr>
                <w:rFonts w:hint="default" w:ascii="Arial" w:hAnsi="Arial" w:eastAsia="宋体" w:cs="Arial"/>
                <w:snapToGrid w:val="0"/>
                <w:color w:val="auto"/>
                <w:sz w:val="21"/>
                <w:szCs w:val="21"/>
                <w:highlight w:val="none"/>
              </w:rPr>
            </w:pPr>
            <w:r>
              <w:rPr>
                <w:rFonts w:hint="default" w:ascii="Arial" w:hAnsi="Arial" w:eastAsia="宋体" w:cs="Arial"/>
                <w:color w:val="auto"/>
                <w:sz w:val="21"/>
                <w:szCs w:val="21"/>
                <w:highlight w:val="none"/>
              </w:rPr>
              <w:t>牛舍及运动场</w:t>
            </w:r>
          </w:p>
        </w:tc>
        <w:tc>
          <w:tcPr>
            <w:tcW w:w="1541"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NH</w:t>
            </w:r>
            <w:r>
              <w:rPr>
                <w:rFonts w:hint="default" w:ascii="Arial" w:hAnsi="Arial" w:eastAsia="宋体" w:cs="Arial"/>
                <w:color w:val="auto"/>
                <w:sz w:val="21"/>
                <w:szCs w:val="21"/>
                <w:highlight w:val="none"/>
                <w:vertAlign w:val="subscript"/>
              </w:rPr>
              <w:t>3</w:t>
            </w:r>
          </w:p>
        </w:tc>
        <w:tc>
          <w:tcPr>
            <w:tcW w:w="1226" w:type="dxa"/>
            <w:vAlign w:val="center"/>
          </w:tcPr>
          <w:p>
            <w:pPr>
              <w:pStyle w:val="63"/>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Cs w:val="21"/>
                <w:highlight w:val="none"/>
                <w:lang w:val="en-US" w:eastAsia="zh-CN"/>
              </w:rPr>
              <w:t>0.0833</w:t>
            </w:r>
          </w:p>
        </w:tc>
        <w:tc>
          <w:tcPr>
            <w:tcW w:w="1878" w:type="dxa"/>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8.86978</w:t>
            </w:r>
          </w:p>
        </w:tc>
        <w:tc>
          <w:tcPr>
            <w:tcW w:w="1750" w:type="dxa"/>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4.43</w:t>
            </w:r>
          </w:p>
        </w:tc>
        <w:tc>
          <w:tcPr>
            <w:tcW w:w="1500" w:type="dxa"/>
            <w:vAlign w:val="center"/>
          </w:tcPr>
          <w:p>
            <w:pPr>
              <w:pStyle w:val="63"/>
              <w:rPr>
                <w:rFonts w:hint="default" w:ascii="Arial" w:hAnsi="Arial" w:eastAsia="宋体" w:cs="Arial"/>
                <w:snapToGrid w:val="0"/>
                <w:color w:val="auto"/>
                <w:sz w:val="21"/>
                <w:szCs w:val="21"/>
                <w:highlight w:val="none"/>
              </w:rPr>
            </w:pPr>
            <w:r>
              <w:rPr>
                <w:rFonts w:hint="default" w:ascii="Arial" w:hAnsi="Arial" w:eastAsia="宋体" w:cs="Arial"/>
                <w:snapToGrid w:val="0"/>
                <w:color w:val="auto"/>
                <w:sz w:val="21"/>
                <w:szCs w:val="21"/>
                <w:highlight w:val="none"/>
              </w:rPr>
              <w:t>未出现</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08" w:type="dxa"/>
            <w:vMerge w:val="continue"/>
            <w:vAlign w:val="center"/>
          </w:tcPr>
          <w:p>
            <w:pPr>
              <w:pStyle w:val="63"/>
              <w:rPr>
                <w:rFonts w:hint="default" w:ascii="Arial" w:hAnsi="Arial" w:eastAsia="宋体" w:cs="Arial"/>
                <w:snapToGrid w:val="0"/>
                <w:color w:val="auto"/>
                <w:sz w:val="21"/>
                <w:szCs w:val="21"/>
                <w:highlight w:val="none"/>
              </w:rPr>
            </w:pPr>
          </w:p>
        </w:tc>
        <w:tc>
          <w:tcPr>
            <w:tcW w:w="1541"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H</w:t>
            </w:r>
            <w:r>
              <w:rPr>
                <w:rFonts w:hint="default" w:ascii="Arial" w:hAnsi="Arial" w:eastAsia="宋体" w:cs="Arial"/>
                <w:color w:val="auto"/>
                <w:sz w:val="21"/>
                <w:szCs w:val="21"/>
                <w:highlight w:val="none"/>
                <w:vertAlign w:val="subscript"/>
              </w:rPr>
              <w:t>2</w:t>
            </w:r>
            <w:r>
              <w:rPr>
                <w:rFonts w:hint="default" w:ascii="Arial" w:hAnsi="Arial" w:eastAsia="宋体" w:cs="Arial"/>
                <w:color w:val="auto"/>
                <w:sz w:val="21"/>
                <w:szCs w:val="21"/>
                <w:highlight w:val="none"/>
              </w:rPr>
              <w:t>S</w:t>
            </w:r>
          </w:p>
        </w:tc>
        <w:tc>
          <w:tcPr>
            <w:tcW w:w="1226" w:type="dxa"/>
            <w:vAlign w:val="center"/>
          </w:tcPr>
          <w:p>
            <w:pPr>
              <w:pStyle w:val="63"/>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highlight w:val="none"/>
              </w:rPr>
              <w:t>0.00</w:t>
            </w:r>
            <w:r>
              <w:rPr>
                <w:rFonts w:hint="default" w:ascii="Arial" w:hAnsi="Arial" w:eastAsia="宋体" w:cs="Arial"/>
                <w:color w:val="auto"/>
                <w:highlight w:val="none"/>
                <w:lang w:val="en-US" w:eastAsia="zh-CN"/>
              </w:rPr>
              <w:t>11</w:t>
            </w:r>
          </w:p>
        </w:tc>
        <w:tc>
          <w:tcPr>
            <w:tcW w:w="1878" w:type="dxa"/>
            <w:vAlign w:val="center"/>
          </w:tcPr>
          <w:p>
            <w:pPr>
              <w:pStyle w:val="63"/>
              <w:ind w:firstLine="0" w:firstLineChars="0"/>
              <w:rPr>
                <w:rFonts w:hint="default" w:ascii="Arial" w:hAnsi="Arial" w:eastAsia="宋体" w:cs="Arial"/>
                <w:snapToGrid w:val="0"/>
                <w:color w:val="auto"/>
                <w:kern w:val="2"/>
                <w:sz w:val="21"/>
                <w:szCs w:val="21"/>
                <w:highlight w:val="none"/>
                <w:lang w:val="en-US" w:eastAsia="zh-CN" w:bidi="ar-SA"/>
              </w:rPr>
            </w:pPr>
            <w:r>
              <w:rPr>
                <w:rFonts w:hint="default" w:ascii="Arial" w:hAnsi="Arial" w:eastAsia="宋体" w:cs="Arial"/>
                <w:snapToGrid w:val="0"/>
                <w:color w:val="auto"/>
                <w:sz w:val="21"/>
                <w:szCs w:val="21"/>
                <w:highlight w:val="none"/>
                <w:lang w:val="en-US" w:eastAsia="zh-CN"/>
              </w:rPr>
              <w:t>0.16822</w:t>
            </w:r>
          </w:p>
        </w:tc>
        <w:tc>
          <w:tcPr>
            <w:tcW w:w="1750" w:type="dxa"/>
            <w:vAlign w:val="center"/>
          </w:tcPr>
          <w:p>
            <w:pPr>
              <w:pStyle w:val="63"/>
              <w:ind w:firstLine="0" w:firstLineChars="0"/>
              <w:rPr>
                <w:rFonts w:hint="default" w:ascii="Arial" w:hAnsi="Arial" w:eastAsia="宋体" w:cs="Arial"/>
                <w:snapToGrid w:val="0"/>
                <w:color w:val="auto"/>
                <w:kern w:val="2"/>
                <w:sz w:val="21"/>
                <w:szCs w:val="21"/>
                <w:highlight w:val="none"/>
                <w:lang w:val="en-US" w:eastAsia="zh-CN" w:bidi="ar-SA"/>
              </w:rPr>
            </w:pPr>
            <w:r>
              <w:rPr>
                <w:rFonts w:hint="default" w:ascii="Arial" w:hAnsi="Arial" w:eastAsia="宋体" w:cs="Arial"/>
                <w:snapToGrid w:val="0"/>
                <w:color w:val="auto"/>
                <w:sz w:val="21"/>
                <w:szCs w:val="21"/>
                <w:highlight w:val="none"/>
                <w:lang w:val="en-US" w:eastAsia="zh-CN"/>
              </w:rPr>
              <w:t>1.68</w:t>
            </w:r>
          </w:p>
        </w:tc>
        <w:tc>
          <w:tcPr>
            <w:tcW w:w="1500" w:type="dxa"/>
            <w:vAlign w:val="center"/>
          </w:tcPr>
          <w:p>
            <w:pPr>
              <w:pStyle w:val="63"/>
              <w:rPr>
                <w:rFonts w:hint="default" w:ascii="Arial" w:hAnsi="Arial" w:eastAsia="宋体" w:cs="Arial"/>
                <w:snapToGrid w:val="0"/>
                <w:color w:val="auto"/>
                <w:sz w:val="21"/>
                <w:szCs w:val="21"/>
                <w:highlight w:val="none"/>
              </w:rPr>
            </w:pPr>
            <w:r>
              <w:rPr>
                <w:rFonts w:hint="default" w:ascii="Arial" w:hAnsi="Arial" w:eastAsia="宋体" w:cs="Arial"/>
                <w:snapToGrid w:val="0"/>
                <w:color w:val="auto"/>
                <w:sz w:val="21"/>
                <w:szCs w:val="21"/>
                <w:highlight w:val="none"/>
              </w:rPr>
              <w:t>未出现</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08" w:type="dxa"/>
            <w:vMerge w:val="restart"/>
            <w:vAlign w:val="center"/>
          </w:tcPr>
          <w:p>
            <w:pPr>
              <w:pStyle w:val="63"/>
              <w:rPr>
                <w:rFonts w:hint="default" w:ascii="Arial" w:hAnsi="Arial" w:eastAsia="宋体" w:cs="Arial"/>
                <w:snapToGrid w:val="0"/>
                <w:color w:val="auto"/>
                <w:sz w:val="21"/>
                <w:szCs w:val="21"/>
                <w:highlight w:val="none"/>
                <w:lang w:eastAsia="zh-CN"/>
              </w:rPr>
            </w:pPr>
            <w:r>
              <w:rPr>
                <w:rFonts w:hint="default" w:ascii="Arial" w:hAnsi="Arial" w:eastAsia="宋体" w:cs="Arial"/>
                <w:color w:val="auto"/>
                <w:sz w:val="21"/>
                <w:szCs w:val="21"/>
                <w:highlight w:val="none"/>
                <w:lang w:eastAsia="zh-CN"/>
              </w:rPr>
              <w:t>堆肥场</w:t>
            </w:r>
          </w:p>
        </w:tc>
        <w:tc>
          <w:tcPr>
            <w:tcW w:w="1541"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NH</w:t>
            </w:r>
            <w:r>
              <w:rPr>
                <w:rFonts w:hint="default" w:ascii="Arial" w:hAnsi="Arial" w:eastAsia="宋体" w:cs="Arial"/>
                <w:color w:val="auto"/>
                <w:sz w:val="21"/>
                <w:szCs w:val="21"/>
                <w:highlight w:val="none"/>
                <w:vertAlign w:val="subscript"/>
              </w:rPr>
              <w:t>3</w:t>
            </w:r>
          </w:p>
        </w:tc>
        <w:tc>
          <w:tcPr>
            <w:tcW w:w="1226" w:type="dxa"/>
            <w:vAlign w:val="center"/>
          </w:tcPr>
          <w:p>
            <w:pPr>
              <w:pStyle w:val="63"/>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Cs w:val="21"/>
                <w:highlight w:val="none"/>
              </w:rPr>
              <w:t>0.</w:t>
            </w:r>
            <w:r>
              <w:rPr>
                <w:rFonts w:hint="default" w:ascii="Arial" w:hAnsi="Arial" w:eastAsia="宋体" w:cs="Arial"/>
                <w:color w:val="auto"/>
                <w:szCs w:val="21"/>
                <w:highlight w:val="none"/>
                <w:lang w:val="en-US" w:eastAsia="zh-CN"/>
              </w:rPr>
              <w:t>0555</w:t>
            </w:r>
          </w:p>
        </w:tc>
        <w:tc>
          <w:tcPr>
            <w:tcW w:w="1878" w:type="dxa"/>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19.6004</w:t>
            </w:r>
          </w:p>
        </w:tc>
        <w:tc>
          <w:tcPr>
            <w:tcW w:w="1750" w:type="dxa"/>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9.80</w:t>
            </w:r>
          </w:p>
        </w:tc>
        <w:tc>
          <w:tcPr>
            <w:tcW w:w="1500" w:type="dxa"/>
            <w:vAlign w:val="center"/>
          </w:tcPr>
          <w:p>
            <w:pPr>
              <w:pStyle w:val="63"/>
              <w:rPr>
                <w:rFonts w:hint="default" w:ascii="Arial" w:hAnsi="Arial" w:eastAsia="宋体" w:cs="Arial"/>
                <w:snapToGrid w:val="0"/>
                <w:color w:val="auto"/>
                <w:sz w:val="21"/>
                <w:szCs w:val="21"/>
                <w:highlight w:val="none"/>
              </w:rPr>
            </w:pPr>
            <w:r>
              <w:rPr>
                <w:rFonts w:hint="default" w:ascii="Arial" w:hAnsi="Arial" w:eastAsia="宋体" w:cs="Arial"/>
                <w:snapToGrid w:val="0"/>
                <w:color w:val="auto"/>
                <w:sz w:val="21"/>
                <w:szCs w:val="21"/>
                <w:highlight w:val="none"/>
              </w:rPr>
              <w:t>未出现</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08" w:type="dxa"/>
            <w:vMerge w:val="continue"/>
            <w:vAlign w:val="center"/>
          </w:tcPr>
          <w:p>
            <w:pPr>
              <w:pStyle w:val="63"/>
              <w:rPr>
                <w:rFonts w:hint="default" w:ascii="Arial" w:hAnsi="Arial" w:eastAsia="宋体" w:cs="Arial"/>
                <w:snapToGrid w:val="0"/>
                <w:color w:val="auto"/>
                <w:sz w:val="21"/>
                <w:szCs w:val="21"/>
                <w:highlight w:val="none"/>
              </w:rPr>
            </w:pPr>
          </w:p>
        </w:tc>
        <w:tc>
          <w:tcPr>
            <w:tcW w:w="1541"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H</w:t>
            </w:r>
            <w:r>
              <w:rPr>
                <w:rFonts w:hint="default" w:ascii="Arial" w:hAnsi="Arial" w:eastAsia="宋体" w:cs="Arial"/>
                <w:color w:val="auto"/>
                <w:sz w:val="21"/>
                <w:szCs w:val="21"/>
                <w:highlight w:val="none"/>
                <w:vertAlign w:val="subscript"/>
              </w:rPr>
              <w:t>2</w:t>
            </w:r>
            <w:r>
              <w:rPr>
                <w:rFonts w:hint="default" w:ascii="Arial" w:hAnsi="Arial" w:eastAsia="宋体" w:cs="Arial"/>
                <w:color w:val="auto"/>
                <w:sz w:val="21"/>
                <w:szCs w:val="21"/>
                <w:highlight w:val="none"/>
              </w:rPr>
              <w:t>S</w:t>
            </w:r>
          </w:p>
        </w:tc>
        <w:tc>
          <w:tcPr>
            <w:tcW w:w="1226" w:type="dxa"/>
            <w:vAlign w:val="center"/>
          </w:tcPr>
          <w:p>
            <w:pPr>
              <w:pStyle w:val="63"/>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highlight w:val="none"/>
              </w:rPr>
              <w:t>0.00</w:t>
            </w:r>
            <w:r>
              <w:rPr>
                <w:rFonts w:hint="default" w:ascii="Arial" w:hAnsi="Arial" w:eastAsia="宋体" w:cs="Arial"/>
                <w:color w:val="auto"/>
                <w:highlight w:val="none"/>
                <w:lang w:val="en-US" w:eastAsia="zh-CN"/>
              </w:rPr>
              <w:t>07</w:t>
            </w:r>
          </w:p>
        </w:tc>
        <w:tc>
          <w:tcPr>
            <w:tcW w:w="1878" w:type="dxa"/>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0.35637</w:t>
            </w:r>
          </w:p>
        </w:tc>
        <w:tc>
          <w:tcPr>
            <w:tcW w:w="1750" w:type="dxa"/>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3.56</w:t>
            </w:r>
          </w:p>
        </w:tc>
        <w:tc>
          <w:tcPr>
            <w:tcW w:w="1500" w:type="dxa"/>
            <w:vAlign w:val="center"/>
          </w:tcPr>
          <w:p>
            <w:pPr>
              <w:pStyle w:val="63"/>
              <w:rPr>
                <w:rFonts w:hint="default" w:ascii="Arial" w:hAnsi="Arial" w:eastAsia="宋体" w:cs="Arial"/>
                <w:snapToGrid w:val="0"/>
                <w:color w:val="auto"/>
                <w:sz w:val="21"/>
                <w:szCs w:val="21"/>
                <w:highlight w:val="none"/>
              </w:rPr>
            </w:pPr>
            <w:r>
              <w:rPr>
                <w:rFonts w:hint="default" w:ascii="Arial" w:hAnsi="Arial" w:eastAsia="宋体" w:cs="Arial"/>
                <w:snapToGrid w:val="0"/>
                <w:color w:val="auto"/>
                <w:sz w:val="21"/>
                <w:szCs w:val="21"/>
                <w:highlight w:val="none"/>
              </w:rPr>
              <w:t>未出现</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08" w:type="dxa"/>
            <w:vAlign w:val="center"/>
          </w:tcPr>
          <w:p>
            <w:pPr>
              <w:pStyle w:val="63"/>
              <w:rPr>
                <w:rFonts w:hint="default" w:ascii="Arial" w:hAnsi="Arial" w:eastAsia="宋体" w:cs="Arial"/>
                <w:snapToGrid w:val="0"/>
                <w:color w:val="auto"/>
                <w:sz w:val="21"/>
                <w:szCs w:val="21"/>
                <w:highlight w:val="none"/>
                <w:lang w:eastAsia="zh-CN"/>
              </w:rPr>
            </w:pPr>
            <w:r>
              <w:rPr>
                <w:rFonts w:hint="default" w:ascii="Arial" w:hAnsi="Arial" w:eastAsia="宋体" w:cs="Arial"/>
                <w:color w:val="auto"/>
                <w:sz w:val="21"/>
                <w:szCs w:val="21"/>
                <w:highlight w:val="none"/>
                <w:lang w:eastAsia="zh-CN"/>
              </w:rPr>
              <w:t>饲草料库房</w:t>
            </w:r>
          </w:p>
        </w:tc>
        <w:tc>
          <w:tcPr>
            <w:tcW w:w="1541"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TSP</w:t>
            </w:r>
          </w:p>
        </w:tc>
        <w:tc>
          <w:tcPr>
            <w:tcW w:w="1226" w:type="dxa"/>
            <w:vAlign w:val="center"/>
          </w:tcPr>
          <w:p>
            <w:pPr>
              <w:pStyle w:val="63"/>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highlight w:val="none"/>
                <w:lang w:val="en-US" w:eastAsia="zh-CN"/>
              </w:rPr>
              <w:t>0.157</w:t>
            </w:r>
          </w:p>
        </w:tc>
        <w:tc>
          <w:tcPr>
            <w:tcW w:w="1878" w:type="dxa"/>
            <w:vAlign w:val="center"/>
          </w:tcPr>
          <w:p>
            <w:pPr>
              <w:keepNext w:val="0"/>
              <w:keepLines w:val="0"/>
              <w:pageBreakBefore w:val="0"/>
              <w:kinsoku/>
              <w:wordWrap/>
              <w:overflowPunct/>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23.973</w:t>
            </w:r>
          </w:p>
        </w:tc>
        <w:tc>
          <w:tcPr>
            <w:tcW w:w="1750" w:type="dxa"/>
            <w:vAlign w:val="center"/>
          </w:tcPr>
          <w:p>
            <w:pPr>
              <w:keepNext w:val="0"/>
              <w:keepLines w:val="0"/>
              <w:pageBreakBefore w:val="0"/>
              <w:kinsoku/>
              <w:wordWrap/>
              <w:overflowPunct/>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2.66</w:t>
            </w:r>
          </w:p>
        </w:tc>
        <w:tc>
          <w:tcPr>
            <w:tcW w:w="1500" w:type="dxa"/>
            <w:vAlign w:val="center"/>
          </w:tcPr>
          <w:p>
            <w:pPr>
              <w:pStyle w:val="63"/>
              <w:rPr>
                <w:rFonts w:hint="default" w:ascii="Arial" w:hAnsi="Arial" w:eastAsia="宋体" w:cs="Arial"/>
                <w:snapToGrid w:val="0"/>
                <w:color w:val="auto"/>
                <w:sz w:val="21"/>
                <w:szCs w:val="21"/>
                <w:highlight w:val="none"/>
              </w:rPr>
            </w:pPr>
            <w:r>
              <w:rPr>
                <w:rFonts w:hint="default" w:ascii="Arial" w:hAnsi="Arial" w:eastAsia="宋体" w:cs="Arial"/>
                <w:snapToGrid w:val="0"/>
                <w:color w:val="auto"/>
                <w:sz w:val="21"/>
                <w:szCs w:val="21"/>
                <w:highlight w:val="none"/>
              </w:rPr>
              <w:t>未出现</w:t>
            </w:r>
          </w:p>
        </w:tc>
      </w:tr>
    </w:tbl>
    <w:p>
      <w:pPr>
        <w:ind w:firstLine="480"/>
        <w:rPr>
          <w:rFonts w:hint="default" w:ascii="Arial" w:hAnsi="Arial" w:eastAsia="宋体" w:cs="Arial"/>
          <w:color w:val="auto"/>
          <w:highlight w:val="none"/>
        </w:rPr>
      </w:pPr>
      <w:r>
        <w:rPr>
          <w:rFonts w:hint="default" w:ascii="Arial" w:hAnsi="Arial" w:eastAsia="宋体" w:cs="Arial"/>
          <w:color w:val="auto"/>
          <w:highlight w:val="none"/>
        </w:rPr>
        <w:t>据估算模式计算结果可知，</w:t>
      </w:r>
      <w:r>
        <w:rPr>
          <w:rFonts w:hint="default" w:ascii="Arial" w:hAnsi="Arial" w:eastAsia="宋体" w:cs="Arial"/>
          <w:color w:val="auto"/>
          <w:highlight w:val="none"/>
          <w:lang w:eastAsia="zh-CN"/>
        </w:rPr>
        <w:t>堆肥场</w:t>
      </w:r>
      <w:r>
        <w:rPr>
          <w:rFonts w:hint="default" w:ascii="Arial" w:hAnsi="Arial" w:eastAsia="宋体" w:cs="Arial"/>
          <w:color w:val="auto"/>
          <w:highlight w:val="none"/>
        </w:rPr>
        <w:t>无组织排放的</w:t>
      </w:r>
      <w:r>
        <w:rPr>
          <w:rFonts w:hint="default" w:ascii="Arial" w:hAnsi="Arial" w:eastAsia="宋体" w:cs="Arial"/>
          <w:color w:val="auto"/>
          <w:highlight w:val="none"/>
          <w:lang w:eastAsia="zh-CN"/>
        </w:rPr>
        <w:t>氨气</w:t>
      </w:r>
      <w:r>
        <w:rPr>
          <w:rFonts w:hint="default" w:ascii="Arial" w:hAnsi="Arial" w:eastAsia="宋体" w:cs="Arial"/>
          <w:color w:val="auto"/>
          <w:highlight w:val="none"/>
        </w:rPr>
        <w:t>最大地面空气质量浓度占标率为9.80%，污染物最大地面浓度占标率1%≤Pmax＜10%，确定本项目的大气环境评价工作等级为二级。</w:t>
      </w:r>
    </w:p>
    <w:p>
      <w:pPr>
        <w:ind w:firstLine="480"/>
        <w:rPr>
          <w:rFonts w:hint="default" w:ascii="Arial" w:hAnsi="Arial" w:eastAsia="宋体" w:cs="Arial"/>
          <w:color w:val="auto"/>
          <w:highlight w:val="none"/>
        </w:rPr>
      </w:pPr>
      <w:r>
        <w:rPr>
          <w:rFonts w:hint="default" w:ascii="Arial" w:hAnsi="Arial" w:eastAsia="宋体" w:cs="Arial"/>
          <w:color w:val="auto"/>
          <w:highlight w:val="none"/>
        </w:rPr>
        <w:t>（2）评价范围</w:t>
      </w:r>
    </w:p>
    <w:p>
      <w:pPr>
        <w:ind w:firstLine="480"/>
        <w:rPr>
          <w:rFonts w:hint="default" w:ascii="Arial" w:hAnsi="Arial" w:eastAsia="宋体" w:cs="Arial"/>
          <w:color w:val="auto"/>
          <w:highlight w:val="none"/>
        </w:rPr>
      </w:pPr>
      <w:r>
        <w:rPr>
          <w:rFonts w:hint="default" w:ascii="Arial" w:hAnsi="Arial" w:eastAsia="宋体" w:cs="Arial"/>
          <w:color w:val="auto"/>
          <w:highlight w:val="none"/>
        </w:rPr>
        <w:t>根据《环境影响评价技术导则 大气环境》（HJ2.2-2018），评价范围根据建设项目排放污染物的最远影响距离（D10%）确定大气环境影响评价范围，本项目D10%未出现，当D10%小于2.5km时，评价范围边长取5km。因此，本次评价大气环境影响评价范围边长取5km的矩形区域。</w:t>
      </w:r>
    </w:p>
    <w:p>
      <w:pPr>
        <w:ind w:firstLine="480"/>
        <w:rPr>
          <w:rFonts w:hint="default" w:ascii="Arial" w:hAnsi="Arial" w:eastAsia="宋体" w:cs="Arial"/>
          <w:color w:val="auto"/>
          <w:highlight w:val="none"/>
        </w:rPr>
      </w:pPr>
      <w:r>
        <w:rPr>
          <w:rFonts w:hint="default" w:ascii="Arial" w:hAnsi="Arial" w:eastAsia="宋体" w:cs="Arial"/>
          <w:color w:val="auto"/>
          <w:highlight w:val="none"/>
        </w:rPr>
        <w:t>项目大气环境评价范围如2.6-1所示。</w:t>
      </w:r>
    </w:p>
    <w:p>
      <w:pPr>
        <w:pStyle w:val="6"/>
        <w:rPr>
          <w:rFonts w:hint="default" w:ascii="Arial" w:hAnsi="Arial" w:eastAsia="宋体" w:cs="Arial"/>
          <w:color w:val="auto"/>
          <w:highlight w:val="none"/>
        </w:rPr>
      </w:pPr>
      <w:bookmarkStart w:id="158" w:name="_Toc15996"/>
      <w:bookmarkStart w:id="159" w:name="_Toc23971"/>
      <w:bookmarkStart w:id="160" w:name="_Toc452567813"/>
      <w:bookmarkStart w:id="161" w:name="_Toc512871531"/>
      <w:bookmarkStart w:id="162" w:name="_Toc453603068"/>
      <w:r>
        <w:rPr>
          <w:rFonts w:hint="default" w:ascii="Arial" w:hAnsi="Arial" w:eastAsia="宋体" w:cs="Arial"/>
          <w:color w:val="auto"/>
          <w:highlight w:val="none"/>
        </w:rPr>
        <w:t>2.5.2地表水环境</w:t>
      </w:r>
      <w:bookmarkEnd w:id="158"/>
    </w:p>
    <w:p>
      <w:pPr>
        <w:ind w:firstLine="480"/>
        <w:rPr>
          <w:rFonts w:hint="default" w:ascii="Arial" w:hAnsi="Arial" w:eastAsia="宋体" w:cs="Arial"/>
          <w:color w:val="auto"/>
          <w:highlight w:val="none"/>
        </w:rPr>
      </w:pPr>
      <w:r>
        <w:rPr>
          <w:rFonts w:hint="default" w:ascii="Arial" w:hAnsi="Arial" w:eastAsia="宋体" w:cs="Arial"/>
          <w:color w:val="auto"/>
          <w:highlight w:val="none"/>
        </w:rPr>
        <w:t>本项目为水污染影响型建设项目，</w:t>
      </w:r>
      <w:r>
        <w:rPr>
          <w:rFonts w:hint="default" w:ascii="Arial" w:hAnsi="Arial" w:eastAsia="宋体" w:cs="Arial"/>
          <w:color w:val="auto"/>
          <w:highlight w:val="none"/>
          <w:lang w:eastAsia="zh-CN"/>
        </w:rPr>
        <w:t>无生产废水排放；</w:t>
      </w:r>
      <w:r>
        <w:rPr>
          <w:rFonts w:hint="default" w:ascii="Arial" w:hAnsi="Arial" w:eastAsia="宋体" w:cs="Arial"/>
          <w:color w:val="auto"/>
          <w:highlight w:val="none"/>
        </w:rPr>
        <w:t>生活污水经化粪池暂存处理后，定期清掏</w:t>
      </w:r>
      <w:r>
        <w:rPr>
          <w:rFonts w:hint="default" w:ascii="Arial" w:hAnsi="Arial" w:eastAsia="宋体" w:cs="Arial"/>
          <w:color w:val="auto"/>
          <w:highlight w:val="none"/>
          <w:lang w:eastAsia="zh-CN"/>
        </w:rPr>
        <w:t>，不排放。</w:t>
      </w:r>
      <w:r>
        <w:rPr>
          <w:rFonts w:hint="default" w:ascii="Arial" w:hAnsi="Arial" w:eastAsia="宋体" w:cs="Arial"/>
          <w:color w:val="auto"/>
          <w:highlight w:val="none"/>
        </w:rPr>
        <w:t>根据《环境影响评价技术导则—地表水环境》（HJ2.3-2018）进行评价等级判定，见下表。</w:t>
      </w:r>
    </w:p>
    <w:p>
      <w:pPr>
        <w:pStyle w:val="8"/>
        <w:rPr>
          <w:rFonts w:hint="default" w:ascii="Arial" w:hAnsi="Arial" w:eastAsia="宋体" w:cs="Arial"/>
          <w:color w:val="auto"/>
          <w:highlight w:val="none"/>
        </w:rPr>
      </w:pPr>
      <w:r>
        <w:rPr>
          <w:rFonts w:hint="default" w:ascii="Arial" w:hAnsi="Arial" w:eastAsia="宋体" w:cs="Arial"/>
          <w:color w:val="auto"/>
          <w:highlight w:val="none"/>
        </w:rPr>
        <w:t>表2.5-5    水污染影响型建设项目评价等级判定表</w:t>
      </w:r>
    </w:p>
    <w:tbl>
      <w:tblPr>
        <w:tblStyle w:val="39"/>
        <w:tblW w:w="9003" w:type="dxa"/>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2051"/>
        <w:gridCol w:w="2051"/>
        <w:gridCol w:w="4901"/>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051" w:type="dxa"/>
            <w:vMerge w:val="restart"/>
            <w:vAlign w:val="center"/>
          </w:tcPr>
          <w:p>
            <w:pPr>
              <w:overflowPunct w:val="0"/>
              <w:spacing w:line="360" w:lineRule="exact"/>
              <w:ind w:firstLine="0" w:firstLineChars="0"/>
              <w:jc w:val="center"/>
              <w:textAlignment w:val="center"/>
              <w:rPr>
                <w:rFonts w:hint="default" w:ascii="Arial" w:hAnsi="Arial" w:eastAsia="宋体" w:cs="Arial"/>
                <w:color w:val="auto"/>
                <w:sz w:val="21"/>
                <w:highlight w:val="none"/>
              </w:rPr>
            </w:pPr>
            <w:r>
              <w:rPr>
                <w:rFonts w:hint="default" w:ascii="Arial" w:hAnsi="Arial" w:eastAsia="宋体" w:cs="Arial"/>
                <w:color w:val="auto"/>
                <w:sz w:val="21"/>
                <w:highlight w:val="none"/>
              </w:rPr>
              <w:t>评级等级</w:t>
            </w:r>
          </w:p>
        </w:tc>
        <w:tc>
          <w:tcPr>
            <w:tcW w:w="6952" w:type="dxa"/>
            <w:gridSpan w:val="2"/>
            <w:vAlign w:val="center"/>
          </w:tcPr>
          <w:p>
            <w:pPr>
              <w:overflowPunct w:val="0"/>
              <w:spacing w:line="360" w:lineRule="exact"/>
              <w:ind w:firstLine="0" w:firstLineChars="0"/>
              <w:jc w:val="center"/>
              <w:textAlignment w:val="center"/>
              <w:rPr>
                <w:rFonts w:hint="default" w:ascii="Arial" w:hAnsi="Arial" w:eastAsia="宋体" w:cs="Arial"/>
                <w:color w:val="auto"/>
                <w:sz w:val="21"/>
                <w:highlight w:val="none"/>
              </w:rPr>
            </w:pPr>
            <w:r>
              <w:rPr>
                <w:rFonts w:hint="default" w:ascii="Arial" w:hAnsi="Arial" w:eastAsia="宋体" w:cs="Arial"/>
                <w:color w:val="auto"/>
                <w:sz w:val="21"/>
                <w:highlight w:val="none"/>
              </w:rPr>
              <w:t>判定依据</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051" w:type="dxa"/>
            <w:vMerge w:val="continue"/>
            <w:vAlign w:val="center"/>
          </w:tcPr>
          <w:p>
            <w:pPr>
              <w:overflowPunct w:val="0"/>
              <w:spacing w:line="360" w:lineRule="exact"/>
              <w:ind w:firstLine="0" w:firstLineChars="0"/>
              <w:jc w:val="center"/>
              <w:textAlignment w:val="center"/>
              <w:rPr>
                <w:rFonts w:hint="default" w:ascii="Arial" w:hAnsi="Arial" w:eastAsia="宋体" w:cs="Arial"/>
                <w:color w:val="auto"/>
                <w:sz w:val="21"/>
                <w:highlight w:val="none"/>
              </w:rPr>
            </w:pPr>
          </w:p>
        </w:tc>
        <w:tc>
          <w:tcPr>
            <w:tcW w:w="2051" w:type="dxa"/>
            <w:vAlign w:val="center"/>
          </w:tcPr>
          <w:p>
            <w:pPr>
              <w:overflowPunct w:val="0"/>
              <w:spacing w:line="360" w:lineRule="exact"/>
              <w:ind w:firstLine="0" w:firstLineChars="0"/>
              <w:jc w:val="center"/>
              <w:textAlignment w:val="center"/>
              <w:rPr>
                <w:rFonts w:hint="default" w:ascii="Arial" w:hAnsi="Arial" w:eastAsia="宋体" w:cs="Arial"/>
                <w:color w:val="auto"/>
                <w:sz w:val="21"/>
                <w:highlight w:val="none"/>
              </w:rPr>
            </w:pPr>
            <w:r>
              <w:rPr>
                <w:rFonts w:hint="default" w:ascii="Arial" w:hAnsi="Arial" w:eastAsia="宋体" w:cs="Arial"/>
                <w:color w:val="auto"/>
                <w:sz w:val="21"/>
                <w:highlight w:val="none"/>
              </w:rPr>
              <w:t>排放方式</w:t>
            </w:r>
          </w:p>
        </w:tc>
        <w:tc>
          <w:tcPr>
            <w:tcW w:w="4901" w:type="dxa"/>
            <w:vAlign w:val="center"/>
          </w:tcPr>
          <w:p>
            <w:pPr>
              <w:overflowPunct w:val="0"/>
              <w:spacing w:line="360" w:lineRule="exact"/>
              <w:ind w:firstLine="0" w:firstLineChars="0"/>
              <w:jc w:val="center"/>
              <w:textAlignment w:val="center"/>
              <w:rPr>
                <w:rFonts w:hint="default" w:ascii="Arial" w:hAnsi="Arial" w:eastAsia="宋体" w:cs="Arial"/>
                <w:color w:val="auto"/>
                <w:sz w:val="21"/>
                <w:highlight w:val="none"/>
              </w:rPr>
            </w:pPr>
            <w:r>
              <w:rPr>
                <w:rFonts w:hint="default" w:ascii="Arial" w:hAnsi="Arial" w:eastAsia="宋体" w:cs="Arial"/>
                <w:color w:val="auto"/>
                <w:sz w:val="21"/>
                <w:highlight w:val="none"/>
              </w:rPr>
              <w:t>废水排放量Q/（m</w:t>
            </w:r>
            <w:r>
              <w:rPr>
                <w:rFonts w:hint="default" w:ascii="Arial" w:hAnsi="Arial" w:eastAsia="宋体" w:cs="Arial"/>
                <w:color w:val="auto"/>
                <w:sz w:val="21"/>
                <w:highlight w:val="none"/>
                <w:vertAlign w:val="superscript"/>
              </w:rPr>
              <w:t>3</w:t>
            </w:r>
            <w:r>
              <w:rPr>
                <w:rFonts w:hint="default" w:ascii="Arial" w:hAnsi="Arial" w:eastAsia="宋体" w:cs="Arial"/>
                <w:color w:val="auto"/>
                <w:sz w:val="21"/>
                <w:highlight w:val="none"/>
              </w:rPr>
              <w:t>/d）</w:t>
            </w:r>
          </w:p>
          <w:p>
            <w:pPr>
              <w:overflowPunct w:val="0"/>
              <w:spacing w:line="360" w:lineRule="exact"/>
              <w:ind w:firstLine="0" w:firstLineChars="0"/>
              <w:jc w:val="center"/>
              <w:textAlignment w:val="center"/>
              <w:rPr>
                <w:rFonts w:hint="default" w:ascii="Arial" w:hAnsi="Arial" w:eastAsia="宋体" w:cs="Arial"/>
                <w:color w:val="auto"/>
                <w:sz w:val="21"/>
                <w:highlight w:val="none"/>
              </w:rPr>
            </w:pPr>
            <w:r>
              <w:rPr>
                <w:rFonts w:hint="default" w:ascii="Arial" w:hAnsi="Arial" w:eastAsia="宋体" w:cs="Arial"/>
                <w:color w:val="auto"/>
                <w:sz w:val="21"/>
                <w:highlight w:val="none"/>
              </w:rPr>
              <w:t>水污染物当量W/（量纲一）</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051" w:type="dxa"/>
            <w:vAlign w:val="center"/>
          </w:tcPr>
          <w:p>
            <w:pPr>
              <w:overflowPunct w:val="0"/>
              <w:spacing w:line="360" w:lineRule="exact"/>
              <w:ind w:firstLine="0" w:firstLineChars="0"/>
              <w:jc w:val="center"/>
              <w:textAlignment w:val="center"/>
              <w:rPr>
                <w:rFonts w:hint="default" w:ascii="Arial" w:hAnsi="Arial" w:eastAsia="宋体" w:cs="Arial"/>
                <w:color w:val="auto"/>
                <w:sz w:val="21"/>
                <w:highlight w:val="none"/>
              </w:rPr>
            </w:pPr>
            <w:r>
              <w:rPr>
                <w:rFonts w:hint="default" w:ascii="Arial" w:hAnsi="Arial" w:eastAsia="宋体" w:cs="Arial"/>
                <w:color w:val="auto"/>
                <w:sz w:val="21"/>
                <w:highlight w:val="none"/>
              </w:rPr>
              <w:t>一级</w:t>
            </w:r>
          </w:p>
        </w:tc>
        <w:tc>
          <w:tcPr>
            <w:tcW w:w="2051" w:type="dxa"/>
            <w:vAlign w:val="center"/>
          </w:tcPr>
          <w:p>
            <w:pPr>
              <w:overflowPunct w:val="0"/>
              <w:spacing w:line="360" w:lineRule="exact"/>
              <w:ind w:firstLine="0" w:firstLineChars="0"/>
              <w:jc w:val="center"/>
              <w:textAlignment w:val="center"/>
              <w:rPr>
                <w:rFonts w:hint="default" w:ascii="Arial" w:hAnsi="Arial" w:eastAsia="宋体" w:cs="Arial"/>
                <w:color w:val="auto"/>
                <w:sz w:val="21"/>
                <w:highlight w:val="none"/>
              </w:rPr>
            </w:pPr>
            <w:r>
              <w:rPr>
                <w:rFonts w:hint="default" w:ascii="Arial" w:hAnsi="Arial" w:eastAsia="宋体" w:cs="Arial"/>
                <w:color w:val="auto"/>
                <w:sz w:val="21"/>
                <w:highlight w:val="none"/>
              </w:rPr>
              <w:t>直接排放</w:t>
            </w:r>
          </w:p>
        </w:tc>
        <w:tc>
          <w:tcPr>
            <w:tcW w:w="4901" w:type="dxa"/>
            <w:vAlign w:val="center"/>
          </w:tcPr>
          <w:p>
            <w:pPr>
              <w:overflowPunct w:val="0"/>
              <w:spacing w:line="360" w:lineRule="exact"/>
              <w:ind w:firstLine="0" w:firstLineChars="0"/>
              <w:jc w:val="center"/>
              <w:textAlignment w:val="center"/>
              <w:rPr>
                <w:rFonts w:hint="default" w:ascii="Arial" w:hAnsi="Arial" w:eastAsia="宋体" w:cs="Arial"/>
                <w:color w:val="auto"/>
                <w:sz w:val="21"/>
                <w:highlight w:val="none"/>
              </w:rPr>
            </w:pPr>
            <w:r>
              <w:rPr>
                <w:rFonts w:hint="default" w:ascii="Arial" w:hAnsi="Arial" w:eastAsia="宋体" w:cs="Arial"/>
                <w:color w:val="auto"/>
                <w:sz w:val="21"/>
                <w:highlight w:val="none"/>
              </w:rPr>
              <w:t>Q≥20000或W≥600000</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051" w:type="dxa"/>
            <w:vAlign w:val="center"/>
          </w:tcPr>
          <w:p>
            <w:pPr>
              <w:overflowPunct w:val="0"/>
              <w:spacing w:line="360" w:lineRule="exact"/>
              <w:ind w:firstLine="0" w:firstLineChars="0"/>
              <w:jc w:val="center"/>
              <w:textAlignment w:val="center"/>
              <w:rPr>
                <w:rFonts w:hint="default" w:ascii="Arial" w:hAnsi="Arial" w:eastAsia="宋体" w:cs="Arial"/>
                <w:color w:val="auto"/>
                <w:sz w:val="21"/>
                <w:highlight w:val="none"/>
              </w:rPr>
            </w:pPr>
            <w:r>
              <w:rPr>
                <w:rFonts w:hint="default" w:ascii="Arial" w:hAnsi="Arial" w:eastAsia="宋体" w:cs="Arial"/>
                <w:color w:val="auto"/>
                <w:sz w:val="21"/>
                <w:highlight w:val="none"/>
              </w:rPr>
              <w:t>二级</w:t>
            </w:r>
          </w:p>
        </w:tc>
        <w:tc>
          <w:tcPr>
            <w:tcW w:w="2051" w:type="dxa"/>
            <w:vAlign w:val="center"/>
          </w:tcPr>
          <w:p>
            <w:pPr>
              <w:overflowPunct w:val="0"/>
              <w:spacing w:line="360" w:lineRule="exact"/>
              <w:ind w:firstLine="0" w:firstLineChars="0"/>
              <w:jc w:val="center"/>
              <w:textAlignment w:val="center"/>
              <w:rPr>
                <w:rFonts w:hint="default" w:ascii="Arial" w:hAnsi="Arial" w:eastAsia="宋体" w:cs="Arial"/>
                <w:color w:val="auto"/>
                <w:sz w:val="21"/>
                <w:highlight w:val="none"/>
              </w:rPr>
            </w:pPr>
            <w:r>
              <w:rPr>
                <w:rFonts w:hint="default" w:ascii="Arial" w:hAnsi="Arial" w:eastAsia="宋体" w:cs="Arial"/>
                <w:color w:val="auto"/>
                <w:sz w:val="21"/>
                <w:highlight w:val="none"/>
              </w:rPr>
              <w:t>直接排放</w:t>
            </w:r>
          </w:p>
        </w:tc>
        <w:tc>
          <w:tcPr>
            <w:tcW w:w="4901" w:type="dxa"/>
            <w:vAlign w:val="center"/>
          </w:tcPr>
          <w:p>
            <w:pPr>
              <w:overflowPunct w:val="0"/>
              <w:spacing w:line="360" w:lineRule="exact"/>
              <w:ind w:firstLine="0" w:firstLineChars="0"/>
              <w:jc w:val="center"/>
              <w:textAlignment w:val="center"/>
              <w:rPr>
                <w:rFonts w:hint="default" w:ascii="Arial" w:hAnsi="Arial" w:eastAsia="宋体" w:cs="Arial"/>
                <w:color w:val="auto"/>
                <w:sz w:val="21"/>
                <w:highlight w:val="none"/>
              </w:rPr>
            </w:pPr>
            <w:r>
              <w:rPr>
                <w:rFonts w:hint="default" w:ascii="Arial" w:hAnsi="Arial" w:eastAsia="宋体" w:cs="Arial"/>
                <w:color w:val="auto"/>
                <w:sz w:val="21"/>
                <w:highlight w:val="none"/>
              </w:rPr>
              <w:t>其他</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051" w:type="dxa"/>
            <w:vAlign w:val="center"/>
          </w:tcPr>
          <w:p>
            <w:pPr>
              <w:overflowPunct w:val="0"/>
              <w:spacing w:line="360" w:lineRule="exact"/>
              <w:ind w:firstLine="0" w:firstLineChars="0"/>
              <w:jc w:val="center"/>
              <w:textAlignment w:val="center"/>
              <w:rPr>
                <w:rFonts w:hint="default" w:ascii="Arial" w:hAnsi="Arial" w:eastAsia="宋体" w:cs="Arial"/>
                <w:color w:val="auto"/>
                <w:sz w:val="21"/>
                <w:highlight w:val="none"/>
              </w:rPr>
            </w:pPr>
            <w:r>
              <w:rPr>
                <w:rFonts w:hint="default" w:ascii="Arial" w:hAnsi="Arial" w:eastAsia="宋体" w:cs="Arial"/>
                <w:color w:val="auto"/>
                <w:sz w:val="21"/>
                <w:highlight w:val="none"/>
              </w:rPr>
              <w:t>三级A</w:t>
            </w:r>
          </w:p>
        </w:tc>
        <w:tc>
          <w:tcPr>
            <w:tcW w:w="2051" w:type="dxa"/>
            <w:vAlign w:val="center"/>
          </w:tcPr>
          <w:p>
            <w:pPr>
              <w:overflowPunct w:val="0"/>
              <w:spacing w:line="360" w:lineRule="exact"/>
              <w:ind w:firstLine="0" w:firstLineChars="0"/>
              <w:jc w:val="center"/>
              <w:textAlignment w:val="center"/>
              <w:rPr>
                <w:rFonts w:hint="default" w:ascii="Arial" w:hAnsi="Arial" w:eastAsia="宋体" w:cs="Arial"/>
                <w:color w:val="auto"/>
                <w:sz w:val="21"/>
                <w:highlight w:val="none"/>
              </w:rPr>
            </w:pPr>
            <w:r>
              <w:rPr>
                <w:rFonts w:hint="default" w:ascii="Arial" w:hAnsi="Arial" w:eastAsia="宋体" w:cs="Arial"/>
                <w:color w:val="auto"/>
                <w:sz w:val="21"/>
                <w:highlight w:val="none"/>
              </w:rPr>
              <w:t>直接排放</w:t>
            </w:r>
          </w:p>
        </w:tc>
        <w:tc>
          <w:tcPr>
            <w:tcW w:w="4901" w:type="dxa"/>
            <w:vAlign w:val="center"/>
          </w:tcPr>
          <w:p>
            <w:pPr>
              <w:overflowPunct w:val="0"/>
              <w:spacing w:line="360" w:lineRule="exact"/>
              <w:ind w:firstLine="0" w:firstLineChars="0"/>
              <w:jc w:val="center"/>
              <w:textAlignment w:val="center"/>
              <w:rPr>
                <w:rFonts w:hint="default" w:ascii="Arial" w:hAnsi="Arial" w:eastAsia="宋体" w:cs="Arial"/>
                <w:color w:val="auto"/>
                <w:sz w:val="21"/>
                <w:highlight w:val="none"/>
              </w:rPr>
            </w:pPr>
            <w:r>
              <w:rPr>
                <w:rFonts w:hint="default" w:ascii="Arial" w:hAnsi="Arial" w:eastAsia="宋体" w:cs="Arial"/>
                <w:color w:val="auto"/>
                <w:sz w:val="21"/>
                <w:highlight w:val="none"/>
              </w:rPr>
              <w:t>Q＜200且W＜6000</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051" w:type="dxa"/>
            <w:vAlign w:val="center"/>
          </w:tcPr>
          <w:p>
            <w:pPr>
              <w:overflowPunct w:val="0"/>
              <w:spacing w:line="360" w:lineRule="exact"/>
              <w:ind w:firstLine="0" w:firstLineChars="0"/>
              <w:jc w:val="center"/>
              <w:textAlignment w:val="center"/>
              <w:rPr>
                <w:rFonts w:hint="default" w:ascii="Arial" w:hAnsi="Arial" w:eastAsia="宋体" w:cs="Arial"/>
                <w:color w:val="auto"/>
                <w:sz w:val="21"/>
                <w:highlight w:val="none"/>
              </w:rPr>
            </w:pPr>
            <w:r>
              <w:rPr>
                <w:rFonts w:hint="default" w:ascii="Arial" w:hAnsi="Arial" w:eastAsia="宋体" w:cs="Arial"/>
                <w:color w:val="auto"/>
                <w:sz w:val="21"/>
                <w:highlight w:val="none"/>
              </w:rPr>
              <w:t>三级B</w:t>
            </w:r>
          </w:p>
        </w:tc>
        <w:tc>
          <w:tcPr>
            <w:tcW w:w="2051" w:type="dxa"/>
            <w:vAlign w:val="center"/>
          </w:tcPr>
          <w:p>
            <w:pPr>
              <w:overflowPunct w:val="0"/>
              <w:spacing w:line="360" w:lineRule="exact"/>
              <w:ind w:firstLine="0" w:firstLineChars="0"/>
              <w:jc w:val="center"/>
              <w:textAlignment w:val="center"/>
              <w:rPr>
                <w:rFonts w:hint="default" w:ascii="Arial" w:hAnsi="Arial" w:eastAsia="宋体" w:cs="Arial"/>
                <w:color w:val="auto"/>
                <w:sz w:val="21"/>
                <w:highlight w:val="none"/>
              </w:rPr>
            </w:pPr>
            <w:r>
              <w:rPr>
                <w:rFonts w:hint="default" w:ascii="Arial" w:hAnsi="Arial" w:eastAsia="宋体" w:cs="Arial"/>
                <w:color w:val="auto"/>
                <w:sz w:val="21"/>
                <w:highlight w:val="none"/>
              </w:rPr>
              <w:t>间接排放</w:t>
            </w:r>
          </w:p>
        </w:tc>
        <w:tc>
          <w:tcPr>
            <w:tcW w:w="4901" w:type="dxa"/>
            <w:vAlign w:val="center"/>
          </w:tcPr>
          <w:p>
            <w:pPr>
              <w:overflowPunct w:val="0"/>
              <w:spacing w:line="360" w:lineRule="exact"/>
              <w:ind w:firstLine="0" w:firstLineChars="0"/>
              <w:jc w:val="center"/>
              <w:textAlignment w:val="center"/>
              <w:rPr>
                <w:rFonts w:hint="default" w:ascii="Arial" w:hAnsi="Arial" w:eastAsia="宋体" w:cs="Arial"/>
                <w:color w:val="auto"/>
                <w:sz w:val="21"/>
                <w:highlight w:val="none"/>
              </w:rPr>
            </w:pPr>
            <w:r>
              <w:rPr>
                <w:rFonts w:hint="default" w:ascii="Arial" w:hAnsi="Arial" w:eastAsia="宋体" w:cs="Arial"/>
                <w:color w:val="auto"/>
                <w:sz w:val="21"/>
                <w:highlight w:val="none"/>
              </w:rPr>
              <w:t>—</w:t>
            </w:r>
          </w:p>
        </w:tc>
      </w:tr>
    </w:tbl>
    <w:p>
      <w:pPr>
        <w:ind w:firstLine="480"/>
        <w:rPr>
          <w:rFonts w:hint="default" w:ascii="Arial" w:hAnsi="Arial" w:eastAsia="宋体" w:cs="Arial"/>
          <w:color w:val="auto"/>
          <w:highlight w:val="none"/>
        </w:rPr>
      </w:pPr>
      <w:r>
        <w:rPr>
          <w:rFonts w:hint="default" w:ascii="Arial" w:hAnsi="Arial" w:eastAsia="宋体" w:cs="Arial"/>
          <w:color w:val="auto"/>
          <w:highlight w:val="none"/>
          <w:lang w:eastAsia="zh-CN"/>
        </w:rPr>
        <w:t>本项目</w:t>
      </w:r>
      <w:r>
        <w:rPr>
          <w:rFonts w:hint="default" w:ascii="Arial" w:hAnsi="Arial" w:eastAsia="宋体" w:cs="Arial"/>
          <w:color w:val="auto"/>
          <w:highlight w:val="none"/>
          <w:lang w:val="en-US" w:eastAsia="zh-CN"/>
        </w:rPr>
        <w:t>运营期生活污水</w:t>
      </w:r>
      <w:r>
        <w:rPr>
          <w:rFonts w:hint="default" w:ascii="Arial" w:hAnsi="Arial" w:eastAsia="宋体" w:cs="Arial"/>
          <w:color w:val="auto"/>
          <w:highlight w:val="none"/>
          <w:lang w:eastAsia="zh-CN"/>
        </w:rPr>
        <w:t>不</w:t>
      </w:r>
      <w:r>
        <w:rPr>
          <w:rFonts w:hint="default" w:ascii="Arial" w:hAnsi="Arial" w:eastAsia="宋体" w:cs="Arial"/>
          <w:color w:val="auto"/>
          <w:highlight w:val="none"/>
          <w:lang w:val="en-US" w:eastAsia="zh-CN"/>
        </w:rPr>
        <w:t>直接</w:t>
      </w:r>
      <w:r>
        <w:rPr>
          <w:rFonts w:hint="default" w:ascii="Arial" w:hAnsi="Arial" w:eastAsia="宋体" w:cs="Arial"/>
          <w:color w:val="auto"/>
          <w:highlight w:val="none"/>
          <w:lang w:eastAsia="zh-CN"/>
        </w:rPr>
        <w:t>排放到外环境，</w:t>
      </w:r>
      <w:r>
        <w:rPr>
          <w:rFonts w:hint="default" w:ascii="Arial" w:hAnsi="Arial" w:eastAsia="宋体" w:cs="Arial"/>
          <w:color w:val="auto"/>
          <w:highlight w:val="none"/>
        </w:rPr>
        <w:t>因此</w:t>
      </w:r>
      <w:r>
        <w:rPr>
          <w:rFonts w:hint="default" w:ascii="Arial" w:hAnsi="Arial" w:eastAsia="宋体" w:cs="Arial"/>
          <w:color w:val="auto"/>
          <w:highlight w:val="none"/>
          <w:lang w:eastAsia="zh-CN"/>
        </w:rPr>
        <w:t>，</w:t>
      </w:r>
      <w:r>
        <w:rPr>
          <w:rFonts w:hint="default" w:ascii="Arial" w:hAnsi="Arial" w:eastAsia="宋体" w:cs="Arial"/>
          <w:color w:val="auto"/>
          <w:highlight w:val="none"/>
        </w:rPr>
        <w:t>项目地表水评价等级为三级B。</w:t>
      </w:r>
    </w:p>
    <w:p>
      <w:pPr>
        <w:pStyle w:val="6"/>
        <w:rPr>
          <w:rFonts w:hint="default" w:ascii="Arial" w:hAnsi="Arial" w:eastAsia="宋体" w:cs="Arial"/>
          <w:color w:val="auto"/>
          <w:highlight w:val="none"/>
        </w:rPr>
      </w:pPr>
      <w:bookmarkStart w:id="163" w:name="_Toc14618"/>
      <w:r>
        <w:rPr>
          <w:rFonts w:hint="default" w:ascii="Arial" w:hAnsi="Arial" w:eastAsia="宋体" w:cs="Arial"/>
          <w:color w:val="auto"/>
          <w:highlight w:val="none"/>
        </w:rPr>
        <w:t>2.5.3地下水环境</w:t>
      </w:r>
      <w:bookmarkEnd w:id="159"/>
      <w:bookmarkEnd w:id="160"/>
      <w:bookmarkEnd w:id="161"/>
      <w:bookmarkEnd w:id="162"/>
      <w:bookmarkEnd w:id="163"/>
    </w:p>
    <w:p>
      <w:pPr>
        <w:ind w:firstLine="480"/>
        <w:rPr>
          <w:rFonts w:hint="default" w:ascii="Arial" w:hAnsi="Arial" w:eastAsia="宋体" w:cs="Arial"/>
          <w:color w:val="auto"/>
          <w:highlight w:val="none"/>
        </w:rPr>
      </w:pPr>
      <w:r>
        <w:rPr>
          <w:rFonts w:hint="default" w:ascii="Arial" w:hAnsi="Arial" w:eastAsia="宋体" w:cs="Arial"/>
          <w:color w:val="auto"/>
          <w:highlight w:val="none"/>
        </w:rPr>
        <w:t>（1）项目类别</w:t>
      </w:r>
    </w:p>
    <w:p>
      <w:pPr>
        <w:ind w:firstLine="480"/>
        <w:rPr>
          <w:rFonts w:hint="default" w:ascii="Arial" w:hAnsi="Arial" w:eastAsia="宋体" w:cs="Arial"/>
          <w:color w:val="auto"/>
          <w:szCs w:val="24"/>
          <w:highlight w:val="none"/>
          <w:lang w:eastAsia="zh-CN"/>
        </w:rPr>
      </w:pPr>
      <w:r>
        <w:rPr>
          <w:rFonts w:hint="default" w:ascii="Arial" w:hAnsi="Arial" w:eastAsia="宋体" w:cs="Arial"/>
          <w:color w:val="auto"/>
          <w:highlight w:val="none"/>
        </w:rPr>
        <w:t>本项目为</w:t>
      </w:r>
      <w:r>
        <w:rPr>
          <w:rFonts w:hint="default" w:ascii="Arial" w:hAnsi="Arial" w:eastAsia="宋体" w:cs="Arial"/>
          <w:color w:val="auto"/>
          <w:highlight w:val="none"/>
          <w:lang w:eastAsia="zh-CN"/>
        </w:rPr>
        <w:t>规模化肉牛养殖项目，</w:t>
      </w:r>
      <w:r>
        <w:rPr>
          <w:rFonts w:hint="default" w:ascii="Arial" w:hAnsi="Arial" w:eastAsia="宋体" w:cs="Arial"/>
          <w:color w:val="auto"/>
          <w:highlight w:val="none"/>
        </w:rPr>
        <w:t>拟建项目位于</w:t>
      </w:r>
      <w:r>
        <w:rPr>
          <w:rFonts w:hint="default" w:ascii="Arial" w:hAnsi="Arial" w:eastAsia="宋体" w:cs="Arial"/>
          <w:color w:val="auto"/>
          <w:sz w:val="24"/>
          <w:szCs w:val="24"/>
          <w:highlight w:val="none"/>
          <w:lang w:eastAsia="zh-CN"/>
        </w:rPr>
        <w:t>内蒙古自治区巴彦淖尔市五原县天吉泰镇二合永村五社</w:t>
      </w:r>
      <w:r>
        <w:rPr>
          <w:rFonts w:hint="default" w:ascii="Arial" w:hAnsi="Arial" w:eastAsia="宋体" w:cs="Arial"/>
          <w:color w:val="auto"/>
          <w:highlight w:val="none"/>
          <w:lang w:eastAsia="zh-CN"/>
        </w:rPr>
        <w:t>。</w:t>
      </w:r>
      <w:r>
        <w:rPr>
          <w:rFonts w:hint="default" w:ascii="Arial" w:hAnsi="Arial" w:eastAsia="宋体" w:cs="Arial"/>
          <w:color w:val="auto"/>
          <w:highlight w:val="none"/>
        </w:rPr>
        <w:t>根据《环境影响评价技术导则 地下水环境》（HJ610-2016)</w:t>
      </w:r>
      <w:r>
        <w:rPr>
          <w:rFonts w:hint="default" w:ascii="Arial" w:hAnsi="Arial" w:eastAsia="宋体" w:cs="Arial"/>
          <w:color w:val="auto"/>
          <w:szCs w:val="24"/>
          <w:highlight w:val="none"/>
        </w:rPr>
        <w:t>）附录A</w:t>
      </w:r>
      <w:r>
        <w:rPr>
          <w:rFonts w:hint="default" w:ascii="Arial" w:hAnsi="Arial" w:eastAsia="宋体" w:cs="Arial"/>
          <w:color w:val="auto"/>
          <w:highlight w:val="none"/>
        </w:rPr>
        <w:t>地下水环境影响评价行业分类表，</w:t>
      </w:r>
      <w:r>
        <w:rPr>
          <w:rFonts w:hint="default" w:ascii="Arial" w:hAnsi="Arial" w:eastAsia="宋体" w:cs="Arial"/>
          <w:color w:val="auto"/>
          <w:highlight w:val="none"/>
          <w:lang w:eastAsia="zh-CN"/>
        </w:rPr>
        <w:t>属于</w:t>
      </w:r>
      <w:r>
        <w:rPr>
          <w:rFonts w:hint="default" w:ascii="Arial" w:hAnsi="Arial" w:eastAsia="宋体" w:cs="Arial"/>
          <w:color w:val="auto"/>
          <w:highlight w:val="none"/>
          <w:lang w:val="en-US" w:eastAsia="zh-CN"/>
        </w:rPr>
        <w:t>B农、林、牧、渔、海洋--14、</w:t>
      </w:r>
      <w:r>
        <w:rPr>
          <w:rFonts w:hint="default" w:ascii="Arial" w:hAnsi="Arial" w:eastAsia="宋体" w:cs="Arial"/>
          <w:color w:val="auto"/>
          <w:highlight w:val="none"/>
        </w:rPr>
        <w:t>畜禽养殖场、养殖小区</w:t>
      </w:r>
      <w:r>
        <w:rPr>
          <w:rFonts w:hint="default" w:ascii="Arial" w:hAnsi="Arial" w:eastAsia="宋体" w:cs="Arial"/>
          <w:color w:val="auto"/>
          <w:highlight w:val="none"/>
          <w:lang w:eastAsia="zh-CN"/>
        </w:rPr>
        <w:t>，</w:t>
      </w:r>
      <w:r>
        <w:rPr>
          <w:rFonts w:hint="default" w:ascii="Arial" w:hAnsi="Arial" w:eastAsia="宋体" w:cs="Arial"/>
          <w:color w:val="auto"/>
          <w:highlight w:val="none"/>
        </w:rPr>
        <w:t>确定</w:t>
      </w:r>
      <w:r>
        <w:rPr>
          <w:rFonts w:hint="default" w:ascii="Arial" w:hAnsi="Arial" w:eastAsia="宋体" w:cs="Arial"/>
          <w:color w:val="auto"/>
          <w:highlight w:val="none"/>
          <w:lang w:eastAsia="zh-CN"/>
        </w:rPr>
        <w:t>本项目</w:t>
      </w:r>
      <w:r>
        <w:rPr>
          <w:rFonts w:hint="default" w:ascii="Arial" w:hAnsi="Arial" w:eastAsia="宋体" w:cs="Arial"/>
          <w:color w:val="auto"/>
          <w:szCs w:val="24"/>
          <w:highlight w:val="none"/>
        </w:rPr>
        <w:t>地下水环境影响评价项目</w:t>
      </w:r>
      <w:r>
        <w:rPr>
          <w:rFonts w:hint="default" w:ascii="Arial" w:hAnsi="Arial" w:eastAsia="宋体" w:cs="Arial"/>
          <w:color w:val="auto"/>
          <w:szCs w:val="24"/>
          <w:highlight w:val="none"/>
          <w:lang w:eastAsia="zh-CN"/>
        </w:rPr>
        <w:t>类别为</w:t>
      </w:r>
      <w:r>
        <w:rPr>
          <w:rFonts w:hint="default" w:ascii="Arial" w:hAnsi="Arial" w:eastAsia="宋体" w:cs="Arial"/>
          <w:color w:val="auto"/>
          <w:szCs w:val="24"/>
          <w:highlight w:val="none"/>
        </w:rPr>
        <w:t>Ⅲ类</w:t>
      </w:r>
      <w:r>
        <w:rPr>
          <w:rFonts w:hint="default" w:ascii="Arial" w:hAnsi="Arial" w:eastAsia="宋体" w:cs="Arial"/>
          <w:color w:val="auto"/>
          <w:szCs w:val="24"/>
          <w:highlight w:val="none"/>
          <w:lang w:eastAsia="zh-CN"/>
        </w:rPr>
        <w:t>。</w:t>
      </w:r>
    </w:p>
    <w:p>
      <w:pPr>
        <w:ind w:firstLine="480"/>
        <w:rPr>
          <w:rFonts w:hint="default" w:ascii="Arial" w:hAnsi="Arial" w:eastAsia="宋体" w:cs="Arial"/>
          <w:color w:val="auto"/>
          <w:highlight w:val="none"/>
        </w:rPr>
      </w:pPr>
      <w:r>
        <w:rPr>
          <w:rFonts w:hint="default" w:ascii="Arial" w:hAnsi="Arial" w:eastAsia="宋体" w:cs="Arial"/>
          <w:color w:val="auto"/>
          <w:highlight w:val="none"/>
        </w:rPr>
        <w:t>（2）地下水环境敏感程度类别</w:t>
      </w:r>
    </w:p>
    <w:p>
      <w:pPr>
        <w:overflowPunct w:val="0"/>
        <w:ind w:firstLine="480"/>
        <w:rPr>
          <w:rFonts w:hint="default" w:ascii="Arial" w:hAnsi="Arial" w:eastAsia="宋体" w:cs="Arial"/>
          <w:color w:val="auto"/>
          <w:highlight w:val="none"/>
        </w:rPr>
      </w:pPr>
      <w:r>
        <w:rPr>
          <w:rFonts w:hint="default" w:ascii="Arial" w:hAnsi="Arial" w:eastAsia="宋体" w:cs="Arial"/>
          <w:color w:val="auto"/>
          <w:highlight w:val="none"/>
        </w:rPr>
        <w:t>根据《环境影响评价技术导则—地下水环境》（HJ610-2016），依据表2.5-</w:t>
      </w:r>
      <w:r>
        <w:rPr>
          <w:rFonts w:hint="default" w:ascii="Arial" w:hAnsi="Arial" w:eastAsia="宋体" w:cs="Arial"/>
          <w:color w:val="auto"/>
          <w:highlight w:val="none"/>
          <w:lang w:val="en-US" w:eastAsia="zh-CN"/>
        </w:rPr>
        <w:t>6</w:t>
      </w:r>
      <w:r>
        <w:rPr>
          <w:rFonts w:hint="default" w:ascii="Arial" w:hAnsi="Arial" w:eastAsia="宋体" w:cs="Arial"/>
          <w:color w:val="auto"/>
          <w:highlight w:val="none"/>
        </w:rPr>
        <w:t>判别本区地下水环境敏感程度。</w:t>
      </w:r>
    </w:p>
    <w:p>
      <w:pPr>
        <w:pStyle w:val="8"/>
        <w:rPr>
          <w:rFonts w:hint="default" w:ascii="Arial" w:hAnsi="Arial" w:eastAsia="宋体" w:cs="Arial"/>
          <w:color w:val="auto"/>
          <w:highlight w:val="none"/>
        </w:rPr>
      </w:pPr>
      <w:r>
        <w:rPr>
          <w:rFonts w:hint="default" w:ascii="Arial" w:hAnsi="Arial" w:eastAsia="宋体" w:cs="Arial"/>
          <w:color w:val="auto"/>
          <w:highlight w:val="none"/>
        </w:rPr>
        <w:t>表2.5-6    地下水环境敏感程度分级表</w:t>
      </w:r>
    </w:p>
    <w:tbl>
      <w:tblPr>
        <w:tblStyle w:val="39"/>
        <w:tblW w:w="9003" w:type="dxa"/>
        <w:tblInd w:w="0" w:type="dxa"/>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1163"/>
        <w:gridCol w:w="7840"/>
      </w:tblGrid>
      <w:tr>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163" w:type="dxa"/>
            <w:vAlign w:val="center"/>
          </w:tcPr>
          <w:p>
            <w:pPr>
              <w:overflowPunct w:val="0"/>
              <w:spacing w:line="360" w:lineRule="exact"/>
              <w:ind w:firstLine="0" w:firstLineChars="0"/>
              <w:jc w:val="center"/>
              <w:textAlignment w:val="center"/>
              <w:rPr>
                <w:rFonts w:hint="default" w:ascii="Arial" w:hAnsi="Arial" w:eastAsia="宋体" w:cs="Arial"/>
                <w:color w:val="auto"/>
                <w:sz w:val="21"/>
                <w:highlight w:val="none"/>
              </w:rPr>
            </w:pPr>
            <w:r>
              <w:rPr>
                <w:rFonts w:hint="default" w:ascii="Arial" w:hAnsi="Arial" w:eastAsia="宋体" w:cs="Arial"/>
                <w:color w:val="auto"/>
                <w:sz w:val="21"/>
                <w:highlight w:val="none"/>
              </w:rPr>
              <w:t>敏感程度</w:t>
            </w:r>
          </w:p>
        </w:tc>
        <w:tc>
          <w:tcPr>
            <w:tcW w:w="7840" w:type="dxa"/>
            <w:vAlign w:val="center"/>
          </w:tcPr>
          <w:p>
            <w:pPr>
              <w:overflowPunct w:val="0"/>
              <w:spacing w:line="360" w:lineRule="exact"/>
              <w:ind w:firstLine="0" w:firstLineChars="0"/>
              <w:jc w:val="center"/>
              <w:textAlignment w:val="center"/>
              <w:rPr>
                <w:rFonts w:hint="default" w:ascii="Arial" w:hAnsi="Arial" w:eastAsia="宋体" w:cs="Arial"/>
                <w:color w:val="auto"/>
                <w:sz w:val="21"/>
                <w:highlight w:val="none"/>
              </w:rPr>
            </w:pPr>
            <w:r>
              <w:rPr>
                <w:rFonts w:hint="default" w:ascii="Arial" w:hAnsi="Arial" w:eastAsia="宋体" w:cs="Arial"/>
                <w:color w:val="auto"/>
                <w:sz w:val="21"/>
                <w:highlight w:val="none"/>
              </w:rPr>
              <w:t>地下水环境敏感特征</w:t>
            </w:r>
          </w:p>
        </w:tc>
      </w:tr>
      <w:tr>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163" w:type="dxa"/>
            <w:vAlign w:val="center"/>
          </w:tcPr>
          <w:p>
            <w:pPr>
              <w:overflowPunct w:val="0"/>
              <w:spacing w:line="360" w:lineRule="exact"/>
              <w:ind w:firstLine="0" w:firstLineChars="0"/>
              <w:jc w:val="center"/>
              <w:textAlignment w:val="center"/>
              <w:rPr>
                <w:rFonts w:hint="default" w:ascii="Arial" w:hAnsi="Arial" w:eastAsia="宋体" w:cs="Arial"/>
                <w:color w:val="auto"/>
                <w:sz w:val="21"/>
                <w:highlight w:val="none"/>
              </w:rPr>
            </w:pPr>
            <w:r>
              <w:rPr>
                <w:rFonts w:hint="default" w:ascii="Arial" w:hAnsi="Arial" w:eastAsia="宋体" w:cs="Arial"/>
                <w:color w:val="auto"/>
                <w:sz w:val="21"/>
                <w:highlight w:val="none"/>
              </w:rPr>
              <w:t>敏感</w:t>
            </w:r>
          </w:p>
        </w:tc>
        <w:tc>
          <w:tcPr>
            <w:tcW w:w="7840" w:type="dxa"/>
            <w:vAlign w:val="center"/>
          </w:tcPr>
          <w:p>
            <w:pPr>
              <w:overflowPunct w:val="0"/>
              <w:spacing w:line="360" w:lineRule="exact"/>
              <w:ind w:firstLine="0" w:firstLineChars="0"/>
              <w:jc w:val="center"/>
              <w:textAlignment w:val="center"/>
              <w:rPr>
                <w:rFonts w:hint="default" w:ascii="Arial" w:hAnsi="Arial" w:eastAsia="宋体" w:cs="Arial"/>
                <w:color w:val="auto"/>
                <w:sz w:val="21"/>
                <w:highlight w:val="none"/>
              </w:rPr>
            </w:pPr>
            <w:r>
              <w:rPr>
                <w:rFonts w:hint="default" w:ascii="Arial" w:hAnsi="Arial" w:eastAsia="宋体" w:cs="Arial"/>
                <w:color w:val="auto"/>
                <w:sz w:val="21"/>
                <w:highlight w:val="none"/>
              </w:rPr>
              <w:t>集中式饮用水水源（包括已建成的、备用、应急水源，在建和规划的饮用水源）准保护区；除集中式饮用水水源以外的国家或地方政府设定的与地下水环境相关的其他保护区，如热水、矿泉水、温泉等特殊地下水资源保护区。</w:t>
            </w:r>
          </w:p>
        </w:tc>
      </w:tr>
      <w:tr>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163" w:type="dxa"/>
            <w:vAlign w:val="center"/>
          </w:tcPr>
          <w:p>
            <w:pPr>
              <w:overflowPunct w:val="0"/>
              <w:spacing w:line="360" w:lineRule="exact"/>
              <w:ind w:firstLine="0" w:firstLineChars="0"/>
              <w:jc w:val="center"/>
              <w:textAlignment w:val="center"/>
              <w:rPr>
                <w:rFonts w:hint="default" w:ascii="Arial" w:hAnsi="Arial" w:eastAsia="宋体" w:cs="Arial"/>
                <w:color w:val="auto"/>
                <w:sz w:val="21"/>
                <w:highlight w:val="none"/>
              </w:rPr>
            </w:pPr>
            <w:r>
              <w:rPr>
                <w:rFonts w:hint="default" w:ascii="Arial" w:hAnsi="Arial" w:eastAsia="宋体" w:cs="Arial"/>
                <w:color w:val="auto"/>
                <w:sz w:val="21"/>
                <w:highlight w:val="none"/>
              </w:rPr>
              <w:t>较敏感</w:t>
            </w:r>
          </w:p>
        </w:tc>
        <w:tc>
          <w:tcPr>
            <w:tcW w:w="7840" w:type="dxa"/>
            <w:vAlign w:val="center"/>
          </w:tcPr>
          <w:p>
            <w:pPr>
              <w:overflowPunct w:val="0"/>
              <w:spacing w:line="360" w:lineRule="exact"/>
              <w:ind w:firstLine="0" w:firstLineChars="0"/>
              <w:jc w:val="center"/>
              <w:textAlignment w:val="center"/>
              <w:rPr>
                <w:rFonts w:hint="default" w:ascii="Arial" w:hAnsi="Arial" w:eastAsia="宋体" w:cs="Arial"/>
                <w:color w:val="auto"/>
                <w:sz w:val="21"/>
                <w:highlight w:val="none"/>
              </w:rPr>
            </w:pPr>
            <w:r>
              <w:rPr>
                <w:rFonts w:hint="default" w:ascii="Arial" w:hAnsi="Arial" w:eastAsia="宋体" w:cs="Arial"/>
                <w:color w:val="auto"/>
                <w:sz w:val="21"/>
                <w:highlight w:val="none"/>
              </w:rPr>
              <w:t>集中式饮用水水源（包括已建成的、备用、应急水源，在建和规划的饮用水源）准保护区以外的补给径流区；未划定准保护区的集中式饮用水水源，其保护区以外的补给径流区；分散式饮用水水源地；特殊地下水资源（如矿泉水、温泉等）保护区以外的分布区等未列入上述敏感分级的环境敏感区。</w:t>
            </w:r>
          </w:p>
        </w:tc>
      </w:tr>
      <w:tr>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1163" w:type="dxa"/>
            <w:vAlign w:val="center"/>
          </w:tcPr>
          <w:p>
            <w:pPr>
              <w:overflowPunct w:val="0"/>
              <w:spacing w:line="360" w:lineRule="exact"/>
              <w:ind w:firstLine="0" w:firstLineChars="0"/>
              <w:jc w:val="center"/>
              <w:textAlignment w:val="center"/>
              <w:rPr>
                <w:rFonts w:hint="default" w:ascii="Arial" w:hAnsi="Arial" w:eastAsia="宋体" w:cs="Arial"/>
                <w:color w:val="auto"/>
                <w:sz w:val="21"/>
                <w:highlight w:val="none"/>
              </w:rPr>
            </w:pPr>
            <w:r>
              <w:rPr>
                <w:rFonts w:hint="default" w:ascii="Arial" w:hAnsi="Arial" w:eastAsia="宋体" w:cs="Arial"/>
                <w:color w:val="auto"/>
                <w:sz w:val="21"/>
                <w:highlight w:val="none"/>
              </w:rPr>
              <w:t>不敏感</w:t>
            </w:r>
          </w:p>
        </w:tc>
        <w:tc>
          <w:tcPr>
            <w:tcW w:w="7840" w:type="dxa"/>
            <w:vAlign w:val="center"/>
          </w:tcPr>
          <w:p>
            <w:pPr>
              <w:overflowPunct w:val="0"/>
              <w:spacing w:line="360" w:lineRule="exact"/>
              <w:ind w:firstLine="0" w:firstLineChars="0"/>
              <w:jc w:val="center"/>
              <w:textAlignment w:val="center"/>
              <w:rPr>
                <w:rFonts w:hint="default" w:ascii="Arial" w:hAnsi="Arial" w:eastAsia="宋体" w:cs="Arial"/>
                <w:color w:val="auto"/>
                <w:sz w:val="21"/>
                <w:highlight w:val="none"/>
              </w:rPr>
            </w:pPr>
            <w:r>
              <w:rPr>
                <w:rFonts w:hint="default" w:ascii="Arial" w:hAnsi="Arial" w:eastAsia="宋体" w:cs="Arial"/>
                <w:color w:val="auto"/>
                <w:sz w:val="21"/>
                <w:highlight w:val="none"/>
              </w:rPr>
              <w:t>上述地区之外其他地区a</w:t>
            </w:r>
          </w:p>
        </w:tc>
      </w:tr>
      <w:tr>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9003" w:type="dxa"/>
            <w:gridSpan w:val="2"/>
            <w:vAlign w:val="center"/>
          </w:tcPr>
          <w:p>
            <w:pPr>
              <w:overflowPunct w:val="0"/>
              <w:spacing w:line="360" w:lineRule="exact"/>
              <w:ind w:firstLine="0" w:firstLineChars="0"/>
              <w:jc w:val="center"/>
              <w:textAlignment w:val="center"/>
              <w:rPr>
                <w:rFonts w:hint="default" w:ascii="Arial" w:hAnsi="Arial" w:eastAsia="宋体" w:cs="Arial"/>
                <w:color w:val="auto"/>
                <w:sz w:val="21"/>
                <w:highlight w:val="none"/>
              </w:rPr>
            </w:pPr>
            <w:r>
              <w:rPr>
                <w:rFonts w:hint="default" w:ascii="Arial" w:hAnsi="Arial" w:eastAsia="宋体" w:cs="Arial"/>
                <w:color w:val="auto"/>
                <w:sz w:val="21"/>
                <w:szCs w:val="18"/>
                <w:highlight w:val="none"/>
              </w:rPr>
              <w:t>注：a“环境敏感区”是指《建设项目环境影响评价分类管理名录》中所界定的涉及地下水的环境敏感区。</w:t>
            </w:r>
          </w:p>
        </w:tc>
      </w:tr>
    </w:tbl>
    <w:p>
      <w:pPr>
        <w:overflowPunct w:val="0"/>
        <w:adjustRightInd w:val="0"/>
        <w:snapToGrid w:val="0"/>
        <w:ind w:firstLine="480"/>
        <w:rPr>
          <w:rFonts w:hint="default" w:ascii="Arial" w:hAnsi="Arial" w:eastAsia="宋体" w:cs="Arial"/>
          <w:color w:val="auto"/>
          <w:highlight w:val="none"/>
        </w:rPr>
      </w:pPr>
      <w:r>
        <w:rPr>
          <w:rFonts w:hint="default" w:ascii="Arial" w:hAnsi="Arial" w:eastAsia="宋体" w:cs="Arial"/>
          <w:color w:val="auto"/>
          <w:highlight w:val="none"/>
          <w:lang w:val="zh-CN"/>
        </w:rPr>
        <w:t>本项目区不属于集中式、分散式饮用水源地准保护区、特殊地下水资源保护区、补给径流区和特殊地下水资源保护区，但周边存在分散式饮用水水源井，</w:t>
      </w:r>
      <w:r>
        <w:rPr>
          <w:rFonts w:hint="default" w:ascii="Arial" w:hAnsi="Arial" w:eastAsia="宋体" w:cs="Arial"/>
          <w:color w:val="auto"/>
          <w:highlight w:val="none"/>
        </w:rPr>
        <w:t>因此，地下水环境敏感程度为“较敏感”。</w:t>
      </w:r>
    </w:p>
    <w:p>
      <w:pPr>
        <w:ind w:firstLine="480"/>
        <w:rPr>
          <w:rFonts w:hint="default" w:ascii="Arial" w:hAnsi="Arial" w:eastAsia="宋体" w:cs="Arial"/>
          <w:color w:val="auto"/>
          <w:highlight w:val="none"/>
        </w:rPr>
      </w:pPr>
      <w:r>
        <w:rPr>
          <w:rFonts w:hint="default" w:ascii="Arial" w:hAnsi="Arial" w:eastAsia="宋体" w:cs="Arial"/>
          <w:color w:val="auto"/>
          <w:highlight w:val="none"/>
        </w:rPr>
        <w:t>（3）评价等级确定</w:t>
      </w:r>
    </w:p>
    <w:p>
      <w:pPr>
        <w:overflowPunct w:val="0"/>
        <w:ind w:firstLine="480"/>
        <w:rPr>
          <w:rFonts w:hint="default" w:ascii="Arial" w:hAnsi="Arial" w:eastAsia="宋体" w:cs="Arial"/>
          <w:color w:val="auto"/>
          <w:highlight w:val="none"/>
        </w:rPr>
      </w:pPr>
      <w:r>
        <w:rPr>
          <w:rFonts w:hint="default" w:ascii="Arial" w:hAnsi="Arial" w:eastAsia="宋体" w:cs="Arial"/>
          <w:color w:val="auto"/>
          <w:highlight w:val="none"/>
        </w:rPr>
        <w:t>根据《环境影响评价技术导则 地下水环境》（HJ610-2016），根据地下水环境敏感程度、项目地下水环境影响评价类别依据下表确定评价等级。</w:t>
      </w:r>
    </w:p>
    <w:p>
      <w:pPr>
        <w:pStyle w:val="8"/>
        <w:rPr>
          <w:rFonts w:hint="default" w:ascii="Arial" w:hAnsi="Arial" w:eastAsia="宋体" w:cs="Arial"/>
          <w:color w:val="auto"/>
          <w:highlight w:val="none"/>
        </w:rPr>
      </w:pPr>
      <w:r>
        <w:rPr>
          <w:rFonts w:hint="default" w:ascii="Arial" w:hAnsi="Arial" w:eastAsia="宋体" w:cs="Arial"/>
          <w:color w:val="auto"/>
          <w:highlight w:val="none"/>
        </w:rPr>
        <w:t>表2.5-7    地下水评价工作等级分级表</w:t>
      </w:r>
    </w:p>
    <w:tbl>
      <w:tblPr>
        <w:tblStyle w:val="39"/>
        <w:tblW w:w="900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250"/>
        <w:gridCol w:w="2251"/>
        <w:gridCol w:w="2251"/>
        <w:gridCol w:w="225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250" w:type="dxa"/>
            <w:tcBorders>
              <w:top w:val="single" w:color="000000" w:sz="12" w:space="0"/>
              <w:left w:val="nil"/>
              <w:tl2br w:val="single" w:color="auto" w:sz="4" w:space="0"/>
            </w:tcBorders>
            <w:vAlign w:val="center"/>
          </w:tcPr>
          <w:p>
            <w:pPr>
              <w:overflowPunct w:val="0"/>
              <w:spacing w:line="360" w:lineRule="exact"/>
              <w:ind w:firstLine="0" w:firstLineChars="0"/>
              <w:jc w:val="right"/>
              <w:textAlignment w:val="center"/>
              <w:rPr>
                <w:rFonts w:hint="default" w:ascii="Arial" w:hAnsi="Arial" w:eastAsia="宋体" w:cs="Arial"/>
                <w:color w:val="auto"/>
                <w:sz w:val="21"/>
                <w:highlight w:val="none"/>
              </w:rPr>
            </w:pPr>
            <w:r>
              <w:rPr>
                <w:rFonts w:hint="default" w:ascii="Arial" w:hAnsi="Arial" w:eastAsia="宋体" w:cs="Arial"/>
                <w:color w:val="auto"/>
                <w:sz w:val="21"/>
                <w:highlight w:val="none"/>
              </w:rPr>
              <w:t>项目类别</w:t>
            </w:r>
          </w:p>
          <w:p>
            <w:pPr>
              <w:overflowPunct w:val="0"/>
              <w:spacing w:line="360" w:lineRule="exact"/>
              <w:ind w:firstLine="0" w:firstLineChars="0"/>
              <w:jc w:val="left"/>
              <w:textAlignment w:val="center"/>
              <w:rPr>
                <w:rFonts w:hint="default" w:ascii="Arial" w:hAnsi="Arial" w:eastAsia="宋体" w:cs="Arial"/>
                <w:color w:val="auto"/>
                <w:sz w:val="21"/>
                <w:highlight w:val="none"/>
              </w:rPr>
            </w:pPr>
            <w:r>
              <w:rPr>
                <w:rFonts w:hint="default" w:ascii="Arial" w:hAnsi="Arial" w:eastAsia="宋体" w:cs="Arial"/>
                <w:color w:val="auto"/>
                <w:sz w:val="21"/>
                <w:highlight w:val="none"/>
              </w:rPr>
              <w:t>环境敏感程度</w:t>
            </w:r>
          </w:p>
        </w:tc>
        <w:tc>
          <w:tcPr>
            <w:tcW w:w="2251" w:type="dxa"/>
            <w:tcBorders>
              <w:top w:val="single" w:color="000000" w:sz="12" w:space="0"/>
            </w:tcBorders>
            <w:vAlign w:val="center"/>
          </w:tcPr>
          <w:p>
            <w:pPr>
              <w:overflowPunct w:val="0"/>
              <w:spacing w:line="360" w:lineRule="exact"/>
              <w:ind w:firstLine="0" w:firstLineChars="0"/>
              <w:jc w:val="center"/>
              <w:textAlignment w:val="center"/>
              <w:rPr>
                <w:rFonts w:hint="default" w:ascii="Arial" w:hAnsi="Arial" w:eastAsia="宋体" w:cs="Arial"/>
                <w:color w:val="auto"/>
                <w:sz w:val="21"/>
                <w:highlight w:val="none"/>
              </w:rPr>
            </w:pPr>
            <w:r>
              <w:rPr>
                <w:rFonts w:hint="default" w:ascii="Arial" w:hAnsi="Arial" w:eastAsia="宋体" w:cs="Arial"/>
                <w:color w:val="auto"/>
                <w:sz w:val="21"/>
                <w:highlight w:val="none"/>
              </w:rPr>
              <w:fldChar w:fldCharType="begin"/>
            </w:r>
            <w:r>
              <w:rPr>
                <w:rFonts w:hint="default" w:ascii="Arial" w:hAnsi="Arial" w:eastAsia="宋体" w:cs="Arial"/>
                <w:color w:val="auto"/>
                <w:sz w:val="21"/>
                <w:highlight w:val="none"/>
              </w:rPr>
              <w:instrText xml:space="preserve"> = 1 \* ROMAN </w:instrText>
            </w:r>
            <w:r>
              <w:rPr>
                <w:rFonts w:hint="default" w:ascii="Arial" w:hAnsi="Arial" w:eastAsia="宋体" w:cs="Arial"/>
                <w:color w:val="auto"/>
                <w:sz w:val="21"/>
                <w:highlight w:val="none"/>
              </w:rPr>
              <w:fldChar w:fldCharType="separate"/>
            </w:r>
            <w:r>
              <w:rPr>
                <w:rFonts w:hint="default" w:ascii="Arial" w:hAnsi="Arial" w:eastAsia="宋体" w:cs="Arial"/>
                <w:color w:val="auto"/>
                <w:sz w:val="21"/>
                <w:highlight w:val="none"/>
              </w:rPr>
              <w:t>I</w:t>
            </w:r>
            <w:r>
              <w:rPr>
                <w:rFonts w:hint="default" w:ascii="Arial" w:hAnsi="Arial" w:eastAsia="宋体" w:cs="Arial"/>
                <w:color w:val="auto"/>
                <w:sz w:val="21"/>
                <w:highlight w:val="none"/>
              </w:rPr>
              <w:fldChar w:fldCharType="end"/>
            </w:r>
            <w:r>
              <w:rPr>
                <w:rFonts w:hint="default" w:ascii="Arial" w:hAnsi="Arial" w:eastAsia="宋体" w:cs="Arial"/>
                <w:color w:val="auto"/>
                <w:sz w:val="21"/>
                <w:highlight w:val="none"/>
              </w:rPr>
              <w:t>类项目</w:t>
            </w:r>
          </w:p>
        </w:tc>
        <w:tc>
          <w:tcPr>
            <w:tcW w:w="2251" w:type="dxa"/>
            <w:tcBorders>
              <w:top w:val="single" w:color="000000" w:sz="12" w:space="0"/>
            </w:tcBorders>
            <w:vAlign w:val="center"/>
          </w:tcPr>
          <w:p>
            <w:pPr>
              <w:overflowPunct w:val="0"/>
              <w:spacing w:line="360" w:lineRule="exact"/>
              <w:ind w:firstLine="0" w:firstLineChars="0"/>
              <w:jc w:val="center"/>
              <w:textAlignment w:val="center"/>
              <w:rPr>
                <w:rFonts w:hint="default" w:ascii="Arial" w:hAnsi="Arial" w:eastAsia="宋体" w:cs="Arial"/>
                <w:color w:val="auto"/>
                <w:sz w:val="21"/>
                <w:highlight w:val="none"/>
              </w:rPr>
            </w:pPr>
            <w:r>
              <w:rPr>
                <w:rFonts w:hint="default" w:ascii="Arial" w:hAnsi="Arial" w:eastAsia="宋体" w:cs="Arial"/>
                <w:color w:val="auto"/>
                <w:sz w:val="21"/>
                <w:highlight w:val="none"/>
              </w:rPr>
              <w:fldChar w:fldCharType="begin"/>
            </w:r>
            <w:r>
              <w:rPr>
                <w:rFonts w:hint="default" w:ascii="Arial" w:hAnsi="Arial" w:eastAsia="宋体" w:cs="Arial"/>
                <w:color w:val="auto"/>
                <w:sz w:val="21"/>
                <w:highlight w:val="none"/>
              </w:rPr>
              <w:instrText xml:space="preserve"> = 2 \* ROMAN </w:instrText>
            </w:r>
            <w:r>
              <w:rPr>
                <w:rFonts w:hint="default" w:ascii="Arial" w:hAnsi="Arial" w:eastAsia="宋体" w:cs="Arial"/>
                <w:color w:val="auto"/>
                <w:sz w:val="21"/>
                <w:highlight w:val="none"/>
              </w:rPr>
              <w:fldChar w:fldCharType="separate"/>
            </w:r>
            <w:r>
              <w:rPr>
                <w:rFonts w:hint="default" w:ascii="Arial" w:hAnsi="Arial" w:eastAsia="宋体" w:cs="Arial"/>
                <w:color w:val="auto"/>
                <w:sz w:val="21"/>
                <w:highlight w:val="none"/>
              </w:rPr>
              <w:t>II</w:t>
            </w:r>
            <w:r>
              <w:rPr>
                <w:rFonts w:hint="default" w:ascii="Arial" w:hAnsi="Arial" w:eastAsia="宋体" w:cs="Arial"/>
                <w:color w:val="auto"/>
                <w:sz w:val="21"/>
                <w:highlight w:val="none"/>
              </w:rPr>
              <w:fldChar w:fldCharType="end"/>
            </w:r>
            <w:r>
              <w:rPr>
                <w:rFonts w:hint="default" w:ascii="Arial" w:hAnsi="Arial" w:eastAsia="宋体" w:cs="Arial"/>
                <w:color w:val="auto"/>
                <w:sz w:val="21"/>
                <w:highlight w:val="none"/>
              </w:rPr>
              <w:t>类项目</w:t>
            </w:r>
          </w:p>
        </w:tc>
        <w:tc>
          <w:tcPr>
            <w:tcW w:w="2251" w:type="dxa"/>
            <w:tcBorders>
              <w:top w:val="single" w:color="000000" w:sz="12" w:space="0"/>
              <w:right w:val="nil"/>
            </w:tcBorders>
            <w:vAlign w:val="center"/>
          </w:tcPr>
          <w:p>
            <w:pPr>
              <w:overflowPunct w:val="0"/>
              <w:spacing w:line="360" w:lineRule="exact"/>
              <w:ind w:firstLine="0" w:firstLineChars="0"/>
              <w:jc w:val="center"/>
              <w:textAlignment w:val="center"/>
              <w:rPr>
                <w:rFonts w:hint="default" w:ascii="Arial" w:hAnsi="Arial" w:eastAsia="宋体" w:cs="Arial"/>
                <w:color w:val="auto"/>
                <w:sz w:val="21"/>
                <w:highlight w:val="none"/>
              </w:rPr>
            </w:pPr>
            <w:r>
              <w:rPr>
                <w:rFonts w:hint="default" w:ascii="Arial" w:hAnsi="Arial" w:eastAsia="宋体" w:cs="Arial"/>
                <w:color w:val="auto"/>
                <w:sz w:val="21"/>
                <w:highlight w:val="none"/>
              </w:rPr>
              <w:fldChar w:fldCharType="begin"/>
            </w:r>
            <w:r>
              <w:rPr>
                <w:rFonts w:hint="default" w:ascii="Arial" w:hAnsi="Arial" w:eastAsia="宋体" w:cs="Arial"/>
                <w:color w:val="auto"/>
                <w:sz w:val="21"/>
                <w:highlight w:val="none"/>
              </w:rPr>
              <w:instrText xml:space="preserve"> = 3 \* ROMAN </w:instrText>
            </w:r>
            <w:r>
              <w:rPr>
                <w:rFonts w:hint="default" w:ascii="Arial" w:hAnsi="Arial" w:eastAsia="宋体" w:cs="Arial"/>
                <w:color w:val="auto"/>
                <w:sz w:val="21"/>
                <w:highlight w:val="none"/>
              </w:rPr>
              <w:fldChar w:fldCharType="separate"/>
            </w:r>
            <w:r>
              <w:rPr>
                <w:rFonts w:hint="default" w:ascii="Arial" w:hAnsi="Arial" w:eastAsia="宋体" w:cs="Arial"/>
                <w:color w:val="auto"/>
                <w:sz w:val="21"/>
                <w:highlight w:val="none"/>
              </w:rPr>
              <w:t>III</w:t>
            </w:r>
            <w:r>
              <w:rPr>
                <w:rFonts w:hint="default" w:ascii="Arial" w:hAnsi="Arial" w:eastAsia="宋体" w:cs="Arial"/>
                <w:color w:val="auto"/>
                <w:sz w:val="21"/>
                <w:highlight w:val="none"/>
              </w:rPr>
              <w:fldChar w:fldCharType="end"/>
            </w:r>
            <w:r>
              <w:rPr>
                <w:rFonts w:hint="default" w:ascii="Arial" w:hAnsi="Arial" w:eastAsia="宋体" w:cs="Arial"/>
                <w:color w:val="auto"/>
                <w:sz w:val="21"/>
                <w:highlight w:val="none"/>
              </w:rPr>
              <w:t>类项目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250" w:type="dxa"/>
            <w:tcBorders>
              <w:left w:val="nil"/>
              <w:bottom w:val="single" w:color="auto" w:sz="4" w:space="0"/>
            </w:tcBorders>
            <w:vAlign w:val="center"/>
          </w:tcPr>
          <w:p>
            <w:pPr>
              <w:overflowPunct w:val="0"/>
              <w:spacing w:line="360" w:lineRule="exact"/>
              <w:ind w:firstLine="0" w:firstLineChars="0"/>
              <w:jc w:val="center"/>
              <w:textAlignment w:val="center"/>
              <w:rPr>
                <w:rFonts w:hint="default" w:ascii="Arial" w:hAnsi="Arial" w:eastAsia="宋体" w:cs="Arial"/>
                <w:color w:val="auto"/>
                <w:sz w:val="21"/>
                <w:highlight w:val="none"/>
              </w:rPr>
            </w:pPr>
            <w:r>
              <w:rPr>
                <w:rFonts w:hint="default" w:ascii="Arial" w:hAnsi="Arial" w:eastAsia="宋体" w:cs="Arial"/>
                <w:color w:val="auto"/>
                <w:sz w:val="21"/>
                <w:highlight w:val="none"/>
              </w:rPr>
              <w:t>敏感</w:t>
            </w:r>
          </w:p>
        </w:tc>
        <w:tc>
          <w:tcPr>
            <w:tcW w:w="2251" w:type="dxa"/>
            <w:vAlign w:val="center"/>
          </w:tcPr>
          <w:p>
            <w:pPr>
              <w:overflowPunct w:val="0"/>
              <w:spacing w:line="360" w:lineRule="exact"/>
              <w:ind w:firstLine="0" w:firstLineChars="0"/>
              <w:jc w:val="center"/>
              <w:textAlignment w:val="center"/>
              <w:rPr>
                <w:rFonts w:hint="default" w:ascii="Arial" w:hAnsi="Arial" w:eastAsia="宋体" w:cs="Arial"/>
                <w:color w:val="auto"/>
                <w:sz w:val="21"/>
                <w:highlight w:val="none"/>
              </w:rPr>
            </w:pPr>
            <w:r>
              <w:rPr>
                <w:rFonts w:hint="default" w:ascii="Arial" w:hAnsi="Arial" w:eastAsia="宋体" w:cs="Arial"/>
                <w:color w:val="auto"/>
                <w:sz w:val="21"/>
                <w:highlight w:val="none"/>
              </w:rPr>
              <w:t>一</w:t>
            </w:r>
          </w:p>
        </w:tc>
        <w:tc>
          <w:tcPr>
            <w:tcW w:w="2251" w:type="dxa"/>
            <w:vAlign w:val="center"/>
          </w:tcPr>
          <w:p>
            <w:pPr>
              <w:overflowPunct w:val="0"/>
              <w:spacing w:line="360" w:lineRule="exact"/>
              <w:ind w:firstLine="0" w:firstLineChars="0"/>
              <w:jc w:val="center"/>
              <w:textAlignment w:val="center"/>
              <w:rPr>
                <w:rFonts w:hint="default" w:ascii="Arial" w:hAnsi="Arial" w:eastAsia="宋体" w:cs="Arial"/>
                <w:color w:val="auto"/>
                <w:sz w:val="21"/>
                <w:highlight w:val="none"/>
              </w:rPr>
            </w:pPr>
            <w:r>
              <w:rPr>
                <w:rFonts w:hint="default" w:ascii="Arial" w:hAnsi="Arial" w:eastAsia="宋体" w:cs="Arial"/>
                <w:color w:val="auto"/>
                <w:sz w:val="21"/>
                <w:highlight w:val="none"/>
              </w:rPr>
              <w:t>一</w:t>
            </w:r>
          </w:p>
        </w:tc>
        <w:tc>
          <w:tcPr>
            <w:tcW w:w="2251" w:type="dxa"/>
            <w:tcBorders>
              <w:right w:val="nil"/>
            </w:tcBorders>
            <w:vAlign w:val="center"/>
          </w:tcPr>
          <w:p>
            <w:pPr>
              <w:overflowPunct w:val="0"/>
              <w:spacing w:line="360" w:lineRule="exact"/>
              <w:ind w:firstLine="0" w:firstLineChars="0"/>
              <w:jc w:val="center"/>
              <w:textAlignment w:val="center"/>
              <w:rPr>
                <w:rFonts w:hint="default" w:ascii="Arial" w:hAnsi="Arial" w:eastAsia="宋体" w:cs="Arial"/>
                <w:color w:val="auto"/>
                <w:sz w:val="21"/>
                <w:highlight w:val="none"/>
              </w:rPr>
            </w:pPr>
            <w:r>
              <w:rPr>
                <w:rFonts w:hint="default" w:ascii="Arial" w:hAnsi="Arial" w:eastAsia="宋体" w:cs="Arial"/>
                <w:color w:val="auto"/>
                <w:sz w:val="21"/>
                <w:highlight w:val="none"/>
              </w:rPr>
              <w:t>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250" w:type="dxa"/>
            <w:tcBorders>
              <w:top w:val="single" w:color="auto" w:sz="4" w:space="0"/>
              <w:left w:val="nil"/>
            </w:tcBorders>
            <w:vAlign w:val="center"/>
          </w:tcPr>
          <w:p>
            <w:pPr>
              <w:overflowPunct w:val="0"/>
              <w:spacing w:line="360" w:lineRule="exact"/>
              <w:ind w:firstLine="0" w:firstLineChars="0"/>
              <w:jc w:val="center"/>
              <w:textAlignment w:val="center"/>
              <w:rPr>
                <w:rFonts w:hint="default" w:ascii="Arial" w:hAnsi="Arial" w:eastAsia="宋体" w:cs="Arial"/>
                <w:color w:val="auto"/>
                <w:sz w:val="21"/>
                <w:highlight w:val="none"/>
              </w:rPr>
            </w:pPr>
            <w:r>
              <w:rPr>
                <w:rFonts w:hint="default" w:ascii="Arial" w:hAnsi="Arial" w:eastAsia="宋体" w:cs="Arial"/>
                <w:color w:val="auto"/>
                <w:sz w:val="21"/>
                <w:highlight w:val="none"/>
              </w:rPr>
              <w:t>较敏感</w:t>
            </w:r>
          </w:p>
        </w:tc>
        <w:tc>
          <w:tcPr>
            <w:tcW w:w="2251" w:type="dxa"/>
            <w:vAlign w:val="center"/>
          </w:tcPr>
          <w:p>
            <w:pPr>
              <w:overflowPunct w:val="0"/>
              <w:spacing w:line="360" w:lineRule="exact"/>
              <w:ind w:firstLine="0" w:firstLineChars="0"/>
              <w:jc w:val="center"/>
              <w:textAlignment w:val="center"/>
              <w:rPr>
                <w:rFonts w:hint="default" w:ascii="Arial" w:hAnsi="Arial" w:eastAsia="宋体" w:cs="Arial"/>
                <w:color w:val="auto"/>
                <w:sz w:val="21"/>
                <w:highlight w:val="none"/>
              </w:rPr>
            </w:pPr>
            <w:r>
              <w:rPr>
                <w:rFonts w:hint="default" w:ascii="Arial" w:hAnsi="Arial" w:eastAsia="宋体" w:cs="Arial"/>
                <w:color w:val="auto"/>
                <w:sz w:val="21"/>
                <w:highlight w:val="none"/>
              </w:rPr>
              <w:t>一</w:t>
            </w:r>
          </w:p>
        </w:tc>
        <w:tc>
          <w:tcPr>
            <w:tcW w:w="2251" w:type="dxa"/>
            <w:vAlign w:val="center"/>
          </w:tcPr>
          <w:p>
            <w:pPr>
              <w:overflowPunct w:val="0"/>
              <w:spacing w:line="360" w:lineRule="exact"/>
              <w:ind w:firstLine="0" w:firstLineChars="0"/>
              <w:jc w:val="center"/>
              <w:textAlignment w:val="center"/>
              <w:rPr>
                <w:rFonts w:hint="default" w:ascii="Arial" w:hAnsi="Arial" w:eastAsia="宋体" w:cs="Arial"/>
                <w:color w:val="auto"/>
                <w:sz w:val="21"/>
                <w:highlight w:val="none"/>
              </w:rPr>
            </w:pPr>
            <w:r>
              <w:rPr>
                <w:rFonts w:hint="default" w:ascii="Arial" w:hAnsi="Arial" w:eastAsia="宋体" w:cs="Arial"/>
                <w:color w:val="auto"/>
                <w:sz w:val="21"/>
                <w:highlight w:val="none"/>
              </w:rPr>
              <w:t>二</w:t>
            </w:r>
          </w:p>
        </w:tc>
        <w:tc>
          <w:tcPr>
            <w:tcW w:w="2251" w:type="dxa"/>
            <w:tcBorders>
              <w:right w:val="nil"/>
            </w:tcBorders>
            <w:shd w:val="clear" w:color="auto" w:fill="A5A5A5" w:themeFill="background1" w:themeFillShade="A6"/>
            <w:vAlign w:val="center"/>
          </w:tcPr>
          <w:p>
            <w:pPr>
              <w:pStyle w:val="63"/>
              <w:rPr>
                <w:rFonts w:hint="default" w:ascii="Arial" w:hAnsi="Arial" w:eastAsia="宋体" w:cs="Arial"/>
                <w:b/>
                <w:bCs/>
                <w:color w:val="auto"/>
                <w:highlight w:val="none"/>
              </w:rPr>
            </w:pPr>
            <w:r>
              <w:rPr>
                <w:rFonts w:hint="default" w:ascii="Arial" w:hAnsi="Arial" w:eastAsia="宋体" w:cs="Arial"/>
                <w:b/>
                <w:bCs/>
                <w:color w:val="auto"/>
                <w:highlight w:val="none"/>
                <w:lang w:val="en-GB"/>
              </w:rPr>
              <w:t>三</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2250" w:type="dxa"/>
            <w:tcBorders>
              <w:left w:val="nil"/>
              <w:bottom w:val="single" w:color="000000" w:sz="12" w:space="0"/>
            </w:tcBorders>
            <w:vAlign w:val="center"/>
          </w:tcPr>
          <w:p>
            <w:pPr>
              <w:overflowPunct w:val="0"/>
              <w:spacing w:line="360" w:lineRule="exact"/>
              <w:ind w:firstLine="0" w:firstLineChars="0"/>
              <w:jc w:val="center"/>
              <w:textAlignment w:val="center"/>
              <w:rPr>
                <w:rFonts w:hint="default" w:ascii="Arial" w:hAnsi="Arial" w:eastAsia="宋体" w:cs="Arial"/>
                <w:color w:val="auto"/>
                <w:sz w:val="21"/>
                <w:highlight w:val="none"/>
              </w:rPr>
            </w:pPr>
            <w:r>
              <w:rPr>
                <w:rFonts w:hint="default" w:ascii="Arial" w:hAnsi="Arial" w:eastAsia="宋体" w:cs="Arial"/>
                <w:color w:val="auto"/>
                <w:sz w:val="21"/>
                <w:highlight w:val="none"/>
              </w:rPr>
              <w:t>不敏感</w:t>
            </w:r>
          </w:p>
        </w:tc>
        <w:tc>
          <w:tcPr>
            <w:tcW w:w="2251" w:type="dxa"/>
            <w:tcBorders>
              <w:bottom w:val="single" w:color="000000" w:sz="12" w:space="0"/>
            </w:tcBorders>
            <w:vAlign w:val="center"/>
          </w:tcPr>
          <w:p>
            <w:pPr>
              <w:overflowPunct w:val="0"/>
              <w:spacing w:line="360" w:lineRule="exact"/>
              <w:ind w:firstLine="0" w:firstLineChars="0"/>
              <w:jc w:val="center"/>
              <w:textAlignment w:val="center"/>
              <w:rPr>
                <w:rFonts w:hint="default" w:ascii="Arial" w:hAnsi="Arial" w:eastAsia="宋体" w:cs="Arial"/>
                <w:color w:val="auto"/>
                <w:sz w:val="21"/>
                <w:highlight w:val="none"/>
              </w:rPr>
            </w:pPr>
            <w:r>
              <w:rPr>
                <w:rFonts w:hint="default" w:ascii="Arial" w:hAnsi="Arial" w:eastAsia="宋体" w:cs="Arial"/>
                <w:color w:val="auto"/>
                <w:sz w:val="21"/>
                <w:highlight w:val="none"/>
              </w:rPr>
              <w:t>二</w:t>
            </w:r>
          </w:p>
        </w:tc>
        <w:tc>
          <w:tcPr>
            <w:tcW w:w="2251" w:type="dxa"/>
            <w:tcBorders>
              <w:bottom w:val="single" w:color="000000" w:sz="12" w:space="0"/>
            </w:tcBorders>
            <w:vAlign w:val="center"/>
          </w:tcPr>
          <w:p>
            <w:pPr>
              <w:overflowPunct w:val="0"/>
              <w:spacing w:line="360" w:lineRule="exact"/>
              <w:ind w:firstLine="0" w:firstLineChars="0"/>
              <w:jc w:val="center"/>
              <w:textAlignment w:val="center"/>
              <w:rPr>
                <w:rFonts w:hint="default" w:ascii="Arial" w:hAnsi="Arial" w:eastAsia="宋体" w:cs="Arial"/>
                <w:color w:val="auto"/>
                <w:sz w:val="21"/>
                <w:highlight w:val="none"/>
              </w:rPr>
            </w:pPr>
            <w:r>
              <w:rPr>
                <w:rFonts w:hint="default" w:ascii="Arial" w:hAnsi="Arial" w:eastAsia="宋体" w:cs="Arial"/>
                <w:color w:val="auto"/>
                <w:sz w:val="21"/>
                <w:highlight w:val="none"/>
              </w:rPr>
              <w:t>三</w:t>
            </w:r>
          </w:p>
        </w:tc>
        <w:tc>
          <w:tcPr>
            <w:tcW w:w="2251" w:type="dxa"/>
            <w:tcBorders>
              <w:bottom w:val="single" w:color="000000" w:sz="12" w:space="0"/>
              <w:right w:val="nil"/>
            </w:tcBorders>
            <w:shd w:val="clear" w:color="auto" w:fill="auto"/>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lang w:val="en-GB"/>
              </w:rPr>
              <w:t>三</w:t>
            </w:r>
          </w:p>
        </w:tc>
      </w:tr>
    </w:tbl>
    <w:p>
      <w:pPr>
        <w:overflowPunct w:val="0"/>
        <w:ind w:firstLine="480"/>
        <w:rPr>
          <w:rFonts w:hint="default" w:ascii="Arial" w:hAnsi="Arial" w:eastAsia="宋体" w:cs="Arial"/>
          <w:color w:val="auto"/>
          <w:highlight w:val="none"/>
        </w:rPr>
      </w:pPr>
      <w:r>
        <w:rPr>
          <w:rFonts w:hint="default" w:ascii="Arial" w:hAnsi="Arial" w:eastAsia="宋体" w:cs="Arial"/>
          <w:color w:val="auto"/>
          <w:highlight w:val="none"/>
        </w:rPr>
        <w:t>依据建设项目地下水环境影响评价工作等级划分中的要求，</w:t>
      </w:r>
      <w:r>
        <w:rPr>
          <w:rFonts w:hint="default" w:ascii="Arial" w:hAnsi="Arial" w:eastAsia="宋体" w:cs="Arial"/>
          <w:color w:val="auto"/>
          <w:highlight w:val="none"/>
          <w:lang w:eastAsia="zh-CN"/>
        </w:rPr>
        <w:t>本</w:t>
      </w:r>
      <w:r>
        <w:rPr>
          <w:rFonts w:hint="default" w:ascii="Arial" w:hAnsi="Arial" w:eastAsia="宋体" w:cs="Arial"/>
          <w:color w:val="auto"/>
          <w:highlight w:val="none"/>
        </w:rPr>
        <w:t>项目</w:t>
      </w:r>
      <w:r>
        <w:rPr>
          <w:rFonts w:hint="default" w:ascii="Arial" w:hAnsi="Arial" w:eastAsia="宋体" w:cs="Arial"/>
          <w:color w:val="auto"/>
          <w:highlight w:val="none"/>
          <w:lang w:eastAsia="zh-CN"/>
        </w:rPr>
        <w:t>类别</w:t>
      </w:r>
      <w:r>
        <w:rPr>
          <w:rFonts w:hint="default" w:ascii="Arial" w:hAnsi="Arial" w:eastAsia="宋体" w:cs="Arial"/>
          <w:color w:val="auto"/>
          <w:highlight w:val="none"/>
        </w:rPr>
        <w:t>为Ⅲ类</w:t>
      </w:r>
      <w:r>
        <w:rPr>
          <w:rFonts w:hint="default" w:ascii="Arial" w:hAnsi="Arial" w:eastAsia="宋体" w:cs="Arial"/>
          <w:color w:val="auto"/>
          <w:highlight w:val="none"/>
          <w:lang w:eastAsia="zh-CN"/>
        </w:rPr>
        <w:t>，</w:t>
      </w:r>
      <w:r>
        <w:rPr>
          <w:rFonts w:hint="default" w:ascii="Arial" w:hAnsi="Arial" w:eastAsia="宋体" w:cs="Arial"/>
          <w:color w:val="auto"/>
          <w:highlight w:val="none"/>
        </w:rPr>
        <w:t>环境敏感程度为“</w:t>
      </w:r>
      <w:r>
        <w:rPr>
          <w:rFonts w:hint="default" w:ascii="Arial" w:hAnsi="Arial" w:eastAsia="宋体" w:cs="Arial"/>
          <w:color w:val="auto"/>
          <w:highlight w:val="none"/>
          <w:lang w:eastAsia="zh-CN"/>
        </w:rPr>
        <w:t>较</w:t>
      </w:r>
      <w:r>
        <w:rPr>
          <w:rFonts w:hint="default" w:ascii="Arial" w:hAnsi="Arial" w:eastAsia="宋体" w:cs="Arial"/>
          <w:color w:val="auto"/>
          <w:highlight w:val="none"/>
        </w:rPr>
        <w:t>敏感”，确定本项目地下水评价工作等级为三级。</w:t>
      </w:r>
    </w:p>
    <w:p>
      <w:pPr>
        <w:ind w:firstLine="480"/>
        <w:rPr>
          <w:rFonts w:hint="default" w:ascii="Arial" w:hAnsi="Arial" w:eastAsia="宋体" w:cs="Arial"/>
          <w:color w:val="auto"/>
          <w:highlight w:val="none"/>
        </w:rPr>
      </w:pPr>
      <w:r>
        <w:rPr>
          <w:rFonts w:hint="default" w:ascii="Arial" w:hAnsi="Arial" w:eastAsia="宋体" w:cs="Arial"/>
          <w:color w:val="auto"/>
          <w:highlight w:val="none"/>
        </w:rPr>
        <w:t>（4）地下水评价范围</w:t>
      </w:r>
    </w:p>
    <w:p>
      <w:pPr>
        <w:topLinePunct w:val="0"/>
        <w:autoSpaceDE/>
        <w:ind w:firstLine="480"/>
        <w:rPr>
          <w:rFonts w:hint="default" w:ascii="Arial" w:hAnsi="Arial" w:eastAsia="宋体" w:cs="Arial"/>
          <w:color w:val="auto"/>
          <w:szCs w:val="24"/>
          <w:highlight w:val="none"/>
          <w:lang w:val="zh-CN"/>
        </w:rPr>
      </w:pPr>
      <w:r>
        <w:rPr>
          <w:rFonts w:hint="default" w:ascii="Arial" w:hAnsi="Arial" w:eastAsia="宋体" w:cs="Arial"/>
          <w:color w:val="auto"/>
          <w:szCs w:val="24"/>
          <w:highlight w:val="none"/>
          <w:lang w:val="zh-CN"/>
        </w:rPr>
        <w:t>根据《环境影响评价技术导则地下水环境》（HJ610-2016），建设项目地下水环境影响现状调查评价范围可采用公式法、查表法和自定义法确定。本次评价采用查表法确定地下水评价范围。地下水环境现状调查评价范围参照表见下表。</w:t>
      </w:r>
    </w:p>
    <w:p>
      <w:pPr>
        <w:pStyle w:val="8"/>
        <w:rPr>
          <w:rFonts w:hint="default" w:ascii="Arial" w:hAnsi="Arial" w:eastAsia="宋体" w:cs="Arial"/>
          <w:color w:val="auto"/>
          <w:highlight w:val="none"/>
        </w:rPr>
      </w:pPr>
      <w:r>
        <w:rPr>
          <w:rFonts w:hint="default" w:ascii="Arial" w:hAnsi="Arial" w:eastAsia="宋体" w:cs="Arial"/>
          <w:color w:val="auto"/>
          <w:highlight w:val="none"/>
        </w:rPr>
        <w:t>表2.5-8    地下水环境现状调查评价范围参照表</w:t>
      </w:r>
    </w:p>
    <w:tbl>
      <w:tblPr>
        <w:tblStyle w:val="40"/>
        <w:tblW w:w="9003" w:type="dxa"/>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2375"/>
        <w:gridCol w:w="3543"/>
        <w:gridCol w:w="3085"/>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34" w:hRule="atLeast"/>
          <w:jc w:val="center"/>
        </w:trPr>
        <w:tc>
          <w:tcPr>
            <w:tcW w:w="2375"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评价等级</w:t>
            </w:r>
          </w:p>
        </w:tc>
        <w:tc>
          <w:tcPr>
            <w:tcW w:w="3543"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调查评价范围（km</w:t>
            </w:r>
            <w:r>
              <w:rPr>
                <w:rFonts w:hint="default" w:ascii="Arial" w:hAnsi="Arial" w:eastAsia="宋体" w:cs="Arial"/>
                <w:color w:val="auto"/>
                <w:sz w:val="21"/>
                <w:szCs w:val="21"/>
                <w:highlight w:val="none"/>
                <w:vertAlign w:val="superscript"/>
              </w:rPr>
              <w:t>2</w:t>
            </w:r>
            <w:r>
              <w:rPr>
                <w:rFonts w:hint="default" w:ascii="Arial" w:hAnsi="Arial" w:eastAsia="宋体" w:cs="Arial"/>
                <w:color w:val="auto"/>
                <w:sz w:val="21"/>
                <w:szCs w:val="21"/>
                <w:highlight w:val="none"/>
              </w:rPr>
              <w:t>）</w:t>
            </w:r>
          </w:p>
        </w:tc>
        <w:tc>
          <w:tcPr>
            <w:tcW w:w="3085"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备注</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375"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一级</w:t>
            </w:r>
          </w:p>
        </w:tc>
        <w:tc>
          <w:tcPr>
            <w:tcW w:w="3543"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≥20</w:t>
            </w:r>
          </w:p>
        </w:tc>
        <w:tc>
          <w:tcPr>
            <w:tcW w:w="3085" w:type="dxa"/>
            <w:vMerge w:val="restart"/>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应包括重要的地下水环境保护目标，必要时适当扩大范围。</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375"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二级</w:t>
            </w:r>
          </w:p>
        </w:tc>
        <w:tc>
          <w:tcPr>
            <w:tcW w:w="3543"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6~20</w:t>
            </w:r>
          </w:p>
        </w:tc>
        <w:tc>
          <w:tcPr>
            <w:tcW w:w="3085" w:type="dxa"/>
            <w:vMerge w:val="continue"/>
            <w:vAlign w:val="center"/>
          </w:tcPr>
          <w:p>
            <w:pPr>
              <w:pStyle w:val="63"/>
              <w:rPr>
                <w:rFonts w:hint="default" w:ascii="Arial" w:hAnsi="Arial" w:eastAsia="宋体" w:cs="Arial"/>
                <w:color w:val="auto"/>
                <w:sz w:val="21"/>
                <w:szCs w:val="21"/>
                <w:highlight w:val="none"/>
              </w:rPr>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375"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三级</w:t>
            </w:r>
          </w:p>
        </w:tc>
        <w:tc>
          <w:tcPr>
            <w:tcW w:w="3543"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≤6</w:t>
            </w:r>
          </w:p>
        </w:tc>
        <w:tc>
          <w:tcPr>
            <w:tcW w:w="3085" w:type="dxa"/>
            <w:vMerge w:val="continue"/>
            <w:vAlign w:val="center"/>
          </w:tcPr>
          <w:p>
            <w:pPr>
              <w:pStyle w:val="63"/>
              <w:rPr>
                <w:rFonts w:hint="default" w:ascii="Arial" w:hAnsi="Arial" w:eastAsia="宋体" w:cs="Arial"/>
                <w:color w:val="auto"/>
                <w:sz w:val="21"/>
                <w:szCs w:val="21"/>
                <w:highlight w:val="none"/>
              </w:rPr>
            </w:pPr>
          </w:p>
        </w:tc>
      </w:tr>
    </w:tbl>
    <w:p>
      <w:pPr>
        <w:ind w:firstLine="480"/>
        <w:rPr>
          <w:rFonts w:hint="default" w:ascii="Arial" w:hAnsi="Arial" w:eastAsia="宋体" w:cs="Arial"/>
          <w:color w:val="auto"/>
          <w:highlight w:val="none"/>
        </w:rPr>
      </w:pPr>
      <w:r>
        <w:rPr>
          <w:rFonts w:hint="default" w:ascii="Arial" w:hAnsi="Arial" w:eastAsia="宋体" w:cs="Arial"/>
          <w:color w:val="auto"/>
          <w:highlight w:val="none"/>
        </w:rPr>
        <w:t>本项目区下游无集中式地下水源地，</w:t>
      </w:r>
      <w:r>
        <w:rPr>
          <w:rFonts w:hint="default" w:ascii="Arial" w:hAnsi="Arial" w:eastAsia="宋体" w:cs="Arial"/>
          <w:color w:val="auto"/>
          <w:highlight w:val="none"/>
          <w:lang w:eastAsia="zh-CN"/>
        </w:rPr>
        <w:t>地下水流向为</w:t>
      </w:r>
      <w:r>
        <w:rPr>
          <w:rFonts w:hint="default" w:ascii="Arial" w:hAnsi="Arial" w:eastAsia="宋体" w:cs="Arial"/>
          <w:color w:val="auto"/>
          <w:highlight w:val="none"/>
        </w:rPr>
        <w:t>由南向北；本次调查评价范围：上游</w:t>
      </w:r>
      <w:r>
        <w:rPr>
          <w:rFonts w:hint="default" w:ascii="Arial" w:hAnsi="Arial" w:eastAsia="宋体" w:cs="Arial"/>
          <w:color w:val="auto"/>
          <w:highlight w:val="none"/>
          <w:lang w:eastAsia="zh-CN"/>
        </w:rPr>
        <w:t>南</w:t>
      </w:r>
      <w:r>
        <w:rPr>
          <w:rFonts w:hint="default" w:ascii="Arial" w:hAnsi="Arial" w:eastAsia="宋体" w:cs="Arial"/>
          <w:color w:val="auto"/>
          <w:highlight w:val="none"/>
        </w:rPr>
        <w:t>侧扩展</w:t>
      </w:r>
      <w:r>
        <w:rPr>
          <w:rFonts w:hint="default" w:ascii="Arial" w:hAnsi="Arial" w:eastAsia="宋体" w:cs="Arial"/>
          <w:color w:val="auto"/>
          <w:highlight w:val="none"/>
          <w:lang w:val="en-US" w:eastAsia="zh-CN"/>
        </w:rPr>
        <w:t>1</w:t>
      </w:r>
      <w:r>
        <w:rPr>
          <w:rFonts w:hint="default" w:ascii="Arial" w:hAnsi="Arial" w:eastAsia="宋体" w:cs="Arial"/>
          <w:color w:val="auto"/>
          <w:highlight w:val="none"/>
        </w:rPr>
        <w:t>.0km为界，东</w:t>
      </w:r>
      <w:r>
        <w:rPr>
          <w:rFonts w:hint="default" w:ascii="Arial" w:hAnsi="Arial" w:eastAsia="宋体" w:cs="Arial"/>
          <w:color w:val="auto"/>
          <w:highlight w:val="none"/>
          <w:lang w:eastAsia="zh-CN"/>
        </w:rPr>
        <w:t>、</w:t>
      </w:r>
      <w:r>
        <w:rPr>
          <w:rFonts w:hint="default" w:ascii="Arial" w:hAnsi="Arial" w:eastAsia="宋体" w:cs="Arial"/>
          <w:color w:val="auto"/>
          <w:highlight w:val="none"/>
        </w:rPr>
        <w:t>西</w:t>
      </w:r>
      <w:r>
        <w:rPr>
          <w:rFonts w:hint="default" w:ascii="Arial" w:hAnsi="Arial" w:eastAsia="宋体" w:cs="Arial"/>
          <w:color w:val="auto"/>
          <w:highlight w:val="none"/>
          <w:lang w:eastAsia="zh-CN"/>
        </w:rPr>
        <w:t>两</w:t>
      </w:r>
      <w:r>
        <w:rPr>
          <w:rFonts w:hint="default" w:ascii="Arial" w:hAnsi="Arial" w:eastAsia="宋体" w:cs="Arial"/>
          <w:color w:val="auto"/>
          <w:highlight w:val="none"/>
        </w:rPr>
        <w:t>侧向外扩展1.0km为界，下游</w:t>
      </w:r>
      <w:r>
        <w:rPr>
          <w:rFonts w:hint="default" w:ascii="Arial" w:hAnsi="Arial" w:eastAsia="宋体" w:cs="Arial"/>
          <w:color w:val="auto"/>
          <w:highlight w:val="none"/>
          <w:lang w:eastAsia="zh-CN"/>
        </w:rPr>
        <w:t>北侧</w:t>
      </w:r>
      <w:r>
        <w:rPr>
          <w:rFonts w:hint="default" w:ascii="Arial" w:hAnsi="Arial" w:eastAsia="宋体" w:cs="Arial"/>
          <w:color w:val="auto"/>
          <w:highlight w:val="none"/>
        </w:rPr>
        <w:t>扩展</w:t>
      </w:r>
      <w:r>
        <w:rPr>
          <w:rFonts w:hint="default" w:ascii="Arial" w:hAnsi="Arial" w:eastAsia="宋体" w:cs="Arial"/>
          <w:color w:val="auto"/>
          <w:highlight w:val="none"/>
          <w:lang w:val="en-US" w:eastAsia="zh-CN"/>
        </w:rPr>
        <w:t>2</w:t>
      </w:r>
      <w:r>
        <w:rPr>
          <w:rFonts w:hint="default" w:ascii="Arial" w:hAnsi="Arial" w:eastAsia="宋体" w:cs="Arial"/>
          <w:color w:val="auto"/>
          <w:highlight w:val="none"/>
        </w:rPr>
        <w:t>.0km为界，面积约为6.0km</w:t>
      </w:r>
      <w:r>
        <w:rPr>
          <w:rFonts w:hint="default" w:ascii="Arial" w:hAnsi="Arial" w:eastAsia="宋体" w:cs="Arial"/>
          <w:color w:val="auto"/>
          <w:highlight w:val="none"/>
          <w:vertAlign w:val="superscript"/>
        </w:rPr>
        <w:t>2</w:t>
      </w:r>
      <w:r>
        <w:rPr>
          <w:rFonts w:hint="default" w:ascii="Arial" w:hAnsi="Arial" w:eastAsia="宋体" w:cs="Arial"/>
          <w:color w:val="auto"/>
          <w:highlight w:val="none"/>
        </w:rPr>
        <w:t>，如图2.6-1所示。</w:t>
      </w:r>
    </w:p>
    <w:p>
      <w:pPr>
        <w:pStyle w:val="6"/>
        <w:rPr>
          <w:rFonts w:hint="default" w:ascii="Arial" w:hAnsi="Arial" w:eastAsia="宋体" w:cs="Arial"/>
          <w:color w:val="auto"/>
          <w:highlight w:val="none"/>
          <w:lang w:val="en-GB"/>
        </w:rPr>
      </w:pPr>
      <w:bookmarkStart w:id="164" w:name="_Toc15859"/>
      <w:r>
        <w:rPr>
          <w:rFonts w:hint="default" w:ascii="Arial" w:hAnsi="Arial" w:eastAsia="宋体" w:cs="Arial"/>
          <w:color w:val="auto"/>
          <w:highlight w:val="none"/>
          <w:lang w:val="en-GB"/>
        </w:rPr>
        <w:t>2.5.4土壤环境</w:t>
      </w:r>
      <w:bookmarkEnd w:id="164"/>
    </w:p>
    <w:p>
      <w:pPr>
        <w:ind w:firstLine="480"/>
        <w:rPr>
          <w:rFonts w:hint="default" w:ascii="Arial" w:hAnsi="Arial" w:eastAsia="宋体" w:cs="Arial"/>
          <w:color w:val="auto"/>
          <w:highlight w:val="none"/>
        </w:rPr>
      </w:pPr>
      <w:r>
        <w:rPr>
          <w:rFonts w:hint="default" w:ascii="Arial" w:hAnsi="Arial" w:eastAsia="宋体" w:cs="Arial"/>
          <w:color w:val="auto"/>
          <w:highlight w:val="none"/>
        </w:rPr>
        <w:t>（1）项目类别</w:t>
      </w:r>
    </w:p>
    <w:p>
      <w:pPr>
        <w:ind w:firstLine="480"/>
        <w:rPr>
          <w:rFonts w:hint="default" w:ascii="Arial" w:hAnsi="Arial" w:eastAsia="宋体" w:cs="Arial"/>
          <w:color w:val="auto"/>
          <w:szCs w:val="24"/>
          <w:highlight w:val="none"/>
        </w:rPr>
      </w:pPr>
      <w:r>
        <w:rPr>
          <w:rFonts w:hint="default" w:ascii="Arial" w:hAnsi="Arial" w:eastAsia="宋体" w:cs="Arial"/>
          <w:color w:val="auto"/>
          <w:highlight w:val="none"/>
        </w:rPr>
        <w:t>本项目为</w:t>
      </w:r>
      <w:r>
        <w:rPr>
          <w:rFonts w:hint="default" w:ascii="Arial" w:hAnsi="Arial" w:eastAsia="宋体" w:cs="Arial"/>
          <w:color w:val="auto"/>
          <w:highlight w:val="none"/>
          <w:lang w:eastAsia="zh-CN"/>
        </w:rPr>
        <w:t>规模化肉牛养殖项目，</w:t>
      </w:r>
      <w:r>
        <w:rPr>
          <w:rFonts w:hint="default" w:ascii="Arial" w:hAnsi="Arial" w:eastAsia="宋体" w:cs="Arial"/>
          <w:color w:val="auto"/>
          <w:highlight w:val="none"/>
        </w:rPr>
        <w:t>位于</w:t>
      </w:r>
      <w:r>
        <w:rPr>
          <w:rFonts w:hint="default" w:ascii="Arial" w:hAnsi="Arial" w:eastAsia="宋体" w:cs="Arial"/>
          <w:color w:val="auto"/>
          <w:sz w:val="24"/>
          <w:szCs w:val="24"/>
          <w:highlight w:val="none"/>
          <w:lang w:eastAsia="zh-CN"/>
        </w:rPr>
        <w:t>内蒙古自治区巴彦淖尔市五原县天吉泰镇二合永村五社</w:t>
      </w:r>
      <w:r>
        <w:rPr>
          <w:rFonts w:hint="default" w:ascii="Arial" w:hAnsi="Arial" w:eastAsia="宋体" w:cs="Arial"/>
          <w:color w:val="auto"/>
          <w:highlight w:val="none"/>
          <w:lang w:eastAsia="zh-CN"/>
        </w:rPr>
        <w:t>。</w:t>
      </w:r>
      <w:r>
        <w:rPr>
          <w:rFonts w:hint="default" w:ascii="Arial" w:hAnsi="Arial" w:eastAsia="宋体" w:cs="Arial"/>
          <w:color w:val="auto"/>
          <w:highlight w:val="none"/>
        </w:rPr>
        <w:t>根据</w:t>
      </w:r>
      <w:r>
        <w:rPr>
          <w:rFonts w:hint="default" w:ascii="Arial" w:hAnsi="Arial" w:eastAsia="宋体" w:cs="Arial"/>
          <w:color w:val="auto"/>
          <w:highlight w:val="none"/>
          <w:lang w:val="en-GB"/>
        </w:rPr>
        <w:t>《环境影响评价技术导则 土壤环境（试行）》（HJ964-2018）</w:t>
      </w:r>
      <w:r>
        <w:rPr>
          <w:rFonts w:hint="default" w:ascii="Arial" w:hAnsi="Arial" w:eastAsia="宋体" w:cs="Arial"/>
          <w:color w:val="auto"/>
          <w:szCs w:val="24"/>
          <w:highlight w:val="none"/>
        </w:rPr>
        <w:t>附录A</w:t>
      </w:r>
      <w:r>
        <w:rPr>
          <w:rFonts w:hint="default" w:ascii="Arial" w:hAnsi="Arial" w:eastAsia="宋体" w:cs="Arial"/>
          <w:color w:val="auto"/>
          <w:highlight w:val="none"/>
        </w:rPr>
        <w:t>土壤环境影响评价行业分类表，本项目</w:t>
      </w:r>
      <w:r>
        <w:rPr>
          <w:rFonts w:hint="default" w:ascii="Arial" w:hAnsi="Arial" w:eastAsia="宋体" w:cs="Arial"/>
          <w:color w:val="auto"/>
          <w:szCs w:val="24"/>
          <w:highlight w:val="none"/>
        </w:rPr>
        <w:t>土壤环境影响评价项目</w:t>
      </w:r>
      <w:r>
        <w:rPr>
          <w:rFonts w:hint="default" w:ascii="Arial" w:hAnsi="Arial" w:eastAsia="宋体" w:cs="Arial"/>
          <w:color w:val="auto"/>
          <w:szCs w:val="24"/>
          <w:highlight w:val="none"/>
          <w:lang w:eastAsia="zh-CN"/>
        </w:rPr>
        <w:t>类别为</w:t>
      </w:r>
      <w:r>
        <w:rPr>
          <w:rFonts w:hint="default" w:ascii="Arial" w:hAnsi="Arial" w:eastAsia="宋体" w:cs="Arial"/>
          <w:color w:val="auto"/>
          <w:szCs w:val="24"/>
          <w:highlight w:val="none"/>
        </w:rPr>
        <w:fldChar w:fldCharType="begin"/>
      </w:r>
      <w:r>
        <w:rPr>
          <w:rFonts w:hint="default" w:ascii="Arial" w:hAnsi="Arial" w:eastAsia="宋体" w:cs="Arial"/>
          <w:color w:val="auto"/>
          <w:szCs w:val="24"/>
          <w:highlight w:val="none"/>
        </w:rPr>
        <w:instrText xml:space="preserve"> = 3 \* ROMAN \* MERGEFORMAT </w:instrText>
      </w:r>
      <w:r>
        <w:rPr>
          <w:rFonts w:hint="default" w:ascii="Arial" w:hAnsi="Arial" w:eastAsia="宋体" w:cs="Arial"/>
          <w:color w:val="auto"/>
          <w:szCs w:val="24"/>
          <w:highlight w:val="none"/>
        </w:rPr>
        <w:fldChar w:fldCharType="separate"/>
      </w:r>
      <w:r>
        <w:rPr>
          <w:rFonts w:hint="default" w:ascii="Arial" w:hAnsi="Arial" w:eastAsia="宋体" w:cs="Arial"/>
          <w:color w:val="auto"/>
          <w:highlight w:val="none"/>
        </w:rPr>
        <w:t>III</w:t>
      </w:r>
      <w:r>
        <w:rPr>
          <w:rFonts w:hint="default" w:ascii="Arial" w:hAnsi="Arial" w:eastAsia="宋体" w:cs="Arial"/>
          <w:color w:val="auto"/>
          <w:szCs w:val="24"/>
          <w:highlight w:val="none"/>
        </w:rPr>
        <w:fldChar w:fldCharType="end"/>
      </w:r>
      <w:r>
        <w:rPr>
          <w:rFonts w:hint="default" w:ascii="Arial" w:hAnsi="Arial" w:eastAsia="宋体" w:cs="Arial"/>
          <w:color w:val="auto"/>
          <w:szCs w:val="24"/>
          <w:highlight w:val="none"/>
        </w:rPr>
        <w:t>类。</w:t>
      </w:r>
    </w:p>
    <w:p>
      <w:pPr>
        <w:ind w:firstLine="480"/>
        <w:rPr>
          <w:rFonts w:hint="default" w:ascii="Arial" w:hAnsi="Arial" w:eastAsia="宋体" w:cs="Arial"/>
          <w:color w:val="auto"/>
          <w:highlight w:val="none"/>
          <w:lang w:val="en-GB"/>
        </w:rPr>
      </w:pPr>
      <w:r>
        <w:rPr>
          <w:rFonts w:hint="default" w:ascii="Arial" w:hAnsi="Arial" w:eastAsia="宋体" w:cs="Arial"/>
          <w:color w:val="auto"/>
          <w:highlight w:val="none"/>
          <w:lang w:val="en-GB"/>
        </w:rPr>
        <w:t>（1）评价等级</w:t>
      </w:r>
    </w:p>
    <w:p>
      <w:pPr>
        <w:ind w:firstLine="480"/>
        <w:rPr>
          <w:rFonts w:hint="default" w:ascii="Arial" w:hAnsi="Arial" w:eastAsia="宋体" w:cs="Arial"/>
          <w:color w:val="auto"/>
          <w:highlight w:val="none"/>
          <w:lang w:val="en-GB"/>
        </w:rPr>
      </w:pPr>
      <w:r>
        <w:rPr>
          <w:rFonts w:hint="default" w:ascii="Arial" w:hAnsi="Arial" w:eastAsia="宋体" w:cs="Arial"/>
          <w:color w:val="auto"/>
          <w:highlight w:val="none"/>
          <w:lang w:val="en-GB"/>
        </w:rPr>
        <w:t>依据《环境影响评价技术导则 土壤环境（试行）》（HJ964-2018），建设项目所在地周边的土壤环境敏感程度分为敏感、较敏感、不敏感，判别依据见表2.5-</w:t>
      </w:r>
      <w:r>
        <w:rPr>
          <w:rFonts w:hint="default" w:ascii="Arial" w:hAnsi="Arial" w:eastAsia="宋体" w:cs="Arial"/>
          <w:color w:val="auto"/>
          <w:highlight w:val="none"/>
          <w:lang w:val="en-US" w:eastAsia="zh-CN"/>
        </w:rPr>
        <w:t>9</w:t>
      </w:r>
      <w:r>
        <w:rPr>
          <w:rFonts w:hint="default" w:ascii="Arial" w:hAnsi="Arial" w:eastAsia="宋体" w:cs="Arial"/>
          <w:color w:val="auto"/>
          <w:highlight w:val="none"/>
          <w:lang w:val="en-GB"/>
        </w:rPr>
        <w:t>。</w:t>
      </w:r>
    </w:p>
    <w:p>
      <w:pPr>
        <w:pStyle w:val="8"/>
        <w:rPr>
          <w:rFonts w:hint="default" w:ascii="Arial" w:hAnsi="Arial" w:eastAsia="宋体" w:cs="Arial"/>
          <w:color w:val="auto"/>
          <w:sz w:val="23"/>
          <w:szCs w:val="23"/>
          <w:highlight w:val="none"/>
        </w:rPr>
      </w:pPr>
      <w:r>
        <w:rPr>
          <w:rFonts w:hint="default" w:ascii="Arial" w:hAnsi="Arial" w:eastAsia="宋体" w:cs="Arial"/>
          <w:color w:val="auto"/>
          <w:highlight w:val="none"/>
        </w:rPr>
        <w:t>表2.5-</w:t>
      </w:r>
      <w:r>
        <w:rPr>
          <w:rFonts w:hint="default" w:ascii="Arial" w:hAnsi="Arial" w:eastAsia="宋体" w:cs="Arial"/>
          <w:color w:val="auto"/>
          <w:highlight w:val="none"/>
          <w:lang w:val="en-US" w:eastAsia="zh-CN"/>
        </w:rPr>
        <w:t>9</w:t>
      </w:r>
      <w:r>
        <w:rPr>
          <w:rFonts w:hint="default" w:ascii="Arial" w:hAnsi="Arial" w:eastAsia="宋体" w:cs="Arial"/>
          <w:color w:val="auto"/>
          <w:highlight w:val="none"/>
        </w:rPr>
        <w:t xml:space="preserve">    污染影响型敏感程度分级表</w:t>
      </w:r>
    </w:p>
    <w:tbl>
      <w:tblPr>
        <w:tblStyle w:val="39"/>
        <w:tblW w:w="9003" w:type="dxa"/>
        <w:tblInd w:w="0" w:type="dxa"/>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1810"/>
        <w:gridCol w:w="7193"/>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810"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Arial" w:hAnsi="Arial" w:eastAsia="宋体" w:cs="Arial"/>
                <w:color w:val="auto"/>
                <w:kern w:val="0"/>
                <w:highlight w:val="none"/>
              </w:rPr>
            </w:pPr>
            <w:r>
              <w:rPr>
                <w:rFonts w:hint="default" w:ascii="Arial" w:hAnsi="Arial" w:eastAsia="宋体" w:cs="Arial"/>
                <w:color w:val="auto"/>
                <w:kern w:val="0"/>
                <w:highlight w:val="none"/>
              </w:rPr>
              <w:t>敏感程度</w:t>
            </w:r>
          </w:p>
        </w:tc>
        <w:tc>
          <w:tcPr>
            <w:tcW w:w="7193"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Arial" w:hAnsi="Arial" w:eastAsia="宋体" w:cs="Arial"/>
                <w:color w:val="auto"/>
                <w:kern w:val="0"/>
                <w:highlight w:val="none"/>
              </w:rPr>
            </w:pPr>
            <w:r>
              <w:rPr>
                <w:rFonts w:hint="default" w:ascii="Arial" w:hAnsi="Arial" w:eastAsia="宋体" w:cs="Arial"/>
                <w:color w:val="auto"/>
                <w:kern w:val="0"/>
                <w:highlight w:val="none"/>
              </w:rPr>
              <w:t>判别依据</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810"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Arial" w:hAnsi="Arial" w:eastAsia="宋体" w:cs="Arial"/>
                <w:color w:val="auto"/>
                <w:kern w:val="0"/>
                <w:highlight w:val="none"/>
              </w:rPr>
            </w:pPr>
            <w:r>
              <w:rPr>
                <w:rFonts w:hint="default" w:ascii="Arial" w:hAnsi="Arial" w:eastAsia="宋体" w:cs="Arial"/>
                <w:color w:val="auto"/>
                <w:kern w:val="0"/>
                <w:highlight w:val="none"/>
              </w:rPr>
              <w:t>敏感</w:t>
            </w:r>
          </w:p>
        </w:tc>
        <w:tc>
          <w:tcPr>
            <w:tcW w:w="7193"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Arial" w:hAnsi="Arial" w:eastAsia="宋体" w:cs="Arial"/>
                <w:color w:val="auto"/>
                <w:kern w:val="0"/>
                <w:highlight w:val="none"/>
              </w:rPr>
            </w:pPr>
            <w:r>
              <w:rPr>
                <w:rFonts w:hint="default" w:ascii="Arial" w:hAnsi="Arial" w:eastAsia="宋体" w:cs="Arial"/>
                <w:color w:val="auto"/>
                <w:kern w:val="0"/>
                <w:highlight w:val="none"/>
              </w:rPr>
              <w:t>建设项目周边存在耕地、园地、牧草地、饮用水水源地或居民区、学校、医院、疗养院、养老院等土壤环境敏感目标的</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810"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Arial" w:hAnsi="Arial" w:eastAsia="宋体" w:cs="Arial"/>
                <w:color w:val="auto"/>
                <w:kern w:val="0"/>
                <w:highlight w:val="none"/>
              </w:rPr>
            </w:pPr>
            <w:r>
              <w:rPr>
                <w:rFonts w:hint="default" w:ascii="Arial" w:hAnsi="Arial" w:eastAsia="宋体" w:cs="Arial"/>
                <w:color w:val="auto"/>
                <w:kern w:val="0"/>
                <w:highlight w:val="none"/>
              </w:rPr>
              <w:t>较敏感</w:t>
            </w:r>
          </w:p>
        </w:tc>
        <w:tc>
          <w:tcPr>
            <w:tcW w:w="7193"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Arial" w:hAnsi="Arial" w:eastAsia="宋体" w:cs="Arial"/>
                <w:color w:val="auto"/>
                <w:kern w:val="0"/>
                <w:highlight w:val="none"/>
              </w:rPr>
            </w:pPr>
            <w:r>
              <w:rPr>
                <w:rFonts w:hint="default" w:ascii="Arial" w:hAnsi="Arial" w:eastAsia="宋体" w:cs="Arial"/>
                <w:color w:val="auto"/>
                <w:kern w:val="0"/>
                <w:highlight w:val="none"/>
              </w:rPr>
              <w:t>建设项目周边存在其他土壤环境敏感目标的</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810"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Arial" w:hAnsi="Arial" w:eastAsia="宋体" w:cs="Arial"/>
                <w:color w:val="auto"/>
                <w:kern w:val="0"/>
                <w:highlight w:val="none"/>
              </w:rPr>
            </w:pPr>
            <w:r>
              <w:rPr>
                <w:rFonts w:hint="default" w:ascii="Arial" w:hAnsi="Arial" w:eastAsia="宋体" w:cs="Arial"/>
                <w:color w:val="auto"/>
                <w:kern w:val="0"/>
                <w:highlight w:val="none"/>
              </w:rPr>
              <w:t>不敏感</w:t>
            </w:r>
          </w:p>
        </w:tc>
        <w:tc>
          <w:tcPr>
            <w:tcW w:w="7193"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textAlignment w:val="center"/>
              <w:rPr>
                <w:rFonts w:hint="default" w:ascii="Arial" w:hAnsi="Arial" w:eastAsia="宋体" w:cs="Arial"/>
                <w:color w:val="auto"/>
                <w:kern w:val="0"/>
                <w:highlight w:val="none"/>
              </w:rPr>
            </w:pPr>
            <w:r>
              <w:rPr>
                <w:rFonts w:hint="default" w:ascii="Arial" w:hAnsi="Arial" w:eastAsia="宋体" w:cs="Arial"/>
                <w:color w:val="auto"/>
                <w:kern w:val="0"/>
                <w:highlight w:val="none"/>
              </w:rPr>
              <w:t>其他情况</w:t>
            </w:r>
          </w:p>
        </w:tc>
      </w:tr>
    </w:tbl>
    <w:p>
      <w:pPr>
        <w:ind w:firstLine="480"/>
        <w:rPr>
          <w:rFonts w:hint="default" w:ascii="Arial" w:hAnsi="Arial" w:eastAsia="宋体" w:cs="Arial"/>
          <w:color w:val="auto"/>
          <w:highlight w:val="none"/>
          <w:lang w:val="en-GB"/>
        </w:rPr>
      </w:pPr>
      <w:r>
        <w:rPr>
          <w:rFonts w:hint="default" w:ascii="Arial" w:hAnsi="Arial" w:eastAsia="宋体" w:cs="Arial"/>
          <w:color w:val="auto"/>
          <w:highlight w:val="none"/>
          <w:lang w:val="en-GB"/>
        </w:rPr>
        <w:t>本项目周边存在</w:t>
      </w:r>
      <w:r>
        <w:rPr>
          <w:rFonts w:hint="default" w:ascii="Arial" w:hAnsi="Arial" w:eastAsia="宋体" w:cs="Arial"/>
          <w:color w:val="auto"/>
          <w:highlight w:val="none"/>
          <w:lang w:val="en-GB" w:eastAsia="zh-CN"/>
        </w:rPr>
        <w:t>天然牧草地、旱地及林地等</w:t>
      </w:r>
      <w:r>
        <w:rPr>
          <w:rFonts w:hint="default" w:ascii="Arial" w:hAnsi="Arial" w:eastAsia="宋体" w:cs="Arial"/>
          <w:color w:val="auto"/>
          <w:highlight w:val="none"/>
          <w:lang w:val="en-GB"/>
        </w:rPr>
        <w:t>土壤环境敏感目标，敏感程度属于敏感，本项目占地规模</w:t>
      </w:r>
      <w:r>
        <w:rPr>
          <w:rFonts w:hint="default" w:ascii="Arial" w:hAnsi="Arial" w:eastAsia="宋体" w:cs="Arial"/>
          <w:color w:val="auto"/>
          <w:highlight w:val="none"/>
          <w:lang w:val="en-US" w:eastAsia="zh-CN"/>
        </w:rPr>
        <w:t>21.62</w:t>
      </w:r>
      <w:r>
        <w:rPr>
          <w:rFonts w:hint="default" w:ascii="Arial" w:hAnsi="Arial" w:eastAsia="宋体" w:cs="Arial"/>
          <w:color w:val="auto"/>
          <w:highlight w:val="none"/>
          <w:lang w:val="en-GB"/>
        </w:rPr>
        <w:t>hm</w:t>
      </w:r>
      <w:r>
        <w:rPr>
          <w:rFonts w:hint="default" w:ascii="Arial" w:hAnsi="Arial" w:eastAsia="宋体" w:cs="Arial"/>
          <w:color w:val="auto"/>
          <w:highlight w:val="none"/>
          <w:vertAlign w:val="superscript"/>
          <w:lang w:val="en-GB"/>
        </w:rPr>
        <w:t>2</w:t>
      </w:r>
      <w:r>
        <w:rPr>
          <w:rFonts w:hint="default" w:ascii="Arial" w:hAnsi="Arial" w:eastAsia="宋体" w:cs="Arial"/>
          <w:color w:val="auto"/>
          <w:highlight w:val="none"/>
          <w:lang w:val="en-GB" w:eastAsia="zh-CN"/>
        </w:rPr>
        <w:t>＜</w:t>
      </w:r>
      <w:r>
        <w:rPr>
          <w:rFonts w:hint="default" w:ascii="Arial" w:hAnsi="Arial" w:eastAsia="宋体" w:cs="Arial"/>
          <w:color w:val="auto"/>
          <w:highlight w:val="none"/>
          <w:lang w:val="en-GB"/>
        </w:rPr>
        <w:t>50hm</w:t>
      </w:r>
      <w:r>
        <w:rPr>
          <w:rFonts w:hint="default" w:ascii="Arial" w:hAnsi="Arial" w:eastAsia="宋体" w:cs="Arial"/>
          <w:color w:val="auto"/>
          <w:highlight w:val="none"/>
          <w:vertAlign w:val="superscript"/>
          <w:lang w:val="en-GB"/>
        </w:rPr>
        <w:t>2</w:t>
      </w:r>
      <w:r>
        <w:rPr>
          <w:rFonts w:hint="default" w:ascii="Arial" w:hAnsi="Arial" w:eastAsia="宋体" w:cs="Arial"/>
          <w:color w:val="auto"/>
          <w:highlight w:val="none"/>
          <w:lang w:val="en-GB"/>
        </w:rPr>
        <w:t>，占地规模为</w:t>
      </w:r>
      <w:r>
        <w:rPr>
          <w:rFonts w:hint="default" w:ascii="Arial" w:hAnsi="Arial" w:eastAsia="宋体" w:cs="Arial"/>
          <w:color w:val="auto"/>
          <w:highlight w:val="none"/>
          <w:lang w:val="en-GB" w:eastAsia="zh-CN"/>
        </w:rPr>
        <w:t>中</w:t>
      </w:r>
      <w:r>
        <w:rPr>
          <w:rFonts w:hint="default" w:ascii="Arial" w:hAnsi="Arial" w:eastAsia="宋体" w:cs="Arial"/>
          <w:color w:val="auto"/>
          <w:highlight w:val="none"/>
          <w:lang w:val="en-GB"/>
        </w:rPr>
        <w:t>型；项目为污染影响型建设项目，评价工作等级划分见下表。</w:t>
      </w:r>
    </w:p>
    <w:p>
      <w:pPr>
        <w:pStyle w:val="8"/>
        <w:rPr>
          <w:rFonts w:hint="default" w:ascii="Arial" w:hAnsi="Arial" w:eastAsia="宋体" w:cs="Arial"/>
          <w:color w:val="auto"/>
          <w:highlight w:val="none"/>
          <w:lang w:val="en-GB"/>
        </w:rPr>
      </w:pPr>
      <w:r>
        <w:rPr>
          <w:rFonts w:hint="default" w:ascii="Arial" w:hAnsi="Arial" w:eastAsia="宋体" w:cs="Arial"/>
          <w:color w:val="auto"/>
          <w:highlight w:val="none"/>
          <w:lang w:val="en-GB"/>
        </w:rPr>
        <w:t>表2.5-</w:t>
      </w:r>
      <w:r>
        <w:rPr>
          <w:rFonts w:hint="default" w:ascii="Arial" w:hAnsi="Arial" w:eastAsia="宋体" w:cs="Arial"/>
          <w:color w:val="auto"/>
          <w:highlight w:val="none"/>
          <w:lang w:val="en-US" w:eastAsia="zh-CN"/>
        </w:rPr>
        <w:t>10</w:t>
      </w:r>
      <w:r>
        <w:rPr>
          <w:rFonts w:hint="default" w:ascii="Arial" w:hAnsi="Arial" w:eastAsia="宋体" w:cs="Arial"/>
          <w:color w:val="auto"/>
          <w:highlight w:val="none"/>
          <w:lang w:val="en-GB"/>
        </w:rPr>
        <w:t xml:space="preserve">    污染影响型评价工作等级划分表</w:t>
      </w:r>
    </w:p>
    <w:tbl>
      <w:tblPr>
        <w:tblStyle w:val="39"/>
        <w:tblW w:w="9004" w:type="dxa"/>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1957"/>
        <w:gridCol w:w="783"/>
        <w:gridCol w:w="783"/>
        <w:gridCol w:w="783"/>
        <w:gridCol w:w="783"/>
        <w:gridCol w:w="783"/>
        <w:gridCol w:w="783"/>
        <w:gridCol w:w="783"/>
        <w:gridCol w:w="783"/>
        <w:gridCol w:w="783"/>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624" w:hRule="atLeast"/>
          <w:jc w:val="center"/>
        </w:trPr>
        <w:tc>
          <w:tcPr>
            <w:tcW w:w="1957" w:type="dxa"/>
            <w:vMerge w:val="restart"/>
            <w:shd w:val="clear" w:color="auto" w:fill="auto"/>
            <w:vAlign w:val="center"/>
            <mc:AlternateContent>
              <mc:Choice Requires="wpsCustomData">
                <wpsCustomData:diagonals>
                  <wpsCustomData:diagonal from="14800" to="30000">
                    <wpsCustomData:border w:val="single" w:color="auto" w:sz="12" w:space="0"/>
                  </wpsCustomData:diagonal>
                  <wpsCustomData:diagonal from="30000" to="6300">
                    <wpsCustomData:border w:val="single" w:color="auto" w:sz="12" w:space="0"/>
                  </wpsCustomData:diagonal>
                </wpsCustomData:diagonals>
              </mc:Choice>
            </mc:AlternateContent>
          </w:tcPr>
          <w:p>
            <w:pPr>
              <w:pStyle w:val="63"/>
              <w:snapToGrid w:val="0"/>
              <w:spacing w:line="240" w:lineRule="auto"/>
              <mc:AlternateContent>
                <mc:Choice Requires="wpsCustomData">
                  <wpsCustomData:diagonalParaType/>
                </mc:Choice>
              </mc:AlternateContent>
              <w:rPr>
                <w:rFonts w:hint="default" w:ascii="Arial" w:hAnsi="Arial" w:eastAsia="宋体" w:cs="Arial"/>
                <w:color w:val="auto"/>
                <w:sz w:val="21"/>
                <w:szCs w:val="21"/>
                <w:highlight w:val="none"/>
                <w:lang w:val="en-GB" w:eastAsia="zh-CN"/>
              </w:rPr>
            </w:pPr>
            <w:r>
              <w:rPr>
                <w:rFonts w:hint="default" w:ascii="Arial" w:hAnsi="Arial" w:eastAsia="宋体" w:cs="Arial"/>
                <w:color w:val="auto"/>
                <w:sz w:val="21"/>
                <w:szCs w:val="21"/>
                <w:highlight w:val="none"/>
                <w:lang w:val="en-GB" w:eastAsia="zh-CN"/>
              </w:rPr>
              <w:t>敏感程度</w:t>
            </w:r>
          </w:p>
          <w:p>
            <w:pPr>
              <w:pStyle w:val="63"/>
              <w:snapToGrid w:val="0"/>
              <w:spacing w:line="240" w:lineRule="auto"/>
              <w:jc w:val="left"/>
              <mc:AlternateContent>
                <mc:Choice Requires="wpsCustomData">
                  <wpsCustomData:diagonalParaType/>
                </mc:Choice>
              </mc:AlternateContent>
              <w:rPr>
                <w:rFonts w:hint="default" w:ascii="Arial" w:hAnsi="Arial" w:eastAsia="宋体" w:cs="Arial"/>
                <w:color w:val="auto"/>
                <w:sz w:val="21"/>
                <w:szCs w:val="21"/>
                <w:highlight w:val="none"/>
                <w:lang w:val="en-GB" w:eastAsia="zh-CN"/>
              </w:rPr>
            </w:pPr>
            <w:r>
              <w:rPr>
                <w:rFonts w:hint="default" w:ascii="Arial" w:hAnsi="Arial" w:eastAsia="宋体" w:cs="Arial"/>
                <w:color w:val="auto"/>
                <w:sz w:val="21"/>
                <w:szCs w:val="21"/>
                <w:highlight w:val="none"/>
                <w:lang w:val="en-GB" w:eastAsia="zh-CN"/>
              </w:rPr>
              <w:t>评价工作等级</w:t>
            </w:r>
          </w:p>
          <w:p>
            <w:pPr>
              <w:pStyle w:val="63"/>
              <w:rPr>
                <w:rFonts w:hint="default" w:ascii="Arial" w:hAnsi="Arial" w:eastAsia="宋体" w:cs="Arial"/>
                <w:color w:val="auto"/>
                <w:sz w:val="21"/>
                <w:szCs w:val="21"/>
                <w:highlight w:val="none"/>
                <w:lang w:val="en-GB" w:eastAsia="zh-CN"/>
              </w:rPr>
            </w:pPr>
            <w:r>
              <w:rPr>
                <w:rFonts w:hint="default" w:ascii="Arial" w:hAnsi="Arial" w:eastAsia="宋体" w:cs="Arial"/>
                <w:color w:val="auto"/>
                <w:sz w:val="21"/>
                <w:szCs w:val="21"/>
                <w:highlight w:val="none"/>
                <w:lang w:val="en-GB" w:eastAsia="zh-CN"/>
              </w:rPr>
              <w:t>占地规模</w:t>
            </w:r>
          </w:p>
        </w:tc>
        <w:tc>
          <w:tcPr>
            <w:tcW w:w="2349" w:type="dxa"/>
            <w:gridSpan w:val="3"/>
            <w:shd w:val="clear" w:color="auto" w:fill="auto"/>
            <w:vAlign w:val="center"/>
          </w:tcPr>
          <w:p>
            <w:pPr>
              <w:pStyle w:val="63"/>
              <w:rPr>
                <w:rFonts w:hint="default" w:ascii="Arial" w:hAnsi="Arial" w:eastAsia="宋体" w:cs="Arial"/>
                <w:color w:val="auto"/>
                <w:sz w:val="21"/>
                <w:szCs w:val="21"/>
                <w:highlight w:val="none"/>
                <w:lang w:val="en-GB"/>
              </w:rPr>
            </w:pPr>
            <w:r>
              <w:rPr>
                <w:rFonts w:hint="default" w:ascii="Arial" w:hAnsi="Arial" w:eastAsia="宋体" w:cs="Arial"/>
                <w:color w:val="auto"/>
                <w:sz w:val="21"/>
                <w:szCs w:val="21"/>
                <w:highlight w:val="none"/>
                <w:lang w:val="en-GB"/>
              </w:rPr>
              <w:t>Ⅰ类</w:t>
            </w:r>
          </w:p>
        </w:tc>
        <w:tc>
          <w:tcPr>
            <w:tcW w:w="2349" w:type="dxa"/>
            <w:gridSpan w:val="3"/>
            <w:shd w:val="clear" w:color="auto" w:fill="auto"/>
            <w:vAlign w:val="center"/>
          </w:tcPr>
          <w:p>
            <w:pPr>
              <w:pStyle w:val="63"/>
              <w:rPr>
                <w:rFonts w:hint="default" w:ascii="Arial" w:hAnsi="Arial" w:eastAsia="宋体" w:cs="Arial"/>
                <w:color w:val="auto"/>
                <w:sz w:val="21"/>
                <w:szCs w:val="21"/>
                <w:highlight w:val="none"/>
                <w:lang w:val="en-GB"/>
              </w:rPr>
            </w:pPr>
            <w:r>
              <w:rPr>
                <w:rFonts w:hint="default" w:ascii="Arial" w:hAnsi="Arial" w:eastAsia="宋体" w:cs="Arial"/>
                <w:color w:val="auto"/>
                <w:sz w:val="21"/>
                <w:szCs w:val="21"/>
                <w:highlight w:val="none"/>
                <w:lang w:val="en-GB"/>
              </w:rPr>
              <w:t>Ⅱ类</w:t>
            </w:r>
          </w:p>
        </w:tc>
        <w:tc>
          <w:tcPr>
            <w:tcW w:w="2349" w:type="dxa"/>
            <w:gridSpan w:val="3"/>
            <w:shd w:val="clear" w:color="auto" w:fill="auto"/>
            <w:vAlign w:val="center"/>
          </w:tcPr>
          <w:p>
            <w:pPr>
              <w:pStyle w:val="63"/>
              <w:rPr>
                <w:rFonts w:hint="default" w:ascii="Arial" w:hAnsi="Arial" w:eastAsia="宋体" w:cs="Arial"/>
                <w:color w:val="auto"/>
                <w:sz w:val="21"/>
                <w:szCs w:val="21"/>
                <w:highlight w:val="none"/>
                <w:lang w:val="en-GB"/>
              </w:rPr>
            </w:pPr>
            <w:r>
              <w:rPr>
                <w:rFonts w:hint="default" w:ascii="Arial" w:hAnsi="Arial" w:eastAsia="宋体" w:cs="Arial"/>
                <w:color w:val="auto"/>
                <w:sz w:val="21"/>
                <w:szCs w:val="21"/>
                <w:highlight w:val="none"/>
                <w:lang w:val="en-GB"/>
              </w:rPr>
              <w:t>Ⅲ类</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624" w:hRule="atLeast"/>
          <w:jc w:val="center"/>
        </w:trPr>
        <w:tc>
          <w:tcPr>
            <w:tcW w:w="1957" w:type="dxa"/>
            <w:vMerge w:val="continue"/>
            <w:shd w:val="clear" w:color="auto" w:fill="auto"/>
            <w:vAlign w:val="center"/>
          </w:tcPr>
          <w:p>
            <w:pPr>
              <w:pStyle w:val="63"/>
              <w:rPr>
                <w:rFonts w:hint="default" w:ascii="Arial" w:hAnsi="Arial" w:eastAsia="宋体" w:cs="Arial"/>
                <w:color w:val="auto"/>
                <w:sz w:val="21"/>
                <w:szCs w:val="21"/>
                <w:highlight w:val="none"/>
                <w:lang w:val="en-GB"/>
              </w:rPr>
            </w:pPr>
          </w:p>
        </w:tc>
        <w:tc>
          <w:tcPr>
            <w:tcW w:w="783" w:type="dxa"/>
            <w:shd w:val="clear" w:color="auto" w:fill="auto"/>
            <w:vAlign w:val="center"/>
          </w:tcPr>
          <w:p>
            <w:pPr>
              <w:pStyle w:val="63"/>
              <w:rPr>
                <w:rFonts w:hint="default" w:ascii="Arial" w:hAnsi="Arial" w:eastAsia="宋体" w:cs="Arial"/>
                <w:color w:val="auto"/>
                <w:sz w:val="21"/>
                <w:szCs w:val="21"/>
                <w:highlight w:val="none"/>
                <w:lang w:val="en-GB"/>
              </w:rPr>
            </w:pPr>
            <w:r>
              <w:rPr>
                <w:rFonts w:hint="default" w:ascii="Arial" w:hAnsi="Arial" w:eastAsia="宋体" w:cs="Arial"/>
                <w:color w:val="auto"/>
                <w:sz w:val="21"/>
                <w:szCs w:val="21"/>
                <w:highlight w:val="none"/>
                <w:lang w:val="en-GB"/>
              </w:rPr>
              <w:t>大</w:t>
            </w:r>
          </w:p>
        </w:tc>
        <w:tc>
          <w:tcPr>
            <w:tcW w:w="783" w:type="dxa"/>
            <w:shd w:val="clear" w:color="auto" w:fill="auto"/>
            <w:vAlign w:val="center"/>
          </w:tcPr>
          <w:p>
            <w:pPr>
              <w:pStyle w:val="63"/>
              <w:rPr>
                <w:rFonts w:hint="default" w:ascii="Arial" w:hAnsi="Arial" w:eastAsia="宋体" w:cs="Arial"/>
                <w:color w:val="auto"/>
                <w:sz w:val="21"/>
                <w:szCs w:val="21"/>
                <w:highlight w:val="none"/>
                <w:lang w:val="en-GB"/>
              </w:rPr>
            </w:pPr>
            <w:r>
              <w:rPr>
                <w:rFonts w:hint="default" w:ascii="Arial" w:hAnsi="Arial" w:eastAsia="宋体" w:cs="Arial"/>
                <w:color w:val="auto"/>
                <w:sz w:val="21"/>
                <w:szCs w:val="21"/>
                <w:highlight w:val="none"/>
                <w:lang w:val="en-GB"/>
              </w:rPr>
              <w:t>中</w:t>
            </w:r>
          </w:p>
        </w:tc>
        <w:tc>
          <w:tcPr>
            <w:tcW w:w="783" w:type="dxa"/>
            <w:shd w:val="clear" w:color="auto" w:fill="auto"/>
            <w:vAlign w:val="center"/>
          </w:tcPr>
          <w:p>
            <w:pPr>
              <w:pStyle w:val="63"/>
              <w:rPr>
                <w:rFonts w:hint="default" w:ascii="Arial" w:hAnsi="Arial" w:eastAsia="宋体" w:cs="Arial"/>
                <w:color w:val="auto"/>
                <w:sz w:val="21"/>
                <w:szCs w:val="21"/>
                <w:highlight w:val="none"/>
                <w:lang w:val="en-GB"/>
              </w:rPr>
            </w:pPr>
            <w:r>
              <w:rPr>
                <w:rFonts w:hint="default" w:ascii="Arial" w:hAnsi="Arial" w:eastAsia="宋体" w:cs="Arial"/>
                <w:color w:val="auto"/>
                <w:sz w:val="21"/>
                <w:szCs w:val="21"/>
                <w:highlight w:val="none"/>
                <w:lang w:val="en-GB"/>
              </w:rPr>
              <w:t>小</w:t>
            </w:r>
          </w:p>
        </w:tc>
        <w:tc>
          <w:tcPr>
            <w:tcW w:w="783" w:type="dxa"/>
            <w:shd w:val="clear" w:color="auto" w:fill="auto"/>
            <w:vAlign w:val="center"/>
          </w:tcPr>
          <w:p>
            <w:pPr>
              <w:pStyle w:val="63"/>
              <w:rPr>
                <w:rFonts w:hint="default" w:ascii="Arial" w:hAnsi="Arial" w:eastAsia="宋体" w:cs="Arial"/>
                <w:color w:val="auto"/>
                <w:sz w:val="21"/>
                <w:szCs w:val="21"/>
                <w:highlight w:val="none"/>
                <w:lang w:val="en-GB"/>
              </w:rPr>
            </w:pPr>
            <w:r>
              <w:rPr>
                <w:rFonts w:hint="default" w:ascii="Arial" w:hAnsi="Arial" w:eastAsia="宋体" w:cs="Arial"/>
                <w:color w:val="auto"/>
                <w:sz w:val="21"/>
                <w:szCs w:val="21"/>
                <w:highlight w:val="none"/>
                <w:lang w:val="en-GB"/>
              </w:rPr>
              <w:t>大</w:t>
            </w:r>
          </w:p>
        </w:tc>
        <w:tc>
          <w:tcPr>
            <w:tcW w:w="783" w:type="dxa"/>
            <w:shd w:val="clear" w:color="auto" w:fill="auto"/>
            <w:vAlign w:val="center"/>
          </w:tcPr>
          <w:p>
            <w:pPr>
              <w:pStyle w:val="63"/>
              <w:rPr>
                <w:rFonts w:hint="default" w:ascii="Arial" w:hAnsi="Arial" w:eastAsia="宋体" w:cs="Arial"/>
                <w:color w:val="auto"/>
                <w:sz w:val="21"/>
                <w:szCs w:val="21"/>
                <w:highlight w:val="none"/>
                <w:lang w:val="en-GB"/>
              </w:rPr>
            </w:pPr>
            <w:r>
              <w:rPr>
                <w:rFonts w:hint="default" w:ascii="Arial" w:hAnsi="Arial" w:eastAsia="宋体" w:cs="Arial"/>
                <w:color w:val="auto"/>
                <w:sz w:val="21"/>
                <w:szCs w:val="21"/>
                <w:highlight w:val="none"/>
                <w:lang w:val="en-GB"/>
              </w:rPr>
              <w:t>中</w:t>
            </w:r>
          </w:p>
        </w:tc>
        <w:tc>
          <w:tcPr>
            <w:tcW w:w="783" w:type="dxa"/>
            <w:shd w:val="clear" w:color="auto" w:fill="auto"/>
            <w:vAlign w:val="center"/>
          </w:tcPr>
          <w:p>
            <w:pPr>
              <w:pStyle w:val="63"/>
              <w:rPr>
                <w:rFonts w:hint="default" w:ascii="Arial" w:hAnsi="Arial" w:eastAsia="宋体" w:cs="Arial"/>
                <w:color w:val="auto"/>
                <w:sz w:val="21"/>
                <w:szCs w:val="21"/>
                <w:highlight w:val="none"/>
                <w:lang w:val="en-GB"/>
              </w:rPr>
            </w:pPr>
            <w:r>
              <w:rPr>
                <w:rFonts w:hint="default" w:ascii="Arial" w:hAnsi="Arial" w:eastAsia="宋体" w:cs="Arial"/>
                <w:color w:val="auto"/>
                <w:sz w:val="21"/>
                <w:szCs w:val="21"/>
                <w:highlight w:val="none"/>
                <w:lang w:val="en-GB"/>
              </w:rPr>
              <w:t>小</w:t>
            </w:r>
          </w:p>
        </w:tc>
        <w:tc>
          <w:tcPr>
            <w:tcW w:w="783" w:type="dxa"/>
            <w:shd w:val="clear" w:color="auto" w:fill="auto"/>
            <w:vAlign w:val="center"/>
          </w:tcPr>
          <w:p>
            <w:pPr>
              <w:pStyle w:val="63"/>
              <w:rPr>
                <w:rFonts w:hint="default" w:ascii="Arial" w:hAnsi="Arial" w:eastAsia="宋体" w:cs="Arial"/>
                <w:color w:val="auto"/>
                <w:sz w:val="21"/>
                <w:szCs w:val="21"/>
                <w:highlight w:val="none"/>
                <w:lang w:val="en-GB"/>
              </w:rPr>
            </w:pPr>
            <w:r>
              <w:rPr>
                <w:rFonts w:hint="default" w:ascii="Arial" w:hAnsi="Arial" w:eastAsia="宋体" w:cs="Arial"/>
                <w:color w:val="auto"/>
                <w:sz w:val="21"/>
                <w:szCs w:val="21"/>
                <w:highlight w:val="none"/>
                <w:lang w:val="en-GB"/>
              </w:rPr>
              <w:t>大</w:t>
            </w:r>
          </w:p>
        </w:tc>
        <w:tc>
          <w:tcPr>
            <w:tcW w:w="783" w:type="dxa"/>
            <w:shd w:val="clear" w:color="auto" w:fill="auto"/>
            <w:vAlign w:val="center"/>
          </w:tcPr>
          <w:p>
            <w:pPr>
              <w:pStyle w:val="63"/>
              <w:rPr>
                <w:rFonts w:hint="default" w:ascii="Arial" w:hAnsi="Arial" w:eastAsia="宋体" w:cs="Arial"/>
                <w:color w:val="auto"/>
                <w:sz w:val="21"/>
                <w:szCs w:val="21"/>
                <w:highlight w:val="none"/>
                <w:lang w:val="en-GB"/>
              </w:rPr>
            </w:pPr>
            <w:r>
              <w:rPr>
                <w:rFonts w:hint="default" w:ascii="Arial" w:hAnsi="Arial" w:eastAsia="宋体" w:cs="Arial"/>
                <w:color w:val="auto"/>
                <w:sz w:val="21"/>
                <w:szCs w:val="21"/>
                <w:highlight w:val="none"/>
                <w:lang w:val="en-GB"/>
              </w:rPr>
              <w:t>中</w:t>
            </w:r>
          </w:p>
        </w:tc>
        <w:tc>
          <w:tcPr>
            <w:tcW w:w="783" w:type="dxa"/>
            <w:shd w:val="clear" w:color="auto" w:fill="auto"/>
            <w:vAlign w:val="center"/>
          </w:tcPr>
          <w:p>
            <w:pPr>
              <w:pStyle w:val="63"/>
              <w:rPr>
                <w:rFonts w:hint="default" w:ascii="Arial" w:hAnsi="Arial" w:eastAsia="宋体" w:cs="Arial"/>
                <w:color w:val="auto"/>
                <w:sz w:val="21"/>
                <w:szCs w:val="21"/>
                <w:highlight w:val="none"/>
                <w:lang w:val="en-GB"/>
              </w:rPr>
            </w:pPr>
            <w:r>
              <w:rPr>
                <w:rFonts w:hint="default" w:ascii="Arial" w:hAnsi="Arial" w:eastAsia="宋体" w:cs="Arial"/>
                <w:color w:val="auto"/>
                <w:sz w:val="21"/>
                <w:szCs w:val="21"/>
                <w:highlight w:val="none"/>
                <w:lang w:val="en-GB"/>
              </w:rPr>
              <w:t>小</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957" w:type="dxa"/>
            <w:shd w:val="clear" w:color="auto" w:fill="auto"/>
            <w:vAlign w:val="center"/>
          </w:tcPr>
          <w:p>
            <w:pPr>
              <w:pStyle w:val="63"/>
              <w:rPr>
                <w:rFonts w:hint="default" w:ascii="Arial" w:hAnsi="Arial" w:eastAsia="宋体" w:cs="Arial"/>
                <w:color w:val="auto"/>
                <w:sz w:val="21"/>
                <w:szCs w:val="21"/>
                <w:highlight w:val="none"/>
                <w:lang w:val="en-GB"/>
              </w:rPr>
            </w:pPr>
            <w:r>
              <w:rPr>
                <w:rFonts w:hint="default" w:ascii="Arial" w:hAnsi="Arial" w:eastAsia="宋体" w:cs="Arial"/>
                <w:color w:val="auto"/>
                <w:sz w:val="21"/>
                <w:szCs w:val="21"/>
                <w:highlight w:val="none"/>
                <w:lang w:val="en-GB"/>
              </w:rPr>
              <w:t>敏感</w:t>
            </w:r>
          </w:p>
        </w:tc>
        <w:tc>
          <w:tcPr>
            <w:tcW w:w="783" w:type="dxa"/>
            <w:shd w:val="clear" w:color="auto" w:fill="auto"/>
            <w:vAlign w:val="center"/>
          </w:tcPr>
          <w:p>
            <w:pPr>
              <w:pStyle w:val="63"/>
              <w:rPr>
                <w:rFonts w:hint="default" w:ascii="Arial" w:hAnsi="Arial" w:eastAsia="宋体" w:cs="Arial"/>
                <w:color w:val="auto"/>
                <w:sz w:val="21"/>
                <w:szCs w:val="21"/>
                <w:highlight w:val="none"/>
                <w:lang w:val="en-GB"/>
              </w:rPr>
            </w:pPr>
            <w:r>
              <w:rPr>
                <w:rFonts w:hint="default" w:ascii="Arial" w:hAnsi="Arial" w:eastAsia="宋体" w:cs="Arial"/>
                <w:color w:val="auto"/>
                <w:sz w:val="21"/>
                <w:szCs w:val="21"/>
                <w:highlight w:val="none"/>
                <w:lang w:val="en-GB"/>
              </w:rPr>
              <w:t>一级</w:t>
            </w:r>
          </w:p>
        </w:tc>
        <w:tc>
          <w:tcPr>
            <w:tcW w:w="783" w:type="dxa"/>
            <w:shd w:val="clear" w:color="auto" w:fill="auto"/>
            <w:vAlign w:val="center"/>
          </w:tcPr>
          <w:p>
            <w:pPr>
              <w:pStyle w:val="63"/>
              <w:rPr>
                <w:rFonts w:hint="default" w:ascii="Arial" w:hAnsi="Arial" w:eastAsia="宋体" w:cs="Arial"/>
                <w:color w:val="auto"/>
                <w:sz w:val="21"/>
                <w:szCs w:val="21"/>
                <w:highlight w:val="none"/>
                <w:lang w:val="en-GB"/>
              </w:rPr>
            </w:pPr>
            <w:r>
              <w:rPr>
                <w:rFonts w:hint="default" w:ascii="Arial" w:hAnsi="Arial" w:eastAsia="宋体" w:cs="Arial"/>
                <w:color w:val="auto"/>
                <w:sz w:val="21"/>
                <w:szCs w:val="21"/>
                <w:highlight w:val="none"/>
                <w:lang w:val="en-GB"/>
              </w:rPr>
              <w:t>一级</w:t>
            </w:r>
          </w:p>
        </w:tc>
        <w:tc>
          <w:tcPr>
            <w:tcW w:w="783" w:type="dxa"/>
            <w:shd w:val="clear" w:color="auto" w:fill="auto"/>
            <w:vAlign w:val="center"/>
          </w:tcPr>
          <w:p>
            <w:pPr>
              <w:pStyle w:val="63"/>
              <w:rPr>
                <w:rFonts w:hint="default" w:ascii="Arial" w:hAnsi="Arial" w:eastAsia="宋体" w:cs="Arial"/>
                <w:color w:val="auto"/>
                <w:sz w:val="21"/>
                <w:szCs w:val="21"/>
                <w:highlight w:val="none"/>
                <w:lang w:val="en-GB"/>
              </w:rPr>
            </w:pPr>
            <w:r>
              <w:rPr>
                <w:rFonts w:hint="default" w:ascii="Arial" w:hAnsi="Arial" w:eastAsia="宋体" w:cs="Arial"/>
                <w:color w:val="auto"/>
                <w:sz w:val="21"/>
                <w:szCs w:val="21"/>
                <w:highlight w:val="none"/>
                <w:lang w:val="en-GB"/>
              </w:rPr>
              <w:t>一级</w:t>
            </w:r>
          </w:p>
        </w:tc>
        <w:tc>
          <w:tcPr>
            <w:tcW w:w="783" w:type="dxa"/>
            <w:shd w:val="clear" w:color="auto" w:fill="auto"/>
            <w:vAlign w:val="center"/>
          </w:tcPr>
          <w:p>
            <w:pPr>
              <w:pStyle w:val="63"/>
              <w:rPr>
                <w:rFonts w:hint="default" w:ascii="Arial" w:hAnsi="Arial" w:eastAsia="宋体" w:cs="Arial"/>
                <w:color w:val="auto"/>
                <w:sz w:val="21"/>
                <w:szCs w:val="21"/>
                <w:highlight w:val="none"/>
                <w:lang w:val="en-GB"/>
              </w:rPr>
            </w:pPr>
            <w:r>
              <w:rPr>
                <w:rFonts w:hint="default" w:ascii="Arial" w:hAnsi="Arial" w:eastAsia="宋体" w:cs="Arial"/>
                <w:color w:val="auto"/>
                <w:sz w:val="21"/>
                <w:szCs w:val="21"/>
                <w:highlight w:val="none"/>
                <w:shd w:val="clear"/>
                <w:lang w:val="en-GB"/>
              </w:rPr>
              <w:t>二级</w:t>
            </w:r>
          </w:p>
        </w:tc>
        <w:tc>
          <w:tcPr>
            <w:tcW w:w="783" w:type="dxa"/>
            <w:shd w:val="clear" w:color="auto" w:fill="auto"/>
            <w:vAlign w:val="center"/>
          </w:tcPr>
          <w:p>
            <w:pPr>
              <w:pStyle w:val="63"/>
              <w:rPr>
                <w:rFonts w:hint="default" w:ascii="Arial" w:hAnsi="Arial" w:eastAsia="宋体" w:cs="Arial"/>
                <w:color w:val="auto"/>
                <w:sz w:val="21"/>
                <w:szCs w:val="21"/>
                <w:highlight w:val="none"/>
                <w:lang w:val="en-GB"/>
              </w:rPr>
            </w:pPr>
            <w:r>
              <w:rPr>
                <w:rFonts w:hint="default" w:ascii="Arial" w:hAnsi="Arial" w:eastAsia="宋体" w:cs="Arial"/>
                <w:color w:val="auto"/>
                <w:sz w:val="21"/>
                <w:szCs w:val="21"/>
                <w:highlight w:val="none"/>
                <w:lang w:val="en-GB"/>
              </w:rPr>
              <w:t>二级</w:t>
            </w:r>
          </w:p>
        </w:tc>
        <w:tc>
          <w:tcPr>
            <w:tcW w:w="783" w:type="dxa"/>
            <w:shd w:val="clear" w:color="auto" w:fill="auto"/>
            <w:vAlign w:val="center"/>
          </w:tcPr>
          <w:p>
            <w:pPr>
              <w:pStyle w:val="63"/>
              <w:rPr>
                <w:rFonts w:hint="default" w:ascii="Arial" w:hAnsi="Arial" w:eastAsia="宋体" w:cs="Arial"/>
                <w:color w:val="auto"/>
                <w:sz w:val="21"/>
                <w:szCs w:val="21"/>
                <w:highlight w:val="none"/>
                <w:lang w:val="en-GB"/>
              </w:rPr>
            </w:pPr>
            <w:r>
              <w:rPr>
                <w:rFonts w:hint="default" w:ascii="Arial" w:hAnsi="Arial" w:eastAsia="宋体" w:cs="Arial"/>
                <w:color w:val="auto"/>
                <w:sz w:val="21"/>
                <w:szCs w:val="21"/>
                <w:highlight w:val="none"/>
                <w:lang w:val="en-GB"/>
              </w:rPr>
              <w:t>二级</w:t>
            </w:r>
          </w:p>
        </w:tc>
        <w:tc>
          <w:tcPr>
            <w:tcW w:w="783" w:type="dxa"/>
            <w:shd w:val="clear" w:color="auto" w:fill="auto"/>
            <w:vAlign w:val="center"/>
          </w:tcPr>
          <w:p>
            <w:pPr>
              <w:pStyle w:val="63"/>
              <w:rPr>
                <w:rFonts w:hint="default" w:ascii="Arial" w:hAnsi="Arial" w:eastAsia="宋体" w:cs="Arial"/>
                <w:color w:val="auto"/>
                <w:sz w:val="21"/>
                <w:szCs w:val="21"/>
                <w:highlight w:val="none"/>
                <w:lang w:val="en-GB"/>
              </w:rPr>
            </w:pPr>
            <w:r>
              <w:rPr>
                <w:rFonts w:hint="default" w:ascii="Arial" w:hAnsi="Arial" w:eastAsia="宋体" w:cs="Arial"/>
                <w:b w:val="0"/>
                <w:bCs w:val="0"/>
                <w:color w:val="auto"/>
                <w:sz w:val="21"/>
                <w:szCs w:val="21"/>
                <w:highlight w:val="none"/>
                <w:lang w:val="en-GB"/>
              </w:rPr>
              <w:t>三级</w:t>
            </w:r>
          </w:p>
        </w:tc>
        <w:tc>
          <w:tcPr>
            <w:tcW w:w="783" w:type="dxa"/>
            <w:shd w:val="clear" w:color="auto" w:fill="auto"/>
            <w:vAlign w:val="center"/>
          </w:tcPr>
          <w:p>
            <w:pPr>
              <w:pStyle w:val="63"/>
              <w:rPr>
                <w:rFonts w:hint="default" w:ascii="Arial" w:hAnsi="Arial" w:eastAsia="宋体" w:cs="Arial"/>
                <w:bCs/>
                <w:color w:val="auto"/>
                <w:sz w:val="21"/>
                <w:szCs w:val="21"/>
                <w:highlight w:val="none"/>
                <w:lang w:val="en-GB"/>
              </w:rPr>
            </w:pPr>
            <w:r>
              <w:rPr>
                <w:rFonts w:hint="default" w:ascii="Arial" w:hAnsi="Arial" w:eastAsia="宋体" w:cs="Arial"/>
                <w:b/>
                <w:bCs w:val="0"/>
                <w:color w:val="auto"/>
                <w:sz w:val="21"/>
                <w:szCs w:val="21"/>
                <w:highlight w:val="none"/>
                <w:lang w:val="en-GB"/>
              </w:rPr>
              <w:t>三级</w:t>
            </w:r>
          </w:p>
        </w:tc>
        <w:tc>
          <w:tcPr>
            <w:tcW w:w="783" w:type="dxa"/>
            <w:shd w:val="clear" w:color="auto" w:fill="auto"/>
            <w:vAlign w:val="center"/>
          </w:tcPr>
          <w:p>
            <w:pPr>
              <w:pStyle w:val="63"/>
              <w:rPr>
                <w:rFonts w:hint="default" w:ascii="Arial" w:hAnsi="Arial" w:eastAsia="宋体" w:cs="Arial"/>
                <w:color w:val="auto"/>
                <w:sz w:val="21"/>
                <w:szCs w:val="21"/>
                <w:highlight w:val="none"/>
                <w:lang w:val="en-GB"/>
              </w:rPr>
            </w:pPr>
            <w:r>
              <w:rPr>
                <w:rFonts w:hint="default" w:ascii="Arial" w:hAnsi="Arial" w:eastAsia="宋体" w:cs="Arial"/>
                <w:color w:val="auto"/>
                <w:sz w:val="21"/>
                <w:szCs w:val="21"/>
                <w:highlight w:val="none"/>
                <w:lang w:val="en-GB"/>
              </w:rPr>
              <w:t>三级</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957" w:type="dxa"/>
            <w:shd w:val="clear" w:color="auto" w:fill="auto"/>
            <w:vAlign w:val="center"/>
          </w:tcPr>
          <w:p>
            <w:pPr>
              <w:pStyle w:val="63"/>
              <w:rPr>
                <w:rFonts w:hint="default" w:ascii="Arial" w:hAnsi="Arial" w:eastAsia="宋体" w:cs="Arial"/>
                <w:color w:val="auto"/>
                <w:sz w:val="21"/>
                <w:szCs w:val="21"/>
                <w:highlight w:val="none"/>
                <w:lang w:val="en-GB"/>
              </w:rPr>
            </w:pPr>
            <w:r>
              <w:rPr>
                <w:rFonts w:hint="default" w:ascii="Arial" w:hAnsi="Arial" w:eastAsia="宋体" w:cs="Arial"/>
                <w:color w:val="auto"/>
                <w:sz w:val="21"/>
                <w:szCs w:val="21"/>
                <w:highlight w:val="none"/>
                <w:lang w:val="en-GB"/>
              </w:rPr>
              <w:t>较敏感</w:t>
            </w:r>
          </w:p>
        </w:tc>
        <w:tc>
          <w:tcPr>
            <w:tcW w:w="783" w:type="dxa"/>
            <w:shd w:val="clear" w:color="auto" w:fill="auto"/>
            <w:vAlign w:val="center"/>
          </w:tcPr>
          <w:p>
            <w:pPr>
              <w:pStyle w:val="63"/>
              <w:rPr>
                <w:rFonts w:hint="default" w:ascii="Arial" w:hAnsi="Arial" w:eastAsia="宋体" w:cs="Arial"/>
                <w:color w:val="auto"/>
                <w:sz w:val="21"/>
                <w:szCs w:val="21"/>
                <w:highlight w:val="none"/>
                <w:lang w:val="en-GB"/>
              </w:rPr>
            </w:pPr>
            <w:r>
              <w:rPr>
                <w:rFonts w:hint="default" w:ascii="Arial" w:hAnsi="Arial" w:eastAsia="宋体" w:cs="Arial"/>
                <w:color w:val="auto"/>
                <w:sz w:val="21"/>
                <w:szCs w:val="21"/>
                <w:highlight w:val="none"/>
                <w:lang w:val="en-GB"/>
              </w:rPr>
              <w:t>一级</w:t>
            </w:r>
          </w:p>
        </w:tc>
        <w:tc>
          <w:tcPr>
            <w:tcW w:w="783" w:type="dxa"/>
            <w:shd w:val="clear" w:color="auto" w:fill="auto"/>
            <w:vAlign w:val="center"/>
          </w:tcPr>
          <w:p>
            <w:pPr>
              <w:pStyle w:val="63"/>
              <w:rPr>
                <w:rFonts w:hint="default" w:ascii="Arial" w:hAnsi="Arial" w:eastAsia="宋体" w:cs="Arial"/>
                <w:color w:val="auto"/>
                <w:sz w:val="21"/>
                <w:szCs w:val="21"/>
                <w:highlight w:val="none"/>
                <w:lang w:val="en-GB"/>
              </w:rPr>
            </w:pPr>
            <w:r>
              <w:rPr>
                <w:rFonts w:hint="default" w:ascii="Arial" w:hAnsi="Arial" w:eastAsia="宋体" w:cs="Arial"/>
                <w:color w:val="auto"/>
                <w:sz w:val="21"/>
                <w:szCs w:val="21"/>
                <w:highlight w:val="none"/>
                <w:lang w:val="en-GB"/>
              </w:rPr>
              <w:t>一级</w:t>
            </w:r>
          </w:p>
        </w:tc>
        <w:tc>
          <w:tcPr>
            <w:tcW w:w="783" w:type="dxa"/>
            <w:shd w:val="clear" w:color="auto" w:fill="auto"/>
            <w:vAlign w:val="center"/>
          </w:tcPr>
          <w:p>
            <w:pPr>
              <w:pStyle w:val="63"/>
              <w:rPr>
                <w:rFonts w:hint="default" w:ascii="Arial" w:hAnsi="Arial" w:eastAsia="宋体" w:cs="Arial"/>
                <w:color w:val="auto"/>
                <w:sz w:val="21"/>
                <w:szCs w:val="21"/>
                <w:highlight w:val="none"/>
                <w:lang w:val="en-GB"/>
              </w:rPr>
            </w:pPr>
            <w:r>
              <w:rPr>
                <w:rFonts w:hint="default" w:ascii="Arial" w:hAnsi="Arial" w:eastAsia="宋体" w:cs="Arial"/>
                <w:color w:val="auto"/>
                <w:sz w:val="21"/>
                <w:szCs w:val="21"/>
                <w:highlight w:val="none"/>
                <w:lang w:val="en-GB"/>
              </w:rPr>
              <w:t>二级</w:t>
            </w:r>
          </w:p>
        </w:tc>
        <w:tc>
          <w:tcPr>
            <w:tcW w:w="783" w:type="dxa"/>
            <w:shd w:val="clear" w:color="auto" w:fill="auto"/>
            <w:vAlign w:val="center"/>
          </w:tcPr>
          <w:p>
            <w:pPr>
              <w:pStyle w:val="63"/>
              <w:rPr>
                <w:rFonts w:hint="default" w:ascii="Arial" w:hAnsi="Arial" w:eastAsia="宋体" w:cs="Arial"/>
                <w:color w:val="auto"/>
                <w:sz w:val="21"/>
                <w:szCs w:val="21"/>
                <w:highlight w:val="none"/>
                <w:lang w:val="en-GB"/>
              </w:rPr>
            </w:pPr>
            <w:r>
              <w:rPr>
                <w:rFonts w:hint="default" w:ascii="Arial" w:hAnsi="Arial" w:eastAsia="宋体" w:cs="Arial"/>
                <w:color w:val="auto"/>
                <w:sz w:val="21"/>
                <w:szCs w:val="21"/>
                <w:highlight w:val="none"/>
                <w:lang w:val="en-GB"/>
              </w:rPr>
              <w:t>二级</w:t>
            </w:r>
          </w:p>
        </w:tc>
        <w:tc>
          <w:tcPr>
            <w:tcW w:w="783" w:type="dxa"/>
            <w:shd w:val="clear" w:color="auto" w:fill="auto"/>
            <w:vAlign w:val="center"/>
          </w:tcPr>
          <w:p>
            <w:pPr>
              <w:pStyle w:val="63"/>
              <w:rPr>
                <w:rFonts w:hint="default" w:ascii="Arial" w:hAnsi="Arial" w:eastAsia="宋体" w:cs="Arial"/>
                <w:color w:val="auto"/>
                <w:sz w:val="21"/>
                <w:szCs w:val="21"/>
                <w:highlight w:val="none"/>
                <w:lang w:val="en-GB"/>
              </w:rPr>
            </w:pPr>
            <w:r>
              <w:rPr>
                <w:rFonts w:hint="default" w:ascii="Arial" w:hAnsi="Arial" w:eastAsia="宋体" w:cs="Arial"/>
                <w:color w:val="auto"/>
                <w:sz w:val="21"/>
                <w:szCs w:val="21"/>
                <w:highlight w:val="none"/>
                <w:lang w:val="en-GB"/>
              </w:rPr>
              <w:t>二级</w:t>
            </w:r>
          </w:p>
        </w:tc>
        <w:tc>
          <w:tcPr>
            <w:tcW w:w="783" w:type="dxa"/>
            <w:shd w:val="clear" w:color="auto" w:fill="auto"/>
            <w:vAlign w:val="center"/>
          </w:tcPr>
          <w:p>
            <w:pPr>
              <w:pStyle w:val="63"/>
              <w:rPr>
                <w:rFonts w:hint="default" w:ascii="Arial" w:hAnsi="Arial" w:eastAsia="宋体" w:cs="Arial"/>
                <w:color w:val="auto"/>
                <w:sz w:val="21"/>
                <w:szCs w:val="21"/>
                <w:highlight w:val="none"/>
                <w:lang w:val="en-GB"/>
              </w:rPr>
            </w:pPr>
            <w:r>
              <w:rPr>
                <w:rFonts w:hint="default" w:ascii="Arial" w:hAnsi="Arial" w:eastAsia="宋体" w:cs="Arial"/>
                <w:color w:val="auto"/>
                <w:sz w:val="21"/>
                <w:szCs w:val="21"/>
                <w:highlight w:val="none"/>
                <w:lang w:val="en-GB"/>
              </w:rPr>
              <w:t>三级</w:t>
            </w:r>
          </w:p>
        </w:tc>
        <w:tc>
          <w:tcPr>
            <w:tcW w:w="783" w:type="dxa"/>
            <w:shd w:val="clear" w:color="auto" w:fill="auto"/>
            <w:vAlign w:val="center"/>
          </w:tcPr>
          <w:p>
            <w:pPr>
              <w:pStyle w:val="63"/>
              <w:rPr>
                <w:rFonts w:hint="default" w:ascii="Arial" w:hAnsi="Arial" w:eastAsia="宋体" w:cs="Arial"/>
                <w:color w:val="auto"/>
                <w:sz w:val="21"/>
                <w:szCs w:val="21"/>
                <w:highlight w:val="none"/>
                <w:lang w:val="en-GB"/>
              </w:rPr>
            </w:pPr>
            <w:r>
              <w:rPr>
                <w:rFonts w:hint="default" w:ascii="Arial" w:hAnsi="Arial" w:eastAsia="宋体" w:cs="Arial"/>
                <w:color w:val="auto"/>
                <w:sz w:val="21"/>
                <w:szCs w:val="21"/>
                <w:highlight w:val="none"/>
                <w:lang w:val="en-GB"/>
              </w:rPr>
              <w:t>三级</w:t>
            </w:r>
          </w:p>
        </w:tc>
        <w:tc>
          <w:tcPr>
            <w:tcW w:w="783" w:type="dxa"/>
            <w:shd w:val="clear" w:color="auto" w:fill="auto"/>
            <w:vAlign w:val="center"/>
          </w:tcPr>
          <w:p>
            <w:pPr>
              <w:pStyle w:val="63"/>
              <w:rPr>
                <w:rFonts w:hint="default" w:ascii="Arial" w:hAnsi="Arial" w:eastAsia="宋体" w:cs="Arial"/>
                <w:color w:val="auto"/>
                <w:sz w:val="21"/>
                <w:szCs w:val="21"/>
                <w:highlight w:val="none"/>
                <w:lang w:val="en-GB"/>
              </w:rPr>
            </w:pPr>
            <w:r>
              <w:rPr>
                <w:rFonts w:hint="default" w:ascii="Arial" w:hAnsi="Arial" w:eastAsia="宋体" w:cs="Arial"/>
                <w:color w:val="auto"/>
                <w:sz w:val="21"/>
                <w:szCs w:val="21"/>
                <w:highlight w:val="none"/>
                <w:lang w:val="en-GB"/>
              </w:rPr>
              <w:t>三级</w:t>
            </w:r>
          </w:p>
        </w:tc>
        <w:tc>
          <w:tcPr>
            <w:tcW w:w="783" w:type="dxa"/>
            <w:shd w:val="clear" w:color="auto" w:fill="auto"/>
            <w:vAlign w:val="center"/>
          </w:tcPr>
          <w:p>
            <w:pPr>
              <w:pStyle w:val="63"/>
              <w:rPr>
                <w:rFonts w:hint="default" w:ascii="Arial" w:hAnsi="Arial" w:eastAsia="宋体" w:cs="Arial"/>
                <w:color w:val="auto"/>
                <w:sz w:val="21"/>
                <w:szCs w:val="21"/>
                <w:highlight w:val="none"/>
                <w:lang w:val="en-GB"/>
              </w:rPr>
            </w:pPr>
            <w:r>
              <w:rPr>
                <w:rFonts w:hint="default" w:ascii="Arial" w:hAnsi="Arial" w:eastAsia="宋体" w:cs="Arial"/>
                <w:color w:val="auto"/>
                <w:sz w:val="21"/>
                <w:szCs w:val="21"/>
                <w:highlight w:val="none"/>
                <w:lang w:val="en-GB"/>
              </w:rPr>
              <w:t>—</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957" w:type="dxa"/>
            <w:shd w:val="clear" w:color="auto" w:fill="auto"/>
            <w:vAlign w:val="center"/>
          </w:tcPr>
          <w:p>
            <w:pPr>
              <w:pStyle w:val="63"/>
              <w:rPr>
                <w:rFonts w:hint="default" w:ascii="Arial" w:hAnsi="Arial" w:eastAsia="宋体" w:cs="Arial"/>
                <w:color w:val="auto"/>
                <w:sz w:val="21"/>
                <w:szCs w:val="21"/>
                <w:highlight w:val="none"/>
                <w:lang w:val="en-GB"/>
              </w:rPr>
            </w:pPr>
            <w:r>
              <w:rPr>
                <w:rFonts w:hint="default" w:ascii="Arial" w:hAnsi="Arial" w:eastAsia="宋体" w:cs="Arial"/>
                <w:color w:val="auto"/>
                <w:sz w:val="21"/>
                <w:szCs w:val="21"/>
                <w:highlight w:val="none"/>
                <w:lang w:val="en-GB"/>
              </w:rPr>
              <w:t>不敏感</w:t>
            </w:r>
          </w:p>
        </w:tc>
        <w:tc>
          <w:tcPr>
            <w:tcW w:w="783" w:type="dxa"/>
            <w:shd w:val="clear" w:color="auto" w:fill="auto"/>
            <w:vAlign w:val="center"/>
          </w:tcPr>
          <w:p>
            <w:pPr>
              <w:pStyle w:val="63"/>
              <w:rPr>
                <w:rFonts w:hint="default" w:ascii="Arial" w:hAnsi="Arial" w:eastAsia="宋体" w:cs="Arial"/>
                <w:color w:val="auto"/>
                <w:sz w:val="21"/>
                <w:szCs w:val="21"/>
                <w:highlight w:val="none"/>
                <w:lang w:val="en-GB"/>
              </w:rPr>
            </w:pPr>
            <w:r>
              <w:rPr>
                <w:rFonts w:hint="default" w:ascii="Arial" w:hAnsi="Arial" w:eastAsia="宋体" w:cs="Arial"/>
                <w:color w:val="auto"/>
                <w:sz w:val="21"/>
                <w:szCs w:val="21"/>
                <w:highlight w:val="none"/>
                <w:lang w:val="en-GB"/>
              </w:rPr>
              <w:t>一级</w:t>
            </w:r>
          </w:p>
        </w:tc>
        <w:tc>
          <w:tcPr>
            <w:tcW w:w="783" w:type="dxa"/>
            <w:shd w:val="clear" w:color="auto" w:fill="auto"/>
            <w:vAlign w:val="center"/>
          </w:tcPr>
          <w:p>
            <w:pPr>
              <w:pStyle w:val="63"/>
              <w:rPr>
                <w:rFonts w:hint="default" w:ascii="Arial" w:hAnsi="Arial" w:eastAsia="宋体" w:cs="Arial"/>
                <w:color w:val="auto"/>
                <w:sz w:val="21"/>
                <w:szCs w:val="21"/>
                <w:highlight w:val="none"/>
                <w:lang w:val="en-GB"/>
              </w:rPr>
            </w:pPr>
            <w:r>
              <w:rPr>
                <w:rFonts w:hint="default" w:ascii="Arial" w:hAnsi="Arial" w:eastAsia="宋体" w:cs="Arial"/>
                <w:color w:val="auto"/>
                <w:sz w:val="21"/>
                <w:szCs w:val="21"/>
                <w:highlight w:val="none"/>
                <w:lang w:val="en-GB"/>
              </w:rPr>
              <w:t>二级</w:t>
            </w:r>
          </w:p>
        </w:tc>
        <w:tc>
          <w:tcPr>
            <w:tcW w:w="783" w:type="dxa"/>
            <w:shd w:val="clear" w:color="auto" w:fill="auto"/>
            <w:vAlign w:val="center"/>
          </w:tcPr>
          <w:p>
            <w:pPr>
              <w:pStyle w:val="63"/>
              <w:rPr>
                <w:rFonts w:hint="default" w:ascii="Arial" w:hAnsi="Arial" w:eastAsia="宋体" w:cs="Arial"/>
                <w:bCs/>
                <w:color w:val="auto"/>
                <w:sz w:val="21"/>
                <w:szCs w:val="21"/>
                <w:highlight w:val="none"/>
                <w:lang w:val="en-GB"/>
              </w:rPr>
            </w:pPr>
            <w:r>
              <w:rPr>
                <w:rFonts w:hint="default" w:ascii="Arial" w:hAnsi="Arial" w:eastAsia="宋体" w:cs="Arial"/>
                <w:bCs/>
                <w:color w:val="auto"/>
                <w:sz w:val="21"/>
                <w:szCs w:val="21"/>
                <w:highlight w:val="none"/>
                <w:lang w:val="en-GB"/>
              </w:rPr>
              <w:t>二级</w:t>
            </w:r>
          </w:p>
        </w:tc>
        <w:tc>
          <w:tcPr>
            <w:tcW w:w="783" w:type="dxa"/>
            <w:shd w:val="clear" w:color="auto" w:fill="auto"/>
            <w:vAlign w:val="center"/>
          </w:tcPr>
          <w:p>
            <w:pPr>
              <w:pStyle w:val="63"/>
              <w:rPr>
                <w:rFonts w:hint="default" w:ascii="Arial" w:hAnsi="Arial" w:eastAsia="宋体" w:cs="Arial"/>
                <w:color w:val="auto"/>
                <w:sz w:val="21"/>
                <w:szCs w:val="21"/>
                <w:highlight w:val="none"/>
                <w:lang w:val="en-GB"/>
              </w:rPr>
            </w:pPr>
            <w:r>
              <w:rPr>
                <w:rFonts w:hint="default" w:ascii="Arial" w:hAnsi="Arial" w:eastAsia="宋体" w:cs="Arial"/>
                <w:color w:val="auto"/>
                <w:sz w:val="21"/>
                <w:szCs w:val="21"/>
                <w:highlight w:val="none"/>
                <w:lang w:val="en-GB"/>
              </w:rPr>
              <w:t>二级</w:t>
            </w:r>
          </w:p>
        </w:tc>
        <w:tc>
          <w:tcPr>
            <w:tcW w:w="783" w:type="dxa"/>
            <w:shd w:val="clear" w:color="auto" w:fill="auto"/>
            <w:vAlign w:val="center"/>
          </w:tcPr>
          <w:p>
            <w:pPr>
              <w:pStyle w:val="63"/>
              <w:rPr>
                <w:rFonts w:hint="default" w:ascii="Arial" w:hAnsi="Arial" w:eastAsia="宋体" w:cs="Arial"/>
                <w:color w:val="auto"/>
                <w:sz w:val="21"/>
                <w:szCs w:val="21"/>
                <w:highlight w:val="none"/>
                <w:lang w:val="en-GB"/>
              </w:rPr>
            </w:pPr>
            <w:r>
              <w:rPr>
                <w:rFonts w:hint="default" w:ascii="Arial" w:hAnsi="Arial" w:eastAsia="宋体" w:cs="Arial"/>
                <w:color w:val="auto"/>
                <w:sz w:val="21"/>
                <w:szCs w:val="21"/>
                <w:highlight w:val="none"/>
                <w:lang w:val="en-GB"/>
              </w:rPr>
              <w:t>三级</w:t>
            </w:r>
          </w:p>
        </w:tc>
        <w:tc>
          <w:tcPr>
            <w:tcW w:w="783" w:type="dxa"/>
            <w:shd w:val="clear" w:color="auto" w:fill="auto"/>
            <w:vAlign w:val="center"/>
          </w:tcPr>
          <w:p>
            <w:pPr>
              <w:pStyle w:val="63"/>
              <w:rPr>
                <w:rFonts w:hint="default" w:ascii="Arial" w:hAnsi="Arial" w:eastAsia="宋体" w:cs="Arial"/>
                <w:color w:val="auto"/>
                <w:sz w:val="21"/>
                <w:szCs w:val="21"/>
                <w:highlight w:val="none"/>
                <w:lang w:val="en-GB"/>
              </w:rPr>
            </w:pPr>
            <w:r>
              <w:rPr>
                <w:rFonts w:hint="default" w:ascii="Arial" w:hAnsi="Arial" w:eastAsia="宋体" w:cs="Arial"/>
                <w:color w:val="auto"/>
                <w:sz w:val="21"/>
                <w:szCs w:val="21"/>
                <w:highlight w:val="none"/>
                <w:lang w:val="en-GB"/>
              </w:rPr>
              <w:t>三级</w:t>
            </w:r>
          </w:p>
        </w:tc>
        <w:tc>
          <w:tcPr>
            <w:tcW w:w="783" w:type="dxa"/>
            <w:shd w:val="clear" w:color="auto" w:fill="auto"/>
            <w:vAlign w:val="center"/>
          </w:tcPr>
          <w:p>
            <w:pPr>
              <w:pStyle w:val="63"/>
              <w:rPr>
                <w:rFonts w:hint="default" w:ascii="Arial" w:hAnsi="Arial" w:eastAsia="宋体" w:cs="Arial"/>
                <w:color w:val="auto"/>
                <w:sz w:val="21"/>
                <w:szCs w:val="21"/>
                <w:highlight w:val="none"/>
                <w:lang w:val="en-GB"/>
              </w:rPr>
            </w:pPr>
            <w:r>
              <w:rPr>
                <w:rFonts w:hint="default" w:ascii="Arial" w:hAnsi="Arial" w:eastAsia="宋体" w:cs="Arial"/>
                <w:color w:val="auto"/>
                <w:sz w:val="21"/>
                <w:szCs w:val="21"/>
                <w:highlight w:val="none"/>
                <w:lang w:val="en-GB"/>
              </w:rPr>
              <w:t>三级</w:t>
            </w:r>
          </w:p>
        </w:tc>
        <w:tc>
          <w:tcPr>
            <w:tcW w:w="783" w:type="dxa"/>
            <w:shd w:val="clear" w:color="auto" w:fill="auto"/>
            <w:vAlign w:val="center"/>
          </w:tcPr>
          <w:p>
            <w:pPr>
              <w:pStyle w:val="63"/>
              <w:rPr>
                <w:rFonts w:hint="default" w:ascii="Arial" w:hAnsi="Arial" w:eastAsia="宋体" w:cs="Arial"/>
                <w:color w:val="auto"/>
                <w:sz w:val="21"/>
                <w:szCs w:val="21"/>
                <w:highlight w:val="none"/>
                <w:lang w:val="en-GB"/>
              </w:rPr>
            </w:pPr>
            <w:r>
              <w:rPr>
                <w:rFonts w:hint="default" w:ascii="Arial" w:hAnsi="Arial" w:eastAsia="宋体" w:cs="Arial"/>
                <w:color w:val="auto"/>
                <w:sz w:val="21"/>
                <w:szCs w:val="21"/>
                <w:highlight w:val="none"/>
                <w:lang w:val="en-GB"/>
              </w:rPr>
              <w:t>—</w:t>
            </w:r>
          </w:p>
        </w:tc>
        <w:tc>
          <w:tcPr>
            <w:tcW w:w="783" w:type="dxa"/>
            <w:shd w:val="clear" w:color="auto" w:fill="auto"/>
            <w:vAlign w:val="center"/>
          </w:tcPr>
          <w:p>
            <w:pPr>
              <w:pStyle w:val="63"/>
              <w:rPr>
                <w:rFonts w:hint="default" w:ascii="Arial" w:hAnsi="Arial" w:eastAsia="宋体" w:cs="Arial"/>
                <w:color w:val="auto"/>
                <w:sz w:val="21"/>
                <w:szCs w:val="21"/>
                <w:highlight w:val="none"/>
                <w:lang w:val="en-GB"/>
              </w:rPr>
            </w:pPr>
            <w:r>
              <w:rPr>
                <w:rFonts w:hint="default" w:ascii="Arial" w:hAnsi="Arial" w:eastAsia="宋体" w:cs="Arial"/>
                <w:color w:val="auto"/>
                <w:sz w:val="21"/>
                <w:szCs w:val="21"/>
                <w:highlight w:val="none"/>
                <w:lang w:val="en-GB"/>
              </w:rPr>
              <w:t>—</w:t>
            </w:r>
          </w:p>
        </w:tc>
      </w:tr>
    </w:tbl>
    <w:p>
      <w:pPr>
        <w:ind w:firstLine="480"/>
        <w:rPr>
          <w:rFonts w:hint="default" w:ascii="Arial" w:hAnsi="Arial" w:eastAsia="宋体" w:cs="Arial"/>
          <w:color w:val="auto"/>
          <w:highlight w:val="none"/>
          <w:lang w:val="en-GB"/>
        </w:rPr>
      </w:pPr>
      <w:r>
        <w:rPr>
          <w:rFonts w:hint="default" w:ascii="Arial" w:hAnsi="Arial" w:eastAsia="宋体" w:cs="Arial"/>
          <w:color w:val="auto"/>
          <w:highlight w:val="none"/>
          <w:lang w:val="en-GB"/>
        </w:rPr>
        <w:t>对照上表</w:t>
      </w:r>
      <w:r>
        <w:rPr>
          <w:rFonts w:hint="default" w:ascii="Arial" w:hAnsi="Arial" w:eastAsia="宋体" w:cs="Arial"/>
          <w:color w:val="auto"/>
          <w:highlight w:val="none"/>
          <w:lang w:val="en-GB" w:eastAsia="zh-CN"/>
        </w:rPr>
        <w:t>，</w:t>
      </w:r>
      <w:r>
        <w:rPr>
          <w:rFonts w:hint="default" w:ascii="Arial" w:hAnsi="Arial" w:eastAsia="宋体" w:cs="Arial"/>
          <w:color w:val="auto"/>
          <w:highlight w:val="none"/>
          <w:lang w:val="en-GB"/>
        </w:rPr>
        <w:t>确定项目土壤评价等级为</w:t>
      </w:r>
      <w:r>
        <w:rPr>
          <w:rFonts w:hint="default" w:ascii="Arial" w:hAnsi="Arial" w:eastAsia="宋体" w:cs="Arial"/>
          <w:color w:val="auto"/>
          <w:highlight w:val="none"/>
          <w:lang w:val="en-GB" w:eastAsia="zh-CN"/>
        </w:rPr>
        <w:t>三</w:t>
      </w:r>
      <w:r>
        <w:rPr>
          <w:rFonts w:hint="default" w:ascii="Arial" w:hAnsi="Arial" w:eastAsia="宋体" w:cs="Arial"/>
          <w:color w:val="auto"/>
          <w:highlight w:val="none"/>
          <w:lang w:val="en-GB"/>
        </w:rPr>
        <w:t>级。</w:t>
      </w:r>
    </w:p>
    <w:p>
      <w:pPr>
        <w:ind w:firstLine="480"/>
        <w:rPr>
          <w:rFonts w:hint="default" w:ascii="Arial" w:hAnsi="Arial" w:eastAsia="宋体" w:cs="Arial"/>
          <w:color w:val="auto"/>
          <w:highlight w:val="none"/>
          <w:lang w:val="en-GB"/>
        </w:rPr>
      </w:pPr>
      <w:r>
        <w:rPr>
          <w:rFonts w:hint="default" w:ascii="Arial" w:hAnsi="Arial" w:eastAsia="宋体" w:cs="Arial"/>
          <w:color w:val="auto"/>
          <w:highlight w:val="none"/>
          <w:lang w:val="en-GB"/>
        </w:rPr>
        <w:t>（2）评价范围</w:t>
      </w:r>
    </w:p>
    <w:p>
      <w:pPr>
        <w:ind w:firstLine="480"/>
        <w:rPr>
          <w:rFonts w:hint="default" w:ascii="Arial" w:hAnsi="Arial" w:eastAsia="宋体" w:cs="Arial"/>
          <w:color w:val="auto"/>
          <w:highlight w:val="none"/>
          <w:lang w:val="en-GB"/>
        </w:rPr>
      </w:pPr>
      <w:r>
        <w:rPr>
          <w:rFonts w:hint="default" w:ascii="Arial" w:hAnsi="Arial" w:eastAsia="宋体" w:cs="Arial"/>
          <w:color w:val="auto"/>
          <w:highlight w:val="none"/>
          <w:lang w:val="en-GB"/>
        </w:rPr>
        <w:t>依据《环境影响评价技术导则 土壤环境（试行）》（HJ964-2018），项目为污染影响型，确定评价范围为工程占地范围及周边</w:t>
      </w:r>
      <w:r>
        <w:rPr>
          <w:rFonts w:hint="default" w:ascii="Arial" w:hAnsi="Arial" w:eastAsia="宋体" w:cs="Arial"/>
          <w:color w:val="auto"/>
          <w:highlight w:val="none"/>
          <w:lang w:val="en-US" w:eastAsia="zh-CN"/>
        </w:rPr>
        <w:t>5</w:t>
      </w:r>
      <w:r>
        <w:rPr>
          <w:rFonts w:hint="default" w:ascii="Arial" w:hAnsi="Arial" w:eastAsia="宋体" w:cs="Arial"/>
          <w:color w:val="auto"/>
          <w:highlight w:val="none"/>
          <w:lang w:val="en-GB"/>
        </w:rPr>
        <w:t>0m范围内，如图2.6-</w:t>
      </w:r>
      <w:r>
        <w:rPr>
          <w:rFonts w:hint="default" w:ascii="Arial" w:hAnsi="Arial" w:eastAsia="宋体" w:cs="Arial"/>
          <w:color w:val="auto"/>
          <w:highlight w:val="none"/>
          <w:lang w:val="en-US" w:eastAsia="zh-CN"/>
        </w:rPr>
        <w:t>2</w:t>
      </w:r>
      <w:r>
        <w:rPr>
          <w:rFonts w:hint="default" w:ascii="Arial" w:hAnsi="Arial" w:eastAsia="宋体" w:cs="Arial"/>
          <w:color w:val="auto"/>
          <w:highlight w:val="none"/>
          <w:lang w:val="en-GB"/>
        </w:rPr>
        <w:t>所示。</w:t>
      </w:r>
    </w:p>
    <w:p>
      <w:pPr>
        <w:pStyle w:val="6"/>
        <w:rPr>
          <w:rFonts w:hint="default" w:ascii="Arial" w:hAnsi="Arial" w:eastAsia="宋体" w:cs="Arial"/>
          <w:color w:val="auto"/>
          <w:highlight w:val="none"/>
          <w:lang w:val="en-GB"/>
        </w:rPr>
      </w:pPr>
      <w:bookmarkStart w:id="165" w:name="_Toc7166"/>
      <w:r>
        <w:rPr>
          <w:rFonts w:hint="default" w:ascii="Arial" w:hAnsi="Arial" w:eastAsia="宋体" w:cs="Arial"/>
          <w:color w:val="auto"/>
          <w:highlight w:val="none"/>
          <w:lang w:val="en-GB"/>
        </w:rPr>
        <w:t>2.5.5声环境</w:t>
      </w:r>
      <w:bookmarkEnd w:id="165"/>
    </w:p>
    <w:p>
      <w:pPr>
        <w:ind w:firstLine="480"/>
        <w:rPr>
          <w:rFonts w:hint="default" w:ascii="Arial" w:hAnsi="Arial" w:eastAsia="宋体" w:cs="Arial"/>
          <w:color w:val="auto"/>
          <w:highlight w:val="none"/>
          <w:lang w:val="en-GB"/>
        </w:rPr>
      </w:pPr>
      <w:r>
        <w:rPr>
          <w:rFonts w:hint="default" w:ascii="Arial" w:hAnsi="Arial" w:eastAsia="宋体" w:cs="Arial"/>
          <w:color w:val="auto"/>
          <w:highlight w:val="none"/>
          <w:lang w:val="en-GB"/>
        </w:rPr>
        <w:t>（1）评价等级</w:t>
      </w:r>
    </w:p>
    <w:p>
      <w:pPr>
        <w:ind w:firstLine="480"/>
        <w:rPr>
          <w:rFonts w:hint="default" w:ascii="Arial" w:hAnsi="Arial" w:eastAsia="宋体" w:cs="Arial"/>
          <w:color w:val="auto"/>
          <w:highlight w:val="none"/>
          <w:lang w:val="en-GB"/>
        </w:rPr>
      </w:pPr>
      <w:r>
        <w:rPr>
          <w:rFonts w:hint="default" w:ascii="Arial" w:hAnsi="Arial" w:eastAsia="宋体" w:cs="Arial"/>
          <w:color w:val="auto"/>
          <w:highlight w:val="none"/>
          <w:lang w:val="en-GB"/>
        </w:rPr>
        <w:t>根据《环境影响评价技术导则声环境》（HJ2.4-2009）中评价等级的划分，“建设项目所处的声环境功能区为《声环境质量标准》（GB3096-2008）规定的1类、2类地区，或建设项目建设前后评价范围内敏感目标噪声级增高量达3dB（A）~5dB（A）（含5dB（A）），或受噪声影响人口数量增加较多时，按二级评价”。</w:t>
      </w:r>
    </w:p>
    <w:p>
      <w:pPr>
        <w:ind w:firstLine="480"/>
        <w:rPr>
          <w:rFonts w:hint="default" w:ascii="Arial" w:hAnsi="Arial" w:eastAsia="宋体" w:cs="Arial"/>
          <w:color w:val="auto"/>
          <w:highlight w:val="none"/>
          <w:lang w:val="en-GB"/>
        </w:rPr>
      </w:pPr>
      <w:r>
        <w:rPr>
          <w:rFonts w:hint="default" w:ascii="Arial" w:hAnsi="Arial" w:eastAsia="宋体" w:cs="Arial"/>
          <w:color w:val="auto"/>
          <w:highlight w:val="none"/>
          <w:lang w:val="en-GB"/>
        </w:rPr>
        <w:t>本项目所处区域为（GB3096-2008）规定的2类区，项目建成后噪声增加值小于3dB（A），且受项目噪声影响人口数量较小，根据《环境影响评价技术导则 声环境》（HJ2.4-2009）中规定，确定噪声评价等级为二级。</w:t>
      </w:r>
    </w:p>
    <w:p>
      <w:pPr>
        <w:ind w:firstLine="480"/>
        <w:rPr>
          <w:rFonts w:hint="default" w:ascii="Arial" w:hAnsi="Arial" w:eastAsia="宋体" w:cs="Arial"/>
          <w:color w:val="auto"/>
          <w:highlight w:val="none"/>
          <w:lang w:val="en-GB"/>
        </w:rPr>
      </w:pPr>
      <w:r>
        <w:rPr>
          <w:rFonts w:hint="default" w:ascii="Arial" w:hAnsi="Arial" w:eastAsia="宋体" w:cs="Arial"/>
          <w:color w:val="auto"/>
          <w:highlight w:val="none"/>
          <w:lang w:val="en-GB"/>
        </w:rPr>
        <w:t>（2）评价范围</w:t>
      </w:r>
    </w:p>
    <w:p>
      <w:pPr>
        <w:ind w:firstLine="480"/>
        <w:rPr>
          <w:rFonts w:hint="default" w:ascii="Arial" w:hAnsi="Arial" w:eastAsia="宋体" w:cs="Arial"/>
          <w:color w:val="auto"/>
          <w:highlight w:val="none"/>
          <w:lang w:val="en-GB"/>
        </w:rPr>
      </w:pPr>
      <w:r>
        <w:rPr>
          <w:rFonts w:hint="default" w:ascii="Arial" w:hAnsi="Arial" w:eastAsia="宋体" w:cs="Arial"/>
          <w:color w:val="auto"/>
          <w:highlight w:val="none"/>
          <w:lang w:val="en-GB"/>
        </w:rPr>
        <w:t>根据项目特点，声环境评价范围确定为项目拟建厂边界外200m范围。</w:t>
      </w:r>
    </w:p>
    <w:p>
      <w:pPr>
        <w:ind w:firstLine="480"/>
        <w:rPr>
          <w:rFonts w:hint="default" w:ascii="Arial" w:hAnsi="Arial" w:eastAsia="宋体" w:cs="Arial"/>
          <w:color w:val="auto"/>
          <w:highlight w:val="none"/>
          <w:lang w:val="en-GB"/>
        </w:rPr>
      </w:pPr>
      <w:r>
        <w:rPr>
          <w:rFonts w:hint="default" w:ascii="Arial" w:hAnsi="Arial" w:eastAsia="宋体" w:cs="Arial"/>
          <w:color w:val="auto"/>
          <w:highlight w:val="none"/>
          <w:lang w:val="en-GB"/>
        </w:rPr>
        <w:t>项目声环境评价范围如图2.6-</w:t>
      </w:r>
      <w:r>
        <w:rPr>
          <w:rFonts w:hint="default" w:ascii="Arial" w:hAnsi="Arial" w:eastAsia="宋体" w:cs="Arial"/>
          <w:color w:val="auto"/>
          <w:highlight w:val="none"/>
          <w:lang w:val="en-US" w:eastAsia="zh-CN"/>
        </w:rPr>
        <w:t>2</w:t>
      </w:r>
      <w:r>
        <w:rPr>
          <w:rFonts w:hint="default" w:ascii="Arial" w:hAnsi="Arial" w:eastAsia="宋体" w:cs="Arial"/>
          <w:color w:val="auto"/>
          <w:highlight w:val="none"/>
          <w:lang w:val="en-GB"/>
        </w:rPr>
        <w:t>所示。</w:t>
      </w:r>
    </w:p>
    <w:p>
      <w:pPr>
        <w:pStyle w:val="6"/>
        <w:rPr>
          <w:rFonts w:hint="default" w:ascii="Arial" w:hAnsi="Arial" w:eastAsia="宋体" w:cs="Arial"/>
          <w:color w:val="auto"/>
          <w:highlight w:val="none"/>
        </w:rPr>
      </w:pPr>
      <w:bookmarkStart w:id="166" w:name="_Toc14069"/>
      <w:bookmarkStart w:id="167" w:name="_Toc512871534"/>
      <w:bookmarkStart w:id="168" w:name="_Toc7175"/>
      <w:r>
        <w:rPr>
          <w:rFonts w:hint="default" w:ascii="Arial" w:hAnsi="Arial" w:eastAsia="宋体" w:cs="Arial"/>
          <w:color w:val="auto"/>
          <w:highlight w:val="none"/>
        </w:rPr>
        <w:t>2.5.6环境风险</w:t>
      </w:r>
      <w:bookmarkEnd w:id="166"/>
      <w:bookmarkEnd w:id="167"/>
      <w:bookmarkEnd w:id="168"/>
    </w:p>
    <w:p>
      <w:pPr>
        <w:overflowPunct w:val="0"/>
        <w:autoSpaceDE/>
        <w:ind w:firstLine="480"/>
        <w:rPr>
          <w:rFonts w:hint="default" w:ascii="Arial" w:hAnsi="Arial" w:eastAsia="宋体" w:cs="Arial"/>
          <w:color w:val="auto"/>
          <w:highlight w:val="none"/>
        </w:rPr>
      </w:pPr>
      <w:bookmarkStart w:id="169" w:name="_Toc453603070"/>
      <w:bookmarkStart w:id="170" w:name="_Toc452567815"/>
      <w:bookmarkStart w:id="171" w:name="_Toc512871533"/>
      <w:bookmarkStart w:id="172" w:name="_Toc13748"/>
      <w:r>
        <w:rPr>
          <w:rFonts w:hint="default" w:ascii="Arial" w:hAnsi="Arial" w:eastAsia="宋体" w:cs="Arial"/>
          <w:color w:val="auto"/>
          <w:highlight w:val="none"/>
          <w:lang w:eastAsia="zh-CN"/>
        </w:rPr>
        <w:t>本</w:t>
      </w:r>
      <w:r>
        <w:rPr>
          <w:rFonts w:hint="default" w:ascii="Arial" w:hAnsi="Arial" w:eastAsia="宋体" w:cs="Arial"/>
          <w:color w:val="auto"/>
          <w:highlight w:val="none"/>
        </w:rPr>
        <w:t>项目为</w:t>
      </w:r>
      <w:r>
        <w:rPr>
          <w:rFonts w:hint="default" w:ascii="Arial" w:hAnsi="Arial" w:eastAsia="宋体" w:cs="Arial"/>
          <w:color w:val="auto"/>
          <w:highlight w:val="none"/>
          <w:lang w:eastAsia="zh-CN"/>
        </w:rPr>
        <w:t>规模化肉牛养殖项目</w:t>
      </w:r>
      <w:r>
        <w:rPr>
          <w:rFonts w:hint="default" w:ascii="Arial" w:hAnsi="Arial" w:eastAsia="宋体" w:cs="Arial"/>
          <w:color w:val="auto"/>
          <w:highlight w:val="none"/>
        </w:rPr>
        <w:t>，根据《建设项目环境风险评价技术导则》（HJ169-2018）附录B.1“突发环境事件风险物质及临界量”，本次项目不存在重点关注的突发环境事件风险物</w:t>
      </w:r>
      <w:r>
        <w:rPr>
          <w:rFonts w:hint="default" w:ascii="Arial" w:hAnsi="Arial" w:eastAsia="宋体" w:cs="Arial"/>
          <w:color w:val="auto"/>
          <w:highlight w:val="none"/>
          <w:lang w:val="en-US" w:eastAsia="zh-CN"/>
        </w:rPr>
        <w:t>质</w:t>
      </w:r>
      <w:r>
        <w:rPr>
          <w:rFonts w:hint="default" w:ascii="Arial" w:hAnsi="Arial" w:eastAsia="宋体" w:cs="Arial"/>
          <w:color w:val="auto"/>
          <w:highlight w:val="none"/>
        </w:rPr>
        <w:t>，根据《建设项目环境风险评价技术导则》（HJ 2.2-2018)中附录C中规定，当Q&lt;1时，该项目环境风险潜势为Ⅰ。</w:t>
      </w:r>
    </w:p>
    <w:p>
      <w:pPr>
        <w:overflowPunct w:val="0"/>
        <w:autoSpaceDE/>
        <w:ind w:firstLine="480"/>
        <w:rPr>
          <w:rFonts w:hint="default" w:ascii="Arial" w:hAnsi="Arial" w:eastAsia="宋体" w:cs="Arial"/>
          <w:color w:val="auto"/>
          <w:highlight w:val="none"/>
        </w:rPr>
      </w:pPr>
      <w:r>
        <w:rPr>
          <w:rFonts w:hint="default" w:ascii="Arial" w:hAnsi="Arial" w:eastAsia="宋体" w:cs="Arial"/>
          <w:color w:val="auto"/>
          <w:highlight w:val="none"/>
        </w:rPr>
        <w:t>根据《建设项目环境风险评价技术导则》（HJ169-2018），环境风险评价工作等级划分为一级、二级、三级、简单分析。根据建设项目涉及的物质及工艺系统危险性和所在地的环境敏感性确定环境风险潜势，按照下表确定评价工作等级。</w:t>
      </w:r>
    </w:p>
    <w:p>
      <w:pPr>
        <w:keepNext/>
        <w:keepLines/>
        <w:ind w:firstLine="0" w:firstLineChars="0"/>
        <w:jc w:val="center"/>
        <w:outlineLvl w:val="4"/>
        <w:rPr>
          <w:rFonts w:hint="default" w:ascii="Arial" w:hAnsi="Arial" w:eastAsia="宋体" w:cs="Arial"/>
          <w:b/>
          <w:bCs/>
          <w:color w:val="auto"/>
          <w:szCs w:val="28"/>
          <w:highlight w:val="none"/>
        </w:rPr>
      </w:pPr>
      <w:r>
        <w:rPr>
          <w:rFonts w:hint="default" w:ascii="Arial" w:hAnsi="Arial" w:eastAsia="宋体" w:cs="Arial"/>
          <w:b/>
          <w:bCs/>
          <w:color w:val="auto"/>
          <w:szCs w:val="28"/>
          <w:highlight w:val="none"/>
        </w:rPr>
        <w:t>表2.5-</w:t>
      </w:r>
      <w:r>
        <w:rPr>
          <w:rFonts w:hint="default" w:ascii="Arial" w:hAnsi="Arial" w:eastAsia="宋体" w:cs="Arial"/>
          <w:b/>
          <w:bCs/>
          <w:color w:val="auto"/>
          <w:szCs w:val="28"/>
          <w:highlight w:val="none"/>
          <w:lang w:val="en-US" w:eastAsia="zh-CN"/>
        </w:rPr>
        <w:t>11</w:t>
      </w:r>
      <w:r>
        <w:rPr>
          <w:rFonts w:hint="default" w:ascii="Arial" w:hAnsi="Arial" w:eastAsia="宋体" w:cs="Arial"/>
          <w:b/>
          <w:bCs/>
          <w:color w:val="auto"/>
          <w:szCs w:val="28"/>
          <w:highlight w:val="none"/>
        </w:rPr>
        <w:t xml:space="preserve">    环境风险评价工作等级划分表</w:t>
      </w:r>
    </w:p>
    <w:tbl>
      <w:tblPr>
        <w:tblStyle w:val="39"/>
        <w:tblW w:w="8844"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474"/>
        <w:gridCol w:w="1622"/>
        <w:gridCol w:w="1916"/>
        <w:gridCol w:w="2210"/>
        <w:gridCol w:w="1622"/>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474" w:type="dxa"/>
            <w:tcMar>
              <w:left w:w="0" w:type="dxa"/>
              <w:right w:w="0" w:type="dxa"/>
            </w:tcMar>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sz w:val="21"/>
                <w:highlight w:val="none"/>
              </w:rPr>
            </w:pPr>
            <w:r>
              <w:rPr>
                <w:rFonts w:hint="default" w:ascii="Arial" w:hAnsi="Arial" w:eastAsia="宋体" w:cs="Arial"/>
                <w:color w:val="auto"/>
                <w:sz w:val="21"/>
                <w:highlight w:val="none"/>
              </w:rPr>
              <w:t>环境风险潜势</w:t>
            </w:r>
          </w:p>
        </w:tc>
        <w:tc>
          <w:tcPr>
            <w:tcW w:w="1622" w:type="dxa"/>
            <w:tcMar>
              <w:left w:w="0" w:type="dxa"/>
              <w:right w:w="0" w:type="dxa"/>
            </w:tcMar>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sz w:val="21"/>
                <w:highlight w:val="none"/>
              </w:rPr>
            </w:pPr>
            <w:r>
              <w:rPr>
                <w:rFonts w:hint="default" w:ascii="Arial" w:hAnsi="Arial" w:eastAsia="宋体" w:cs="Arial"/>
                <w:color w:val="auto"/>
                <w:sz w:val="21"/>
                <w:highlight w:val="none"/>
              </w:rPr>
              <w:fldChar w:fldCharType="begin"/>
            </w:r>
            <w:r>
              <w:rPr>
                <w:rFonts w:hint="default" w:ascii="Arial" w:hAnsi="Arial" w:eastAsia="宋体" w:cs="Arial"/>
                <w:color w:val="auto"/>
                <w:sz w:val="21"/>
                <w:highlight w:val="none"/>
              </w:rPr>
              <w:instrText xml:space="preserve"> = 4 \* ROMAN \* MERGEFORMAT </w:instrText>
            </w:r>
            <w:r>
              <w:rPr>
                <w:rFonts w:hint="default" w:ascii="Arial" w:hAnsi="Arial" w:eastAsia="宋体" w:cs="Arial"/>
                <w:color w:val="auto"/>
                <w:sz w:val="21"/>
                <w:highlight w:val="none"/>
              </w:rPr>
              <w:fldChar w:fldCharType="separate"/>
            </w:r>
            <w:r>
              <w:rPr>
                <w:rFonts w:hint="default" w:ascii="Arial" w:hAnsi="Arial" w:eastAsia="宋体" w:cs="Arial"/>
                <w:color w:val="auto"/>
                <w:sz w:val="21"/>
                <w:highlight w:val="none"/>
              </w:rPr>
              <w:t>IV</w:t>
            </w:r>
            <w:r>
              <w:rPr>
                <w:rFonts w:hint="default" w:ascii="Arial" w:hAnsi="Arial" w:eastAsia="宋体" w:cs="Arial"/>
                <w:color w:val="auto"/>
                <w:sz w:val="21"/>
                <w:highlight w:val="none"/>
              </w:rPr>
              <w:fldChar w:fldCharType="end"/>
            </w:r>
            <w:r>
              <w:rPr>
                <w:rFonts w:hint="default" w:ascii="Arial" w:hAnsi="Arial" w:eastAsia="宋体" w:cs="Arial"/>
                <w:color w:val="auto"/>
                <w:sz w:val="21"/>
                <w:highlight w:val="none"/>
              </w:rPr>
              <w:t>、</w:t>
            </w:r>
            <w:r>
              <w:rPr>
                <w:rFonts w:hint="default" w:ascii="Arial" w:hAnsi="Arial" w:eastAsia="宋体" w:cs="Arial"/>
                <w:color w:val="auto"/>
                <w:sz w:val="21"/>
                <w:highlight w:val="none"/>
              </w:rPr>
              <w:fldChar w:fldCharType="begin"/>
            </w:r>
            <w:r>
              <w:rPr>
                <w:rFonts w:hint="default" w:ascii="Arial" w:hAnsi="Arial" w:eastAsia="宋体" w:cs="Arial"/>
                <w:color w:val="auto"/>
                <w:sz w:val="21"/>
                <w:highlight w:val="none"/>
              </w:rPr>
              <w:instrText xml:space="preserve"> = 4 \* ROMAN \* MERGEFORMAT </w:instrText>
            </w:r>
            <w:r>
              <w:rPr>
                <w:rFonts w:hint="default" w:ascii="Arial" w:hAnsi="Arial" w:eastAsia="宋体" w:cs="Arial"/>
                <w:color w:val="auto"/>
                <w:sz w:val="21"/>
                <w:highlight w:val="none"/>
              </w:rPr>
              <w:fldChar w:fldCharType="separate"/>
            </w:r>
            <w:r>
              <w:rPr>
                <w:rFonts w:hint="default" w:ascii="Arial" w:hAnsi="Arial" w:eastAsia="宋体" w:cs="Arial"/>
                <w:color w:val="auto"/>
                <w:sz w:val="21"/>
                <w:highlight w:val="none"/>
              </w:rPr>
              <w:t>IV</w:t>
            </w:r>
            <w:r>
              <w:rPr>
                <w:rFonts w:hint="default" w:ascii="Arial" w:hAnsi="Arial" w:eastAsia="宋体" w:cs="Arial"/>
                <w:color w:val="auto"/>
                <w:sz w:val="21"/>
                <w:highlight w:val="none"/>
              </w:rPr>
              <w:fldChar w:fldCharType="end"/>
            </w:r>
            <w:r>
              <w:rPr>
                <w:rFonts w:hint="default" w:ascii="Arial" w:hAnsi="Arial" w:eastAsia="宋体" w:cs="Arial"/>
                <w:color w:val="auto"/>
                <w:sz w:val="21"/>
                <w:highlight w:val="none"/>
              </w:rPr>
              <w:t>+</w:t>
            </w:r>
          </w:p>
        </w:tc>
        <w:tc>
          <w:tcPr>
            <w:tcW w:w="1916" w:type="dxa"/>
            <w:tcMar>
              <w:left w:w="0" w:type="dxa"/>
              <w:right w:w="0" w:type="dxa"/>
            </w:tcMar>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sz w:val="21"/>
                <w:highlight w:val="none"/>
              </w:rPr>
            </w:pPr>
            <w:r>
              <w:rPr>
                <w:rFonts w:hint="default" w:ascii="Arial" w:hAnsi="Arial" w:eastAsia="宋体" w:cs="Arial"/>
                <w:color w:val="auto"/>
                <w:sz w:val="21"/>
                <w:highlight w:val="none"/>
              </w:rPr>
              <w:fldChar w:fldCharType="begin"/>
            </w:r>
            <w:r>
              <w:rPr>
                <w:rFonts w:hint="default" w:ascii="Arial" w:hAnsi="Arial" w:eastAsia="宋体" w:cs="Arial"/>
                <w:color w:val="auto"/>
                <w:sz w:val="21"/>
                <w:highlight w:val="none"/>
              </w:rPr>
              <w:instrText xml:space="preserve"> = 3 \* ROMAN \* MERGEFORMAT </w:instrText>
            </w:r>
            <w:r>
              <w:rPr>
                <w:rFonts w:hint="default" w:ascii="Arial" w:hAnsi="Arial" w:eastAsia="宋体" w:cs="Arial"/>
                <w:color w:val="auto"/>
                <w:sz w:val="21"/>
                <w:highlight w:val="none"/>
              </w:rPr>
              <w:fldChar w:fldCharType="separate"/>
            </w:r>
            <w:r>
              <w:rPr>
                <w:rFonts w:hint="default" w:ascii="Arial" w:hAnsi="Arial" w:eastAsia="宋体" w:cs="Arial"/>
                <w:color w:val="auto"/>
                <w:sz w:val="21"/>
                <w:highlight w:val="none"/>
              </w:rPr>
              <w:t>III</w:t>
            </w:r>
            <w:r>
              <w:rPr>
                <w:rFonts w:hint="default" w:ascii="Arial" w:hAnsi="Arial" w:eastAsia="宋体" w:cs="Arial"/>
                <w:color w:val="auto"/>
                <w:sz w:val="21"/>
                <w:highlight w:val="none"/>
              </w:rPr>
              <w:fldChar w:fldCharType="end"/>
            </w:r>
          </w:p>
        </w:tc>
        <w:tc>
          <w:tcPr>
            <w:tcW w:w="2210" w:type="dxa"/>
            <w:tcMar>
              <w:left w:w="0" w:type="dxa"/>
              <w:right w:w="0" w:type="dxa"/>
            </w:tcMar>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sz w:val="21"/>
                <w:highlight w:val="none"/>
              </w:rPr>
            </w:pPr>
            <w:r>
              <w:rPr>
                <w:rFonts w:hint="default" w:ascii="Arial" w:hAnsi="Arial" w:eastAsia="宋体" w:cs="Arial"/>
                <w:color w:val="auto"/>
                <w:sz w:val="21"/>
                <w:highlight w:val="none"/>
              </w:rPr>
              <w:fldChar w:fldCharType="begin"/>
            </w:r>
            <w:r>
              <w:rPr>
                <w:rFonts w:hint="default" w:ascii="Arial" w:hAnsi="Arial" w:eastAsia="宋体" w:cs="Arial"/>
                <w:color w:val="auto"/>
                <w:sz w:val="21"/>
                <w:highlight w:val="none"/>
              </w:rPr>
              <w:instrText xml:space="preserve"> = 2 \* ROMAN \* MERGEFORMAT </w:instrText>
            </w:r>
            <w:r>
              <w:rPr>
                <w:rFonts w:hint="default" w:ascii="Arial" w:hAnsi="Arial" w:eastAsia="宋体" w:cs="Arial"/>
                <w:color w:val="auto"/>
                <w:sz w:val="21"/>
                <w:highlight w:val="none"/>
              </w:rPr>
              <w:fldChar w:fldCharType="separate"/>
            </w:r>
            <w:r>
              <w:rPr>
                <w:rFonts w:hint="default" w:ascii="Arial" w:hAnsi="Arial" w:eastAsia="宋体" w:cs="Arial"/>
                <w:color w:val="auto"/>
                <w:sz w:val="21"/>
                <w:highlight w:val="none"/>
              </w:rPr>
              <w:t>II</w:t>
            </w:r>
            <w:r>
              <w:rPr>
                <w:rFonts w:hint="default" w:ascii="Arial" w:hAnsi="Arial" w:eastAsia="宋体" w:cs="Arial"/>
                <w:color w:val="auto"/>
                <w:sz w:val="21"/>
                <w:highlight w:val="none"/>
              </w:rPr>
              <w:fldChar w:fldCharType="end"/>
            </w:r>
          </w:p>
        </w:tc>
        <w:tc>
          <w:tcPr>
            <w:tcW w:w="1622" w:type="dxa"/>
            <w:tcMar>
              <w:left w:w="0" w:type="dxa"/>
              <w:right w:w="0" w:type="dxa"/>
            </w:tcMar>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sz w:val="21"/>
                <w:highlight w:val="none"/>
              </w:rPr>
            </w:pPr>
            <w:r>
              <w:rPr>
                <w:rFonts w:hint="default" w:ascii="Arial" w:hAnsi="Arial" w:eastAsia="宋体" w:cs="Arial"/>
                <w:color w:val="auto"/>
                <w:sz w:val="21"/>
                <w:highlight w:val="none"/>
              </w:rPr>
              <w:fldChar w:fldCharType="begin"/>
            </w:r>
            <w:r>
              <w:rPr>
                <w:rFonts w:hint="default" w:ascii="Arial" w:hAnsi="Arial" w:eastAsia="宋体" w:cs="Arial"/>
                <w:color w:val="auto"/>
                <w:sz w:val="21"/>
                <w:highlight w:val="none"/>
              </w:rPr>
              <w:instrText xml:space="preserve"> = 1 \* ROMAN \* MERGEFORMAT </w:instrText>
            </w:r>
            <w:r>
              <w:rPr>
                <w:rFonts w:hint="default" w:ascii="Arial" w:hAnsi="Arial" w:eastAsia="宋体" w:cs="Arial"/>
                <w:color w:val="auto"/>
                <w:sz w:val="21"/>
                <w:highlight w:val="none"/>
              </w:rPr>
              <w:fldChar w:fldCharType="separate"/>
            </w:r>
            <w:r>
              <w:rPr>
                <w:rFonts w:hint="default" w:ascii="Arial" w:hAnsi="Arial" w:eastAsia="宋体" w:cs="Arial"/>
                <w:color w:val="auto"/>
                <w:sz w:val="21"/>
                <w:highlight w:val="none"/>
              </w:rPr>
              <w:t>I</w:t>
            </w:r>
            <w:r>
              <w:rPr>
                <w:rFonts w:hint="default" w:ascii="Arial" w:hAnsi="Arial" w:eastAsia="宋体" w:cs="Arial"/>
                <w:color w:val="auto"/>
                <w:sz w:val="21"/>
                <w:highlight w:val="none"/>
              </w:rPr>
              <w:fldChar w:fldCharType="end"/>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474" w:type="dxa"/>
            <w:tcMar>
              <w:left w:w="0" w:type="dxa"/>
              <w:right w:w="0" w:type="dxa"/>
            </w:tcMar>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sz w:val="21"/>
                <w:highlight w:val="none"/>
              </w:rPr>
            </w:pPr>
            <w:r>
              <w:rPr>
                <w:rFonts w:hint="default" w:ascii="Arial" w:hAnsi="Arial" w:eastAsia="宋体" w:cs="Arial"/>
                <w:color w:val="auto"/>
                <w:sz w:val="21"/>
                <w:highlight w:val="none"/>
              </w:rPr>
              <w:t>评价工作等级</w:t>
            </w:r>
          </w:p>
        </w:tc>
        <w:tc>
          <w:tcPr>
            <w:tcW w:w="1622" w:type="dxa"/>
            <w:tcMar>
              <w:left w:w="0" w:type="dxa"/>
              <w:right w:w="0" w:type="dxa"/>
            </w:tcMar>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sz w:val="21"/>
                <w:highlight w:val="none"/>
              </w:rPr>
            </w:pPr>
            <w:r>
              <w:rPr>
                <w:rFonts w:hint="default" w:ascii="Arial" w:hAnsi="Arial" w:eastAsia="宋体" w:cs="Arial"/>
                <w:color w:val="auto"/>
                <w:sz w:val="21"/>
                <w:highlight w:val="none"/>
              </w:rPr>
              <w:t>一</w:t>
            </w:r>
          </w:p>
        </w:tc>
        <w:tc>
          <w:tcPr>
            <w:tcW w:w="1916" w:type="dxa"/>
            <w:tcMar>
              <w:left w:w="0" w:type="dxa"/>
              <w:right w:w="0" w:type="dxa"/>
            </w:tcMar>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sz w:val="21"/>
                <w:highlight w:val="none"/>
              </w:rPr>
            </w:pPr>
            <w:r>
              <w:rPr>
                <w:rFonts w:hint="default" w:ascii="Arial" w:hAnsi="Arial" w:eastAsia="宋体" w:cs="Arial"/>
                <w:color w:val="auto"/>
                <w:sz w:val="21"/>
                <w:highlight w:val="none"/>
              </w:rPr>
              <w:t>二</w:t>
            </w:r>
          </w:p>
        </w:tc>
        <w:tc>
          <w:tcPr>
            <w:tcW w:w="2210" w:type="dxa"/>
            <w:tcMar>
              <w:left w:w="0" w:type="dxa"/>
              <w:right w:w="0" w:type="dxa"/>
            </w:tcMar>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sz w:val="21"/>
                <w:highlight w:val="none"/>
              </w:rPr>
            </w:pPr>
            <w:r>
              <w:rPr>
                <w:rFonts w:hint="default" w:ascii="Arial" w:hAnsi="Arial" w:eastAsia="宋体" w:cs="Arial"/>
                <w:color w:val="auto"/>
                <w:sz w:val="21"/>
                <w:highlight w:val="none"/>
              </w:rPr>
              <w:t>三</w:t>
            </w:r>
          </w:p>
        </w:tc>
        <w:tc>
          <w:tcPr>
            <w:tcW w:w="1622" w:type="dxa"/>
            <w:tcMar>
              <w:left w:w="0" w:type="dxa"/>
              <w:right w:w="0" w:type="dxa"/>
            </w:tcMar>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sz w:val="21"/>
                <w:highlight w:val="none"/>
              </w:rPr>
            </w:pPr>
            <w:r>
              <w:rPr>
                <w:rFonts w:hint="default" w:ascii="Arial" w:hAnsi="Arial" w:eastAsia="宋体" w:cs="Arial"/>
                <w:color w:val="auto"/>
                <w:sz w:val="21"/>
                <w:highlight w:val="none"/>
              </w:rPr>
              <w:t>简单分析</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844" w:type="dxa"/>
            <w:gridSpan w:val="5"/>
            <w:tcMar>
              <w:left w:w="0" w:type="dxa"/>
              <w:right w:w="0" w:type="dxa"/>
            </w:tcMar>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sz w:val="21"/>
                <w:highlight w:val="none"/>
              </w:rPr>
            </w:pPr>
            <w:r>
              <w:rPr>
                <w:rFonts w:hint="default" w:ascii="Arial" w:hAnsi="Arial" w:eastAsia="宋体" w:cs="Arial"/>
                <w:color w:val="auto"/>
                <w:sz w:val="21"/>
                <w:highlight w:val="none"/>
              </w:rPr>
              <w:t>简单分析是相对于详细评价工作内容而言，在描述危险物质、环境影响途径、环境危害后果、风险防范措施等方面给出定性的说明</w:t>
            </w:r>
          </w:p>
        </w:tc>
      </w:tr>
    </w:tbl>
    <w:p>
      <w:pPr>
        <w:pageBreakBefore w:val="0"/>
        <w:widowControl w:val="0"/>
        <w:kinsoku/>
        <w:wordWrap/>
        <w:topLinePunct/>
        <w:autoSpaceDN/>
        <w:bidi w:val="0"/>
        <w:adjustRightInd/>
        <w:snapToGrid/>
        <w:spacing w:line="480" w:lineRule="exact"/>
        <w:ind w:firstLine="480" w:firstLineChars="200"/>
        <w:textAlignment w:val="auto"/>
        <w:rPr>
          <w:rFonts w:hint="default" w:ascii="Arial" w:hAnsi="Arial" w:eastAsia="宋体" w:cs="Arial"/>
          <w:color w:val="auto"/>
          <w:highlight w:val="none"/>
        </w:rPr>
      </w:pPr>
      <w:r>
        <w:rPr>
          <w:rFonts w:hint="default" w:ascii="Arial" w:hAnsi="Arial" w:eastAsia="宋体" w:cs="Arial"/>
          <w:color w:val="auto"/>
          <w:highlight w:val="none"/>
        </w:rPr>
        <w:t>由上表可知，本项目环境风险潜势I级，本次环境风险评价等级为简单分析，不设评价范围。</w:t>
      </w:r>
    </w:p>
    <w:p>
      <w:pPr>
        <w:pStyle w:val="6"/>
        <w:rPr>
          <w:rFonts w:hint="default" w:ascii="Arial" w:hAnsi="Arial" w:eastAsia="宋体" w:cs="Arial"/>
          <w:color w:val="auto"/>
          <w:highlight w:val="none"/>
        </w:rPr>
      </w:pPr>
      <w:bookmarkStart w:id="173" w:name="_Toc28061"/>
      <w:r>
        <w:rPr>
          <w:rFonts w:hint="default" w:ascii="Arial" w:hAnsi="Arial" w:eastAsia="宋体" w:cs="Arial"/>
          <w:color w:val="auto"/>
          <w:highlight w:val="none"/>
        </w:rPr>
        <w:t>2.5.7生态环境</w:t>
      </w:r>
      <w:bookmarkEnd w:id="169"/>
      <w:bookmarkEnd w:id="170"/>
      <w:bookmarkEnd w:id="171"/>
      <w:bookmarkEnd w:id="172"/>
      <w:bookmarkEnd w:id="173"/>
    </w:p>
    <w:p>
      <w:pPr>
        <w:overflowPunct w:val="0"/>
        <w:ind w:firstLine="480"/>
        <w:rPr>
          <w:rFonts w:hint="default" w:ascii="Arial" w:hAnsi="Arial" w:eastAsia="宋体" w:cs="Arial"/>
          <w:color w:val="auto"/>
          <w:highlight w:val="none"/>
        </w:rPr>
      </w:pPr>
      <w:r>
        <w:rPr>
          <w:rFonts w:hint="default" w:ascii="Arial" w:hAnsi="Arial" w:eastAsia="宋体" w:cs="Arial"/>
          <w:color w:val="auto"/>
          <w:highlight w:val="none"/>
        </w:rPr>
        <w:t>（1）评价等级</w:t>
      </w:r>
    </w:p>
    <w:p>
      <w:pPr>
        <w:overflowPunct w:val="0"/>
        <w:ind w:firstLine="480"/>
        <w:rPr>
          <w:rFonts w:hint="default" w:ascii="Arial" w:hAnsi="Arial" w:eastAsia="宋体" w:cs="Arial"/>
          <w:color w:val="auto"/>
          <w:highlight w:val="none"/>
        </w:rPr>
      </w:pPr>
      <w:r>
        <w:rPr>
          <w:rFonts w:hint="default" w:ascii="Arial" w:hAnsi="Arial" w:eastAsia="宋体" w:cs="Arial"/>
          <w:color w:val="auto"/>
          <w:highlight w:val="none"/>
        </w:rPr>
        <w:t>本次项目占地面积</w:t>
      </w:r>
      <w:r>
        <w:rPr>
          <w:rFonts w:hint="default" w:ascii="Arial" w:hAnsi="Arial" w:eastAsia="宋体" w:cs="Arial"/>
          <w:color w:val="auto"/>
          <w:highlight w:val="none"/>
          <w:lang w:eastAsia="zh-CN"/>
        </w:rPr>
        <w:t>0.</w:t>
      </w:r>
      <w:r>
        <w:rPr>
          <w:rFonts w:hint="default" w:ascii="Arial" w:hAnsi="Arial" w:eastAsia="宋体" w:cs="Arial"/>
          <w:color w:val="auto"/>
          <w:highlight w:val="none"/>
          <w:lang w:val="en-US" w:eastAsia="zh-CN"/>
        </w:rPr>
        <w:t>2162</w:t>
      </w:r>
      <w:r>
        <w:rPr>
          <w:rFonts w:hint="default" w:ascii="Arial" w:hAnsi="Arial" w:eastAsia="宋体" w:cs="Arial"/>
          <w:color w:val="auto"/>
          <w:highlight w:val="none"/>
        </w:rPr>
        <w:t>km</w:t>
      </w:r>
      <w:r>
        <w:rPr>
          <w:rFonts w:hint="default" w:ascii="Arial" w:hAnsi="Arial" w:eastAsia="宋体" w:cs="Arial"/>
          <w:color w:val="auto"/>
          <w:highlight w:val="none"/>
          <w:vertAlign w:val="superscript"/>
        </w:rPr>
        <w:t>2</w:t>
      </w:r>
      <w:r>
        <w:rPr>
          <w:rFonts w:hint="default" w:ascii="Arial" w:hAnsi="Arial" w:eastAsia="宋体" w:cs="Arial"/>
          <w:color w:val="auto"/>
          <w:highlight w:val="none"/>
        </w:rPr>
        <w:t>，根据现场调查，项目周围无珍贵野生动植物存在，生态服务功能一般，属于特殊生态敏感区和重要生态敏感区以外的一般区域。根据《环境影响评价技术导则生态影响》（HJ19-2011），项目生态环境影响评价等级判据见下表。</w:t>
      </w:r>
    </w:p>
    <w:p>
      <w:pPr>
        <w:pStyle w:val="8"/>
        <w:rPr>
          <w:rFonts w:hint="default" w:ascii="Arial" w:hAnsi="Arial" w:eastAsia="宋体" w:cs="Arial"/>
          <w:color w:val="auto"/>
          <w:highlight w:val="none"/>
        </w:rPr>
      </w:pPr>
      <w:r>
        <w:rPr>
          <w:rFonts w:hint="default" w:ascii="Arial" w:hAnsi="Arial" w:eastAsia="宋体" w:cs="Arial"/>
          <w:color w:val="auto"/>
          <w:highlight w:val="none"/>
        </w:rPr>
        <w:t>表2.5-1</w:t>
      </w:r>
      <w:r>
        <w:rPr>
          <w:rFonts w:hint="default" w:ascii="Arial" w:hAnsi="Arial" w:eastAsia="宋体" w:cs="Arial"/>
          <w:color w:val="auto"/>
          <w:highlight w:val="none"/>
          <w:lang w:val="en-US" w:eastAsia="zh-CN"/>
        </w:rPr>
        <w:t>2</w:t>
      </w:r>
      <w:r>
        <w:rPr>
          <w:rFonts w:hint="default" w:ascii="Arial" w:hAnsi="Arial" w:eastAsia="宋体" w:cs="Arial"/>
          <w:color w:val="auto"/>
          <w:highlight w:val="none"/>
        </w:rPr>
        <w:t xml:space="preserve">    生态环境影响评价等级判据</w:t>
      </w:r>
    </w:p>
    <w:tbl>
      <w:tblPr>
        <w:tblStyle w:val="39"/>
        <w:tblW w:w="9004" w:type="dxa"/>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2577"/>
        <w:gridCol w:w="2010"/>
        <w:gridCol w:w="2539"/>
        <w:gridCol w:w="1878"/>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blHeader/>
          <w:jc w:val="center"/>
        </w:trPr>
        <w:tc>
          <w:tcPr>
            <w:tcW w:w="2577" w:type="dxa"/>
            <w:vMerge w:val="restart"/>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影响区域生态敏感性</w:t>
            </w:r>
          </w:p>
        </w:tc>
        <w:tc>
          <w:tcPr>
            <w:tcW w:w="6427" w:type="dxa"/>
            <w:gridSpan w:val="3"/>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工程占地（水域）范围</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blHeader/>
          <w:jc w:val="center"/>
        </w:trPr>
        <w:tc>
          <w:tcPr>
            <w:tcW w:w="2577" w:type="dxa"/>
            <w:vMerge w:val="continue"/>
            <w:vAlign w:val="center"/>
          </w:tcPr>
          <w:p>
            <w:pPr>
              <w:pStyle w:val="63"/>
              <w:rPr>
                <w:rFonts w:hint="default" w:ascii="Arial" w:hAnsi="Arial" w:eastAsia="宋体" w:cs="Arial"/>
                <w:color w:val="auto"/>
                <w:highlight w:val="none"/>
              </w:rPr>
            </w:pPr>
          </w:p>
        </w:tc>
        <w:tc>
          <w:tcPr>
            <w:tcW w:w="2010" w:type="dxa"/>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面积≥20km</w:t>
            </w:r>
            <w:r>
              <w:rPr>
                <w:rFonts w:hint="default" w:ascii="Arial" w:hAnsi="Arial" w:eastAsia="宋体" w:cs="Arial"/>
                <w:color w:val="auto"/>
                <w:highlight w:val="none"/>
                <w:vertAlign w:val="superscript"/>
              </w:rPr>
              <w:t>2</w:t>
            </w:r>
          </w:p>
          <w:p>
            <w:pPr>
              <w:pStyle w:val="63"/>
              <w:rPr>
                <w:rFonts w:hint="default" w:ascii="Arial" w:hAnsi="Arial" w:eastAsia="宋体" w:cs="Arial"/>
                <w:color w:val="auto"/>
                <w:highlight w:val="none"/>
              </w:rPr>
            </w:pPr>
            <w:r>
              <w:rPr>
                <w:rFonts w:hint="default" w:ascii="Arial" w:hAnsi="Arial" w:eastAsia="宋体" w:cs="Arial"/>
                <w:color w:val="auto"/>
                <w:highlight w:val="none"/>
              </w:rPr>
              <w:t>或长度≥100km</w:t>
            </w:r>
          </w:p>
        </w:tc>
        <w:tc>
          <w:tcPr>
            <w:tcW w:w="2539" w:type="dxa"/>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面积2km</w:t>
            </w:r>
            <w:r>
              <w:rPr>
                <w:rFonts w:hint="default" w:ascii="Arial" w:hAnsi="Arial" w:eastAsia="宋体" w:cs="Arial"/>
                <w:color w:val="auto"/>
                <w:highlight w:val="none"/>
                <w:vertAlign w:val="superscript"/>
              </w:rPr>
              <w:t>2</w:t>
            </w:r>
            <w:r>
              <w:rPr>
                <w:rFonts w:hint="default" w:ascii="Arial" w:hAnsi="Arial" w:eastAsia="宋体" w:cs="Arial"/>
                <w:color w:val="auto"/>
                <w:highlight w:val="none"/>
              </w:rPr>
              <w:t>~20km</w:t>
            </w:r>
            <w:r>
              <w:rPr>
                <w:rFonts w:hint="default" w:ascii="Arial" w:hAnsi="Arial" w:eastAsia="宋体" w:cs="Arial"/>
                <w:color w:val="auto"/>
                <w:highlight w:val="none"/>
                <w:vertAlign w:val="superscript"/>
              </w:rPr>
              <w:t>2</w:t>
            </w:r>
          </w:p>
          <w:p>
            <w:pPr>
              <w:pStyle w:val="63"/>
              <w:rPr>
                <w:rFonts w:hint="default" w:ascii="Arial" w:hAnsi="Arial" w:eastAsia="宋体" w:cs="Arial"/>
                <w:color w:val="auto"/>
                <w:highlight w:val="none"/>
              </w:rPr>
            </w:pPr>
            <w:r>
              <w:rPr>
                <w:rFonts w:hint="default" w:ascii="Arial" w:hAnsi="Arial" w:eastAsia="宋体" w:cs="Arial"/>
                <w:color w:val="auto"/>
                <w:highlight w:val="none"/>
              </w:rPr>
              <w:t>或长度50km~100km</w:t>
            </w:r>
          </w:p>
        </w:tc>
        <w:tc>
          <w:tcPr>
            <w:tcW w:w="1878" w:type="dxa"/>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面积≤2km</w:t>
            </w:r>
            <w:r>
              <w:rPr>
                <w:rFonts w:hint="default" w:ascii="Arial" w:hAnsi="Arial" w:eastAsia="宋体" w:cs="Arial"/>
                <w:color w:val="auto"/>
                <w:highlight w:val="none"/>
                <w:vertAlign w:val="superscript"/>
              </w:rPr>
              <w:t>2</w:t>
            </w:r>
          </w:p>
          <w:p>
            <w:pPr>
              <w:pStyle w:val="63"/>
              <w:rPr>
                <w:rFonts w:hint="default" w:ascii="Arial" w:hAnsi="Arial" w:eastAsia="宋体" w:cs="Arial"/>
                <w:color w:val="auto"/>
                <w:highlight w:val="none"/>
              </w:rPr>
            </w:pPr>
            <w:r>
              <w:rPr>
                <w:rFonts w:hint="default" w:ascii="Arial" w:hAnsi="Arial" w:eastAsia="宋体" w:cs="Arial"/>
                <w:color w:val="auto"/>
                <w:highlight w:val="none"/>
              </w:rPr>
              <w:t>或长度≤50km</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577" w:type="dxa"/>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特殊生态敏感区</w:t>
            </w:r>
          </w:p>
        </w:tc>
        <w:tc>
          <w:tcPr>
            <w:tcW w:w="2010" w:type="dxa"/>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一级</w:t>
            </w:r>
          </w:p>
        </w:tc>
        <w:tc>
          <w:tcPr>
            <w:tcW w:w="2539" w:type="dxa"/>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一级</w:t>
            </w:r>
          </w:p>
        </w:tc>
        <w:tc>
          <w:tcPr>
            <w:tcW w:w="1878" w:type="dxa"/>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一级</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577" w:type="dxa"/>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重要生态敏感区</w:t>
            </w:r>
          </w:p>
        </w:tc>
        <w:tc>
          <w:tcPr>
            <w:tcW w:w="2010" w:type="dxa"/>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一级</w:t>
            </w:r>
          </w:p>
        </w:tc>
        <w:tc>
          <w:tcPr>
            <w:tcW w:w="2539" w:type="dxa"/>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二级</w:t>
            </w:r>
          </w:p>
        </w:tc>
        <w:tc>
          <w:tcPr>
            <w:tcW w:w="1878" w:type="dxa"/>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三级</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577" w:type="dxa"/>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一般区域</w:t>
            </w:r>
          </w:p>
        </w:tc>
        <w:tc>
          <w:tcPr>
            <w:tcW w:w="2010" w:type="dxa"/>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二级</w:t>
            </w:r>
          </w:p>
        </w:tc>
        <w:tc>
          <w:tcPr>
            <w:tcW w:w="2539" w:type="dxa"/>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三级</w:t>
            </w:r>
          </w:p>
        </w:tc>
        <w:tc>
          <w:tcPr>
            <w:tcW w:w="1878" w:type="dxa"/>
            <w:shd w:val="clear" w:color="auto" w:fill="BFBFBF"/>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三级</w:t>
            </w:r>
          </w:p>
        </w:tc>
      </w:tr>
    </w:tbl>
    <w:p>
      <w:pPr>
        <w:overflowPunct w:val="0"/>
        <w:ind w:firstLine="480"/>
        <w:rPr>
          <w:rFonts w:hint="default" w:ascii="Arial" w:hAnsi="Arial" w:eastAsia="宋体" w:cs="Arial"/>
          <w:color w:val="auto"/>
          <w:highlight w:val="none"/>
        </w:rPr>
      </w:pPr>
      <w:r>
        <w:rPr>
          <w:rFonts w:hint="default" w:ascii="Arial" w:hAnsi="Arial" w:eastAsia="宋体" w:cs="Arial"/>
          <w:color w:val="auto"/>
          <w:highlight w:val="none"/>
        </w:rPr>
        <w:t>项目占地面积</w:t>
      </w:r>
      <w:r>
        <w:rPr>
          <w:rFonts w:hint="default" w:ascii="Arial" w:hAnsi="Arial" w:eastAsia="宋体" w:cs="Arial"/>
          <w:color w:val="auto"/>
          <w:highlight w:val="none"/>
          <w:lang w:eastAsia="zh-CN"/>
        </w:rPr>
        <w:t>小于</w:t>
      </w:r>
      <w:r>
        <w:rPr>
          <w:rFonts w:hint="default" w:ascii="Arial" w:hAnsi="Arial" w:eastAsia="宋体" w:cs="Arial"/>
          <w:color w:val="auto"/>
          <w:highlight w:val="none"/>
        </w:rPr>
        <w:t>等于2km</w:t>
      </w:r>
      <w:r>
        <w:rPr>
          <w:rFonts w:hint="default" w:ascii="Arial" w:hAnsi="Arial" w:eastAsia="宋体" w:cs="Arial"/>
          <w:color w:val="auto"/>
          <w:highlight w:val="none"/>
          <w:vertAlign w:val="superscript"/>
        </w:rPr>
        <w:t>2</w:t>
      </w:r>
      <w:r>
        <w:rPr>
          <w:rFonts w:hint="default" w:ascii="Arial" w:hAnsi="Arial" w:eastAsia="宋体" w:cs="Arial"/>
          <w:color w:val="auto"/>
          <w:highlight w:val="none"/>
        </w:rPr>
        <w:t>，且厂址范围为一般区域，生态影响评价等级划定为三级。</w:t>
      </w:r>
    </w:p>
    <w:p>
      <w:pPr>
        <w:overflowPunct w:val="0"/>
        <w:ind w:firstLine="480"/>
        <w:rPr>
          <w:rFonts w:hint="default" w:ascii="Arial" w:hAnsi="Arial" w:eastAsia="宋体" w:cs="Arial"/>
          <w:color w:val="auto"/>
          <w:highlight w:val="none"/>
        </w:rPr>
      </w:pPr>
      <w:r>
        <w:rPr>
          <w:rFonts w:hint="default" w:ascii="Arial" w:hAnsi="Arial" w:eastAsia="宋体" w:cs="Arial"/>
          <w:color w:val="auto"/>
          <w:highlight w:val="none"/>
        </w:rPr>
        <w:t>（2）评价范围</w:t>
      </w:r>
    </w:p>
    <w:p>
      <w:pPr>
        <w:ind w:firstLine="480"/>
        <w:rPr>
          <w:rFonts w:hint="default" w:ascii="Arial" w:hAnsi="Arial" w:eastAsia="宋体" w:cs="Arial"/>
          <w:b/>
          <w:bCs/>
          <w:color w:val="auto"/>
          <w:highlight w:val="none"/>
        </w:rPr>
      </w:pPr>
      <w:r>
        <w:rPr>
          <w:rFonts w:hint="default" w:ascii="Arial" w:hAnsi="Arial" w:eastAsia="宋体" w:cs="Arial"/>
          <w:color w:val="auto"/>
          <w:highlight w:val="none"/>
          <w:lang w:val="en-GB"/>
        </w:rPr>
        <w:t>确定评价范围为工程占地范围及周边</w:t>
      </w:r>
      <w:r>
        <w:rPr>
          <w:rFonts w:hint="default" w:ascii="Arial" w:hAnsi="Arial" w:eastAsia="宋体" w:cs="Arial"/>
          <w:color w:val="auto"/>
          <w:highlight w:val="none"/>
          <w:lang w:val="en-US" w:eastAsia="zh-CN"/>
        </w:rPr>
        <w:t>100</w:t>
      </w:r>
      <w:r>
        <w:rPr>
          <w:rFonts w:hint="default" w:ascii="Arial" w:hAnsi="Arial" w:eastAsia="宋体" w:cs="Arial"/>
          <w:color w:val="auto"/>
          <w:highlight w:val="none"/>
          <w:lang w:val="en-GB"/>
        </w:rPr>
        <w:t>0m范围内</w:t>
      </w:r>
      <w:r>
        <w:rPr>
          <w:rFonts w:hint="default" w:ascii="Arial" w:hAnsi="Arial" w:eastAsia="宋体" w:cs="Arial"/>
          <w:color w:val="auto"/>
          <w:highlight w:val="none"/>
        </w:rPr>
        <w:t>。</w:t>
      </w:r>
    </w:p>
    <w:p>
      <w:pPr>
        <w:pStyle w:val="5"/>
        <w:rPr>
          <w:rFonts w:hint="default" w:ascii="Arial" w:hAnsi="Arial" w:eastAsia="宋体" w:cs="Arial"/>
          <w:color w:val="auto"/>
          <w:highlight w:val="none"/>
        </w:rPr>
      </w:pPr>
      <w:bookmarkStart w:id="174" w:name="_Toc512871538"/>
      <w:bookmarkStart w:id="175" w:name="_Toc25400"/>
      <w:r>
        <w:rPr>
          <w:rFonts w:hint="default" w:ascii="Arial" w:hAnsi="Arial" w:eastAsia="宋体" w:cs="Arial"/>
          <w:color w:val="auto"/>
          <w:highlight w:val="none"/>
        </w:rPr>
        <w:t>2.6环境保护目标</w:t>
      </w:r>
      <w:bookmarkEnd w:id="174"/>
      <w:bookmarkEnd w:id="175"/>
    </w:p>
    <w:p>
      <w:pPr>
        <w:overflowPunct w:val="0"/>
        <w:ind w:firstLine="480"/>
        <w:rPr>
          <w:rFonts w:hint="default" w:ascii="Arial" w:hAnsi="Arial" w:eastAsia="宋体" w:cs="Arial"/>
          <w:color w:val="auto"/>
          <w:highlight w:val="none"/>
        </w:rPr>
      </w:pPr>
      <w:r>
        <w:rPr>
          <w:rFonts w:hint="default" w:ascii="Arial" w:hAnsi="Arial" w:eastAsia="宋体" w:cs="Arial"/>
          <w:color w:val="auto"/>
          <w:highlight w:val="none"/>
        </w:rPr>
        <w:t>经调查在评价范围内无国家、省、市、县重点保护文物、自然保护区，珍稀动、植物和风景名胜区等环境敏感保护对象。项目周边200m范围内无医院、学校、住宅、自然保护区等声环境敏感目标。</w:t>
      </w:r>
    </w:p>
    <w:p>
      <w:pPr>
        <w:overflowPunct w:val="0"/>
        <w:ind w:firstLine="480"/>
        <w:rPr>
          <w:rFonts w:hint="default" w:ascii="Arial" w:hAnsi="Arial" w:eastAsia="宋体" w:cs="Arial"/>
          <w:color w:val="auto"/>
          <w:highlight w:val="none"/>
        </w:rPr>
      </w:pPr>
      <w:r>
        <w:rPr>
          <w:rFonts w:hint="default" w:ascii="Arial" w:hAnsi="Arial" w:eastAsia="宋体" w:cs="Arial"/>
          <w:color w:val="auto"/>
          <w:highlight w:val="none"/>
        </w:rPr>
        <w:t>本次评价与环境保护目标的关系及其保护目标见表2.6-1，项目大气环境、地下水环境评价范围如图2.6-1所示</w:t>
      </w:r>
      <w:r>
        <w:rPr>
          <w:rFonts w:hint="default" w:ascii="Arial" w:hAnsi="Arial" w:eastAsia="宋体" w:cs="Arial"/>
          <w:color w:val="auto"/>
          <w:highlight w:val="none"/>
          <w:lang w:eastAsia="zh-CN"/>
        </w:rPr>
        <w:t>；</w:t>
      </w:r>
      <w:r>
        <w:rPr>
          <w:rFonts w:hint="default" w:ascii="Arial" w:hAnsi="Arial" w:eastAsia="宋体" w:cs="Arial"/>
          <w:color w:val="auto"/>
          <w:highlight w:val="none"/>
        </w:rPr>
        <w:t>土壤环境、声环境评价范围如图2.6-</w:t>
      </w:r>
      <w:r>
        <w:rPr>
          <w:rFonts w:hint="default" w:ascii="Arial" w:hAnsi="Arial" w:eastAsia="宋体" w:cs="Arial"/>
          <w:color w:val="auto"/>
          <w:highlight w:val="none"/>
          <w:lang w:val="en-US" w:eastAsia="zh-CN"/>
        </w:rPr>
        <w:t>2</w:t>
      </w:r>
      <w:r>
        <w:rPr>
          <w:rFonts w:hint="default" w:ascii="Arial" w:hAnsi="Arial" w:eastAsia="宋体" w:cs="Arial"/>
          <w:color w:val="auto"/>
          <w:highlight w:val="none"/>
        </w:rPr>
        <w:t>所示</w:t>
      </w:r>
      <w:r>
        <w:rPr>
          <w:rFonts w:hint="default" w:ascii="Arial" w:hAnsi="Arial" w:eastAsia="宋体" w:cs="Arial"/>
          <w:color w:val="auto"/>
          <w:highlight w:val="none"/>
          <w:lang w:eastAsia="zh-CN"/>
        </w:rPr>
        <w:t>；</w:t>
      </w:r>
      <w:r>
        <w:rPr>
          <w:rFonts w:hint="default" w:ascii="Arial" w:hAnsi="Arial" w:eastAsia="宋体" w:cs="Arial"/>
          <w:color w:val="auto"/>
          <w:highlight w:val="none"/>
          <w:lang w:val="en-US" w:eastAsia="zh-CN"/>
        </w:rPr>
        <w:t>生态环境</w:t>
      </w:r>
      <w:r>
        <w:rPr>
          <w:rFonts w:hint="default" w:ascii="Arial" w:hAnsi="Arial" w:eastAsia="宋体" w:cs="Arial"/>
          <w:color w:val="auto"/>
          <w:highlight w:val="none"/>
        </w:rPr>
        <w:t>评价范围如图2.6-</w:t>
      </w:r>
      <w:r>
        <w:rPr>
          <w:rFonts w:hint="default" w:ascii="Arial" w:hAnsi="Arial" w:eastAsia="宋体" w:cs="Arial"/>
          <w:color w:val="auto"/>
          <w:highlight w:val="none"/>
          <w:lang w:val="en-US" w:eastAsia="zh-CN"/>
        </w:rPr>
        <w:t>3</w:t>
      </w:r>
      <w:r>
        <w:rPr>
          <w:rFonts w:hint="default" w:ascii="Arial" w:hAnsi="Arial" w:eastAsia="宋体" w:cs="Arial"/>
          <w:color w:val="auto"/>
          <w:highlight w:val="none"/>
        </w:rPr>
        <w:t>所示。</w:t>
      </w:r>
    </w:p>
    <w:p>
      <w:pPr>
        <w:overflowPunct w:val="0"/>
        <w:ind w:firstLine="480"/>
        <w:rPr>
          <w:rFonts w:hint="default" w:ascii="Arial" w:hAnsi="Arial" w:eastAsia="宋体" w:cs="Arial"/>
          <w:color w:val="auto"/>
          <w:highlight w:val="none"/>
        </w:rPr>
        <w:sectPr>
          <w:pgSz w:w="11907" w:h="16839"/>
          <w:pgMar w:top="1418" w:right="1418" w:bottom="1247" w:left="1701" w:header="851" w:footer="680" w:gutter="0"/>
          <w:pgBorders>
            <w:top w:val="none" w:sz="0" w:space="0"/>
            <w:left w:val="none" w:sz="0" w:space="0"/>
            <w:bottom w:val="none" w:sz="0" w:space="0"/>
            <w:right w:val="none" w:sz="0" w:space="0"/>
          </w:pgBorders>
          <w:pgNumType w:fmt="numberInDash"/>
          <w:cols w:space="720" w:num="1"/>
          <w:docGrid w:linePitch="326" w:charSpace="0"/>
        </w:sectPr>
      </w:pPr>
    </w:p>
    <w:p>
      <w:pPr>
        <w:pStyle w:val="8"/>
        <w:rPr>
          <w:rFonts w:hint="default" w:ascii="Arial" w:hAnsi="Arial" w:eastAsia="宋体" w:cs="Arial"/>
          <w:color w:val="auto"/>
          <w:highlight w:val="none"/>
        </w:rPr>
      </w:pPr>
      <w:r>
        <w:rPr>
          <w:rFonts w:hint="default" w:ascii="Arial" w:hAnsi="Arial" w:eastAsia="宋体" w:cs="Arial"/>
          <w:color w:val="auto"/>
          <w:highlight w:val="none"/>
        </w:rPr>
        <w:t>表2.6-1    环境保护目标一览表</w:t>
      </w:r>
    </w:p>
    <w:tbl>
      <w:tblPr>
        <w:tblStyle w:val="39"/>
        <w:tblW w:w="14390" w:type="dxa"/>
        <w:jc w:val="center"/>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Layout w:type="fixed"/>
        <w:tblCellMar>
          <w:top w:w="0" w:type="dxa"/>
          <w:left w:w="108" w:type="dxa"/>
          <w:bottom w:w="0" w:type="dxa"/>
          <w:right w:w="108" w:type="dxa"/>
        </w:tblCellMar>
      </w:tblPr>
      <w:tblGrid>
        <w:gridCol w:w="1513"/>
        <w:gridCol w:w="1815"/>
        <w:gridCol w:w="1815"/>
        <w:gridCol w:w="1815"/>
        <w:gridCol w:w="908"/>
        <w:gridCol w:w="908"/>
        <w:gridCol w:w="908"/>
        <w:gridCol w:w="1513"/>
        <w:gridCol w:w="1513"/>
        <w:gridCol w:w="1682"/>
      </w:tblGrid>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1513" w:type="dxa"/>
            <w:vMerge w:val="restart"/>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环境要素</w:t>
            </w:r>
          </w:p>
        </w:tc>
        <w:tc>
          <w:tcPr>
            <w:tcW w:w="3630" w:type="dxa"/>
            <w:gridSpan w:val="2"/>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坐标</w:t>
            </w:r>
          </w:p>
        </w:tc>
        <w:tc>
          <w:tcPr>
            <w:tcW w:w="1815" w:type="dxa"/>
            <w:vMerge w:val="restart"/>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保护对象</w:t>
            </w:r>
          </w:p>
        </w:tc>
        <w:tc>
          <w:tcPr>
            <w:tcW w:w="2724" w:type="dxa"/>
            <w:gridSpan w:val="3"/>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保护内容</w:t>
            </w:r>
          </w:p>
        </w:tc>
        <w:tc>
          <w:tcPr>
            <w:tcW w:w="1513" w:type="dxa"/>
            <w:vMerge w:val="restart"/>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相对厂址方位</w:t>
            </w:r>
          </w:p>
        </w:tc>
        <w:tc>
          <w:tcPr>
            <w:tcW w:w="1513" w:type="dxa"/>
            <w:vMerge w:val="restart"/>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相对厂界距离（km）</w:t>
            </w:r>
          </w:p>
        </w:tc>
        <w:tc>
          <w:tcPr>
            <w:tcW w:w="1682" w:type="dxa"/>
            <w:vMerge w:val="restart"/>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环境功能区</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1513" w:type="dxa"/>
            <w:vMerge w:val="continue"/>
            <w:vAlign w:val="center"/>
          </w:tcPr>
          <w:p>
            <w:pPr>
              <w:pStyle w:val="63"/>
              <w:rPr>
                <w:rFonts w:hint="default" w:ascii="Arial" w:hAnsi="Arial" w:eastAsia="宋体" w:cs="Arial"/>
                <w:color w:val="auto"/>
                <w:sz w:val="21"/>
                <w:szCs w:val="21"/>
                <w:highlight w:val="none"/>
              </w:rPr>
            </w:pPr>
          </w:p>
        </w:tc>
        <w:tc>
          <w:tcPr>
            <w:tcW w:w="1815"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X</w:t>
            </w:r>
          </w:p>
        </w:tc>
        <w:tc>
          <w:tcPr>
            <w:tcW w:w="1815"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Y</w:t>
            </w:r>
          </w:p>
        </w:tc>
        <w:tc>
          <w:tcPr>
            <w:tcW w:w="1815" w:type="dxa"/>
            <w:vMerge w:val="continue"/>
            <w:vAlign w:val="center"/>
          </w:tcPr>
          <w:p>
            <w:pPr>
              <w:pStyle w:val="63"/>
              <w:rPr>
                <w:rFonts w:hint="default" w:ascii="Arial" w:hAnsi="Arial" w:eastAsia="宋体" w:cs="Arial"/>
                <w:color w:val="auto"/>
                <w:sz w:val="21"/>
                <w:szCs w:val="21"/>
                <w:highlight w:val="none"/>
              </w:rPr>
            </w:pPr>
          </w:p>
        </w:tc>
        <w:tc>
          <w:tcPr>
            <w:tcW w:w="908"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内容</w:t>
            </w:r>
          </w:p>
        </w:tc>
        <w:tc>
          <w:tcPr>
            <w:tcW w:w="908"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户数</w:t>
            </w:r>
          </w:p>
        </w:tc>
        <w:tc>
          <w:tcPr>
            <w:tcW w:w="908"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人数</w:t>
            </w:r>
          </w:p>
        </w:tc>
        <w:tc>
          <w:tcPr>
            <w:tcW w:w="1513" w:type="dxa"/>
            <w:vMerge w:val="continue"/>
            <w:vAlign w:val="center"/>
          </w:tcPr>
          <w:p>
            <w:pPr>
              <w:pStyle w:val="63"/>
              <w:rPr>
                <w:rFonts w:hint="default" w:ascii="Arial" w:hAnsi="Arial" w:eastAsia="宋体" w:cs="Arial"/>
                <w:color w:val="auto"/>
                <w:sz w:val="21"/>
                <w:szCs w:val="21"/>
                <w:highlight w:val="none"/>
              </w:rPr>
            </w:pPr>
          </w:p>
        </w:tc>
        <w:tc>
          <w:tcPr>
            <w:tcW w:w="1513" w:type="dxa"/>
            <w:vMerge w:val="continue"/>
            <w:vAlign w:val="center"/>
          </w:tcPr>
          <w:p>
            <w:pPr>
              <w:pStyle w:val="63"/>
              <w:rPr>
                <w:rFonts w:hint="default" w:ascii="Arial" w:hAnsi="Arial" w:eastAsia="宋体" w:cs="Arial"/>
                <w:color w:val="auto"/>
                <w:sz w:val="21"/>
                <w:szCs w:val="21"/>
                <w:highlight w:val="none"/>
              </w:rPr>
            </w:pPr>
          </w:p>
        </w:tc>
        <w:tc>
          <w:tcPr>
            <w:tcW w:w="1682" w:type="dxa"/>
            <w:vMerge w:val="continue"/>
            <w:vAlign w:val="center"/>
          </w:tcPr>
          <w:p>
            <w:pPr>
              <w:pStyle w:val="63"/>
              <w:rPr>
                <w:rFonts w:hint="default" w:ascii="Arial" w:hAnsi="Arial" w:eastAsia="宋体" w:cs="Arial"/>
                <w:color w:val="auto"/>
                <w:sz w:val="21"/>
                <w:szCs w:val="21"/>
                <w:highlight w:val="none"/>
              </w:rPr>
            </w:pP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1513" w:type="dxa"/>
            <w:vMerge w:val="restart"/>
            <w:vAlign w:val="center"/>
          </w:tcPr>
          <w:p>
            <w:pPr>
              <w:pStyle w:val="63"/>
              <w:jc w:val="center"/>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highlight w:val="none"/>
                <w:lang w:val="en-US" w:eastAsia="zh-CN"/>
              </w:rPr>
              <w:t>环境空气</w:t>
            </w:r>
          </w:p>
        </w:tc>
        <w:tc>
          <w:tcPr>
            <w:tcW w:w="1815" w:type="dxa"/>
            <w:vAlign w:val="center"/>
          </w:tcPr>
          <w:p>
            <w:pPr>
              <w:pStyle w:val="63"/>
              <w:ind w:firstLine="0" w:firstLineChars="0"/>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highlight w:val="none"/>
              </w:rPr>
              <w:t>N40°</w:t>
            </w:r>
            <w:r>
              <w:rPr>
                <w:rFonts w:hint="default" w:ascii="Arial" w:hAnsi="Arial" w:eastAsia="宋体" w:cs="Arial"/>
                <w:color w:val="auto"/>
                <w:sz w:val="21"/>
                <w:szCs w:val="21"/>
                <w:highlight w:val="none"/>
                <w:lang w:val="en-US" w:eastAsia="zh-CN"/>
              </w:rPr>
              <w:t>56</w:t>
            </w:r>
            <w:r>
              <w:rPr>
                <w:rFonts w:hint="default" w:ascii="Arial" w:hAnsi="Arial" w:eastAsia="宋体" w:cs="Arial"/>
                <w:color w:val="auto"/>
                <w:sz w:val="21"/>
                <w:szCs w:val="21"/>
                <w:highlight w:val="none"/>
              </w:rPr>
              <w:t>'</w:t>
            </w:r>
            <w:r>
              <w:rPr>
                <w:rFonts w:hint="default" w:ascii="Arial" w:hAnsi="Arial" w:eastAsia="宋体" w:cs="Arial"/>
                <w:color w:val="auto"/>
                <w:sz w:val="21"/>
                <w:szCs w:val="21"/>
                <w:highlight w:val="none"/>
                <w:lang w:val="en-US" w:eastAsia="zh-CN"/>
              </w:rPr>
              <w:t>59.78</w:t>
            </w:r>
            <w:r>
              <w:rPr>
                <w:rFonts w:hint="default" w:ascii="Arial" w:hAnsi="Arial" w:eastAsia="宋体" w:cs="Arial"/>
                <w:color w:val="auto"/>
                <w:sz w:val="21"/>
                <w:szCs w:val="21"/>
                <w:highlight w:val="none"/>
              </w:rPr>
              <w:t>"</w:t>
            </w:r>
          </w:p>
        </w:tc>
        <w:tc>
          <w:tcPr>
            <w:tcW w:w="1815" w:type="dxa"/>
            <w:vAlign w:val="center"/>
          </w:tcPr>
          <w:p>
            <w:pPr>
              <w:pStyle w:val="63"/>
              <w:ind w:firstLine="0" w:firstLineChars="0"/>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highlight w:val="none"/>
              </w:rPr>
              <w:t>E10</w:t>
            </w:r>
            <w:r>
              <w:rPr>
                <w:rFonts w:hint="default" w:ascii="Arial" w:hAnsi="Arial" w:eastAsia="宋体" w:cs="Arial"/>
                <w:color w:val="auto"/>
                <w:sz w:val="21"/>
                <w:szCs w:val="21"/>
                <w:highlight w:val="none"/>
                <w:lang w:val="en-US" w:eastAsia="zh-CN"/>
              </w:rPr>
              <w:t>7</w:t>
            </w:r>
            <w:r>
              <w:rPr>
                <w:rFonts w:hint="default" w:ascii="Arial" w:hAnsi="Arial" w:eastAsia="宋体" w:cs="Arial"/>
                <w:color w:val="auto"/>
                <w:sz w:val="21"/>
                <w:szCs w:val="21"/>
                <w:highlight w:val="none"/>
              </w:rPr>
              <w:t>°</w:t>
            </w:r>
            <w:r>
              <w:rPr>
                <w:rFonts w:hint="default" w:ascii="Arial" w:hAnsi="Arial" w:eastAsia="宋体" w:cs="Arial"/>
                <w:color w:val="auto"/>
                <w:sz w:val="21"/>
                <w:szCs w:val="21"/>
                <w:highlight w:val="none"/>
                <w:lang w:val="en-US" w:eastAsia="zh-CN"/>
              </w:rPr>
              <w:t>42</w:t>
            </w:r>
            <w:r>
              <w:rPr>
                <w:rFonts w:hint="default" w:ascii="Arial" w:hAnsi="Arial" w:eastAsia="宋体" w:cs="Arial"/>
                <w:color w:val="auto"/>
                <w:sz w:val="21"/>
                <w:szCs w:val="21"/>
                <w:highlight w:val="none"/>
              </w:rPr>
              <w:t>'</w:t>
            </w:r>
            <w:r>
              <w:rPr>
                <w:rFonts w:hint="default" w:ascii="Arial" w:hAnsi="Arial" w:eastAsia="宋体" w:cs="Arial"/>
                <w:color w:val="auto"/>
                <w:sz w:val="21"/>
                <w:szCs w:val="21"/>
                <w:highlight w:val="none"/>
                <w:lang w:val="en-US" w:eastAsia="zh-CN"/>
              </w:rPr>
              <w:t>29.12</w:t>
            </w:r>
            <w:r>
              <w:rPr>
                <w:rFonts w:hint="default" w:ascii="Arial" w:hAnsi="Arial" w:eastAsia="宋体" w:cs="Arial"/>
                <w:color w:val="auto"/>
                <w:sz w:val="21"/>
                <w:szCs w:val="21"/>
                <w:highlight w:val="none"/>
              </w:rPr>
              <w:t>"</w:t>
            </w:r>
          </w:p>
        </w:tc>
        <w:tc>
          <w:tcPr>
            <w:tcW w:w="1815" w:type="dxa"/>
            <w:vAlign w:val="center"/>
          </w:tcPr>
          <w:p>
            <w:pPr>
              <w:pStyle w:val="63"/>
              <w:ind w:firstLine="0" w:firstLineChars="0"/>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highlight w:val="none"/>
                <w:lang w:val="en-US" w:eastAsia="zh-CN"/>
              </w:rPr>
              <w:t>永红村</w:t>
            </w:r>
          </w:p>
        </w:tc>
        <w:tc>
          <w:tcPr>
            <w:tcW w:w="908" w:type="dxa"/>
            <w:vAlign w:val="center"/>
          </w:tcPr>
          <w:p>
            <w:pPr>
              <w:pStyle w:val="63"/>
              <w:ind w:firstLine="0" w:firstLineChars="0"/>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highlight w:val="none"/>
              </w:rPr>
              <w:t>居民</w:t>
            </w:r>
          </w:p>
        </w:tc>
        <w:tc>
          <w:tcPr>
            <w:tcW w:w="908" w:type="dxa"/>
            <w:vAlign w:val="center"/>
          </w:tcPr>
          <w:p>
            <w:pPr>
              <w:pStyle w:val="63"/>
              <w:ind w:firstLine="0" w:firstLineChars="0"/>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highlight w:val="none"/>
                <w:lang w:val="en-US" w:eastAsia="zh-CN"/>
              </w:rPr>
              <w:t>27</w:t>
            </w:r>
          </w:p>
        </w:tc>
        <w:tc>
          <w:tcPr>
            <w:tcW w:w="908" w:type="dxa"/>
            <w:vAlign w:val="center"/>
          </w:tcPr>
          <w:p>
            <w:pPr>
              <w:pStyle w:val="63"/>
              <w:ind w:firstLine="0" w:firstLineChars="0"/>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highlight w:val="none"/>
                <w:lang w:val="en-US" w:eastAsia="zh-CN"/>
              </w:rPr>
              <w:t>63</w:t>
            </w:r>
          </w:p>
        </w:tc>
        <w:tc>
          <w:tcPr>
            <w:tcW w:w="1513" w:type="dxa"/>
            <w:vAlign w:val="center"/>
          </w:tcPr>
          <w:p>
            <w:pPr>
              <w:pStyle w:val="63"/>
              <w:ind w:firstLine="0" w:firstLineChars="0"/>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highlight w:val="none"/>
                <w:lang w:val="en-US" w:eastAsia="zh-CN"/>
              </w:rPr>
              <w:t>东北侧</w:t>
            </w:r>
          </w:p>
        </w:tc>
        <w:tc>
          <w:tcPr>
            <w:tcW w:w="1513" w:type="dxa"/>
            <w:vAlign w:val="center"/>
          </w:tcPr>
          <w:p>
            <w:pPr>
              <w:pStyle w:val="63"/>
              <w:ind w:firstLine="0" w:firstLineChars="0"/>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highlight w:val="none"/>
                <w:lang w:val="en-US" w:eastAsia="zh-CN"/>
              </w:rPr>
              <w:t>2.44</w:t>
            </w:r>
          </w:p>
        </w:tc>
        <w:tc>
          <w:tcPr>
            <w:tcW w:w="1682" w:type="dxa"/>
            <w:vMerge w:val="restart"/>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《环境空气质量标准》（GB3095-2012）二类功能区标准</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1513" w:type="dxa"/>
            <w:vMerge w:val="continue"/>
            <w:vAlign w:val="center"/>
          </w:tcPr>
          <w:p>
            <w:pPr>
              <w:pStyle w:val="63"/>
              <w:jc w:val="center"/>
              <w:rPr>
                <w:rFonts w:hint="default" w:ascii="Arial" w:hAnsi="Arial" w:eastAsia="宋体" w:cs="Arial"/>
                <w:color w:val="auto"/>
                <w:sz w:val="21"/>
                <w:szCs w:val="21"/>
                <w:highlight w:val="none"/>
                <w:lang w:val="en-US" w:eastAsia="zh-CN"/>
              </w:rPr>
            </w:pPr>
          </w:p>
        </w:tc>
        <w:tc>
          <w:tcPr>
            <w:tcW w:w="1815" w:type="dxa"/>
            <w:vAlign w:val="center"/>
          </w:tcPr>
          <w:p>
            <w:pPr>
              <w:pStyle w:val="63"/>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N40°</w:t>
            </w:r>
            <w:r>
              <w:rPr>
                <w:rFonts w:hint="default" w:ascii="Arial" w:hAnsi="Arial" w:eastAsia="宋体" w:cs="Arial"/>
                <w:color w:val="auto"/>
                <w:sz w:val="21"/>
                <w:szCs w:val="21"/>
                <w:highlight w:val="none"/>
                <w:lang w:val="en-US" w:eastAsia="zh-CN"/>
              </w:rPr>
              <w:t>56</w:t>
            </w:r>
            <w:r>
              <w:rPr>
                <w:rFonts w:hint="default" w:ascii="Arial" w:hAnsi="Arial" w:eastAsia="宋体" w:cs="Arial"/>
                <w:color w:val="auto"/>
                <w:sz w:val="21"/>
                <w:szCs w:val="21"/>
                <w:highlight w:val="none"/>
              </w:rPr>
              <w:t>'</w:t>
            </w:r>
            <w:r>
              <w:rPr>
                <w:rFonts w:hint="default" w:ascii="Arial" w:hAnsi="Arial" w:eastAsia="宋体" w:cs="Arial"/>
                <w:color w:val="auto"/>
                <w:sz w:val="21"/>
                <w:szCs w:val="21"/>
                <w:highlight w:val="none"/>
                <w:lang w:val="en-US" w:eastAsia="zh-CN"/>
              </w:rPr>
              <w:t>25.02</w:t>
            </w:r>
            <w:r>
              <w:rPr>
                <w:rFonts w:hint="default" w:ascii="Arial" w:hAnsi="Arial" w:eastAsia="宋体" w:cs="Arial"/>
                <w:color w:val="auto"/>
                <w:sz w:val="21"/>
                <w:szCs w:val="21"/>
                <w:highlight w:val="none"/>
              </w:rPr>
              <w:t>"</w:t>
            </w:r>
          </w:p>
        </w:tc>
        <w:tc>
          <w:tcPr>
            <w:tcW w:w="1815" w:type="dxa"/>
            <w:vAlign w:val="center"/>
          </w:tcPr>
          <w:p>
            <w:pPr>
              <w:pStyle w:val="63"/>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E10</w:t>
            </w:r>
            <w:r>
              <w:rPr>
                <w:rFonts w:hint="default" w:ascii="Arial" w:hAnsi="Arial" w:eastAsia="宋体" w:cs="Arial"/>
                <w:color w:val="auto"/>
                <w:sz w:val="21"/>
                <w:szCs w:val="21"/>
                <w:highlight w:val="none"/>
                <w:lang w:val="en-US" w:eastAsia="zh-CN"/>
              </w:rPr>
              <w:t>7</w:t>
            </w:r>
            <w:r>
              <w:rPr>
                <w:rFonts w:hint="default" w:ascii="Arial" w:hAnsi="Arial" w:eastAsia="宋体" w:cs="Arial"/>
                <w:color w:val="auto"/>
                <w:sz w:val="21"/>
                <w:szCs w:val="21"/>
                <w:highlight w:val="none"/>
              </w:rPr>
              <w:t>°</w:t>
            </w:r>
            <w:r>
              <w:rPr>
                <w:rFonts w:hint="default" w:ascii="Arial" w:hAnsi="Arial" w:eastAsia="宋体" w:cs="Arial"/>
                <w:color w:val="auto"/>
                <w:sz w:val="21"/>
                <w:szCs w:val="21"/>
                <w:highlight w:val="none"/>
                <w:lang w:val="en-US" w:eastAsia="zh-CN"/>
              </w:rPr>
              <w:t>41</w:t>
            </w:r>
            <w:r>
              <w:rPr>
                <w:rFonts w:hint="default" w:ascii="Arial" w:hAnsi="Arial" w:eastAsia="宋体" w:cs="Arial"/>
                <w:color w:val="auto"/>
                <w:sz w:val="21"/>
                <w:szCs w:val="21"/>
                <w:highlight w:val="none"/>
              </w:rPr>
              <w:t>'</w:t>
            </w:r>
            <w:r>
              <w:rPr>
                <w:rFonts w:hint="default" w:ascii="Arial" w:hAnsi="Arial" w:eastAsia="宋体" w:cs="Arial"/>
                <w:color w:val="auto"/>
                <w:sz w:val="21"/>
                <w:szCs w:val="21"/>
                <w:highlight w:val="none"/>
                <w:lang w:val="en-US" w:eastAsia="zh-CN"/>
              </w:rPr>
              <w:t>39.22</w:t>
            </w:r>
            <w:r>
              <w:rPr>
                <w:rFonts w:hint="default" w:ascii="Arial" w:hAnsi="Arial" w:eastAsia="宋体" w:cs="Arial"/>
                <w:color w:val="auto"/>
                <w:sz w:val="21"/>
                <w:szCs w:val="21"/>
                <w:highlight w:val="none"/>
              </w:rPr>
              <w:t>"</w:t>
            </w:r>
          </w:p>
        </w:tc>
        <w:tc>
          <w:tcPr>
            <w:tcW w:w="1815" w:type="dxa"/>
            <w:vAlign w:val="center"/>
          </w:tcPr>
          <w:p>
            <w:pPr>
              <w:pStyle w:val="63"/>
              <w:ind w:firstLine="0" w:firstLineChars="0"/>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highlight w:val="none"/>
                <w:lang w:val="en-US" w:eastAsia="zh-CN"/>
              </w:rPr>
              <w:t>永红二社</w:t>
            </w:r>
          </w:p>
        </w:tc>
        <w:tc>
          <w:tcPr>
            <w:tcW w:w="908" w:type="dxa"/>
            <w:vAlign w:val="center"/>
          </w:tcPr>
          <w:p>
            <w:pPr>
              <w:pStyle w:val="63"/>
              <w:ind w:firstLine="0" w:firstLineChars="0"/>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居民</w:t>
            </w:r>
          </w:p>
        </w:tc>
        <w:tc>
          <w:tcPr>
            <w:tcW w:w="908" w:type="dxa"/>
            <w:vAlign w:val="center"/>
          </w:tcPr>
          <w:p>
            <w:pPr>
              <w:pStyle w:val="63"/>
              <w:ind w:firstLine="0" w:firstLineChars="0"/>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highlight w:val="none"/>
                <w:lang w:val="en-US" w:eastAsia="zh-CN"/>
              </w:rPr>
              <w:t>52</w:t>
            </w:r>
          </w:p>
        </w:tc>
        <w:tc>
          <w:tcPr>
            <w:tcW w:w="908" w:type="dxa"/>
            <w:vAlign w:val="center"/>
          </w:tcPr>
          <w:p>
            <w:pPr>
              <w:pStyle w:val="63"/>
              <w:ind w:firstLine="0" w:firstLineChars="0"/>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highlight w:val="none"/>
                <w:lang w:val="en-US" w:eastAsia="zh-CN"/>
              </w:rPr>
              <w:t>137</w:t>
            </w:r>
          </w:p>
        </w:tc>
        <w:tc>
          <w:tcPr>
            <w:tcW w:w="1513" w:type="dxa"/>
            <w:vAlign w:val="center"/>
          </w:tcPr>
          <w:p>
            <w:pPr>
              <w:pStyle w:val="63"/>
              <w:ind w:firstLine="0" w:firstLineChars="0"/>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highlight w:val="none"/>
                <w:lang w:val="en-US" w:eastAsia="zh-CN"/>
              </w:rPr>
              <w:t>东侧</w:t>
            </w:r>
          </w:p>
        </w:tc>
        <w:tc>
          <w:tcPr>
            <w:tcW w:w="1513" w:type="dxa"/>
            <w:vAlign w:val="center"/>
          </w:tcPr>
          <w:p>
            <w:pPr>
              <w:pStyle w:val="63"/>
              <w:ind w:firstLine="0" w:firstLineChars="0"/>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highlight w:val="none"/>
                <w:lang w:val="en-US" w:eastAsia="zh-CN"/>
              </w:rPr>
              <w:t>0.96</w:t>
            </w:r>
          </w:p>
        </w:tc>
        <w:tc>
          <w:tcPr>
            <w:tcW w:w="1682" w:type="dxa"/>
            <w:vMerge w:val="continue"/>
            <w:vAlign w:val="center"/>
          </w:tcPr>
          <w:p>
            <w:pPr>
              <w:pStyle w:val="63"/>
              <w:rPr>
                <w:rFonts w:hint="default" w:ascii="Arial" w:hAnsi="Arial" w:eastAsia="宋体" w:cs="Arial"/>
                <w:color w:val="auto"/>
                <w:sz w:val="21"/>
                <w:szCs w:val="21"/>
                <w:highlight w:val="none"/>
              </w:rPr>
            </w:pP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1513" w:type="dxa"/>
            <w:vMerge w:val="continue"/>
            <w:vAlign w:val="center"/>
          </w:tcPr>
          <w:p>
            <w:pPr>
              <w:pStyle w:val="63"/>
              <w:jc w:val="center"/>
              <w:rPr>
                <w:rFonts w:hint="default" w:ascii="Arial" w:hAnsi="Arial" w:eastAsia="宋体" w:cs="Arial"/>
                <w:color w:val="auto"/>
                <w:sz w:val="21"/>
                <w:szCs w:val="21"/>
                <w:highlight w:val="none"/>
                <w:lang w:val="en-US" w:eastAsia="zh-CN"/>
              </w:rPr>
            </w:pPr>
          </w:p>
        </w:tc>
        <w:tc>
          <w:tcPr>
            <w:tcW w:w="1815" w:type="dxa"/>
            <w:vAlign w:val="center"/>
          </w:tcPr>
          <w:p>
            <w:pPr>
              <w:pStyle w:val="63"/>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N40°</w:t>
            </w:r>
            <w:r>
              <w:rPr>
                <w:rFonts w:hint="default" w:ascii="Arial" w:hAnsi="Arial" w:eastAsia="宋体" w:cs="Arial"/>
                <w:color w:val="auto"/>
                <w:sz w:val="21"/>
                <w:szCs w:val="21"/>
                <w:highlight w:val="none"/>
                <w:lang w:val="en-US" w:eastAsia="zh-CN"/>
              </w:rPr>
              <w:t>55</w:t>
            </w:r>
            <w:r>
              <w:rPr>
                <w:rFonts w:hint="default" w:ascii="Arial" w:hAnsi="Arial" w:eastAsia="宋体" w:cs="Arial"/>
                <w:color w:val="auto"/>
                <w:sz w:val="21"/>
                <w:szCs w:val="21"/>
                <w:highlight w:val="none"/>
              </w:rPr>
              <w:t>'</w:t>
            </w:r>
            <w:r>
              <w:rPr>
                <w:rFonts w:hint="default" w:ascii="Arial" w:hAnsi="Arial" w:eastAsia="宋体" w:cs="Arial"/>
                <w:color w:val="auto"/>
                <w:sz w:val="21"/>
                <w:szCs w:val="21"/>
                <w:highlight w:val="none"/>
                <w:lang w:val="en-US" w:eastAsia="zh-CN"/>
              </w:rPr>
              <w:t>45.24</w:t>
            </w:r>
            <w:r>
              <w:rPr>
                <w:rFonts w:hint="default" w:ascii="Arial" w:hAnsi="Arial" w:eastAsia="宋体" w:cs="Arial"/>
                <w:color w:val="auto"/>
                <w:sz w:val="21"/>
                <w:szCs w:val="21"/>
                <w:highlight w:val="none"/>
              </w:rPr>
              <w:t>"</w:t>
            </w:r>
          </w:p>
        </w:tc>
        <w:tc>
          <w:tcPr>
            <w:tcW w:w="1815" w:type="dxa"/>
            <w:vAlign w:val="center"/>
          </w:tcPr>
          <w:p>
            <w:pPr>
              <w:pStyle w:val="63"/>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E10</w:t>
            </w:r>
            <w:r>
              <w:rPr>
                <w:rFonts w:hint="default" w:ascii="Arial" w:hAnsi="Arial" w:eastAsia="宋体" w:cs="Arial"/>
                <w:color w:val="auto"/>
                <w:sz w:val="21"/>
                <w:szCs w:val="21"/>
                <w:highlight w:val="none"/>
                <w:lang w:val="en-US" w:eastAsia="zh-CN"/>
              </w:rPr>
              <w:t>7</w:t>
            </w:r>
            <w:r>
              <w:rPr>
                <w:rFonts w:hint="default" w:ascii="Arial" w:hAnsi="Arial" w:eastAsia="宋体" w:cs="Arial"/>
                <w:color w:val="auto"/>
                <w:sz w:val="21"/>
                <w:szCs w:val="21"/>
                <w:highlight w:val="none"/>
              </w:rPr>
              <w:t>°</w:t>
            </w:r>
            <w:r>
              <w:rPr>
                <w:rFonts w:hint="default" w:ascii="Arial" w:hAnsi="Arial" w:eastAsia="宋体" w:cs="Arial"/>
                <w:color w:val="auto"/>
                <w:sz w:val="21"/>
                <w:szCs w:val="21"/>
                <w:highlight w:val="none"/>
                <w:lang w:val="en-US" w:eastAsia="zh-CN"/>
              </w:rPr>
              <w:t>40</w:t>
            </w:r>
            <w:r>
              <w:rPr>
                <w:rFonts w:hint="default" w:ascii="Arial" w:hAnsi="Arial" w:eastAsia="宋体" w:cs="Arial"/>
                <w:color w:val="auto"/>
                <w:sz w:val="21"/>
                <w:szCs w:val="21"/>
                <w:highlight w:val="none"/>
              </w:rPr>
              <w:t>'</w:t>
            </w:r>
            <w:r>
              <w:rPr>
                <w:rFonts w:hint="default" w:ascii="Arial" w:hAnsi="Arial" w:eastAsia="宋体" w:cs="Arial"/>
                <w:color w:val="auto"/>
                <w:sz w:val="21"/>
                <w:szCs w:val="21"/>
                <w:highlight w:val="none"/>
                <w:lang w:val="en-US" w:eastAsia="zh-CN"/>
              </w:rPr>
              <w:t>41.40</w:t>
            </w:r>
            <w:r>
              <w:rPr>
                <w:rFonts w:hint="default" w:ascii="Arial" w:hAnsi="Arial" w:eastAsia="宋体" w:cs="Arial"/>
                <w:color w:val="auto"/>
                <w:sz w:val="21"/>
                <w:szCs w:val="21"/>
                <w:highlight w:val="none"/>
              </w:rPr>
              <w:t>"</w:t>
            </w:r>
          </w:p>
        </w:tc>
        <w:tc>
          <w:tcPr>
            <w:tcW w:w="1815" w:type="dxa"/>
            <w:vAlign w:val="center"/>
          </w:tcPr>
          <w:p>
            <w:pPr>
              <w:pStyle w:val="63"/>
              <w:ind w:firstLine="0" w:firstLineChars="0"/>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highlight w:val="none"/>
                <w:lang w:val="en-US" w:eastAsia="zh-CN"/>
              </w:rPr>
              <w:t>新义五社</w:t>
            </w:r>
          </w:p>
        </w:tc>
        <w:tc>
          <w:tcPr>
            <w:tcW w:w="908" w:type="dxa"/>
            <w:vAlign w:val="center"/>
          </w:tcPr>
          <w:p>
            <w:pPr>
              <w:pStyle w:val="63"/>
              <w:ind w:firstLine="0" w:firstLineChars="0"/>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居民</w:t>
            </w:r>
          </w:p>
        </w:tc>
        <w:tc>
          <w:tcPr>
            <w:tcW w:w="908" w:type="dxa"/>
            <w:vAlign w:val="center"/>
          </w:tcPr>
          <w:p>
            <w:pPr>
              <w:pStyle w:val="63"/>
              <w:ind w:firstLine="0" w:firstLineChars="0"/>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highlight w:val="none"/>
                <w:lang w:val="en-US" w:eastAsia="zh-CN"/>
              </w:rPr>
              <w:t>60</w:t>
            </w:r>
          </w:p>
        </w:tc>
        <w:tc>
          <w:tcPr>
            <w:tcW w:w="908" w:type="dxa"/>
            <w:vAlign w:val="center"/>
          </w:tcPr>
          <w:p>
            <w:pPr>
              <w:pStyle w:val="63"/>
              <w:ind w:firstLine="0" w:firstLineChars="0"/>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highlight w:val="none"/>
                <w:lang w:val="en-US" w:eastAsia="zh-CN"/>
              </w:rPr>
              <w:t>169</w:t>
            </w:r>
          </w:p>
        </w:tc>
        <w:tc>
          <w:tcPr>
            <w:tcW w:w="1513" w:type="dxa"/>
            <w:vAlign w:val="center"/>
          </w:tcPr>
          <w:p>
            <w:pPr>
              <w:pStyle w:val="63"/>
              <w:ind w:firstLine="0" w:firstLineChars="0"/>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highlight w:val="none"/>
                <w:lang w:val="en-US" w:eastAsia="zh-CN"/>
              </w:rPr>
              <w:t>南侧</w:t>
            </w:r>
          </w:p>
        </w:tc>
        <w:tc>
          <w:tcPr>
            <w:tcW w:w="1513" w:type="dxa"/>
            <w:vAlign w:val="center"/>
          </w:tcPr>
          <w:p>
            <w:pPr>
              <w:pStyle w:val="63"/>
              <w:ind w:firstLine="0" w:firstLineChars="0"/>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highlight w:val="none"/>
                <w:lang w:val="en-US" w:eastAsia="zh-CN"/>
              </w:rPr>
              <w:t>0.45</w:t>
            </w:r>
          </w:p>
        </w:tc>
        <w:tc>
          <w:tcPr>
            <w:tcW w:w="1682" w:type="dxa"/>
            <w:vMerge w:val="continue"/>
            <w:vAlign w:val="center"/>
          </w:tcPr>
          <w:p>
            <w:pPr>
              <w:pStyle w:val="63"/>
              <w:rPr>
                <w:rFonts w:hint="default" w:ascii="Arial" w:hAnsi="Arial" w:eastAsia="宋体" w:cs="Arial"/>
                <w:color w:val="auto"/>
                <w:sz w:val="21"/>
                <w:szCs w:val="21"/>
                <w:highlight w:val="none"/>
              </w:rPr>
            </w:pP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1513" w:type="dxa"/>
            <w:vMerge w:val="continue"/>
            <w:vAlign w:val="center"/>
          </w:tcPr>
          <w:p>
            <w:pPr>
              <w:pStyle w:val="63"/>
              <w:jc w:val="center"/>
              <w:rPr>
                <w:rFonts w:hint="default" w:ascii="Arial" w:hAnsi="Arial" w:eastAsia="宋体" w:cs="Arial"/>
                <w:color w:val="auto"/>
                <w:sz w:val="21"/>
                <w:szCs w:val="21"/>
                <w:highlight w:val="none"/>
                <w:lang w:val="en-US" w:eastAsia="zh-CN"/>
              </w:rPr>
            </w:pPr>
          </w:p>
        </w:tc>
        <w:tc>
          <w:tcPr>
            <w:tcW w:w="1815" w:type="dxa"/>
            <w:vAlign w:val="center"/>
          </w:tcPr>
          <w:p>
            <w:pPr>
              <w:pStyle w:val="63"/>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N40°</w:t>
            </w:r>
            <w:r>
              <w:rPr>
                <w:rFonts w:hint="default" w:ascii="Arial" w:hAnsi="Arial" w:eastAsia="宋体" w:cs="Arial"/>
                <w:color w:val="auto"/>
                <w:sz w:val="21"/>
                <w:szCs w:val="21"/>
                <w:highlight w:val="none"/>
                <w:lang w:val="en-US" w:eastAsia="zh-CN"/>
              </w:rPr>
              <w:t>54</w:t>
            </w:r>
            <w:r>
              <w:rPr>
                <w:rFonts w:hint="default" w:ascii="Arial" w:hAnsi="Arial" w:eastAsia="宋体" w:cs="Arial"/>
                <w:color w:val="auto"/>
                <w:sz w:val="21"/>
                <w:szCs w:val="21"/>
                <w:highlight w:val="none"/>
              </w:rPr>
              <w:t>'</w:t>
            </w:r>
            <w:r>
              <w:rPr>
                <w:rFonts w:hint="default" w:ascii="Arial" w:hAnsi="Arial" w:eastAsia="宋体" w:cs="Arial"/>
                <w:color w:val="auto"/>
                <w:sz w:val="21"/>
                <w:szCs w:val="21"/>
                <w:highlight w:val="none"/>
                <w:lang w:val="en-US" w:eastAsia="zh-CN"/>
              </w:rPr>
              <w:t>54.68</w:t>
            </w:r>
            <w:r>
              <w:rPr>
                <w:rFonts w:hint="default" w:ascii="Arial" w:hAnsi="Arial" w:eastAsia="宋体" w:cs="Arial"/>
                <w:color w:val="auto"/>
                <w:sz w:val="21"/>
                <w:szCs w:val="21"/>
                <w:highlight w:val="none"/>
              </w:rPr>
              <w:t>"</w:t>
            </w:r>
          </w:p>
        </w:tc>
        <w:tc>
          <w:tcPr>
            <w:tcW w:w="1815" w:type="dxa"/>
            <w:vAlign w:val="center"/>
          </w:tcPr>
          <w:p>
            <w:pPr>
              <w:pStyle w:val="63"/>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E10</w:t>
            </w:r>
            <w:r>
              <w:rPr>
                <w:rFonts w:hint="default" w:ascii="Arial" w:hAnsi="Arial" w:eastAsia="宋体" w:cs="Arial"/>
                <w:color w:val="auto"/>
                <w:sz w:val="21"/>
                <w:szCs w:val="21"/>
                <w:highlight w:val="none"/>
                <w:lang w:val="en-US" w:eastAsia="zh-CN"/>
              </w:rPr>
              <w:t>7</w:t>
            </w:r>
            <w:r>
              <w:rPr>
                <w:rFonts w:hint="default" w:ascii="Arial" w:hAnsi="Arial" w:eastAsia="宋体" w:cs="Arial"/>
                <w:color w:val="auto"/>
                <w:sz w:val="21"/>
                <w:szCs w:val="21"/>
                <w:highlight w:val="none"/>
              </w:rPr>
              <w:t>°</w:t>
            </w:r>
            <w:r>
              <w:rPr>
                <w:rFonts w:hint="default" w:ascii="Arial" w:hAnsi="Arial" w:eastAsia="宋体" w:cs="Arial"/>
                <w:color w:val="auto"/>
                <w:sz w:val="21"/>
                <w:szCs w:val="21"/>
                <w:highlight w:val="none"/>
                <w:lang w:val="en-US" w:eastAsia="zh-CN"/>
              </w:rPr>
              <w:t>40</w:t>
            </w:r>
            <w:r>
              <w:rPr>
                <w:rFonts w:hint="default" w:ascii="Arial" w:hAnsi="Arial" w:eastAsia="宋体" w:cs="Arial"/>
                <w:color w:val="auto"/>
                <w:sz w:val="21"/>
                <w:szCs w:val="21"/>
                <w:highlight w:val="none"/>
              </w:rPr>
              <w:t>'</w:t>
            </w:r>
            <w:r>
              <w:rPr>
                <w:rFonts w:hint="default" w:ascii="Arial" w:hAnsi="Arial" w:eastAsia="宋体" w:cs="Arial"/>
                <w:color w:val="auto"/>
                <w:sz w:val="21"/>
                <w:szCs w:val="21"/>
                <w:highlight w:val="none"/>
                <w:lang w:val="en-US" w:eastAsia="zh-CN"/>
              </w:rPr>
              <w:t>51.59</w:t>
            </w:r>
            <w:r>
              <w:rPr>
                <w:rFonts w:hint="default" w:ascii="Arial" w:hAnsi="Arial" w:eastAsia="宋体" w:cs="Arial"/>
                <w:color w:val="auto"/>
                <w:sz w:val="21"/>
                <w:szCs w:val="21"/>
                <w:highlight w:val="none"/>
              </w:rPr>
              <w:t>"</w:t>
            </w:r>
          </w:p>
        </w:tc>
        <w:tc>
          <w:tcPr>
            <w:tcW w:w="1815" w:type="dxa"/>
            <w:vAlign w:val="center"/>
          </w:tcPr>
          <w:p>
            <w:pPr>
              <w:pStyle w:val="63"/>
              <w:ind w:firstLine="0" w:firstLineChars="0"/>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highlight w:val="none"/>
                <w:lang w:val="en-US" w:eastAsia="zh-CN"/>
              </w:rPr>
              <w:t>二合永村</w:t>
            </w:r>
          </w:p>
        </w:tc>
        <w:tc>
          <w:tcPr>
            <w:tcW w:w="908" w:type="dxa"/>
            <w:vAlign w:val="center"/>
          </w:tcPr>
          <w:p>
            <w:pPr>
              <w:pStyle w:val="63"/>
              <w:ind w:firstLine="0" w:firstLineChars="0"/>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居民</w:t>
            </w:r>
          </w:p>
        </w:tc>
        <w:tc>
          <w:tcPr>
            <w:tcW w:w="908" w:type="dxa"/>
            <w:vAlign w:val="center"/>
          </w:tcPr>
          <w:p>
            <w:pPr>
              <w:pStyle w:val="63"/>
              <w:ind w:firstLine="0" w:firstLineChars="0"/>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highlight w:val="none"/>
                <w:lang w:val="en-US" w:eastAsia="zh-CN"/>
              </w:rPr>
              <w:t>35</w:t>
            </w:r>
          </w:p>
        </w:tc>
        <w:tc>
          <w:tcPr>
            <w:tcW w:w="908" w:type="dxa"/>
            <w:vAlign w:val="center"/>
          </w:tcPr>
          <w:p>
            <w:pPr>
              <w:pStyle w:val="63"/>
              <w:ind w:firstLine="0" w:firstLineChars="0"/>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highlight w:val="none"/>
                <w:lang w:val="en-US" w:eastAsia="zh-CN"/>
              </w:rPr>
              <w:t>86</w:t>
            </w:r>
          </w:p>
        </w:tc>
        <w:tc>
          <w:tcPr>
            <w:tcW w:w="1513" w:type="dxa"/>
            <w:vAlign w:val="center"/>
          </w:tcPr>
          <w:p>
            <w:pPr>
              <w:pStyle w:val="63"/>
              <w:ind w:firstLine="0" w:firstLineChars="0"/>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highlight w:val="none"/>
                <w:lang w:val="en-US" w:eastAsia="zh-CN"/>
              </w:rPr>
              <w:t>南侧</w:t>
            </w:r>
          </w:p>
        </w:tc>
        <w:tc>
          <w:tcPr>
            <w:tcW w:w="1513" w:type="dxa"/>
            <w:vAlign w:val="center"/>
          </w:tcPr>
          <w:p>
            <w:pPr>
              <w:pStyle w:val="63"/>
              <w:ind w:firstLine="0" w:firstLineChars="0"/>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highlight w:val="none"/>
                <w:lang w:val="en-US" w:eastAsia="zh-CN"/>
              </w:rPr>
              <w:t>2.02</w:t>
            </w:r>
          </w:p>
        </w:tc>
        <w:tc>
          <w:tcPr>
            <w:tcW w:w="1682" w:type="dxa"/>
            <w:vMerge w:val="continue"/>
            <w:vAlign w:val="center"/>
          </w:tcPr>
          <w:p>
            <w:pPr>
              <w:pStyle w:val="63"/>
              <w:rPr>
                <w:rFonts w:hint="default" w:ascii="Arial" w:hAnsi="Arial" w:eastAsia="宋体" w:cs="Arial"/>
                <w:color w:val="auto"/>
                <w:sz w:val="21"/>
                <w:szCs w:val="21"/>
                <w:highlight w:val="none"/>
              </w:rPr>
            </w:pP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1513" w:type="dxa"/>
            <w:vMerge w:val="continue"/>
            <w:vAlign w:val="center"/>
          </w:tcPr>
          <w:p>
            <w:pPr>
              <w:pStyle w:val="63"/>
              <w:jc w:val="center"/>
              <w:rPr>
                <w:rFonts w:hint="default" w:ascii="Arial" w:hAnsi="Arial" w:eastAsia="宋体" w:cs="Arial"/>
                <w:color w:val="auto"/>
                <w:sz w:val="21"/>
                <w:szCs w:val="21"/>
                <w:highlight w:val="none"/>
                <w:lang w:val="en-US" w:eastAsia="zh-CN"/>
              </w:rPr>
            </w:pPr>
          </w:p>
        </w:tc>
        <w:tc>
          <w:tcPr>
            <w:tcW w:w="1815" w:type="dxa"/>
            <w:vAlign w:val="center"/>
          </w:tcPr>
          <w:p>
            <w:pPr>
              <w:pStyle w:val="63"/>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N40°</w:t>
            </w:r>
            <w:r>
              <w:rPr>
                <w:rFonts w:hint="default" w:ascii="Arial" w:hAnsi="Arial" w:eastAsia="宋体" w:cs="Arial"/>
                <w:color w:val="auto"/>
                <w:sz w:val="21"/>
                <w:szCs w:val="21"/>
                <w:highlight w:val="none"/>
                <w:lang w:val="en-US" w:eastAsia="zh-CN"/>
              </w:rPr>
              <w:t>55</w:t>
            </w:r>
            <w:r>
              <w:rPr>
                <w:rFonts w:hint="default" w:ascii="Arial" w:hAnsi="Arial" w:eastAsia="宋体" w:cs="Arial"/>
                <w:color w:val="auto"/>
                <w:sz w:val="21"/>
                <w:szCs w:val="21"/>
                <w:highlight w:val="none"/>
              </w:rPr>
              <w:t>'</w:t>
            </w:r>
            <w:r>
              <w:rPr>
                <w:rFonts w:hint="default" w:ascii="Arial" w:hAnsi="Arial" w:eastAsia="宋体" w:cs="Arial"/>
                <w:color w:val="auto"/>
                <w:sz w:val="21"/>
                <w:szCs w:val="21"/>
                <w:highlight w:val="none"/>
                <w:lang w:val="en-US" w:eastAsia="zh-CN"/>
              </w:rPr>
              <w:t>15.15</w:t>
            </w:r>
            <w:r>
              <w:rPr>
                <w:rFonts w:hint="default" w:ascii="Arial" w:hAnsi="Arial" w:eastAsia="宋体" w:cs="Arial"/>
                <w:color w:val="auto"/>
                <w:sz w:val="21"/>
                <w:szCs w:val="21"/>
                <w:highlight w:val="none"/>
              </w:rPr>
              <w:t>"</w:t>
            </w:r>
          </w:p>
        </w:tc>
        <w:tc>
          <w:tcPr>
            <w:tcW w:w="1815" w:type="dxa"/>
            <w:vAlign w:val="center"/>
          </w:tcPr>
          <w:p>
            <w:pPr>
              <w:pStyle w:val="63"/>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E10</w:t>
            </w:r>
            <w:r>
              <w:rPr>
                <w:rFonts w:hint="default" w:ascii="Arial" w:hAnsi="Arial" w:eastAsia="宋体" w:cs="Arial"/>
                <w:color w:val="auto"/>
                <w:sz w:val="21"/>
                <w:szCs w:val="21"/>
                <w:highlight w:val="none"/>
                <w:lang w:val="en-US" w:eastAsia="zh-CN"/>
              </w:rPr>
              <w:t>7</w:t>
            </w:r>
            <w:r>
              <w:rPr>
                <w:rFonts w:hint="default" w:ascii="Arial" w:hAnsi="Arial" w:eastAsia="宋体" w:cs="Arial"/>
                <w:color w:val="auto"/>
                <w:sz w:val="21"/>
                <w:szCs w:val="21"/>
                <w:highlight w:val="none"/>
              </w:rPr>
              <w:t>°</w:t>
            </w:r>
            <w:r>
              <w:rPr>
                <w:rFonts w:hint="default" w:ascii="Arial" w:hAnsi="Arial" w:eastAsia="宋体" w:cs="Arial"/>
                <w:color w:val="auto"/>
                <w:sz w:val="21"/>
                <w:szCs w:val="21"/>
                <w:highlight w:val="none"/>
                <w:lang w:val="en-US" w:eastAsia="zh-CN"/>
              </w:rPr>
              <w:t>39</w:t>
            </w:r>
            <w:r>
              <w:rPr>
                <w:rFonts w:hint="default" w:ascii="Arial" w:hAnsi="Arial" w:eastAsia="宋体" w:cs="Arial"/>
                <w:color w:val="auto"/>
                <w:sz w:val="21"/>
                <w:szCs w:val="21"/>
                <w:highlight w:val="none"/>
              </w:rPr>
              <w:t>'</w:t>
            </w:r>
            <w:r>
              <w:rPr>
                <w:rFonts w:hint="default" w:ascii="Arial" w:hAnsi="Arial" w:eastAsia="宋体" w:cs="Arial"/>
                <w:color w:val="auto"/>
                <w:sz w:val="21"/>
                <w:szCs w:val="21"/>
                <w:highlight w:val="none"/>
                <w:lang w:val="en-US" w:eastAsia="zh-CN"/>
              </w:rPr>
              <w:t>36.28</w:t>
            </w:r>
            <w:r>
              <w:rPr>
                <w:rFonts w:hint="default" w:ascii="Arial" w:hAnsi="Arial" w:eastAsia="宋体" w:cs="Arial"/>
                <w:color w:val="auto"/>
                <w:sz w:val="21"/>
                <w:szCs w:val="21"/>
                <w:highlight w:val="none"/>
              </w:rPr>
              <w:t>"</w:t>
            </w:r>
          </w:p>
        </w:tc>
        <w:tc>
          <w:tcPr>
            <w:tcW w:w="1815" w:type="dxa"/>
            <w:vAlign w:val="center"/>
          </w:tcPr>
          <w:p>
            <w:pPr>
              <w:pStyle w:val="63"/>
              <w:ind w:firstLine="0" w:firstLineChars="0"/>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highlight w:val="none"/>
                <w:lang w:val="en-US" w:eastAsia="zh-CN"/>
              </w:rPr>
              <w:t>新永四社</w:t>
            </w:r>
          </w:p>
        </w:tc>
        <w:tc>
          <w:tcPr>
            <w:tcW w:w="908" w:type="dxa"/>
            <w:vAlign w:val="center"/>
          </w:tcPr>
          <w:p>
            <w:pPr>
              <w:pStyle w:val="63"/>
              <w:ind w:firstLine="0" w:firstLineChars="0"/>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居民</w:t>
            </w:r>
          </w:p>
        </w:tc>
        <w:tc>
          <w:tcPr>
            <w:tcW w:w="908" w:type="dxa"/>
            <w:vAlign w:val="center"/>
          </w:tcPr>
          <w:p>
            <w:pPr>
              <w:pStyle w:val="63"/>
              <w:ind w:firstLine="0" w:firstLineChars="0"/>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highlight w:val="none"/>
                <w:lang w:val="en-US" w:eastAsia="zh-CN"/>
              </w:rPr>
              <w:t>46</w:t>
            </w:r>
          </w:p>
        </w:tc>
        <w:tc>
          <w:tcPr>
            <w:tcW w:w="908" w:type="dxa"/>
            <w:vAlign w:val="center"/>
          </w:tcPr>
          <w:p>
            <w:pPr>
              <w:pStyle w:val="63"/>
              <w:ind w:firstLine="0" w:firstLineChars="0"/>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highlight w:val="none"/>
                <w:lang w:val="en-US" w:eastAsia="zh-CN"/>
              </w:rPr>
              <w:t>99</w:t>
            </w:r>
          </w:p>
        </w:tc>
        <w:tc>
          <w:tcPr>
            <w:tcW w:w="1513" w:type="dxa"/>
            <w:vAlign w:val="center"/>
          </w:tcPr>
          <w:p>
            <w:pPr>
              <w:pStyle w:val="63"/>
              <w:ind w:firstLine="0" w:firstLineChars="0"/>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highlight w:val="none"/>
                <w:lang w:val="en-US" w:eastAsia="zh-CN"/>
              </w:rPr>
              <w:t>西南侧</w:t>
            </w:r>
          </w:p>
        </w:tc>
        <w:tc>
          <w:tcPr>
            <w:tcW w:w="1513" w:type="dxa"/>
            <w:vAlign w:val="center"/>
          </w:tcPr>
          <w:p>
            <w:pPr>
              <w:pStyle w:val="63"/>
              <w:ind w:firstLine="0" w:firstLineChars="0"/>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highlight w:val="none"/>
                <w:lang w:val="en-US" w:eastAsia="zh-CN"/>
              </w:rPr>
              <w:t>2.12</w:t>
            </w:r>
          </w:p>
        </w:tc>
        <w:tc>
          <w:tcPr>
            <w:tcW w:w="1682" w:type="dxa"/>
            <w:vMerge w:val="continue"/>
            <w:vAlign w:val="center"/>
          </w:tcPr>
          <w:p>
            <w:pPr>
              <w:pStyle w:val="63"/>
              <w:rPr>
                <w:rFonts w:hint="default" w:ascii="Arial" w:hAnsi="Arial" w:eastAsia="宋体" w:cs="Arial"/>
                <w:color w:val="auto"/>
                <w:sz w:val="21"/>
                <w:szCs w:val="21"/>
                <w:highlight w:val="none"/>
              </w:rPr>
            </w:pP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1513" w:type="dxa"/>
            <w:vMerge w:val="continue"/>
            <w:vAlign w:val="center"/>
          </w:tcPr>
          <w:p>
            <w:pPr>
              <w:pStyle w:val="63"/>
              <w:jc w:val="center"/>
              <w:rPr>
                <w:rFonts w:hint="default" w:ascii="Arial" w:hAnsi="Arial" w:eastAsia="宋体" w:cs="Arial"/>
                <w:color w:val="auto"/>
                <w:sz w:val="21"/>
                <w:szCs w:val="21"/>
                <w:highlight w:val="none"/>
                <w:lang w:val="en-US" w:eastAsia="zh-CN"/>
              </w:rPr>
            </w:pPr>
          </w:p>
        </w:tc>
        <w:tc>
          <w:tcPr>
            <w:tcW w:w="1815" w:type="dxa"/>
            <w:vAlign w:val="center"/>
          </w:tcPr>
          <w:p>
            <w:pPr>
              <w:pStyle w:val="63"/>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N40°</w:t>
            </w:r>
            <w:r>
              <w:rPr>
                <w:rFonts w:hint="default" w:ascii="Arial" w:hAnsi="Arial" w:eastAsia="宋体" w:cs="Arial"/>
                <w:color w:val="auto"/>
                <w:sz w:val="21"/>
                <w:szCs w:val="21"/>
                <w:highlight w:val="none"/>
                <w:lang w:val="en-US" w:eastAsia="zh-CN"/>
              </w:rPr>
              <w:t>55</w:t>
            </w:r>
            <w:r>
              <w:rPr>
                <w:rFonts w:hint="default" w:ascii="Arial" w:hAnsi="Arial" w:eastAsia="宋体" w:cs="Arial"/>
                <w:color w:val="auto"/>
                <w:sz w:val="21"/>
                <w:szCs w:val="21"/>
                <w:highlight w:val="none"/>
              </w:rPr>
              <w:t>'</w:t>
            </w:r>
            <w:r>
              <w:rPr>
                <w:rFonts w:hint="default" w:ascii="Arial" w:hAnsi="Arial" w:eastAsia="宋体" w:cs="Arial"/>
                <w:color w:val="auto"/>
                <w:sz w:val="21"/>
                <w:szCs w:val="21"/>
                <w:highlight w:val="none"/>
                <w:lang w:val="en-US" w:eastAsia="zh-CN"/>
              </w:rPr>
              <w:t>40.18</w:t>
            </w:r>
            <w:r>
              <w:rPr>
                <w:rFonts w:hint="default" w:ascii="Arial" w:hAnsi="Arial" w:eastAsia="宋体" w:cs="Arial"/>
                <w:color w:val="auto"/>
                <w:sz w:val="21"/>
                <w:szCs w:val="21"/>
                <w:highlight w:val="none"/>
              </w:rPr>
              <w:t>"</w:t>
            </w:r>
          </w:p>
        </w:tc>
        <w:tc>
          <w:tcPr>
            <w:tcW w:w="1815" w:type="dxa"/>
            <w:vAlign w:val="center"/>
          </w:tcPr>
          <w:p>
            <w:pPr>
              <w:pStyle w:val="63"/>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E10</w:t>
            </w:r>
            <w:r>
              <w:rPr>
                <w:rFonts w:hint="default" w:ascii="Arial" w:hAnsi="Arial" w:eastAsia="宋体" w:cs="Arial"/>
                <w:color w:val="auto"/>
                <w:sz w:val="21"/>
                <w:szCs w:val="21"/>
                <w:highlight w:val="none"/>
                <w:lang w:val="en-US" w:eastAsia="zh-CN"/>
              </w:rPr>
              <w:t>7</w:t>
            </w:r>
            <w:r>
              <w:rPr>
                <w:rFonts w:hint="default" w:ascii="Arial" w:hAnsi="Arial" w:eastAsia="宋体" w:cs="Arial"/>
                <w:color w:val="auto"/>
                <w:sz w:val="21"/>
                <w:szCs w:val="21"/>
                <w:highlight w:val="none"/>
              </w:rPr>
              <w:t>°</w:t>
            </w:r>
            <w:r>
              <w:rPr>
                <w:rFonts w:hint="default" w:ascii="Arial" w:hAnsi="Arial" w:eastAsia="宋体" w:cs="Arial"/>
                <w:color w:val="auto"/>
                <w:sz w:val="21"/>
                <w:szCs w:val="21"/>
                <w:highlight w:val="none"/>
                <w:lang w:val="en-US" w:eastAsia="zh-CN"/>
              </w:rPr>
              <w:t>39</w:t>
            </w:r>
            <w:r>
              <w:rPr>
                <w:rFonts w:hint="default" w:ascii="Arial" w:hAnsi="Arial" w:eastAsia="宋体" w:cs="Arial"/>
                <w:color w:val="auto"/>
                <w:sz w:val="21"/>
                <w:szCs w:val="21"/>
                <w:highlight w:val="none"/>
              </w:rPr>
              <w:t>'</w:t>
            </w:r>
            <w:r>
              <w:rPr>
                <w:rFonts w:hint="default" w:ascii="Arial" w:hAnsi="Arial" w:eastAsia="宋体" w:cs="Arial"/>
                <w:color w:val="auto"/>
                <w:sz w:val="21"/>
                <w:szCs w:val="21"/>
                <w:highlight w:val="none"/>
                <w:lang w:val="en-US" w:eastAsia="zh-CN"/>
              </w:rPr>
              <w:t>8.23</w:t>
            </w:r>
            <w:r>
              <w:rPr>
                <w:rFonts w:hint="default" w:ascii="Arial" w:hAnsi="Arial" w:eastAsia="宋体" w:cs="Arial"/>
                <w:color w:val="auto"/>
                <w:sz w:val="21"/>
                <w:szCs w:val="21"/>
                <w:highlight w:val="none"/>
              </w:rPr>
              <w:t>"</w:t>
            </w:r>
          </w:p>
        </w:tc>
        <w:tc>
          <w:tcPr>
            <w:tcW w:w="1815" w:type="dxa"/>
            <w:vAlign w:val="center"/>
          </w:tcPr>
          <w:p>
            <w:pPr>
              <w:pStyle w:val="63"/>
              <w:ind w:firstLine="0" w:firstLineChars="0"/>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highlight w:val="none"/>
                <w:lang w:val="en-US" w:eastAsia="zh-CN"/>
              </w:rPr>
              <w:t>新义七社</w:t>
            </w:r>
          </w:p>
        </w:tc>
        <w:tc>
          <w:tcPr>
            <w:tcW w:w="908" w:type="dxa"/>
            <w:vAlign w:val="center"/>
          </w:tcPr>
          <w:p>
            <w:pPr>
              <w:pStyle w:val="63"/>
              <w:ind w:firstLine="0" w:firstLineChars="0"/>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居民</w:t>
            </w:r>
          </w:p>
        </w:tc>
        <w:tc>
          <w:tcPr>
            <w:tcW w:w="908" w:type="dxa"/>
            <w:vAlign w:val="center"/>
          </w:tcPr>
          <w:p>
            <w:pPr>
              <w:pStyle w:val="63"/>
              <w:ind w:firstLine="0" w:firstLineChars="0"/>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highlight w:val="none"/>
                <w:lang w:val="en-US" w:eastAsia="zh-CN"/>
              </w:rPr>
              <w:t>19</w:t>
            </w:r>
          </w:p>
        </w:tc>
        <w:tc>
          <w:tcPr>
            <w:tcW w:w="908" w:type="dxa"/>
            <w:vAlign w:val="center"/>
          </w:tcPr>
          <w:p>
            <w:pPr>
              <w:pStyle w:val="63"/>
              <w:ind w:firstLine="0" w:firstLineChars="0"/>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highlight w:val="none"/>
                <w:lang w:val="en-US" w:eastAsia="zh-CN"/>
              </w:rPr>
              <w:t>43</w:t>
            </w:r>
          </w:p>
        </w:tc>
        <w:tc>
          <w:tcPr>
            <w:tcW w:w="1513" w:type="dxa"/>
            <w:vAlign w:val="center"/>
          </w:tcPr>
          <w:p>
            <w:pPr>
              <w:pStyle w:val="63"/>
              <w:ind w:firstLine="0" w:firstLineChars="0"/>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highlight w:val="none"/>
                <w:lang w:val="en-US" w:eastAsia="zh-CN"/>
              </w:rPr>
              <w:t>西侧</w:t>
            </w:r>
          </w:p>
        </w:tc>
        <w:tc>
          <w:tcPr>
            <w:tcW w:w="1513" w:type="dxa"/>
            <w:vAlign w:val="center"/>
          </w:tcPr>
          <w:p>
            <w:pPr>
              <w:pStyle w:val="63"/>
              <w:ind w:firstLine="0" w:firstLineChars="0"/>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highlight w:val="none"/>
                <w:lang w:val="en-US" w:eastAsia="zh-CN"/>
              </w:rPr>
              <w:t>2.09</w:t>
            </w:r>
          </w:p>
        </w:tc>
        <w:tc>
          <w:tcPr>
            <w:tcW w:w="1682" w:type="dxa"/>
            <w:vMerge w:val="continue"/>
            <w:vAlign w:val="center"/>
          </w:tcPr>
          <w:p>
            <w:pPr>
              <w:pStyle w:val="63"/>
              <w:rPr>
                <w:rFonts w:hint="default" w:ascii="Arial" w:hAnsi="Arial" w:eastAsia="宋体" w:cs="Arial"/>
                <w:color w:val="auto"/>
                <w:sz w:val="21"/>
                <w:szCs w:val="21"/>
                <w:highlight w:val="none"/>
              </w:rPr>
            </w:pP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1513" w:type="dxa"/>
            <w:vMerge w:val="continue"/>
            <w:vAlign w:val="center"/>
          </w:tcPr>
          <w:p>
            <w:pPr>
              <w:pStyle w:val="63"/>
              <w:jc w:val="center"/>
              <w:rPr>
                <w:rFonts w:hint="default" w:ascii="Arial" w:hAnsi="Arial" w:eastAsia="宋体" w:cs="Arial"/>
                <w:color w:val="auto"/>
                <w:sz w:val="21"/>
                <w:szCs w:val="21"/>
                <w:highlight w:val="none"/>
                <w:lang w:val="en-US" w:eastAsia="zh-CN"/>
              </w:rPr>
            </w:pPr>
          </w:p>
        </w:tc>
        <w:tc>
          <w:tcPr>
            <w:tcW w:w="1815" w:type="dxa"/>
            <w:vAlign w:val="center"/>
          </w:tcPr>
          <w:p>
            <w:pPr>
              <w:pStyle w:val="63"/>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N40°</w:t>
            </w:r>
            <w:r>
              <w:rPr>
                <w:rFonts w:hint="default" w:ascii="Arial" w:hAnsi="Arial" w:eastAsia="宋体" w:cs="Arial"/>
                <w:color w:val="auto"/>
                <w:sz w:val="21"/>
                <w:szCs w:val="21"/>
                <w:highlight w:val="none"/>
                <w:lang w:val="en-US" w:eastAsia="zh-CN"/>
              </w:rPr>
              <w:t>56</w:t>
            </w:r>
            <w:r>
              <w:rPr>
                <w:rFonts w:hint="default" w:ascii="Arial" w:hAnsi="Arial" w:eastAsia="宋体" w:cs="Arial"/>
                <w:color w:val="auto"/>
                <w:sz w:val="21"/>
                <w:szCs w:val="21"/>
                <w:highlight w:val="none"/>
              </w:rPr>
              <w:t>'</w:t>
            </w:r>
            <w:r>
              <w:rPr>
                <w:rFonts w:hint="default" w:ascii="Arial" w:hAnsi="Arial" w:eastAsia="宋体" w:cs="Arial"/>
                <w:color w:val="auto"/>
                <w:sz w:val="21"/>
                <w:szCs w:val="21"/>
                <w:highlight w:val="none"/>
                <w:lang w:val="en-US" w:eastAsia="zh-CN"/>
              </w:rPr>
              <w:t>45.45</w:t>
            </w:r>
            <w:r>
              <w:rPr>
                <w:rFonts w:hint="default" w:ascii="Arial" w:hAnsi="Arial" w:eastAsia="宋体" w:cs="Arial"/>
                <w:color w:val="auto"/>
                <w:sz w:val="21"/>
                <w:szCs w:val="21"/>
                <w:highlight w:val="none"/>
              </w:rPr>
              <w:t>"</w:t>
            </w:r>
          </w:p>
        </w:tc>
        <w:tc>
          <w:tcPr>
            <w:tcW w:w="1815" w:type="dxa"/>
            <w:vAlign w:val="center"/>
          </w:tcPr>
          <w:p>
            <w:pPr>
              <w:pStyle w:val="63"/>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E10</w:t>
            </w:r>
            <w:r>
              <w:rPr>
                <w:rFonts w:hint="default" w:ascii="Arial" w:hAnsi="Arial" w:eastAsia="宋体" w:cs="Arial"/>
                <w:color w:val="auto"/>
                <w:sz w:val="21"/>
                <w:szCs w:val="21"/>
                <w:highlight w:val="none"/>
                <w:lang w:val="en-US" w:eastAsia="zh-CN"/>
              </w:rPr>
              <w:t>7</w:t>
            </w:r>
            <w:r>
              <w:rPr>
                <w:rFonts w:hint="default" w:ascii="Arial" w:hAnsi="Arial" w:eastAsia="宋体" w:cs="Arial"/>
                <w:color w:val="auto"/>
                <w:sz w:val="21"/>
                <w:szCs w:val="21"/>
                <w:highlight w:val="none"/>
              </w:rPr>
              <w:t>°</w:t>
            </w:r>
            <w:r>
              <w:rPr>
                <w:rFonts w:hint="default" w:ascii="Arial" w:hAnsi="Arial" w:eastAsia="宋体" w:cs="Arial"/>
                <w:color w:val="auto"/>
                <w:sz w:val="21"/>
                <w:szCs w:val="21"/>
                <w:highlight w:val="none"/>
                <w:lang w:val="en-US" w:eastAsia="zh-CN"/>
              </w:rPr>
              <w:t>39</w:t>
            </w:r>
            <w:r>
              <w:rPr>
                <w:rFonts w:hint="default" w:ascii="Arial" w:hAnsi="Arial" w:eastAsia="宋体" w:cs="Arial"/>
                <w:color w:val="auto"/>
                <w:sz w:val="21"/>
                <w:szCs w:val="21"/>
                <w:highlight w:val="none"/>
              </w:rPr>
              <w:t>'</w:t>
            </w:r>
            <w:r>
              <w:rPr>
                <w:rFonts w:hint="default" w:ascii="Arial" w:hAnsi="Arial" w:eastAsia="宋体" w:cs="Arial"/>
                <w:color w:val="auto"/>
                <w:sz w:val="21"/>
                <w:szCs w:val="21"/>
                <w:highlight w:val="none"/>
                <w:lang w:val="en-US" w:eastAsia="zh-CN"/>
              </w:rPr>
              <w:t>23.07</w:t>
            </w:r>
            <w:r>
              <w:rPr>
                <w:rFonts w:hint="default" w:ascii="Arial" w:hAnsi="Arial" w:eastAsia="宋体" w:cs="Arial"/>
                <w:color w:val="auto"/>
                <w:sz w:val="21"/>
                <w:szCs w:val="21"/>
                <w:highlight w:val="none"/>
              </w:rPr>
              <w:t>"</w:t>
            </w:r>
          </w:p>
        </w:tc>
        <w:tc>
          <w:tcPr>
            <w:tcW w:w="1815" w:type="dxa"/>
            <w:vAlign w:val="center"/>
          </w:tcPr>
          <w:p>
            <w:pPr>
              <w:pStyle w:val="63"/>
              <w:ind w:firstLine="0" w:firstLineChars="0"/>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highlight w:val="none"/>
                <w:lang w:val="en-US" w:eastAsia="zh-CN"/>
              </w:rPr>
              <w:t>新胜四社</w:t>
            </w:r>
          </w:p>
        </w:tc>
        <w:tc>
          <w:tcPr>
            <w:tcW w:w="908" w:type="dxa"/>
            <w:vAlign w:val="center"/>
          </w:tcPr>
          <w:p>
            <w:pPr>
              <w:pStyle w:val="63"/>
              <w:ind w:firstLine="0" w:firstLineChars="0"/>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居民</w:t>
            </w:r>
          </w:p>
        </w:tc>
        <w:tc>
          <w:tcPr>
            <w:tcW w:w="908" w:type="dxa"/>
            <w:vAlign w:val="center"/>
          </w:tcPr>
          <w:p>
            <w:pPr>
              <w:pStyle w:val="63"/>
              <w:ind w:firstLine="0" w:firstLineChars="0"/>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highlight w:val="none"/>
                <w:lang w:val="en-US" w:eastAsia="zh-CN"/>
              </w:rPr>
              <w:t>40</w:t>
            </w:r>
          </w:p>
        </w:tc>
        <w:tc>
          <w:tcPr>
            <w:tcW w:w="908" w:type="dxa"/>
            <w:vAlign w:val="center"/>
          </w:tcPr>
          <w:p>
            <w:pPr>
              <w:pStyle w:val="63"/>
              <w:ind w:firstLine="0" w:firstLineChars="0"/>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highlight w:val="none"/>
                <w:lang w:val="en-US" w:eastAsia="zh-CN"/>
              </w:rPr>
              <w:t>92</w:t>
            </w:r>
          </w:p>
        </w:tc>
        <w:tc>
          <w:tcPr>
            <w:tcW w:w="1513" w:type="dxa"/>
            <w:vAlign w:val="center"/>
          </w:tcPr>
          <w:p>
            <w:pPr>
              <w:pStyle w:val="63"/>
              <w:ind w:firstLine="0" w:firstLineChars="0"/>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highlight w:val="none"/>
                <w:lang w:val="en-US" w:eastAsia="zh-CN"/>
              </w:rPr>
              <w:t>西北侧</w:t>
            </w:r>
          </w:p>
        </w:tc>
        <w:tc>
          <w:tcPr>
            <w:tcW w:w="1513" w:type="dxa"/>
            <w:vAlign w:val="center"/>
          </w:tcPr>
          <w:p>
            <w:pPr>
              <w:pStyle w:val="63"/>
              <w:ind w:firstLine="0" w:firstLineChars="0"/>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highlight w:val="none"/>
                <w:lang w:val="en-US" w:eastAsia="zh-CN"/>
              </w:rPr>
              <w:t>1.86</w:t>
            </w:r>
          </w:p>
        </w:tc>
        <w:tc>
          <w:tcPr>
            <w:tcW w:w="1682" w:type="dxa"/>
            <w:vMerge w:val="continue"/>
            <w:vAlign w:val="center"/>
          </w:tcPr>
          <w:p>
            <w:pPr>
              <w:pStyle w:val="63"/>
              <w:rPr>
                <w:rFonts w:hint="default" w:ascii="Arial" w:hAnsi="Arial" w:eastAsia="宋体" w:cs="Arial"/>
                <w:color w:val="auto"/>
                <w:sz w:val="21"/>
                <w:szCs w:val="21"/>
                <w:highlight w:val="none"/>
              </w:rPr>
            </w:pP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1513" w:type="dxa"/>
            <w:vMerge w:val="continue"/>
            <w:vAlign w:val="center"/>
          </w:tcPr>
          <w:p>
            <w:pPr>
              <w:pStyle w:val="63"/>
              <w:jc w:val="center"/>
              <w:rPr>
                <w:rFonts w:hint="default" w:ascii="Arial" w:hAnsi="Arial" w:eastAsia="宋体" w:cs="Arial"/>
                <w:color w:val="auto"/>
                <w:sz w:val="21"/>
                <w:szCs w:val="21"/>
                <w:highlight w:val="none"/>
                <w:lang w:val="en-US" w:eastAsia="zh-CN"/>
              </w:rPr>
            </w:pPr>
          </w:p>
        </w:tc>
        <w:tc>
          <w:tcPr>
            <w:tcW w:w="1815" w:type="dxa"/>
            <w:vAlign w:val="center"/>
          </w:tcPr>
          <w:p>
            <w:pPr>
              <w:pStyle w:val="63"/>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N40°</w:t>
            </w:r>
            <w:r>
              <w:rPr>
                <w:rFonts w:hint="default" w:ascii="Arial" w:hAnsi="Arial" w:eastAsia="宋体" w:cs="Arial"/>
                <w:color w:val="auto"/>
                <w:sz w:val="21"/>
                <w:szCs w:val="21"/>
                <w:highlight w:val="none"/>
                <w:lang w:val="en-US" w:eastAsia="zh-CN"/>
              </w:rPr>
              <w:t>57</w:t>
            </w:r>
            <w:r>
              <w:rPr>
                <w:rFonts w:hint="default" w:ascii="Arial" w:hAnsi="Arial" w:eastAsia="宋体" w:cs="Arial"/>
                <w:color w:val="auto"/>
                <w:sz w:val="21"/>
                <w:szCs w:val="21"/>
                <w:highlight w:val="none"/>
              </w:rPr>
              <w:t>'</w:t>
            </w:r>
            <w:r>
              <w:rPr>
                <w:rFonts w:hint="default" w:ascii="Arial" w:hAnsi="Arial" w:eastAsia="宋体" w:cs="Arial"/>
                <w:color w:val="auto"/>
                <w:sz w:val="21"/>
                <w:szCs w:val="21"/>
                <w:highlight w:val="none"/>
                <w:lang w:val="en-US" w:eastAsia="zh-CN"/>
              </w:rPr>
              <w:t>13.42</w:t>
            </w:r>
            <w:r>
              <w:rPr>
                <w:rFonts w:hint="default" w:ascii="Arial" w:hAnsi="Arial" w:eastAsia="宋体" w:cs="Arial"/>
                <w:color w:val="auto"/>
                <w:sz w:val="21"/>
                <w:szCs w:val="21"/>
                <w:highlight w:val="none"/>
              </w:rPr>
              <w:t>"</w:t>
            </w:r>
          </w:p>
        </w:tc>
        <w:tc>
          <w:tcPr>
            <w:tcW w:w="1815" w:type="dxa"/>
            <w:vAlign w:val="center"/>
          </w:tcPr>
          <w:p>
            <w:pPr>
              <w:pStyle w:val="63"/>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E10</w:t>
            </w:r>
            <w:r>
              <w:rPr>
                <w:rFonts w:hint="default" w:ascii="Arial" w:hAnsi="Arial" w:eastAsia="宋体" w:cs="Arial"/>
                <w:color w:val="auto"/>
                <w:sz w:val="21"/>
                <w:szCs w:val="21"/>
                <w:highlight w:val="none"/>
                <w:lang w:val="en-US" w:eastAsia="zh-CN"/>
              </w:rPr>
              <w:t>7</w:t>
            </w:r>
            <w:r>
              <w:rPr>
                <w:rFonts w:hint="default" w:ascii="Arial" w:hAnsi="Arial" w:eastAsia="宋体" w:cs="Arial"/>
                <w:color w:val="auto"/>
                <w:sz w:val="21"/>
                <w:szCs w:val="21"/>
                <w:highlight w:val="none"/>
              </w:rPr>
              <w:t>°</w:t>
            </w:r>
            <w:r>
              <w:rPr>
                <w:rFonts w:hint="default" w:ascii="Arial" w:hAnsi="Arial" w:eastAsia="宋体" w:cs="Arial"/>
                <w:color w:val="auto"/>
                <w:sz w:val="21"/>
                <w:szCs w:val="21"/>
                <w:highlight w:val="none"/>
                <w:lang w:val="en-US" w:eastAsia="zh-CN"/>
              </w:rPr>
              <w:t>39</w:t>
            </w:r>
            <w:r>
              <w:rPr>
                <w:rFonts w:hint="default" w:ascii="Arial" w:hAnsi="Arial" w:eastAsia="宋体" w:cs="Arial"/>
                <w:color w:val="auto"/>
                <w:sz w:val="21"/>
                <w:szCs w:val="21"/>
                <w:highlight w:val="none"/>
              </w:rPr>
              <w:t>'</w:t>
            </w:r>
            <w:r>
              <w:rPr>
                <w:rFonts w:hint="default" w:ascii="Arial" w:hAnsi="Arial" w:eastAsia="宋体" w:cs="Arial"/>
                <w:color w:val="auto"/>
                <w:sz w:val="21"/>
                <w:szCs w:val="21"/>
                <w:highlight w:val="none"/>
                <w:lang w:val="en-US" w:eastAsia="zh-CN"/>
              </w:rPr>
              <w:t>31.66</w:t>
            </w:r>
            <w:r>
              <w:rPr>
                <w:rFonts w:hint="default" w:ascii="Arial" w:hAnsi="Arial" w:eastAsia="宋体" w:cs="Arial"/>
                <w:color w:val="auto"/>
                <w:sz w:val="21"/>
                <w:szCs w:val="21"/>
                <w:highlight w:val="none"/>
              </w:rPr>
              <w:t>"</w:t>
            </w:r>
          </w:p>
        </w:tc>
        <w:tc>
          <w:tcPr>
            <w:tcW w:w="1815" w:type="dxa"/>
            <w:vAlign w:val="center"/>
          </w:tcPr>
          <w:p>
            <w:pPr>
              <w:pStyle w:val="63"/>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lang w:val="en-US" w:eastAsia="zh-CN"/>
              </w:rPr>
              <w:t>新胜二社</w:t>
            </w:r>
          </w:p>
        </w:tc>
        <w:tc>
          <w:tcPr>
            <w:tcW w:w="908" w:type="dxa"/>
            <w:vAlign w:val="center"/>
          </w:tcPr>
          <w:p>
            <w:pPr>
              <w:pStyle w:val="63"/>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居民</w:t>
            </w:r>
          </w:p>
        </w:tc>
        <w:tc>
          <w:tcPr>
            <w:tcW w:w="908" w:type="dxa"/>
            <w:vAlign w:val="center"/>
          </w:tcPr>
          <w:p>
            <w:pPr>
              <w:pStyle w:val="63"/>
              <w:ind w:firstLine="0" w:firstLineChars="0"/>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highlight w:val="none"/>
                <w:lang w:val="en-US" w:eastAsia="zh-CN"/>
              </w:rPr>
              <w:t>53</w:t>
            </w:r>
          </w:p>
        </w:tc>
        <w:tc>
          <w:tcPr>
            <w:tcW w:w="908" w:type="dxa"/>
            <w:vAlign w:val="center"/>
          </w:tcPr>
          <w:p>
            <w:pPr>
              <w:pStyle w:val="63"/>
              <w:ind w:firstLine="0" w:firstLineChars="0"/>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highlight w:val="none"/>
                <w:lang w:val="en-US" w:eastAsia="zh-CN"/>
              </w:rPr>
              <w:t>122</w:t>
            </w:r>
          </w:p>
        </w:tc>
        <w:tc>
          <w:tcPr>
            <w:tcW w:w="1513" w:type="dxa"/>
            <w:vAlign w:val="center"/>
          </w:tcPr>
          <w:p>
            <w:pPr>
              <w:pStyle w:val="63"/>
              <w:ind w:firstLine="0" w:firstLineChars="0"/>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highlight w:val="none"/>
                <w:lang w:val="en-US" w:eastAsia="zh-CN"/>
              </w:rPr>
              <w:t>西北侧</w:t>
            </w:r>
          </w:p>
        </w:tc>
        <w:tc>
          <w:tcPr>
            <w:tcW w:w="1513" w:type="dxa"/>
            <w:vAlign w:val="center"/>
          </w:tcPr>
          <w:p>
            <w:pPr>
              <w:pStyle w:val="63"/>
              <w:ind w:firstLine="0" w:firstLineChars="0"/>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highlight w:val="none"/>
                <w:lang w:val="en-US" w:eastAsia="zh-CN"/>
              </w:rPr>
              <w:t>2.25</w:t>
            </w:r>
          </w:p>
        </w:tc>
        <w:tc>
          <w:tcPr>
            <w:tcW w:w="1682" w:type="dxa"/>
            <w:vMerge w:val="continue"/>
            <w:vAlign w:val="center"/>
          </w:tcPr>
          <w:p>
            <w:pPr>
              <w:pStyle w:val="63"/>
              <w:rPr>
                <w:rFonts w:hint="default" w:ascii="Arial" w:hAnsi="Arial" w:eastAsia="宋体" w:cs="Arial"/>
                <w:color w:val="auto"/>
                <w:sz w:val="21"/>
                <w:szCs w:val="21"/>
                <w:highlight w:val="none"/>
              </w:rPr>
            </w:pP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1513" w:type="dxa"/>
            <w:vMerge w:val="continue"/>
            <w:vAlign w:val="center"/>
          </w:tcPr>
          <w:p>
            <w:pPr>
              <w:pStyle w:val="63"/>
              <w:jc w:val="center"/>
              <w:rPr>
                <w:rFonts w:hint="default" w:ascii="Arial" w:hAnsi="Arial" w:eastAsia="宋体" w:cs="Arial"/>
                <w:color w:val="auto"/>
                <w:sz w:val="21"/>
                <w:szCs w:val="21"/>
                <w:highlight w:val="none"/>
                <w:lang w:val="en-US" w:eastAsia="zh-CN"/>
              </w:rPr>
            </w:pPr>
          </w:p>
        </w:tc>
        <w:tc>
          <w:tcPr>
            <w:tcW w:w="1815" w:type="dxa"/>
            <w:vAlign w:val="center"/>
          </w:tcPr>
          <w:p>
            <w:pPr>
              <w:pStyle w:val="63"/>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N40°</w:t>
            </w:r>
            <w:r>
              <w:rPr>
                <w:rFonts w:hint="default" w:ascii="Arial" w:hAnsi="Arial" w:eastAsia="宋体" w:cs="Arial"/>
                <w:color w:val="auto"/>
                <w:sz w:val="21"/>
                <w:szCs w:val="21"/>
                <w:highlight w:val="none"/>
                <w:lang w:val="en-US" w:eastAsia="zh-CN"/>
              </w:rPr>
              <w:t>56</w:t>
            </w:r>
            <w:r>
              <w:rPr>
                <w:rFonts w:hint="default" w:ascii="Arial" w:hAnsi="Arial" w:eastAsia="宋体" w:cs="Arial"/>
                <w:color w:val="auto"/>
                <w:sz w:val="21"/>
                <w:szCs w:val="21"/>
                <w:highlight w:val="none"/>
              </w:rPr>
              <w:t>'</w:t>
            </w:r>
            <w:r>
              <w:rPr>
                <w:rFonts w:hint="default" w:ascii="Arial" w:hAnsi="Arial" w:eastAsia="宋体" w:cs="Arial"/>
                <w:color w:val="auto"/>
                <w:sz w:val="21"/>
                <w:szCs w:val="21"/>
                <w:highlight w:val="none"/>
                <w:lang w:val="en-US" w:eastAsia="zh-CN"/>
              </w:rPr>
              <w:t>57.51</w:t>
            </w:r>
            <w:r>
              <w:rPr>
                <w:rFonts w:hint="default" w:ascii="Arial" w:hAnsi="Arial" w:eastAsia="宋体" w:cs="Arial"/>
                <w:color w:val="auto"/>
                <w:sz w:val="21"/>
                <w:szCs w:val="21"/>
                <w:highlight w:val="none"/>
              </w:rPr>
              <w:t>"</w:t>
            </w:r>
          </w:p>
        </w:tc>
        <w:tc>
          <w:tcPr>
            <w:tcW w:w="1815" w:type="dxa"/>
            <w:vAlign w:val="center"/>
          </w:tcPr>
          <w:p>
            <w:pPr>
              <w:pStyle w:val="63"/>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E10</w:t>
            </w:r>
            <w:r>
              <w:rPr>
                <w:rFonts w:hint="default" w:ascii="Arial" w:hAnsi="Arial" w:eastAsia="宋体" w:cs="Arial"/>
                <w:color w:val="auto"/>
                <w:sz w:val="21"/>
                <w:szCs w:val="21"/>
                <w:highlight w:val="none"/>
                <w:lang w:val="en-US" w:eastAsia="zh-CN"/>
              </w:rPr>
              <w:t>7</w:t>
            </w:r>
            <w:r>
              <w:rPr>
                <w:rFonts w:hint="default" w:ascii="Arial" w:hAnsi="Arial" w:eastAsia="宋体" w:cs="Arial"/>
                <w:color w:val="auto"/>
                <w:sz w:val="21"/>
                <w:szCs w:val="21"/>
                <w:highlight w:val="none"/>
              </w:rPr>
              <w:t>°</w:t>
            </w:r>
            <w:r>
              <w:rPr>
                <w:rFonts w:hint="default" w:ascii="Arial" w:hAnsi="Arial" w:eastAsia="宋体" w:cs="Arial"/>
                <w:color w:val="auto"/>
                <w:sz w:val="21"/>
                <w:szCs w:val="21"/>
                <w:highlight w:val="none"/>
                <w:lang w:val="en-US" w:eastAsia="zh-CN"/>
              </w:rPr>
              <w:t>40</w:t>
            </w:r>
            <w:r>
              <w:rPr>
                <w:rFonts w:hint="default" w:ascii="Arial" w:hAnsi="Arial" w:eastAsia="宋体" w:cs="Arial"/>
                <w:color w:val="auto"/>
                <w:sz w:val="21"/>
                <w:szCs w:val="21"/>
                <w:highlight w:val="none"/>
              </w:rPr>
              <w:t>'</w:t>
            </w:r>
            <w:r>
              <w:rPr>
                <w:rFonts w:hint="default" w:ascii="Arial" w:hAnsi="Arial" w:eastAsia="宋体" w:cs="Arial"/>
                <w:color w:val="auto"/>
                <w:sz w:val="21"/>
                <w:szCs w:val="21"/>
                <w:highlight w:val="none"/>
                <w:lang w:val="en-US" w:eastAsia="zh-CN"/>
              </w:rPr>
              <w:t>51.98</w:t>
            </w:r>
            <w:r>
              <w:rPr>
                <w:rFonts w:hint="default" w:ascii="Arial" w:hAnsi="Arial" w:eastAsia="宋体" w:cs="Arial"/>
                <w:color w:val="auto"/>
                <w:sz w:val="21"/>
                <w:szCs w:val="21"/>
                <w:highlight w:val="none"/>
              </w:rPr>
              <w:t>"</w:t>
            </w:r>
          </w:p>
        </w:tc>
        <w:tc>
          <w:tcPr>
            <w:tcW w:w="1815" w:type="dxa"/>
            <w:vAlign w:val="center"/>
          </w:tcPr>
          <w:p>
            <w:pPr>
              <w:pStyle w:val="63"/>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lang w:val="en-US" w:eastAsia="zh-CN"/>
              </w:rPr>
              <w:t>新胜五社</w:t>
            </w:r>
          </w:p>
        </w:tc>
        <w:tc>
          <w:tcPr>
            <w:tcW w:w="908" w:type="dxa"/>
            <w:vAlign w:val="center"/>
          </w:tcPr>
          <w:p>
            <w:pPr>
              <w:pStyle w:val="63"/>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居民</w:t>
            </w:r>
          </w:p>
        </w:tc>
        <w:tc>
          <w:tcPr>
            <w:tcW w:w="908" w:type="dxa"/>
            <w:vAlign w:val="center"/>
          </w:tcPr>
          <w:p>
            <w:pPr>
              <w:pStyle w:val="63"/>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lang w:val="en-US" w:eastAsia="zh-CN"/>
              </w:rPr>
              <w:t>33</w:t>
            </w:r>
          </w:p>
        </w:tc>
        <w:tc>
          <w:tcPr>
            <w:tcW w:w="908" w:type="dxa"/>
            <w:vAlign w:val="center"/>
          </w:tcPr>
          <w:p>
            <w:pPr>
              <w:pStyle w:val="63"/>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lang w:val="en-US" w:eastAsia="zh-CN"/>
              </w:rPr>
              <w:t>75</w:t>
            </w:r>
          </w:p>
        </w:tc>
        <w:tc>
          <w:tcPr>
            <w:tcW w:w="1513" w:type="dxa"/>
            <w:vAlign w:val="center"/>
          </w:tcPr>
          <w:p>
            <w:pPr>
              <w:pStyle w:val="63"/>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lang w:val="en-US" w:eastAsia="zh-CN"/>
              </w:rPr>
              <w:t>北侧</w:t>
            </w:r>
          </w:p>
        </w:tc>
        <w:tc>
          <w:tcPr>
            <w:tcW w:w="1513" w:type="dxa"/>
            <w:vAlign w:val="center"/>
          </w:tcPr>
          <w:p>
            <w:pPr>
              <w:pStyle w:val="63"/>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lang w:val="en-US" w:eastAsia="zh-CN"/>
              </w:rPr>
              <w:t>1.11</w:t>
            </w:r>
          </w:p>
        </w:tc>
        <w:tc>
          <w:tcPr>
            <w:tcW w:w="1682" w:type="dxa"/>
            <w:vMerge w:val="continue"/>
            <w:vAlign w:val="center"/>
          </w:tcPr>
          <w:p>
            <w:pPr>
              <w:pStyle w:val="63"/>
              <w:rPr>
                <w:rFonts w:hint="default" w:ascii="Arial" w:hAnsi="Arial" w:eastAsia="宋体" w:cs="Arial"/>
                <w:color w:val="auto"/>
                <w:sz w:val="21"/>
                <w:szCs w:val="21"/>
                <w:highlight w:val="none"/>
              </w:rPr>
            </w:pP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1513" w:type="dxa"/>
            <w:vMerge w:val="restart"/>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地下水环境</w:t>
            </w:r>
          </w:p>
        </w:tc>
        <w:tc>
          <w:tcPr>
            <w:tcW w:w="1815" w:type="dxa"/>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zh-CN" w:eastAsia="zh-CN" w:bidi="ar-SA"/>
              </w:rPr>
            </w:pPr>
            <w:r>
              <w:rPr>
                <w:rFonts w:hint="default" w:ascii="Arial" w:hAnsi="Arial" w:eastAsia="宋体" w:cs="Arial"/>
                <w:color w:val="auto"/>
                <w:kern w:val="2"/>
                <w:sz w:val="21"/>
                <w:szCs w:val="21"/>
                <w:highlight w:val="none"/>
                <w:lang w:val="en-US" w:eastAsia="zh-CN" w:bidi="ar-SA"/>
              </w:rPr>
              <w:t>E107°40′33.3″</w:t>
            </w:r>
          </w:p>
        </w:tc>
        <w:tc>
          <w:tcPr>
            <w:tcW w:w="1815" w:type="dxa"/>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zh-CN" w:eastAsia="zh-CN" w:bidi="ar-SA"/>
              </w:rPr>
            </w:pPr>
            <w:r>
              <w:rPr>
                <w:rFonts w:hint="default" w:ascii="Arial" w:hAnsi="Arial" w:eastAsia="宋体" w:cs="Arial"/>
                <w:color w:val="auto"/>
                <w:kern w:val="2"/>
                <w:sz w:val="21"/>
                <w:szCs w:val="21"/>
                <w:highlight w:val="none"/>
                <w:lang w:val="en-US" w:eastAsia="zh-CN" w:bidi="ar-SA"/>
              </w:rPr>
              <w:t>N40°55′36.12″</w:t>
            </w:r>
          </w:p>
        </w:tc>
        <w:tc>
          <w:tcPr>
            <w:tcW w:w="1815" w:type="dxa"/>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lang w:val="en-US" w:eastAsia="zh-CN"/>
              </w:rPr>
              <w:t>☆1项目南侧新义五社水井（1#）</w:t>
            </w:r>
          </w:p>
        </w:tc>
        <w:tc>
          <w:tcPr>
            <w:tcW w:w="2724" w:type="dxa"/>
            <w:gridSpan w:val="3"/>
            <w:vAlign w:val="center"/>
          </w:tcPr>
          <w:p>
            <w:pPr>
              <w:pStyle w:val="63"/>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饮用水井</w:t>
            </w:r>
          </w:p>
        </w:tc>
        <w:tc>
          <w:tcPr>
            <w:tcW w:w="1513"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highlight w:val="none"/>
                <w:lang w:val="en-US" w:eastAsia="zh-CN"/>
              </w:rPr>
              <w:t>南侧</w:t>
            </w:r>
          </w:p>
        </w:tc>
        <w:tc>
          <w:tcPr>
            <w:tcW w:w="1513"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highlight w:val="none"/>
                <w:lang w:val="en-US" w:eastAsia="zh-CN"/>
              </w:rPr>
              <w:t>0.77</w:t>
            </w:r>
            <w:r>
              <w:rPr>
                <w:rFonts w:hint="default" w:ascii="Arial" w:hAnsi="Arial" w:eastAsia="宋体" w:cs="Arial"/>
                <w:color w:val="auto"/>
                <w:highlight w:val="none"/>
              </w:rPr>
              <w:t>km</w:t>
            </w:r>
          </w:p>
        </w:tc>
        <w:tc>
          <w:tcPr>
            <w:tcW w:w="1682" w:type="dxa"/>
            <w:vMerge w:val="restart"/>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《地下水环境质量标准》（GB/T14848－2017）的III类标准</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1513" w:type="dxa"/>
            <w:vMerge w:val="continue"/>
            <w:vAlign w:val="center"/>
          </w:tcPr>
          <w:p>
            <w:pPr>
              <w:pStyle w:val="63"/>
              <w:rPr>
                <w:rFonts w:hint="default" w:ascii="Arial" w:hAnsi="Arial" w:eastAsia="宋体" w:cs="Arial"/>
                <w:color w:val="auto"/>
                <w:sz w:val="21"/>
                <w:szCs w:val="21"/>
                <w:highlight w:val="none"/>
              </w:rPr>
            </w:pPr>
          </w:p>
        </w:tc>
        <w:tc>
          <w:tcPr>
            <w:tcW w:w="1815" w:type="dxa"/>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zh-CN" w:eastAsia="zh-CN" w:bidi="ar-SA"/>
              </w:rPr>
            </w:pPr>
            <w:r>
              <w:rPr>
                <w:rFonts w:hint="default" w:ascii="Arial" w:hAnsi="Arial" w:eastAsia="宋体" w:cs="Arial"/>
                <w:color w:val="auto"/>
                <w:kern w:val="2"/>
                <w:sz w:val="21"/>
                <w:szCs w:val="21"/>
                <w:highlight w:val="none"/>
                <w:lang w:val="en-US" w:eastAsia="zh-CN" w:bidi="ar-SA"/>
              </w:rPr>
              <w:t>E107°40′57.43″</w:t>
            </w:r>
          </w:p>
        </w:tc>
        <w:tc>
          <w:tcPr>
            <w:tcW w:w="1815" w:type="dxa"/>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zh-CN" w:eastAsia="zh-CN" w:bidi="ar-SA"/>
              </w:rPr>
            </w:pPr>
            <w:r>
              <w:rPr>
                <w:rFonts w:hint="default" w:ascii="Arial" w:hAnsi="Arial" w:eastAsia="宋体" w:cs="Arial"/>
                <w:color w:val="auto"/>
                <w:kern w:val="2"/>
                <w:sz w:val="21"/>
                <w:szCs w:val="21"/>
                <w:highlight w:val="none"/>
                <w:lang w:val="en-US" w:eastAsia="zh-CN" w:bidi="ar-SA"/>
              </w:rPr>
              <w:t>N40°57′1.61″</w:t>
            </w:r>
          </w:p>
        </w:tc>
        <w:tc>
          <w:tcPr>
            <w:tcW w:w="1815" w:type="dxa"/>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lang w:val="en-US" w:eastAsia="zh-CN"/>
              </w:rPr>
              <w:t>☆2项目北侧新胜五社水井（1#）</w:t>
            </w:r>
          </w:p>
        </w:tc>
        <w:tc>
          <w:tcPr>
            <w:tcW w:w="2724" w:type="dxa"/>
            <w:gridSpan w:val="3"/>
            <w:vAlign w:val="center"/>
          </w:tcPr>
          <w:p>
            <w:pPr>
              <w:pStyle w:val="63"/>
              <w:ind w:firstLine="0" w:firstLineChars="0"/>
              <w:jc w:val="center"/>
              <w:rPr>
                <w:rFonts w:hint="default" w:ascii="Arial" w:hAnsi="Arial" w:eastAsia="宋体" w:cs="Arial"/>
                <w:color w:val="auto"/>
                <w:sz w:val="21"/>
                <w:szCs w:val="21"/>
                <w:highlight w:val="none"/>
                <w:lang w:val="en-US" w:eastAsia="zh-CN"/>
              </w:rPr>
            </w:pPr>
            <w:r>
              <w:rPr>
                <w:rFonts w:hint="default" w:ascii="Arial" w:hAnsi="Arial" w:eastAsia="宋体" w:cs="Arial"/>
                <w:color w:val="auto"/>
                <w:kern w:val="2"/>
                <w:sz w:val="21"/>
                <w:szCs w:val="21"/>
                <w:highlight w:val="none"/>
                <w:lang w:val="en-US" w:eastAsia="zh-CN" w:bidi="ar-SA"/>
              </w:rPr>
              <w:t>饮用水井</w:t>
            </w:r>
          </w:p>
        </w:tc>
        <w:tc>
          <w:tcPr>
            <w:tcW w:w="1513"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lang w:val="en-US" w:eastAsia="zh-CN"/>
              </w:rPr>
              <w:t>北侧</w:t>
            </w:r>
          </w:p>
        </w:tc>
        <w:tc>
          <w:tcPr>
            <w:tcW w:w="1513"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0"/>
                <w:szCs w:val="21"/>
                <w:highlight w:val="none"/>
                <w:lang w:val="en-US" w:eastAsia="zh-CN"/>
              </w:rPr>
              <w:t>1.25</w:t>
            </w:r>
            <w:r>
              <w:rPr>
                <w:rFonts w:hint="default" w:ascii="Arial" w:hAnsi="Arial" w:eastAsia="宋体" w:cs="Arial"/>
                <w:color w:val="auto"/>
                <w:kern w:val="0"/>
                <w:szCs w:val="21"/>
                <w:highlight w:val="none"/>
              </w:rPr>
              <w:t>km</w:t>
            </w:r>
          </w:p>
        </w:tc>
        <w:tc>
          <w:tcPr>
            <w:tcW w:w="1682" w:type="dxa"/>
            <w:vMerge w:val="continue"/>
            <w:vAlign w:val="center"/>
          </w:tcPr>
          <w:p>
            <w:pPr>
              <w:pStyle w:val="63"/>
              <w:rPr>
                <w:rFonts w:hint="default" w:ascii="Arial" w:hAnsi="Arial" w:eastAsia="宋体" w:cs="Arial"/>
                <w:color w:val="auto"/>
                <w:sz w:val="21"/>
                <w:szCs w:val="21"/>
                <w:highlight w:val="none"/>
              </w:rPr>
            </w:pP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1513" w:type="dxa"/>
            <w:vMerge w:val="continue"/>
            <w:vAlign w:val="center"/>
          </w:tcPr>
          <w:p>
            <w:pPr>
              <w:pStyle w:val="63"/>
              <w:rPr>
                <w:rFonts w:hint="default" w:ascii="Arial" w:hAnsi="Arial" w:eastAsia="宋体" w:cs="Arial"/>
                <w:color w:val="auto"/>
                <w:sz w:val="21"/>
                <w:szCs w:val="21"/>
                <w:highlight w:val="none"/>
              </w:rPr>
            </w:pPr>
          </w:p>
        </w:tc>
        <w:tc>
          <w:tcPr>
            <w:tcW w:w="1815" w:type="dxa"/>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E107°41′6.45″</w:t>
            </w:r>
          </w:p>
        </w:tc>
        <w:tc>
          <w:tcPr>
            <w:tcW w:w="1815" w:type="dxa"/>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N40°56′8.17″</w:t>
            </w:r>
          </w:p>
        </w:tc>
        <w:tc>
          <w:tcPr>
            <w:tcW w:w="1815" w:type="dxa"/>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lang w:val="en-US" w:eastAsia="zh-CN"/>
              </w:rPr>
              <w:t>☆3项目东侧养殖场水井</w:t>
            </w:r>
          </w:p>
        </w:tc>
        <w:tc>
          <w:tcPr>
            <w:tcW w:w="2724" w:type="dxa"/>
            <w:gridSpan w:val="3"/>
            <w:vAlign w:val="center"/>
          </w:tcPr>
          <w:p>
            <w:pPr>
              <w:pStyle w:val="63"/>
              <w:ind w:firstLine="0" w:firstLineChars="0"/>
              <w:jc w:val="center"/>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highlight w:val="none"/>
                <w:lang w:val="en-US" w:eastAsia="zh-CN"/>
              </w:rPr>
              <w:t>养殖用水井</w:t>
            </w:r>
          </w:p>
        </w:tc>
        <w:tc>
          <w:tcPr>
            <w:tcW w:w="1513"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highlight w:val="none"/>
                <w:lang w:val="en-US" w:eastAsia="zh-CN"/>
              </w:rPr>
              <w:t>东侧</w:t>
            </w:r>
          </w:p>
        </w:tc>
        <w:tc>
          <w:tcPr>
            <w:tcW w:w="1513"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0"/>
                <w:szCs w:val="21"/>
                <w:highlight w:val="none"/>
                <w:lang w:val="en-US" w:eastAsia="zh-CN"/>
              </w:rPr>
            </w:pPr>
            <w:r>
              <w:rPr>
                <w:rFonts w:hint="default" w:ascii="Arial" w:hAnsi="Arial" w:eastAsia="宋体" w:cs="Arial"/>
                <w:color w:val="auto"/>
                <w:kern w:val="0"/>
                <w:szCs w:val="21"/>
                <w:highlight w:val="none"/>
                <w:lang w:val="en-US" w:eastAsia="zh-CN"/>
              </w:rPr>
              <w:t>0.30km</w:t>
            </w:r>
          </w:p>
        </w:tc>
        <w:tc>
          <w:tcPr>
            <w:tcW w:w="1682" w:type="dxa"/>
            <w:vMerge w:val="continue"/>
            <w:vAlign w:val="center"/>
          </w:tcPr>
          <w:p>
            <w:pPr>
              <w:pStyle w:val="63"/>
              <w:rPr>
                <w:rFonts w:hint="default" w:ascii="Arial" w:hAnsi="Arial" w:eastAsia="宋体" w:cs="Arial"/>
                <w:color w:val="auto"/>
                <w:sz w:val="21"/>
                <w:szCs w:val="21"/>
                <w:highlight w:val="none"/>
              </w:rPr>
            </w:pP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1513" w:type="dxa"/>
            <w:vMerge w:val="continue"/>
            <w:vAlign w:val="center"/>
          </w:tcPr>
          <w:p>
            <w:pPr>
              <w:pStyle w:val="63"/>
              <w:rPr>
                <w:rFonts w:hint="default" w:ascii="Arial" w:hAnsi="Arial" w:eastAsia="宋体" w:cs="Arial"/>
                <w:color w:val="auto"/>
                <w:sz w:val="21"/>
                <w:szCs w:val="21"/>
                <w:highlight w:val="none"/>
              </w:rPr>
            </w:pPr>
          </w:p>
        </w:tc>
        <w:tc>
          <w:tcPr>
            <w:tcW w:w="1815" w:type="dxa"/>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E107°40′31.01″</w:t>
            </w:r>
          </w:p>
        </w:tc>
        <w:tc>
          <w:tcPr>
            <w:tcW w:w="1815" w:type="dxa"/>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N40°55′41.63″</w:t>
            </w:r>
          </w:p>
        </w:tc>
        <w:tc>
          <w:tcPr>
            <w:tcW w:w="1815" w:type="dxa"/>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lang w:val="en-US" w:eastAsia="zh-CN"/>
              </w:rPr>
              <w:t>☆4项目南侧新义五社水井（2#）</w:t>
            </w:r>
          </w:p>
        </w:tc>
        <w:tc>
          <w:tcPr>
            <w:tcW w:w="2724" w:type="dxa"/>
            <w:gridSpan w:val="3"/>
            <w:vAlign w:val="center"/>
          </w:tcPr>
          <w:p>
            <w:pPr>
              <w:pStyle w:val="63"/>
              <w:ind w:firstLine="0" w:firstLineChars="0"/>
              <w:jc w:val="center"/>
              <w:rPr>
                <w:rFonts w:hint="default" w:ascii="Arial" w:hAnsi="Arial" w:eastAsia="宋体" w:cs="Arial"/>
                <w:color w:val="auto"/>
                <w:sz w:val="21"/>
                <w:szCs w:val="21"/>
                <w:highlight w:val="none"/>
                <w:lang w:val="en-US" w:eastAsia="zh-CN"/>
              </w:rPr>
            </w:pPr>
            <w:r>
              <w:rPr>
                <w:rFonts w:hint="default" w:ascii="Arial" w:hAnsi="Arial" w:eastAsia="宋体" w:cs="Arial"/>
                <w:color w:val="auto"/>
                <w:kern w:val="2"/>
                <w:sz w:val="21"/>
                <w:szCs w:val="21"/>
                <w:highlight w:val="none"/>
                <w:lang w:val="en-US" w:eastAsia="zh-CN" w:bidi="ar-SA"/>
              </w:rPr>
              <w:t>饮用水井</w:t>
            </w:r>
          </w:p>
        </w:tc>
        <w:tc>
          <w:tcPr>
            <w:tcW w:w="1513"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highlight w:val="none"/>
                <w:lang w:val="en-US" w:eastAsia="zh-CN"/>
              </w:rPr>
            </w:pPr>
            <w:r>
              <w:rPr>
                <w:rFonts w:hint="default" w:ascii="Arial" w:hAnsi="Arial" w:eastAsia="宋体" w:cs="Arial"/>
                <w:color w:val="auto"/>
                <w:highlight w:val="none"/>
                <w:lang w:val="en-US" w:eastAsia="zh-CN"/>
              </w:rPr>
              <w:t>南侧</w:t>
            </w:r>
          </w:p>
        </w:tc>
        <w:tc>
          <w:tcPr>
            <w:tcW w:w="1513"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0"/>
                <w:szCs w:val="21"/>
                <w:highlight w:val="none"/>
                <w:lang w:val="en-US" w:eastAsia="zh-CN"/>
              </w:rPr>
            </w:pPr>
            <w:r>
              <w:rPr>
                <w:rFonts w:hint="default" w:ascii="Arial" w:hAnsi="Arial" w:eastAsia="宋体" w:cs="Arial"/>
                <w:color w:val="auto"/>
                <w:kern w:val="0"/>
                <w:szCs w:val="21"/>
                <w:highlight w:val="none"/>
                <w:lang w:val="en-US" w:eastAsia="zh-CN"/>
              </w:rPr>
              <w:t>0.62km</w:t>
            </w:r>
          </w:p>
        </w:tc>
        <w:tc>
          <w:tcPr>
            <w:tcW w:w="1682" w:type="dxa"/>
            <w:vMerge w:val="continue"/>
            <w:vAlign w:val="center"/>
          </w:tcPr>
          <w:p>
            <w:pPr>
              <w:pStyle w:val="63"/>
              <w:rPr>
                <w:rFonts w:hint="default" w:ascii="Arial" w:hAnsi="Arial" w:eastAsia="宋体" w:cs="Arial"/>
                <w:color w:val="auto"/>
                <w:sz w:val="21"/>
                <w:szCs w:val="21"/>
                <w:highlight w:val="none"/>
              </w:rPr>
            </w:pP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1513" w:type="dxa"/>
            <w:vMerge w:val="continue"/>
            <w:vAlign w:val="center"/>
          </w:tcPr>
          <w:p>
            <w:pPr>
              <w:pStyle w:val="63"/>
              <w:rPr>
                <w:rFonts w:hint="default" w:ascii="Arial" w:hAnsi="Arial" w:eastAsia="宋体" w:cs="Arial"/>
                <w:color w:val="auto"/>
                <w:sz w:val="21"/>
                <w:szCs w:val="21"/>
                <w:highlight w:val="none"/>
              </w:rPr>
            </w:pPr>
          </w:p>
        </w:tc>
        <w:tc>
          <w:tcPr>
            <w:tcW w:w="1815" w:type="dxa"/>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zh-CN" w:eastAsia="zh-CN" w:bidi="ar-SA"/>
              </w:rPr>
            </w:pPr>
            <w:r>
              <w:rPr>
                <w:rFonts w:hint="default" w:ascii="Arial" w:hAnsi="Arial" w:eastAsia="宋体" w:cs="Arial"/>
                <w:color w:val="auto"/>
                <w:kern w:val="2"/>
                <w:sz w:val="21"/>
                <w:szCs w:val="21"/>
                <w:highlight w:val="none"/>
                <w:lang w:val="en-US" w:eastAsia="zh-CN" w:bidi="ar-SA"/>
              </w:rPr>
              <w:t>E107°40′50.5″</w:t>
            </w:r>
          </w:p>
        </w:tc>
        <w:tc>
          <w:tcPr>
            <w:tcW w:w="1815" w:type="dxa"/>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zh-CN" w:eastAsia="zh-CN" w:bidi="ar-SA"/>
              </w:rPr>
            </w:pPr>
            <w:r>
              <w:rPr>
                <w:rFonts w:hint="default" w:ascii="Arial" w:hAnsi="Arial" w:eastAsia="宋体" w:cs="Arial"/>
                <w:color w:val="auto"/>
                <w:kern w:val="2"/>
                <w:sz w:val="21"/>
                <w:szCs w:val="21"/>
                <w:highlight w:val="none"/>
                <w:lang w:val="en-US" w:eastAsia="zh-CN" w:bidi="ar-SA"/>
              </w:rPr>
              <w:t>N40°57′2.33″</w:t>
            </w:r>
          </w:p>
        </w:tc>
        <w:tc>
          <w:tcPr>
            <w:tcW w:w="1815" w:type="dxa"/>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lang w:val="en-US" w:eastAsia="zh-CN"/>
              </w:rPr>
              <w:t>☆5项目北侧新胜五社水井（2#）</w:t>
            </w:r>
          </w:p>
        </w:tc>
        <w:tc>
          <w:tcPr>
            <w:tcW w:w="2724" w:type="dxa"/>
            <w:gridSpan w:val="3"/>
            <w:vAlign w:val="center"/>
          </w:tcPr>
          <w:p>
            <w:pPr>
              <w:pStyle w:val="63"/>
              <w:ind w:firstLine="0" w:firstLineChars="0"/>
              <w:jc w:val="center"/>
              <w:rPr>
                <w:rFonts w:hint="default" w:ascii="Arial" w:hAnsi="Arial" w:eastAsia="宋体" w:cs="Arial"/>
                <w:color w:val="auto"/>
                <w:sz w:val="21"/>
                <w:szCs w:val="21"/>
                <w:highlight w:val="none"/>
                <w:lang w:val="en-US" w:eastAsia="zh-CN"/>
              </w:rPr>
            </w:pPr>
            <w:r>
              <w:rPr>
                <w:rFonts w:hint="default" w:ascii="Arial" w:hAnsi="Arial" w:eastAsia="宋体" w:cs="Arial"/>
                <w:color w:val="auto"/>
                <w:kern w:val="2"/>
                <w:sz w:val="21"/>
                <w:szCs w:val="21"/>
                <w:highlight w:val="none"/>
                <w:lang w:val="en-US" w:eastAsia="zh-CN" w:bidi="ar-SA"/>
              </w:rPr>
              <w:t>饮用水井</w:t>
            </w:r>
          </w:p>
        </w:tc>
        <w:tc>
          <w:tcPr>
            <w:tcW w:w="1513"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lang w:val="en-US" w:eastAsia="zh-CN"/>
              </w:rPr>
              <w:t>北侧</w:t>
            </w:r>
          </w:p>
        </w:tc>
        <w:tc>
          <w:tcPr>
            <w:tcW w:w="1513"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highlight w:val="none"/>
                <w:lang w:val="en-US" w:eastAsia="zh-CN"/>
              </w:rPr>
              <w:t>1.29</w:t>
            </w:r>
            <w:r>
              <w:rPr>
                <w:rFonts w:hint="default" w:ascii="Arial" w:hAnsi="Arial" w:eastAsia="宋体" w:cs="Arial"/>
                <w:color w:val="auto"/>
                <w:highlight w:val="none"/>
              </w:rPr>
              <w:t>km</w:t>
            </w:r>
          </w:p>
        </w:tc>
        <w:tc>
          <w:tcPr>
            <w:tcW w:w="1682" w:type="dxa"/>
            <w:vMerge w:val="continue"/>
            <w:vAlign w:val="center"/>
          </w:tcPr>
          <w:p>
            <w:pPr>
              <w:pStyle w:val="63"/>
              <w:rPr>
                <w:rFonts w:hint="default" w:ascii="Arial" w:hAnsi="Arial" w:eastAsia="宋体" w:cs="Arial"/>
                <w:color w:val="auto"/>
                <w:sz w:val="21"/>
                <w:szCs w:val="21"/>
                <w:highlight w:val="none"/>
              </w:rPr>
            </w:pP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1513" w:type="dxa"/>
            <w:vMerge w:val="continue"/>
            <w:vAlign w:val="center"/>
          </w:tcPr>
          <w:p>
            <w:pPr>
              <w:pStyle w:val="63"/>
              <w:rPr>
                <w:rFonts w:hint="default" w:ascii="Arial" w:hAnsi="Arial" w:eastAsia="宋体" w:cs="Arial"/>
                <w:color w:val="auto"/>
                <w:sz w:val="21"/>
                <w:szCs w:val="21"/>
                <w:highlight w:val="none"/>
              </w:rPr>
            </w:pPr>
          </w:p>
        </w:tc>
        <w:tc>
          <w:tcPr>
            <w:tcW w:w="1815" w:type="dxa"/>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zh-CN" w:eastAsia="zh-CN" w:bidi="ar-SA"/>
              </w:rPr>
            </w:pPr>
            <w:r>
              <w:rPr>
                <w:rFonts w:hint="default" w:ascii="Arial" w:hAnsi="Arial" w:eastAsia="宋体" w:cs="Arial"/>
                <w:color w:val="auto"/>
                <w:sz w:val="21"/>
                <w:szCs w:val="21"/>
                <w:highlight w:val="none"/>
                <w:lang w:val="en-US" w:eastAsia="zh-CN"/>
              </w:rPr>
              <w:t>E</w:t>
            </w:r>
            <w:r>
              <w:rPr>
                <w:rFonts w:hint="default" w:ascii="Arial" w:hAnsi="Arial" w:eastAsia="宋体" w:cs="Arial"/>
                <w:color w:val="auto"/>
                <w:sz w:val="21"/>
                <w:szCs w:val="21"/>
                <w:highlight w:val="none"/>
              </w:rPr>
              <w:t>1</w:t>
            </w:r>
            <w:r>
              <w:rPr>
                <w:rFonts w:hint="default" w:ascii="Arial" w:hAnsi="Arial" w:eastAsia="宋体" w:cs="Arial"/>
                <w:color w:val="auto"/>
                <w:sz w:val="21"/>
                <w:szCs w:val="21"/>
                <w:highlight w:val="none"/>
                <w:lang w:val="en-US" w:eastAsia="zh-CN"/>
              </w:rPr>
              <w:t>07</w:t>
            </w:r>
            <w:r>
              <w:rPr>
                <w:rFonts w:hint="default" w:ascii="Arial" w:hAnsi="Arial" w:eastAsia="宋体" w:cs="Arial"/>
                <w:color w:val="auto"/>
                <w:sz w:val="21"/>
                <w:szCs w:val="21"/>
                <w:highlight w:val="none"/>
              </w:rPr>
              <w:t>°</w:t>
            </w:r>
            <w:r>
              <w:rPr>
                <w:rFonts w:hint="default" w:ascii="Arial" w:hAnsi="Arial" w:eastAsia="宋体" w:cs="Arial"/>
                <w:color w:val="auto"/>
                <w:sz w:val="21"/>
                <w:szCs w:val="21"/>
                <w:highlight w:val="none"/>
                <w:lang w:val="en-US" w:eastAsia="zh-CN"/>
              </w:rPr>
              <w:t>40</w:t>
            </w:r>
            <w:r>
              <w:rPr>
                <w:rFonts w:hint="default" w:ascii="Arial" w:hAnsi="Arial" w:eastAsia="宋体" w:cs="Arial"/>
                <w:color w:val="auto"/>
                <w:sz w:val="21"/>
                <w:szCs w:val="21"/>
                <w:highlight w:val="none"/>
                <w:lang w:eastAsia="zh-CN"/>
              </w:rPr>
              <w:t>′</w:t>
            </w:r>
            <w:r>
              <w:rPr>
                <w:rFonts w:hint="default" w:ascii="Arial" w:hAnsi="Arial" w:eastAsia="宋体" w:cs="Arial"/>
                <w:color w:val="auto"/>
                <w:sz w:val="21"/>
                <w:szCs w:val="21"/>
                <w:highlight w:val="none"/>
                <w:lang w:val="en-US" w:eastAsia="zh-CN"/>
              </w:rPr>
              <w:t>31.83</w:t>
            </w:r>
            <w:r>
              <w:rPr>
                <w:rFonts w:hint="default" w:ascii="Arial" w:hAnsi="Arial" w:eastAsia="宋体" w:cs="Arial"/>
                <w:color w:val="auto"/>
                <w:sz w:val="21"/>
                <w:szCs w:val="21"/>
              </w:rPr>
              <w:t>″</w:t>
            </w:r>
          </w:p>
        </w:tc>
        <w:tc>
          <w:tcPr>
            <w:tcW w:w="1815" w:type="dxa"/>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zh-CN" w:eastAsia="zh-CN" w:bidi="ar-SA"/>
              </w:rPr>
            </w:pPr>
            <w:r>
              <w:rPr>
                <w:rFonts w:hint="default" w:ascii="Arial" w:hAnsi="Arial" w:eastAsia="宋体" w:cs="Arial"/>
                <w:color w:val="auto"/>
                <w:sz w:val="21"/>
                <w:szCs w:val="21"/>
                <w:lang w:val="en-US" w:eastAsia="zh-CN"/>
              </w:rPr>
              <w:t>N</w:t>
            </w:r>
            <w:r>
              <w:rPr>
                <w:rFonts w:hint="default" w:ascii="Arial" w:hAnsi="Arial" w:eastAsia="宋体" w:cs="Arial"/>
                <w:color w:val="auto"/>
                <w:sz w:val="21"/>
                <w:szCs w:val="21"/>
                <w:highlight w:val="none"/>
                <w:lang w:val="en-US" w:eastAsia="zh-CN"/>
              </w:rPr>
              <w:t>40</w:t>
            </w:r>
            <w:r>
              <w:rPr>
                <w:rFonts w:hint="default" w:ascii="Arial" w:hAnsi="Arial" w:eastAsia="宋体" w:cs="Arial"/>
                <w:color w:val="auto"/>
                <w:sz w:val="21"/>
                <w:szCs w:val="21"/>
                <w:highlight w:val="none"/>
              </w:rPr>
              <w:t>°</w:t>
            </w:r>
            <w:r>
              <w:rPr>
                <w:rFonts w:hint="default" w:ascii="Arial" w:hAnsi="Arial" w:eastAsia="宋体" w:cs="Arial"/>
                <w:color w:val="auto"/>
                <w:sz w:val="21"/>
                <w:szCs w:val="21"/>
                <w:highlight w:val="none"/>
                <w:lang w:val="en-US" w:eastAsia="zh-CN"/>
              </w:rPr>
              <w:t>56</w:t>
            </w:r>
            <w:r>
              <w:rPr>
                <w:rFonts w:hint="default" w:ascii="Arial" w:hAnsi="Arial" w:eastAsia="宋体" w:cs="Arial"/>
                <w:color w:val="auto"/>
                <w:sz w:val="21"/>
                <w:szCs w:val="21"/>
                <w:highlight w:val="none"/>
                <w:lang w:eastAsia="zh-CN"/>
              </w:rPr>
              <w:t>′</w:t>
            </w:r>
            <w:r>
              <w:rPr>
                <w:rFonts w:hint="default" w:ascii="Arial" w:hAnsi="Arial" w:eastAsia="宋体" w:cs="Arial"/>
                <w:color w:val="auto"/>
                <w:sz w:val="21"/>
                <w:szCs w:val="21"/>
                <w:highlight w:val="none"/>
                <w:lang w:val="en-US" w:eastAsia="zh-CN"/>
              </w:rPr>
              <w:t>34.1</w:t>
            </w:r>
            <w:r>
              <w:rPr>
                <w:rFonts w:hint="default" w:ascii="Arial" w:hAnsi="Arial" w:eastAsia="宋体" w:cs="Arial"/>
                <w:color w:val="auto"/>
                <w:sz w:val="21"/>
                <w:szCs w:val="21"/>
                <w:highlight w:val="none"/>
                <w:lang w:eastAsia="zh-CN"/>
              </w:rPr>
              <w:t>″</w:t>
            </w:r>
          </w:p>
        </w:tc>
        <w:tc>
          <w:tcPr>
            <w:tcW w:w="1815" w:type="dxa"/>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lang w:val="en-US" w:eastAsia="zh-CN"/>
              </w:rPr>
              <w:t>☆6项目西北侧水井</w:t>
            </w:r>
          </w:p>
        </w:tc>
        <w:tc>
          <w:tcPr>
            <w:tcW w:w="2724" w:type="dxa"/>
            <w:gridSpan w:val="3"/>
            <w:vAlign w:val="center"/>
          </w:tcPr>
          <w:p>
            <w:pPr>
              <w:pStyle w:val="63"/>
              <w:ind w:firstLine="0" w:firstLineChars="0"/>
              <w:jc w:val="center"/>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highlight w:val="none"/>
                <w:lang w:val="en-US" w:eastAsia="zh-CN"/>
              </w:rPr>
              <w:t>灌溉水井</w:t>
            </w:r>
          </w:p>
        </w:tc>
        <w:tc>
          <w:tcPr>
            <w:tcW w:w="1513"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lang w:val="en-US" w:eastAsia="zh-CN"/>
              </w:rPr>
              <w:t>西北侧</w:t>
            </w:r>
          </w:p>
        </w:tc>
        <w:tc>
          <w:tcPr>
            <w:tcW w:w="1513"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highlight w:val="none"/>
                <w:lang w:val="en-US" w:eastAsia="zh-CN"/>
              </w:rPr>
              <w:t>0.56</w:t>
            </w:r>
            <w:r>
              <w:rPr>
                <w:rFonts w:hint="default" w:ascii="Arial" w:hAnsi="Arial" w:eastAsia="宋体" w:cs="Arial"/>
                <w:color w:val="auto"/>
                <w:highlight w:val="none"/>
              </w:rPr>
              <w:t>km</w:t>
            </w:r>
          </w:p>
        </w:tc>
        <w:tc>
          <w:tcPr>
            <w:tcW w:w="1682" w:type="dxa"/>
            <w:vMerge w:val="continue"/>
            <w:vAlign w:val="center"/>
          </w:tcPr>
          <w:p>
            <w:pPr>
              <w:pStyle w:val="63"/>
              <w:rPr>
                <w:rFonts w:hint="default" w:ascii="Arial" w:hAnsi="Arial" w:eastAsia="宋体" w:cs="Arial"/>
                <w:color w:val="auto"/>
                <w:sz w:val="21"/>
                <w:szCs w:val="21"/>
                <w:highlight w:val="none"/>
              </w:rPr>
            </w:pP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1513"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土壤环境</w:t>
            </w:r>
          </w:p>
        </w:tc>
        <w:tc>
          <w:tcPr>
            <w:tcW w:w="11195" w:type="dxa"/>
            <w:gridSpan w:val="8"/>
            <w:vAlign w:val="center"/>
          </w:tcPr>
          <w:p>
            <w:pPr>
              <w:pStyle w:val="63"/>
              <w:rPr>
                <w:rFonts w:hint="default" w:ascii="Arial" w:hAnsi="Arial" w:eastAsia="宋体" w:cs="Arial"/>
                <w:color w:val="auto"/>
                <w:sz w:val="21"/>
                <w:szCs w:val="21"/>
                <w:highlight w:val="none"/>
                <w:lang w:eastAsia="zh-CN"/>
              </w:rPr>
            </w:pPr>
            <w:r>
              <w:rPr>
                <w:rFonts w:hint="default" w:ascii="Arial" w:hAnsi="Arial" w:eastAsia="宋体" w:cs="Arial"/>
                <w:color w:val="auto"/>
                <w:sz w:val="21"/>
                <w:szCs w:val="21"/>
                <w:highlight w:val="none"/>
              </w:rPr>
              <w:t>周边</w:t>
            </w:r>
            <w:r>
              <w:rPr>
                <w:rFonts w:hint="default" w:ascii="Arial" w:hAnsi="Arial" w:eastAsia="宋体" w:cs="Arial"/>
                <w:color w:val="auto"/>
                <w:sz w:val="21"/>
                <w:szCs w:val="21"/>
                <w:highlight w:val="none"/>
                <w:lang w:val="en-US" w:eastAsia="zh-CN"/>
              </w:rPr>
              <w:t>5</w:t>
            </w:r>
            <w:r>
              <w:rPr>
                <w:rFonts w:hint="default" w:ascii="Arial" w:hAnsi="Arial" w:eastAsia="宋体" w:cs="Arial"/>
                <w:color w:val="auto"/>
                <w:sz w:val="21"/>
                <w:szCs w:val="21"/>
                <w:highlight w:val="none"/>
              </w:rPr>
              <w:t>0m范围内的</w:t>
            </w:r>
            <w:r>
              <w:rPr>
                <w:rFonts w:hint="default" w:ascii="Arial" w:hAnsi="Arial" w:eastAsia="宋体" w:cs="Arial"/>
                <w:color w:val="auto"/>
                <w:sz w:val="21"/>
                <w:szCs w:val="21"/>
                <w:highlight w:val="none"/>
                <w:lang w:eastAsia="zh-CN"/>
              </w:rPr>
              <w:t>天然</w:t>
            </w:r>
            <w:r>
              <w:rPr>
                <w:rFonts w:hint="default" w:ascii="Arial" w:hAnsi="Arial" w:eastAsia="宋体" w:cs="Arial"/>
                <w:color w:val="auto"/>
                <w:sz w:val="21"/>
                <w:szCs w:val="21"/>
                <w:highlight w:val="none"/>
              </w:rPr>
              <w:t>牧草地</w:t>
            </w:r>
            <w:r>
              <w:rPr>
                <w:rFonts w:hint="default" w:ascii="Arial" w:hAnsi="Arial" w:eastAsia="宋体" w:cs="Arial"/>
                <w:color w:val="auto"/>
                <w:sz w:val="21"/>
                <w:szCs w:val="21"/>
                <w:highlight w:val="none"/>
                <w:lang w:eastAsia="zh-CN"/>
              </w:rPr>
              <w:t>、旱地、林地</w:t>
            </w:r>
          </w:p>
        </w:tc>
        <w:tc>
          <w:tcPr>
            <w:tcW w:w="1682" w:type="dxa"/>
            <w:vAlign w:val="center"/>
          </w:tcPr>
          <w:p>
            <w:pPr>
              <w:pStyle w:val="63"/>
              <w:rPr>
                <w:rFonts w:hint="default" w:ascii="Arial" w:hAnsi="Arial" w:eastAsia="宋体" w:cs="Arial"/>
                <w:color w:val="auto"/>
                <w:sz w:val="21"/>
                <w:szCs w:val="21"/>
                <w:highlight w:val="none"/>
                <w:lang w:val="en-US"/>
              </w:rPr>
            </w:pPr>
            <w:r>
              <w:rPr>
                <w:rFonts w:hint="default" w:ascii="Arial" w:hAnsi="Arial" w:eastAsia="宋体" w:cs="Arial"/>
                <w:color w:val="auto"/>
                <w:highlight w:val="none"/>
              </w:rPr>
              <w:t>《土壤环境质量 农用地土壤污染风险管控标准（试行）》（GB 15618-2018）表1农用地土壤污染风险筛选值（基本项目）--“其他”标准</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1513"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生态</w:t>
            </w:r>
          </w:p>
        </w:tc>
        <w:tc>
          <w:tcPr>
            <w:tcW w:w="11195" w:type="dxa"/>
            <w:gridSpan w:val="8"/>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周边</w:t>
            </w:r>
            <w:r>
              <w:rPr>
                <w:rFonts w:hint="default" w:ascii="Arial" w:hAnsi="Arial" w:eastAsia="宋体" w:cs="Arial"/>
                <w:color w:val="auto"/>
                <w:sz w:val="21"/>
                <w:szCs w:val="21"/>
                <w:highlight w:val="none"/>
                <w:lang w:val="en-US" w:eastAsia="zh-CN"/>
              </w:rPr>
              <w:t>100</w:t>
            </w:r>
            <w:r>
              <w:rPr>
                <w:rFonts w:hint="default" w:ascii="Arial" w:hAnsi="Arial" w:eastAsia="宋体" w:cs="Arial"/>
                <w:color w:val="auto"/>
                <w:sz w:val="21"/>
                <w:szCs w:val="21"/>
                <w:highlight w:val="none"/>
              </w:rPr>
              <w:t>0m范围内的植物、动物及其生态系统</w:t>
            </w:r>
          </w:p>
        </w:tc>
        <w:tc>
          <w:tcPr>
            <w:tcW w:w="1682"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1513"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声环境</w:t>
            </w:r>
          </w:p>
        </w:tc>
        <w:tc>
          <w:tcPr>
            <w:tcW w:w="11195" w:type="dxa"/>
            <w:gridSpan w:val="8"/>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厂界200m范围内无敏感目标</w:t>
            </w:r>
          </w:p>
        </w:tc>
        <w:tc>
          <w:tcPr>
            <w:tcW w:w="1682"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GB3096-2008中</w:t>
            </w:r>
            <w:r>
              <w:rPr>
                <w:rFonts w:hint="default" w:ascii="Arial" w:hAnsi="Arial" w:eastAsia="宋体" w:cs="Arial"/>
                <w:color w:val="auto"/>
                <w:sz w:val="21"/>
                <w:szCs w:val="21"/>
                <w:highlight w:val="none"/>
                <w:lang w:val="en-US" w:eastAsia="zh-CN"/>
              </w:rPr>
              <w:t>2</w:t>
            </w:r>
            <w:r>
              <w:rPr>
                <w:rFonts w:hint="default" w:ascii="Arial" w:hAnsi="Arial" w:eastAsia="宋体" w:cs="Arial"/>
                <w:color w:val="auto"/>
                <w:sz w:val="21"/>
                <w:szCs w:val="21"/>
                <w:highlight w:val="none"/>
              </w:rPr>
              <w:t>类标准</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1513" w:type="dxa"/>
            <w:vMerge w:val="restart"/>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环境要素</w:t>
            </w:r>
          </w:p>
        </w:tc>
        <w:tc>
          <w:tcPr>
            <w:tcW w:w="3630" w:type="dxa"/>
            <w:gridSpan w:val="2"/>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坐标</w:t>
            </w:r>
          </w:p>
        </w:tc>
        <w:tc>
          <w:tcPr>
            <w:tcW w:w="1815" w:type="dxa"/>
            <w:vMerge w:val="restart"/>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保护对象</w:t>
            </w:r>
          </w:p>
        </w:tc>
        <w:tc>
          <w:tcPr>
            <w:tcW w:w="2724" w:type="dxa"/>
            <w:gridSpan w:val="3"/>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保护内容</w:t>
            </w:r>
          </w:p>
        </w:tc>
        <w:tc>
          <w:tcPr>
            <w:tcW w:w="1513" w:type="dxa"/>
            <w:vMerge w:val="restart"/>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相对厂址方位</w:t>
            </w:r>
          </w:p>
        </w:tc>
        <w:tc>
          <w:tcPr>
            <w:tcW w:w="1513" w:type="dxa"/>
            <w:vMerge w:val="restart"/>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相对厂界距离（km）</w:t>
            </w:r>
          </w:p>
        </w:tc>
        <w:tc>
          <w:tcPr>
            <w:tcW w:w="1682" w:type="dxa"/>
            <w:vMerge w:val="restart"/>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环境功能区</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1513" w:type="dxa"/>
            <w:vMerge w:val="continue"/>
            <w:vAlign w:val="center"/>
          </w:tcPr>
          <w:p>
            <w:pPr>
              <w:pStyle w:val="63"/>
              <w:rPr>
                <w:rFonts w:hint="default" w:ascii="Arial" w:hAnsi="Arial" w:eastAsia="宋体" w:cs="Arial"/>
                <w:color w:val="auto"/>
                <w:sz w:val="21"/>
                <w:szCs w:val="21"/>
                <w:highlight w:val="none"/>
              </w:rPr>
            </w:pPr>
          </w:p>
        </w:tc>
        <w:tc>
          <w:tcPr>
            <w:tcW w:w="1815"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X</w:t>
            </w:r>
          </w:p>
        </w:tc>
        <w:tc>
          <w:tcPr>
            <w:tcW w:w="1815"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Y</w:t>
            </w:r>
          </w:p>
        </w:tc>
        <w:tc>
          <w:tcPr>
            <w:tcW w:w="1815" w:type="dxa"/>
            <w:vMerge w:val="continue"/>
            <w:vAlign w:val="center"/>
          </w:tcPr>
          <w:p>
            <w:pPr>
              <w:pStyle w:val="63"/>
              <w:rPr>
                <w:rFonts w:hint="default" w:ascii="Arial" w:hAnsi="Arial" w:eastAsia="宋体" w:cs="Arial"/>
                <w:color w:val="auto"/>
                <w:sz w:val="21"/>
                <w:szCs w:val="21"/>
                <w:highlight w:val="none"/>
              </w:rPr>
            </w:pPr>
          </w:p>
        </w:tc>
        <w:tc>
          <w:tcPr>
            <w:tcW w:w="908"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内容</w:t>
            </w:r>
          </w:p>
        </w:tc>
        <w:tc>
          <w:tcPr>
            <w:tcW w:w="908"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户数</w:t>
            </w:r>
          </w:p>
        </w:tc>
        <w:tc>
          <w:tcPr>
            <w:tcW w:w="908"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人数</w:t>
            </w:r>
          </w:p>
        </w:tc>
        <w:tc>
          <w:tcPr>
            <w:tcW w:w="1513" w:type="dxa"/>
            <w:vMerge w:val="continue"/>
            <w:vAlign w:val="center"/>
          </w:tcPr>
          <w:p>
            <w:pPr>
              <w:pStyle w:val="63"/>
              <w:rPr>
                <w:rFonts w:hint="default" w:ascii="Arial" w:hAnsi="Arial" w:eastAsia="宋体" w:cs="Arial"/>
                <w:color w:val="auto"/>
                <w:sz w:val="21"/>
                <w:szCs w:val="21"/>
                <w:highlight w:val="none"/>
              </w:rPr>
            </w:pPr>
          </w:p>
        </w:tc>
        <w:tc>
          <w:tcPr>
            <w:tcW w:w="1513" w:type="dxa"/>
            <w:vMerge w:val="continue"/>
            <w:vAlign w:val="center"/>
          </w:tcPr>
          <w:p>
            <w:pPr>
              <w:pStyle w:val="63"/>
              <w:rPr>
                <w:rFonts w:hint="default" w:ascii="Arial" w:hAnsi="Arial" w:eastAsia="宋体" w:cs="Arial"/>
                <w:color w:val="auto"/>
                <w:sz w:val="21"/>
                <w:szCs w:val="21"/>
                <w:highlight w:val="none"/>
              </w:rPr>
            </w:pPr>
          </w:p>
        </w:tc>
        <w:tc>
          <w:tcPr>
            <w:tcW w:w="1682" w:type="dxa"/>
            <w:vMerge w:val="continue"/>
            <w:vAlign w:val="center"/>
          </w:tcPr>
          <w:p>
            <w:pPr>
              <w:pStyle w:val="63"/>
              <w:rPr>
                <w:rFonts w:hint="default" w:ascii="Arial" w:hAnsi="Arial" w:eastAsia="宋体" w:cs="Arial"/>
                <w:color w:val="auto"/>
                <w:sz w:val="21"/>
                <w:szCs w:val="21"/>
                <w:highlight w:val="none"/>
              </w:rPr>
            </w:pP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1513" w:type="dxa"/>
            <w:vMerge w:val="restart"/>
            <w:vAlign w:val="center"/>
          </w:tcPr>
          <w:p>
            <w:pPr>
              <w:pStyle w:val="63"/>
              <w:jc w:val="center"/>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highlight w:val="none"/>
                <w:lang w:val="en-US" w:eastAsia="zh-CN"/>
              </w:rPr>
              <w:t>环境空气</w:t>
            </w:r>
          </w:p>
        </w:tc>
        <w:tc>
          <w:tcPr>
            <w:tcW w:w="1815" w:type="dxa"/>
            <w:vAlign w:val="center"/>
          </w:tcPr>
          <w:p>
            <w:pPr>
              <w:pStyle w:val="63"/>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N40°</w:t>
            </w:r>
            <w:r>
              <w:rPr>
                <w:rFonts w:hint="default" w:ascii="Arial" w:hAnsi="Arial" w:eastAsia="宋体" w:cs="Arial"/>
                <w:color w:val="auto"/>
                <w:sz w:val="21"/>
                <w:szCs w:val="21"/>
                <w:highlight w:val="none"/>
                <w:lang w:val="en-US" w:eastAsia="zh-CN"/>
              </w:rPr>
              <w:t>56</w:t>
            </w:r>
            <w:r>
              <w:rPr>
                <w:rFonts w:hint="default" w:ascii="Arial" w:hAnsi="Arial" w:eastAsia="宋体" w:cs="Arial"/>
                <w:color w:val="auto"/>
                <w:sz w:val="21"/>
                <w:szCs w:val="21"/>
                <w:highlight w:val="none"/>
              </w:rPr>
              <w:t>'</w:t>
            </w:r>
            <w:r>
              <w:rPr>
                <w:rFonts w:hint="default" w:ascii="Arial" w:hAnsi="Arial" w:eastAsia="宋体" w:cs="Arial"/>
                <w:color w:val="auto"/>
                <w:sz w:val="21"/>
                <w:szCs w:val="21"/>
                <w:highlight w:val="none"/>
                <w:lang w:val="en-US" w:eastAsia="zh-CN"/>
              </w:rPr>
              <w:t>59.78</w:t>
            </w:r>
            <w:r>
              <w:rPr>
                <w:rFonts w:hint="default" w:ascii="Arial" w:hAnsi="Arial" w:eastAsia="宋体" w:cs="Arial"/>
                <w:color w:val="auto"/>
                <w:sz w:val="21"/>
                <w:szCs w:val="21"/>
                <w:highlight w:val="none"/>
              </w:rPr>
              <w:t>"</w:t>
            </w:r>
          </w:p>
        </w:tc>
        <w:tc>
          <w:tcPr>
            <w:tcW w:w="1815" w:type="dxa"/>
            <w:vAlign w:val="center"/>
          </w:tcPr>
          <w:p>
            <w:pPr>
              <w:pStyle w:val="63"/>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E10</w:t>
            </w:r>
            <w:r>
              <w:rPr>
                <w:rFonts w:hint="default" w:ascii="Arial" w:hAnsi="Arial" w:eastAsia="宋体" w:cs="Arial"/>
                <w:color w:val="auto"/>
                <w:sz w:val="21"/>
                <w:szCs w:val="21"/>
                <w:highlight w:val="none"/>
                <w:lang w:val="en-US" w:eastAsia="zh-CN"/>
              </w:rPr>
              <w:t>7</w:t>
            </w:r>
            <w:r>
              <w:rPr>
                <w:rFonts w:hint="default" w:ascii="Arial" w:hAnsi="Arial" w:eastAsia="宋体" w:cs="Arial"/>
                <w:color w:val="auto"/>
                <w:sz w:val="21"/>
                <w:szCs w:val="21"/>
                <w:highlight w:val="none"/>
              </w:rPr>
              <w:t>°</w:t>
            </w:r>
            <w:r>
              <w:rPr>
                <w:rFonts w:hint="default" w:ascii="Arial" w:hAnsi="Arial" w:eastAsia="宋体" w:cs="Arial"/>
                <w:color w:val="auto"/>
                <w:sz w:val="21"/>
                <w:szCs w:val="21"/>
                <w:highlight w:val="none"/>
                <w:lang w:val="en-US" w:eastAsia="zh-CN"/>
              </w:rPr>
              <w:t>42</w:t>
            </w:r>
            <w:r>
              <w:rPr>
                <w:rFonts w:hint="default" w:ascii="Arial" w:hAnsi="Arial" w:eastAsia="宋体" w:cs="Arial"/>
                <w:color w:val="auto"/>
                <w:sz w:val="21"/>
                <w:szCs w:val="21"/>
                <w:highlight w:val="none"/>
              </w:rPr>
              <w:t>'</w:t>
            </w:r>
            <w:r>
              <w:rPr>
                <w:rFonts w:hint="default" w:ascii="Arial" w:hAnsi="Arial" w:eastAsia="宋体" w:cs="Arial"/>
                <w:color w:val="auto"/>
                <w:sz w:val="21"/>
                <w:szCs w:val="21"/>
                <w:highlight w:val="none"/>
                <w:lang w:val="en-US" w:eastAsia="zh-CN"/>
              </w:rPr>
              <w:t>29.12</w:t>
            </w:r>
            <w:r>
              <w:rPr>
                <w:rFonts w:hint="default" w:ascii="Arial" w:hAnsi="Arial" w:eastAsia="宋体" w:cs="Arial"/>
                <w:color w:val="auto"/>
                <w:sz w:val="21"/>
                <w:szCs w:val="21"/>
                <w:highlight w:val="none"/>
              </w:rPr>
              <w:t>"</w:t>
            </w:r>
          </w:p>
        </w:tc>
        <w:tc>
          <w:tcPr>
            <w:tcW w:w="1815" w:type="dxa"/>
            <w:vAlign w:val="center"/>
          </w:tcPr>
          <w:p>
            <w:pPr>
              <w:pStyle w:val="63"/>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lang w:val="en-US" w:eastAsia="zh-CN"/>
              </w:rPr>
              <w:t>永红村</w:t>
            </w:r>
          </w:p>
        </w:tc>
        <w:tc>
          <w:tcPr>
            <w:tcW w:w="908" w:type="dxa"/>
            <w:vAlign w:val="center"/>
          </w:tcPr>
          <w:p>
            <w:pPr>
              <w:pStyle w:val="63"/>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居民</w:t>
            </w:r>
          </w:p>
        </w:tc>
        <w:tc>
          <w:tcPr>
            <w:tcW w:w="908" w:type="dxa"/>
            <w:vAlign w:val="center"/>
          </w:tcPr>
          <w:p>
            <w:pPr>
              <w:pStyle w:val="63"/>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lang w:val="en-US" w:eastAsia="zh-CN"/>
              </w:rPr>
              <w:t>27</w:t>
            </w:r>
          </w:p>
        </w:tc>
        <w:tc>
          <w:tcPr>
            <w:tcW w:w="908" w:type="dxa"/>
            <w:vAlign w:val="center"/>
          </w:tcPr>
          <w:p>
            <w:pPr>
              <w:pStyle w:val="63"/>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lang w:val="en-US" w:eastAsia="zh-CN"/>
              </w:rPr>
              <w:t>63</w:t>
            </w:r>
          </w:p>
        </w:tc>
        <w:tc>
          <w:tcPr>
            <w:tcW w:w="1513" w:type="dxa"/>
            <w:vAlign w:val="center"/>
          </w:tcPr>
          <w:p>
            <w:pPr>
              <w:pStyle w:val="63"/>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lang w:val="en-US" w:eastAsia="zh-CN"/>
              </w:rPr>
              <w:t>东北侧</w:t>
            </w:r>
          </w:p>
        </w:tc>
        <w:tc>
          <w:tcPr>
            <w:tcW w:w="1513" w:type="dxa"/>
            <w:vAlign w:val="center"/>
          </w:tcPr>
          <w:p>
            <w:pPr>
              <w:pStyle w:val="63"/>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lang w:val="en-US" w:eastAsia="zh-CN"/>
              </w:rPr>
              <w:t>2.44</w:t>
            </w:r>
          </w:p>
        </w:tc>
        <w:tc>
          <w:tcPr>
            <w:tcW w:w="1682" w:type="dxa"/>
            <w:vMerge w:val="restart"/>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《环境空气质量标准》（GB3095-2012）二类功能区标准</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1513" w:type="dxa"/>
            <w:vMerge w:val="continue"/>
            <w:vAlign w:val="center"/>
          </w:tcPr>
          <w:p>
            <w:pPr>
              <w:pStyle w:val="63"/>
              <w:jc w:val="center"/>
              <w:rPr>
                <w:rFonts w:hint="default" w:ascii="Arial" w:hAnsi="Arial" w:eastAsia="宋体" w:cs="Arial"/>
                <w:color w:val="auto"/>
                <w:sz w:val="21"/>
                <w:szCs w:val="21"/>
                <w:highlight w:val="none"/>
                <w:lang w:val="en-US" w:eastAsia="zh-CN"/>
              </w:rPr>
            </w:pPr>
          </w:p>
        </w:tc>
        <w:tc>
          <w:tcPr>
            <w:tcW w:w="1815" w:type="dxa"/>
            <w:vAlign w:val="center"/>
          </w:tcPr>
          <w:p>
            <w:pPr>
              <w:pStyle w:val="63"/>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N40°</w:t>
            </w:r>
            <w:r>
              <w:rPr>
                <w:rFonts w:hint="default" w:ascii="Arial" w:hAnsi="Arial" w:eastAsia="宋体" w:cs="Arial"/>
                <w:color w:val="auto"/>
                <w:sz w:val="21"/>
                <w:szCs w:val="21"/>
                <w:highlight w:val="none"/>
                <w:lang w:val="en-US" w:eastAsia="zh-CN"/>
              </w:rPr>
              <w:t>56</w:t>
            </w:r>
            <w:r>
              <w:rPr>
                <w:rFonts w:hint="default" w:ascii="Arial" w:hAnsi="Arial" w:eastAsia="宋体" w:cs="Arial"/>
                <w:color w:val="auto"/>
                <w:sz w:val="21"/>
                <w:szCs w:val="21"/>
                <w:highlight w:val="none"/>
              </w:rPr>
              <w:t>'</w:t>
            </w:r>
            <w:r>
              <w:rPr>
                <w:rFonts w:hint="default" w:ascii="Arial" w:hAnsi="Arial" w:eastAsia="宋体" w:cs="Arial"/>
                <w:color w:val="auto"/>
                <w:sz w:val="21"/>
                <w:szCs w:val="21"/>
                <w:highlight w:val="none"/>
                <w:lang w:val="en-US" w:eastAsia="zh-CN"/>
              </w:rPr>
              <w:t>25.02</w:t>
            </w:r>
            <w:r>
              <w:rPr>
                <w:rFonts w:hint="default" w:ascii="Arial" w:hAnsi="Arial" w:eastAsia="宋体" w:cs="Arial"/>
                <w:color w:val="auto"/>
                <w:sz w:val="21"/>
                <w:szCs w:val="21"/>
                <w:highlight w:val="none"/>
              </w:rPr>
              <w:t>"</w:t>
            </w:r>
          </w:p>
        </w:tc>
        <w:tc>
          <w:tcPr>
            <w:tcW w:w="1815" w:type="dxa"/>
            <w:vAlign w:val="center"/>
          </w:tcPr>
          <w:p>
            <w:pPr>
              <w:pStyle w:val="63"/>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E10</w:t>
            </w:r>
            <w:r>
              <w:rPr>
                <w:rFonts w:hint="default" w:ascii="Arial" w:hAnsi="Arial" w:eastAsia="宋体" w:cs="Arial"/>
                <w:color w:val="auto"/>
                <w:sz w:val="21"/>
                <w:szCs w:val="21"/>
                <w:highlight w:val="none"/>
                <w:lang w:val="en-US" w:eastAsia="zh-CN"/>
              </w:rPr>
              <w:t>7</w:t>
            </w:r>
            <w:r>
              <w:rPr>
                <w:rFonts w:hint="default" w:ascii="Arial" w:hAnsi="Arial" w:eastAsia="宋体" w:cs="Arial"/>
                <w:color w:val="auto"/>
                <w:sz w:val="21"/>
                <w:szCs w:val="21"/>
                <w:highlight w:val="none"/>
              </w:rPr>
              <w:t>°</w:t>
            </w:r>
            <w:r>
              <w:rPr>
                <w:rFonts w:hint="default" w:ascii="Arial" w:hAnsi="Arial" w:eastAsia="宋体" w:cs="Arial"/>
                <w:color w:val="auto"/>
                <w:sz w:val="21"/>
                <w:szCs w:val="21"/>
                <w:highlight w:val="none"/>
                <w:lang w:val="en-US" w:eastAsia="zh-CN"/>
              </w:rPr>
              <w:t>41</w:t>
            </w:r>
            <w:r>
              <w:rPr>
                <w:rFonts w:hint="default" w:ascii="Arial" w:hAnsi="Arial" w:eastAsia="宋体" w:cs="Arial"/>
                <w:color w:val="auto"/>
                <w:sz w:val="21"/>
                <w:szCs w:val="21"/>
                <w:highlight w:val="none"/>
              </w:rPr>
              <w:t>'</w:t>
            </w:r>
            <w:r>
              <w:rPr>
                <w:rFonts w:hint="default" w:ascii="Arial" w:hAnsi="Arial" w:eastAsia="宋体" w:cs="Arial"/>
                <w:color w:val="auto"/>
                <w:sz w:val="21"/>
                <w:szCs w:val="21"/>
                <w:highlight w:val="none"/>
                <w:lang w:val="en-US" w:eastAsia="zh-CN"/>
              </w:rPr>
              <w:t>39.22</w:t>
            </w:r>
            <w:r>
              <w:rPr>
                <w:rFonts w:hint="default" w:ascii="Arial" w:hAnsi="Arial" w:eastAsia="宋体" w:cs="Arial"/>
                <w:color w:val="auto"/>
                <w:sz w:val="21"/>
                <w:szCs w:val="21"/>
                <w:highlight w:val="none"/>
              </w:rPr>
              <w:t>"</w:t>
            </w:r>
          </w:p>
        </w:tc>
        <w:tc>
          <w:tcPr>
            <w:tcW w:w="1815" w:type="dxa"/>
            <w:vAlign w:val="center"/>
          </w:tcPr>
          <w:p>
            <w:pPr>
              <w:pStyle w:val="63"/>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lang w:val="en-US" w:eastAsia="zh-CN"/>
              </w:rPr>
              <w:t>永红二社</w:t>
            </w:r>
          </w:p>
        </w:tc>
        <w:tc>
          <w:tcPr>
            <w:tcW w:w="908" w:type="dxa"/>
            <w:vAlign w:val="center"/>
          </w:tcPr>
          <w:p>
            <w:pPr>
              <w:pStyle w:val="63"/>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居民</w:t>
            </w:r>
          </w:p>
        </w:tc>
        <w:tc>
          <w:tcPr>
            <w:tcW w:w="908" w:type="dxa"/>
            <w:vAlign w:val="center"/>
          </w:tcPr>
          <w:p>
            <w:pPr>
              <w:pStyle w:val="63"/>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lang w:val="en-US" w:eastAsia="zh-CN"/>
              </w:rPr>
              <w:t>52</w:t>
            </w:r>
          </w:p>
        </w:tc>
        <w:tc>
          <w:tcPr>
            <w:tcW w:w="908" w:type="dxa"/>
            <w:vAlign w:val="center"/>
          </w:tcPr>
          <w:p>
            <w:pPr>
              <w:pStyle w:val="63"/>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lang w:val="en-US" w:eastAsia="zh-CN"/>
              </w:rPr>
              <w:t>137</w:t>
            </w:r>
          </w:p>
        </w:tc>
        <w:tc>
          <w:tcPr>
            <w:tcW w:w="1513" w:type="dxa"/>
            <w:vAlign w:val="center"/>
          </w:tcPr>
          <w:p>
            <w:pPr>
              <w:pStyle w:val="63"/>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lang w:val="en-US" w:eastAsia="zh-CN"/>
              </w:rPr>
              <w:t>东侧</w:t>
            </w:r>
          </w:p>
        </w:tc>
        <w:tc>
          <w:tcPr>
            <w:tcW w:w="1513" w:type="dxa"/>
            <w:vAlign w:val="center"/>
          </w:tcPr>
          <w:p>
            <w:pPr>
              <w:pStyle w:val="63"/>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lang w:val="en-US" w:eastAsia="zh-CN"/>
              </w:rPr>
              <w:t>0.96</w:t>
            </w:r>
          </w:p>
        </w:tc>
        <w:tc>
          <w:tcPr>
            <w:tcW w:w="1682" w:type="dxa"/>
            <w:vMerge w:val="continue"/>
            <w:vAlign w:val="center"/>
          </w:tcPr>
          <w:p>
            <w:pPr>
              <w:pStyle w:val="63"/>
              <w:rPr>
                <w:rFonts w:hint="default" w:ascii="Arial" w:hAnsi="Arial" w:eastAsia="宋体" w:cs="Arial"/>
                <w:color w:val="auto"/>
                <w:sz w:val="21"/>
                <w:szCs w:val="21"/>
                <w:highlight w:val="none"/>
              </w:rPr>
            </w:pP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1513" w:type="dxa"/>
            <w:vMerge w:val="continue"/>
            <w:vAlign w:val="center"/>
          </w:tcPr>
          <w:p>
            <w:pPr>
              <w:pStyle w:val="63"/>
              <w:jc w:val="center"/>
              <w:rPr>
                <w:rFonts w:hint="default" w:ascii="Arial" w:hAnsi="Arial" w:eastAsia="宋体" w:cs="Arial"/>
                <w:color w:val="auto"/>
                <w:sz w:val="21"/>
                <w:szCs w:val="21"/>
                <w:highlight w:val="none"/>
                <w:lang w:val="en-US" w:eastAsia="zh-CN"/>
              </w:rPr>
            </w:pPr>
          </w:p>
        </w:tc>
        <w:tc>
          <w:tcPr>
            <w:tcW w:w="1815" w:type="dxa"/>
            <w:vAlign w:val="center"/>
          </w:tcPr>
          <w:p>
            <w:pPr>
              <w:pStyle w:val="63"/>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N40°</w:t>
            </w:r>
            <w:r>
              <w:rPr>
                <w:rFonts w:hint="default" w:ascii="Arial" w:hAnsi="Arial" w:eastAsia="宋体" w:cs="Arial"/>
                <w:color w:val="auto"/>
                <w:sz w:val="21"/>
                <w:szCs w:val="21"/>
                <w:highlight w:val="none"/>
                <w:lang w:val="en-US" w:eastAsia="zh-CN"/>
              </w:rPr>
              <w:t>55</w:t>
            </w:r>
            <w:r>
              <w:rPr>
                <w:rFonts w:hint="default" w:ascii="Arial" w:hAnsi="Arial" w:eastAsia="宋体" w:cs="Arial"/>
                <w:color w:val="auto"/>
                <w:sz w:val="21"/>
                <w:szCs w:val="21"/>
                <w:highlight w:val="none"/>
              </w:rPr>
              <w:t>'</w:t>
            </w:r>
            <w:r>
              <w:rPr>
                <w:rFonts w:hint="default" w:ascii="Arial" w:hAnsi="Arial" w:eastAsia="宋体" w:cs="Arial"/>
                <w:color w:val="auto"/>
                <w:sz w:val="21"/>
                <w:szCs w:val="21"/>
                <w:highlight w:val="none"/>
                <w:lang w:val="en-US" w:eastAsia="zh-CN"/>
              </w:rPr>
              <w:t>45.24</w:t>
            </w:r>
            <w:r>
              <w:rPr>
                <w:rFonts w:hint="default" w:ascii="Arial" w:hAnsi="Arial" w:eastAsia="宋体" w:cs="Arial"/>
                <w:color w:val="auto"/>
                <w:sz w:val="21"/>
                <w:szCs w:val="21"/>
                <w:highlight w:val="none"/>
              </w:rPr>
              <w:t>"</w:t>
            </w:r>
          </w:p>
        </w:tc>
        <w:tc>
          <w:tcPr>
            <w:tcW w:w="1815" w:type="dxa"/>
            <w:vAlign w:val="center"/>
          </w:tcPr>
          <w:p>
            <w:pPr>
              <w:pStyle w:val="63"/>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E10</w:t>
            </w:r>
            <w:r>
              <w:rPr>
                <w:rFonts w:hint="default" w:ascii="Arial" w:hAnsi="Arial" w:eastAsia="宋体" w:cs="Arial"/>
                <w:color w:val="auto"/>
                <w:sz w:val="21"/>
                <w:szCs w:val="21"/>
                <w:highlight w:val="none"/>
                <w:lang w:val="en-US" w:eastAsia="zh-CN"/>
              </w:rPr>
              <w:t>7</w:t>
            </w:r>
            <w:r>
              <w:rPr>
                <w:rFonts w:hint="default" w:ascii="Arial" w:hAnsi="Arial" w:eastAsia="宋体" w:cs="Arial"/>
                <w:color w:val="auto"/>
                <w:sz w:val="21"/>
                <w:szCs w:val="21"/>
                <w:highlight w:val="none"/>
              </w:rPr>
              <w:t>°</w:t>
            </w:r>
            <w:r>
              <w:rPr>
                <w:rFonts w:hint="default" w:ascii="Arial" w:hAnsi="Arial" w:eastAsia="宋体" w:cs="Arial"/>
                <w:color w:val="auto"/>
                <w:sz w:val="21"/>
                <w:szCs w:val="21"/>
                <w:highlight w:val="none"/>
                <w:lang w:val="en-US" w:eastAsia="zh-CN"/>
              </w:rPr>
              <w:t>40</w:t>
            </w:r>
            <w:r>
              <w:rPr>
                <w:rFonts w:hint="default" w:ascii="Arial" w:hAnsi="Arial" w:eastAsia="宋体" w:cs="Arial"/>
                <w:color w:val="auto"/>
                <w:sz w:val="21"/>
                <w:szCs w:val="21"/>
                <w:highlight w:val="none"/>
              </w:rPr>
              <w:t>'</w:t>
            </w:r>
            <w:r>
              <w:rPr>
                <w:rFonts w:hint="default" w:ascii="Arial" w:hAnsi="Arial" w:eastAsia="宋体" w:cs="Arial"/>
                <w:color w:val="auto"/>
                <w:sz w:val="21"/>
                <w:szCs w:val="21"/>
                <w:highlight w:val="none"/>
                <w:lang w:val="en-US" w:eastAsia="zh-CN"/>
              </w:rPr>
              <w:t>41.40</w:t>
            </w:r>
            <w:r>
              <w:rPr>
                <w:rFonts w:hint="default" w:ascii="Arial" w:hAnsi="Arial" w:eastAsia="宋体" w:cs="Arial"/>
                <w:color w:val="auto"/>
                <w:sz w:val="21"/>
                <w:szCs w:val="21"/>
                <w:highlight w:val="none"/>
              </w:rPr>
              <w:t>"</w:t>
            </w:r>
          </w:p>
        </w:tc>
        <w:tc>
          <w:tcPr>
            <w:tcW w:w="1815" w:type="dxa"/>
            <w:vAlign w:val="center"/>
          </w:tcPr>
          <w:p>
            <w:pPr>
              <w:pStyle w:val="63"/>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lang w:val="en-US" w:eastAsia="zh-CN"/>
              </w:rPr>
              <w:t>新义五社</w:t>
            </w:r>
          </w:p>
        </w:tc>
        <w:tc>
          <w:tcPr>
            <w:tcW w:w="908" w:type="dxa"/>
            <w:vAlign w:val="center"/>
          </w:tcPr>
          <w:p>
            <w:pPr>
              <w:pStyle w:val="63"/>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居民</w:t>
            </w:r>
          </w:p>
        </w:tc>
        <w:tc>
          <w:tcPr>
            <w:tcW w:w="908" w:type="dxa"/>
            <w:vAlign w:val="center"/>
          </w:tcPr>
          <w:p>
            <w:pPr>
              <w:pStyle w:val="63"/>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lang w:val="en-US" w:eastAsia="zh-CN"/>
              </w:rPr>
              <w:t>60</w:t>
            </w:r>
          </w:p>
        </w:tc>
        <w:tc>
          <w:tcPr>
            <w:tcW w:w="908" w:type="dxa"/>
            <w:vAlign w:val="center"/>
          </w:tcPr>
          <w:p>
            <w:pPr>
              <w:pStyle w:val="63"/>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lang w:val="en-US" w:eastAsia="zh-CN"/>
              </w:rPr>
              <w:t>169</w:t>
            </w:r>
          </w:p>
        </w:tc>
        <w:tc>
          <w:tcPr>
            <w:tcW w:w="1513" w:type="dxa"/>
            <w:vAlign w:val="center"/>
          </w:tcPr>
          <w:p>
            <w:pPr>
              <w:pStyle w:val="63"/>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lang w:val="en-US" w:eastAsia="zh-CN"/>
              </w:rPr>
              <w:t>南侧</w:t>
            </w:r>
          </w:p>
        </w:tc>
        <w:tc>
          <w:tcPr>
            <w:tcW w:w="1513" w:type="dxa"/>
            <w:vAlign w:val="center"/>
          </w:tcPr>
          <w:p>
            <w:pPr>
              <w:pStyle w:val="63"/>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lang w:val="en-US" w:eastAsia="zh-CN"/>
              </w:rPr>
              <w:t>0.45</w:t>
            </w:r>
          </w:p>
        </w:tc>
        <w:tc>
          <w:tcPr>
            <w:tcW w:w="1682" w:type="dxa"/>
            <w:vMerge w:val="continue"/>
            <w:vAlign w:val="center"/>
          </w:tcPr>
          <w:p>
            <w:pPr>
              <w:pStyle w:val="63"/>
              <w:rPr>
                <w:rFonts w:hint="default" w:ascii="Arial" w:hAnsi="Arial" w:eastAsia="宋体" w:cs="Arial"/>
                <w:color w:val="auto"/>
                <w:sz w:val="21"/>
                <w:szCs w:val="21"/>
                <w:highlight w:val="none"/>
              </w:rPr>
            </w:pP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1513" w:type="dxa"/>
            <w:vMerge w:val="continue"/>
            <w:vAlign w:val="center"/>
          </w:tcPr>
          <w:p>
            <w:pPr>
              <w:pStyle w:val="63"/>
              <w:jc w:val="center"/>
              <w:rPr>
                <w:rFonts w:hint="default" w:ascii="Arial" w:hAnsi="Arial" w:eastAsia="宋体" w:cs="Arial"/>
                <w:color w:val="auto"/>
                <w:sz w:val="21"/>
                <w:szCs w:val="21"/>
                <w:highlight w:val="none"/>
                <w:lang w:val="en-US" w:eastAsia="zh-CN"/>
              </w:rPr>
            </w:pPr>
          </w:p>
        </w:tc>
        <w:tc>
          <w:tcPr>
            <w:tcW w:w="1815" w:type="dxa"/>
            <w:vAlign w:val="center"/>
          </w:tcPr>
          <w:p>
            <w:pPr>
              <w:pStyle w:val="63"/>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N40°</w:t>
            </w:r>
            <w:r>
              <w:rPr>
                <w:rFonts w:hint="default" w:ascii="Arial" w:hAnsi="Arial" w:eastAsia="宋体" w:cs="Arial"/>
                <w:color w:val="auto"/>
                <w:sz w:val="21"/>
                <w:szCs w:val="21"/>
                <w:highlight w:val="none"/>
                <w:lang w:val="en-US" w:eastAsia="zh-CN"/>
              </w:rPr>
              <w:t>54</w:t>
            </w:r>
            <w:r>
              <w:rPr>
                <w:rFonts w:hint="default" w:ascii="Arial" w:hAnsi="Arial" w:eastAsia="宋体" w:cs="Arial"/>
                <w:color w:val="auto"/>
                <w:sz w:val="21"/>
                <w:szCs w:val="21"/>
                <w:highlight w:val="none"/>
              </w:rPr>
              <w:t>'</w:t>
            </w:r>
            <w:r>
              <w:rPr>
                <w:rFonts w:hint="default" w:ascii="Arial" w:hAnsi="Arial" w:eastAsia="宋体" w:cs="Arial"/>
                <w:color w:val="auto"/>
                <w:sz w:val="21"/>
                <w:szCs w:val="21"/>
                <w:highlight w:val="none"/>
                <w:lang w:val="en-US" w:eastAsia="zh-CN"/>
              </w:rPr>
              <w:t>54.68</w:t>
            </w:r>
            <w:r>
              <w:rPr>
                <w:rFonts w:hint="default" w:ascii="Arial" w:hAnsi="Arial" w:eastAsia="宋体" w:cs="Arial"/>
                <w:color w:val="auto"/>
                <w:sz w:val="21"/>
                <w:szCs w:val="21"/>
                <w:highlight w:val="none"/>
              </w:rPr>
              <w:t>"</w:t>
            </w:r>
          </w:p>
        </w:tc>
        <w:tc>
          <w:tcPr>
            <w:tcW w:w="1815" w:type="dxa"/>
            <w:vAlign w:val="center"/>
          </w:tcPr>
          <w:p>
            <w:pPr>
              <w:pStyle w:val="63"/>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E10</w:t>
            </w:r>
            <w:r>
              <w:rPr>
                <w:rFonts w:hint="default" w:ascii="Arial" w:hAnsi="Arial" w:eastAsia="宋体" w:cs="Arial"/>
                <w:color w:val="auto"/>
                <w:sz w:val="21"/>
                <w:szCs w:val="21"/>
                <w:highlight w:val="none"/>
                <w:lang w:val="en-US" w:eastAsia="zh-CN"/>
              </w:rPr>
              <w:t>7</w:t>
            </w:r>
            <w:r>
              <w:rPr>
                <w:rFonts w:hint="default" w:ascii="Arial" w:hAnsi="Arial" w:eastAsia="宋体" w:cs="Arial"/>
                <w:color w:val="auto"/>
                <w:sz w:val="21"/>
                <w:szCs w:val="21"/>
                <w:highlight w:val="none"/>
              </w:rPr>
              <w:t>°</w:t>
            </w:r>
            <w:r>
              <w:rPr>
                <w:rFonts w:hint="default" w:ascii="Arial" w:hAnsi="Arial" w:eastAsia="宋体" w:cs="Arial"/>
                <w:color w:val="auto"/>
                <w:sz w:val="21"/>
                <w:szCs w:val="21"/>
                <w:highlight w:val="none"/>
                <w:lang w:val="en-US" w:eastAsia="zh-CN"/>
              </w:rPr>
              <w:t>40</w:t>
            </w:r>
            <w:r>
              <w:rPr>
                <w:rFonts w:hint="default" w:ascii="Arial" w:hAnsi="Arial" w:eastAsia="宋体" w:cs="Arial"/>
                <w:color w:val="auto"/>
                <w:sz w:val="21"/>
                <w:szCs w:val="21"/>
                <w:highlight w:val="none"/>
              </w:rPr>
              <w:t>'</w:t>
            </w:r>
            <w:r>
              <w:rPr>
                <w:rFonts w:hint="default" w:ascii="Arial" w:hAnsi="Arial" w:eastAsia="宋体" w:cs="Arial"/>
                <w:color w:val="auto"/>
                <w:sz w:val="21"/>
                <w:szCs w:val="21"/>
                <w:highlight w:val="none"/>
                <w:lang w:val="en-US" w:eastAsia="zh-CN"/>
              </w:rPr>
              <w:t>51.59</w:t>
            </w:r>
            <w:r>
              <w:rPr>
                <w:rFonts w:hint="default" w:ascii="Arial" w:hAnsi="Arial" w:eastAsia="宋体" w:cs="Arial"/>
                <w:color w:val="auto"/>
                <w:sz w:val="21"/>
                <w:szCs w:val="21"/>
                <w:highlight w:val="none"/>
              </w:rPr>
              <w:t>"</w:t>
            </w:r>
          </w:p>
        </w:tc>
        <w:tc>
          <w:tcPr>
            <w:tcW w:w="1815" w:type="dxa"/>
            <w:vAlign w:val="center"/>
          </w:tcPr>
          <w:p>
            <w:pPr>
              <w:pStyle w:val="63"/>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lang w:val="en-US" w:eastAsia="zh-CN"/>
              </w:rPr>
              <w:t>二合永村</w:t>
            </w:r>
          </w:p>
        </w:tc>
        <w:tc>
          <w:tcPr>
            <w:tcW w:w="908" w:type="dxa"/>
            <w:vAlign w:val="center"/>
          </w:tcPr>
          <w:p>
            <w:pPr>
              <w:pStyle w:val="63"/>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居民</w:t>
            </w:r>
          </w:p>
        </w:tc>
        <w:tc>
          <w:tcPr>
            <w:tcW w:w="908" w:type="dxa"/>
            <w:vAlign w:val="center"/>
          </w:tcPr>
          <w:p>
            <w:pPr>
              <w:pStyle w:val="63"/>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lang w:val="en-US" w:eastAsia="zh-CN"/>
              </w:rPr>
              <w:t>35</w:t>
            </w:r>
          </w:p>
        </w:tc>
        <w:tc>
          <w:tcPr>
            <w:tcW w:w="908" w:type="dxa"/>
            <w:vAlign w:val="center"/>
          </w:tcPr>
          <w:p>
            <w:pPr>
              <w:pStyle w:val="63"/>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lang w:val="en-US" w:eastAsia="zh-CN"/>
              </w:rPr>
              <w:t>86</w:t>
            </w:r>
          </w:p>
        </w:tc>
        <w:tc>
          <w:tcPr>
            <w:tcW w:w="1513" w:type="dxa"/>
            <w:vAlign w:val="center"/>
          </w:tcPr>
          <w:p>
            <w:pPr>
              <w:pStyle w:val="63"/>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lang w:val="en-US" w:eastAsia="zh-CN"/>
              </w:rPr>
              <w:t>南侧</w:t>
            </w:r>
          </w:p>
        </w:tc>
        <w:tc>
          <w:tcPr>
            <w:tcW w:w="1513" w:type="dxa"/>
            <w:vAlign w:val="center"/>
          </w:tcPr>
          <w:p>
            <w:pPr>
              <w:pStyle w:val="63"/>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lang w:val="en-US" w:eastAsia="zh-CN"/>
              </w:rPr>
              <w:t>2.02</w:t>
            </w:r>
          </w:p>
        </w:tc>
        <w:tc>
          <w:tcPr>
            <w:tcW w:w="1682" w:type="dxa"/>
            <w:vMerge w:val="continue"/>
            <w:vAlign w:val="center"/>
          </w:tcPr>
          <w:p>
            <w:pPr>
              <w:pStyle w:val="63"/>
              <w:rPr>
                <w:rFonts w:hint="default" w:ascii="Arial" w:hAnsi="Arial" w:eastAsia="宋体" w:cs="Arial"/>
                <w:color w:val="auto"/>
                <w:sz w:val="21"/>
                <w:szCs w:val="21"/>
                <w:highlight w:val="none"/>
              </w:rPr>
            </w:pP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1513" w:type="dxa"/>
            <w:vMerge w:val="continue"/>
            <w:vAlign w:val="center"/>
          </w:tcPr>
          <w:p>
            <w:pPr>
              <w:pStyle w:val="63"/>
              <w:jc w:val="center"/>
              <w:rPr>
                <w:rFonts w:hint="default" w:ascii="Arial" w:hAnsi="Arial" w:eastAsia="宋体" w:cs="Arial"/>
                <w:color w:val="auto"/>
                <w:sz w:val="21"/>
                <w:szCs w:val="21"/>
                <w:highlight w:val="none"/>
                <w:lang w:val="en-US" w:eastAsia="zh-CN"/>
              </w:rPr>
            </w:pPr>
          </w:p>
        </w:tc>
        <w:tc>
          <w:tcPr>
            <w:tcW w:w="1815" w:type="dxa"/>
            <w:vAlign w:val="center"/>
          </w:tcPr>
          <w:p>
            <w:pPr>
              <w:pStyle w:val="63"/>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N40°</w:t>
            </w:r>
            <w:r>
              <w:rPr>
                <w:rFonts w:hint="default" w:ascii="Arial" w:hAnsi="Arial" w:eastAsia="宋体" w:cs="Arial"/>
                <w:color w:val="auto"/>
                <w:sz w:val="21"/>
                <w:szCs w:val="21"/>
                <w:highlight w:val="none"/>
                <w:lang w:val="en-US" w:eastAsia="zh-CN"/>
              </w:rPr>
              <w:t>55</w:t>
            </w:r>
            <w:r>
              <w:rPr>
                <w:rFonts w:hint="default" w:ascii="Arial" w:hAnsi="Arial" w:eastAsia="宋体" w:cs="Arial"/>
                <w:color w:val="auto"/>
                <w:sz w:val="21"/>
                <w:szCs w:val="21"/>
                <w:highlight w:val="none"/>
              </w:rPr>
              <w:t>'</w:t>
            </w:r>
            <w:r>
              <w:rPr>
                <w:rFonts w:hint="default" w:ascii="Arial" w:hAnsi="Arial" w:eastAsia="宋体" w:cs="Arial"/>
                <w:color w:val="auto"/>
                <w:sz w:val="21"/>
                <w:szCs w:val="21"/>
                <w:highlight w:val="none"/>
                <w:lang w:val="en-US" w:eastAsia="zh-CN"/>
              </w:rPr>
              <w:t>15.15</w:t>
            </w:r>
            <w:r>
              <w:rPr>
                <w:rFonts w:hint="default" w:ascii="Arial" w:hAnsi="Arial" w:eastAsia="宋体" w:cs="Arial"/>
                <w:color w:val="auto"/>
                <w:sz w:val="21"/>
                <w:szCs w:val="21"/>
                <w:highlight w:val="none"/>
              </w:rPr>
              <w:t>"</w:t>
            </w:r>
          </w:p>
        </w:tc>
        <w:tc>
          <w:tcPr>
            <w:tcW w:w="1815" w:type="dxa"/>
            <w:vAlign w:val="center"/>
          </w:tcPr>
          <w:p>
            <w:pPr>
              <w:pStyle w:val="63"/>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E10</w:t>
            </w:r>
            <w:r>
              <w:rPr>
                <w:rFonts w:hint="default" w:ascii="Arial" w:hAnsi="Arial" w:eastAsia="宋体" w:cs="Arial"/>
                <w:color w:val="auto"/>
                <w:sz w:val="21"/>
                <w:szCs w:val="21"/>
                <w:highlight w:val="none"/>
                <w:lang w:val="en-US" w:eastAsia="zh-CN"/>
              </w:rPr>
              <w:t>7</w:t>
            </w:r>
            <w:r>
              <w:rPr>
                <w:rFonts w:hint="default" w:ascii="Arial" w:hAnsi="Arial" w:eastAsia="宋体" w:cs="Arial"/>
                <w:color w:val="auto"/>
                <w:sz w:val="21"/>
                <w:szCs w:val="21"/>
                <w:highlight w:val="none"/>
              </w:rPr>
              <w:t>°</w:t>
            </w:r>
            <w:r>
              <w:rPr>
                <w:rFonts w:hint="default" w:ascii="Arial" w:hAnsi="Arial" w:eastAsia="宋体" w:cs="Arial"/>
                <w:color w:val="auto"/>
                <w:sz w:val="21"/>
                <w:szCs w:val="21"/>
                <w:highlight w:val="none"/>
                <w:lang w:val="en-US" w:eastAsia="zh-CN"/>
              </w:rPr>
              <w:t>39</w:t>
            </w:r>
            <w:r>
              <w:rPr>
                <w:rFonts w:hint="default" w:ascii="Arial" w:hAnsi="Arial" w:eastAsia="宋体" w:cs="Arial"/>
                <w:color w:val="auto"/>
                <w:sz w:val="21"/>
                <w:szCs w:val="21"/>
                <w:highlight w:val="none"/>
              </w:rPr>
              <w:t>'</w:t>
            </w:r>
            <w:r>
              <w:rPr>
                <w:rFonts w:hint="default" w:ascii="Arial" w:hAnsi="Arial" w:eastAsia="宋体" w:cs="Arial"/>
                <w:color w:val="auto"/>
                <w:sz w:val="21"/>
                <w:szCs w:val="21"/>
                <w:highlight w:val="none"/>
                <w:lang w:val="en-US" w:eastAsia="zh-CN"/>
              </w:rPr>
              <w:t>36.28</w:t>
            </w:r>
            <w:r>
              <w:rPr>
                <w:rFonts w:hint="default" w:ascii="Arial" w:hAnsi="Arial" w:eastAsia="宋体" w:cs="Arial"/>
                <w:color w:val="auto"/>
                <w:sz w:val="21"/>
                <w:szCs w:val="21"/>
                <w:highlight w:val="none"/>
              </w:rPr>
              <w:t>"</w:t>
            </w:r>
          </w:p>
        </w:tc>
        <w:tc>
          <w:tcPr>
            <w:tcW w:w="1815" w:type="dxa"/>
            <w:vAlign w:val="center"/>
          </w:tcPr>
          <w:p>
            <w:pPr>
              <w:pStyle w:val="63"/>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lang w:val="en-US" w:eastAsia="zh-CN"/>
              </w:rPr>
              <w:t>新永四社</w:t>
            </w:r>
          </w:p>
        </w:tc>
        <w:tc>
          <w:tcPr>
            <w:tcW w:w="908" w:type="dxa"/>
            <w:vAlign w:val="center"/>
          </w:tcPr>
          <w:p>
            <w:pPr>
              <w:pStyle w:val="63"/>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居民</w:t>
            </w:r>
          </w:p>
        </w:tc>
        <w:tc>
          <w:tcPr>
            <w:tcW w:w="908" w:type="dxa"/>
            <w:vAlign w:val="center"/>
          </w:tcPr>
          <w:p>
            <w:pPr>
              <w:pStyle w:val="63"/>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lang w:val="en-US" w:eastAsia="zh-CN"/>
              </w:rPr>
              <w:t>46</w:t>
            </w:r>
          </w:p>
        </w:tc>
        <w:tc>
          <w:tcPr>
            <w:tcW w:w="908" w:type="dxa"/>
            <w:vAlign w:val="center"/>
          </w:tcPr>
          <w:p>
            <w:pPr>
              <w:pStyle w:val="63"/>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lang w:val="en-US" w:eastAsia="zh-CN"/>
              </w:rPr>
              <w:t>99</w:t>
            </w:r>
          </w:p>
        </w:tc>
        <w:tc>
          <w:tcPr>
            <w:tcW w:w="1513" w:type="dxa"/>
            <w:vAlign w:val="center"/>
          </w:tcPr>
          <w:p>
            <w:pPr>
              <w:pStyle w:val="63"/>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lang w:val="en-US" w:eastAsia="zh-CN"/>
              </w:rPr>
              <w:t>西南侧</w:t>
            </w:r>
          </w:p>
        </w:tc>
        <w:tc>
          <w:tcPr>
            <w:tcW w:w="1513" w:type="dxa"/>
            <w:vAlign w:val="center"/>
          </w:tcPr>
          <w:p>
            <w:pPr>
              <w:pStyle w:val="63"/>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lang w:val="en-US" w:eastAsia="zh-CN"/>
              </w:rPr>
              <w:t>2.12</w:t>
            </w:r>
          </w:p>
        </w:tc>
        <w:tc>
          <w:tcPr>
            <w:tcW w:w="1682" w:type="dxa"/>
            <w:vMerge w:val="continue"/>
            <w:vAlign w:val="center"/>
          </w:tcPr>
          <w:p>
            <w:pPr>
              <w:pStyle w:val="63"/>
              <w:rPr>
                <w:rFonts w:hint="default" w:ascii="Arial" w:hAnsi="Arial" w:eastAsia="宋体" w:cs="Arial"/>
                <w:color w:val="auto"/>
                <w:sz w:val="21"/>
                <w:szCs w:val="21"/>
                <w:highlight w:val="none"/>
              </w:rPr>
            </w:pP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1513" w:type="dxa"/>
            <w:vMerge w:val="continue"/>
            <w:vAlign w:val="center"/>
          </w:tcPr>
          <w:p>
            <w:pPr>
              <w:pStyle w:val="63"/>
              <w:jc w:val="center"/>
              <w:rPr>
                <w:rFonts w:hint="default" w:ascii="Arial" w:hAnsi="Arial" w:eastAsia="宋体" w:cs="Arial"/>
                <w:color w:val="auto"/>
                <w:sz w:val="21"/>
                <w:szCs w:val="21"/>
                <w:highlight w:val="none"/>
                <w:lang w:val="en-US" w:eastAsia="zh-CN"/>
              </w:rPr>
            </w:pPr>
          </w:p>
        </w:tc>
        <w:tc>
          <w:tcPr>
            <w:tcW w:w="1815" w:type="dxa"/>
            <w:vAlign w:val="center"/>
          </w:tcPr>
          <w:p>
            <w:pPr>
              <w:pStyle w:val="63"/>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N40°</w:t>
            </w:r>
            <w:r>
              <w:rPr>
                <w:rFonts w:hint="default" w:ascii="Arial" w:hAnsi="Arial" w:eastAsia="宋体" w:cs="Arial"/>
                <w:color w:val="auto"/>
                <w:sz w:val="21"/>
                <w:szCs w:val="21"/>
                <w:highlight w:val="none"/>
                <w:lang w:val="en-US" w:eastAsia="zh-CN"/>
              </w:rPr>
              <w:t>55</w:t>
            </w:r>
            <w:r>
              <w:rPr>
                <w:rFonts w:hint="default" w:ascii="Arial" w:hAnsi="Arial" w:eastAsia="宋体" w:cs="Arial"/>
                <w:color w:val="auto"/>
                <w:sz w:val="21"/>
                <w:szCs w:val="21"/>
                <w:highlight w:val="none"/>
              </w:rPr>
              <w:t>'</w:t>
            </w:r>
            <w:r>
              <w:rPr>
                <w:rFonts w:hint="default" w:ascii="Arial" w:hAnsi="Arial" w:eastAsia="宋体" w:cs="Arial"/>
                <w:color w:val="auto"/>
                <w:sz w:val="21"/>
                <w:szCs w:val="21"/>
                <w:highlight w:val="none"/>
                <w:lang w:val="en-US" w:eastAsia="zh-CN"/>
              </w:rPr>
              <w:t>40.18</w:t>
            </w:r>
            <w:r>
              <w:rPr>
                <w:rFonts w:hint="default" w:ascii="Arial" w:hAnsi="Arial" w:eastAsia="宋体" w:cs="Arial"/>
                <w:color w:val="auto"/>
                <w:sz w:val="21"/>
                <w:szCs w:val="21"/>
                <w:highlight w:val="none"/>
              </w:rPr>
              <w:t>"</w:t>
            </w:r>
          </w:p>
        </w:tc>
        <w:tc>
          <w:tcPr>
            <w:tcW w:w="1815" w:type="dxa"/>
            <w:vAlign w:val="center"/>
          </w:tcPr>
          <w:p>
            <w:pPr>
              <w:pStyle w:val="63"/>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E10</w:t>
            </w:r>
            <w:r>
              <w:rPr>
                <w:rFonts w:hint="default" w:ascii="Arial" w:hAnsi="Arial" w:eastAsia="宋体" w:cs="Arial"/>
                <w:color w:val="auto"/>
                <w:sz w:val="21"/>
                <w:szCs w:val="21"/>
                <w:highlight w:val="none"/>
                <w:lang w:val="en-US" w:eastAsia="zh-CN"/>
              </w:rPr>
              <w:t>7</w:t>
            </w:r>
            <w:r>
              <w:rPr>
                <w:rFonts w:hint="default" w:ascii="Arial" w:hAnsi="Arial" w:eastAsia="宋体" w:cs="Arial"/>
                <w:color w:val="auto"/>
                <w:sz w:val="21"/>
                <w:szCs w:val="21"/>
                <w:highlight w:val="none"/>
              </w:rPr>
              <w:t>°</w:t>
            </w:r>
            <w:r>
              <w:rPr>
                <w:rFonts w:hint="default" w:ascii="Arial" w:hAnsi="Arial" w:eastAsia="宋体" w:cs="Arial"/>
                <w:color w:val="auto"/>
                <w:sz w:val="21"/>
                <w:szCs w:val="21"/>
                <w:highlight w:val="none"/>
                <w:lang w:val="en-US" w:eastAsia="zh-CN"/>
              </w:rPr>
              <w:t>39</w:t>
            </w:r>
            <w:r>
              <w:rPr>
                <w:rFonts w:hint="default" w:ascii="Arial" w:hAnsi="Arial" w:eastAsia="宋体" w:cs="Arial"/>
                <w:color w:val="auto"/>
                <w:sz w:val="21"/>
                <w:szCs w:val="21"/>
                <w:highlight w:val="none"/>
              </w:rPr>
              <w:t>'</w:t>
            </w:r>
            <w:r>
              <w:rPr>
                <w:rFonts w:hint="default" w:ascii="Arial" w:hAnsi="Arial" w:eastAsia="宋体" w:cs="Arial"/>
                <w:color w:val="auto"/>
                <w:sz w:val="21"/>
                <w:szCs w:val="21"/>
                <w:highlight w:val="none"/>
                <w:lang w:val="en-US" w:eastAsia="zh-CN"/>
              </w:rPr>
              <w:t>8.23</w:t>
            </w:r>
            <w:r>
              <w:rPr>
                <w:rFonts w:hint="default" w:ascii="Arial" w:hAnsi="Arial" w:eastAsia="宋体" w:cs="Arial"/>
                <w:color w:val="auto"/>
                <w:sz w:val="21"/>
                <w:szCs w:val="21"/>
                <w:highlight w:val="none"/>
              </w:rPr>
              <w:t>"</w:t>
            </w:r>
          </w:p>
        </w:tc>
        <w:tc>
          <w:tcPr>
            <w:tcW w:w="1815" w:type="dxa"/>
            <w:vAlign w:val="center"/>
          </w:tcPr>
          <w:p>
            <w:pPr>
              <w:pStyle w:val="63"/>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lang w:val="en-US" w:eastAsia="zh-CN"/>
              </w:rPr>
              <w:t>新义七社</w:t>
            </w:r>
          </w:p>
        </w:tc>
        <w:tc>
          <w:tcPr>
            <w:tcW w:w="908" w:type="dxa"/>
            <w:vAlign w:val="center"/>
          </w:tcPr>
          <w:p>
            <w:pPr>
              <w:pStyle w:val="63"/>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居民</w:t>
            </w:r>
          </w:p>
        </w:tc>
        <w:tc>
          <w:tcPr>
            <w:tcW w:w="908" w:type="dxa"/>
            <w:vAlign w:val="center"/>
          </w:tcPr>
          <w:p>
            <w:pPr>
              <w:pStyle w:val="63"/>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lang w:val="en-US" w:eastAsia="zh-CN"/>
              </w:rPr>
              <w:t>19</w:t>
            </w:r>
          </w:p>
        </w:tc>
        <w:tc>
          <w:tcPr>
            <w:tcW w:w="908" w:type="dxa"/>
            <w:vAlign w:val="center"/>
          </w:tcPr>
          <w:p>
            <w:pPr>
              <w:pStyle w:val="63"/>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lang w:val="en-US" w:eastAsia="zh-CN"/>
              </w:rPr>
              <w:t>43</w:t>
            </w:r>
          </w:p>
        </w:tc>
        <w:tc>
          <w:tcPr>
            <w:tcW w:w="1513" w:type="dxa"/>
            <w:vAlign w:val="center"/>
          </w:tcPr>
          <w:p>
            <w:pPr>
              <w:pStyle w:val="63"/>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lang w:val="en-US" w:eastAsia="zh-CN"/>
              </w:rPr>
              <w:t>西侧</w:t>
            </w:r>
          </w:p>
        </w:tc>
        <w:tc>
          <w:tcPr>
            <w:tcW w:w="1513" w:type="dxa"/>
            <w:vAlign w:val="center"/>
          </w:tcPr>
          <w:p>
            <w:pPr>
              <w:pStyle w:val="63"/>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lang w:val="en-US" w:eastAsia="zh-CN"/>
              </w:rPr>
              <w:t>2.09</w:t>
            </w:r>
          </w:p>
        </w:tc>
        <w:tc>
          <w:tcPr>
            <w:tcW w:w="1682" w:type="dxa"/>
            <w:vMerge w:val="continue"/>
            <w:vAlign w:val="center"/>
          </w:tcPr>
          <w:p>
            <w:pPr>
              <w:pStyle w:val="63"/>
              <w:rPr>
                <w:rFonts w:hint="default" w:ascii="Arial" w:hAnsi="Arial" w:eastAsia="宋体" w:cs="Arial"/>
                <w:color w:val="auto"/>
                <w:sz w:val="21"/>
                <w:szCs w:val="21"/>
                <w:highlight w:val="none"/>
              </w:rPr>
            </w:pP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1513" w:type="dxa"/>
            <w:vMerge w:val="continue"/>
            <w:vAlign w:val="center"/>
          </w:tcPr>
          <w:p>
            <w:pPr>
              <w:pStyle w:val="63"/>
              <w:jc w:val="center"/>
              <w:rPr>
                <w:rFonts w:hint="default" w:ascii="Arial" w:hAnsi="Arial" w:eastAsia="宋体" w:cs="Arial"/>
                <w:color w:val="auto"/>
                <w:sz w:val="21"/>
                <w:szCs w:val="21"/>
                <w:highlight w:val="none"/>
                <w:lang w:val="en-US" w:eastAsia="zh-CN"/>
              </w:rPr>
            </w:pPr>
          </w:p>
        </w:tc>
        <w:tc>
          <w:tcPr>
            <w:tcW w:w="1815" w:type="dxa"/>
            <w:vAlign w:val="center"/>
          </w:tcPr>
          <w:p>
            <w:pPr>
              <w:pStyle w:val="63"/>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N40°</w:t>
            </w:r>
            <w:r>
              <w:rPr>
                <w:rFonts w:hint="default" w:ascii="Arial" w:hAnsi="Arial" w:eastAsia="宋体" w:cs="Arial"/>
                <w:color w:val="auto"/>
                <w:sz w:val="21"/>
                <w:szCs w:val="21"/>
                <w:highlight w:val="none"/>
                <w:lang w:val="en-US" w:eastAsia="zh-CN"/>
              </w:rPr>
              <w:t>56</w:t>
            </w:r>
            <w:r>
              <w:rPr>
                <w:rFonts w:hint="default" w:ascii="Arial" w:hAnsi="Arial" w:eastAsia="宋体" w:cs="Arial"/>
                <w:color w:val="auto"/>
                <w:sz w:val="21"/>
                <w:szCs w:val="21"/>
                <w:highlight w:val="none"/>
              </w:rPr>
              <w:t>'</w:t>
            </w:r>
            <w:r>
              <w:rPr>
                <w:rFonts w:hint="default" w:ascii="Arial" w:hAnsi="Arial" w:eastAsia="宋体" w:cs="Arial"/>
                <w:color w:val="auto"/>
                <w:sz w:val="21"/>
                <w:szCs w:val="21"/>
                <w:highlight w:val="none"/>
                <w:lang w:val="en-US" w:eastAsia="zh-CN"/>
              </w:rPr>
              <w:t>45.45</w:t>
            </w:r>
            <w:r>
              <w:rPr>
                <w:rFonts w:hint="default" w:ascii="Arial" w:hAnsi="Arial" w:eastAsia="宋体" w:cs="Arial"/>
                <w:color w:val="auto"/>
                <w:sz w:val="21"/>
                <w:szCs w:val="21"/>
                <w:highlight w:val="none"/>
              </w:rPr>
              <w:t>"</w:t>
            </w:r>
          </w:p>
        </w:tc>
        <w:tc>
          <w:tcPr>
            <w:tcW w:w="1815" w:type="dxa"/>
            <w:vAlign w:val="center"/>
          </w:tcPr>
          <w:p>
            <w:pPr>
              <w:pStyle w:val="63"/>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E10</w:t>
            </w:r>
            <w:r>
              <w:rPr>
                <w:rFonts w:hint="default" w:ascii="Arial" w:hAnsi="Arial" w:eastAsia="宋体" w:cs="Arial"/>
                <w:color w:val="auto"/>
                <w:sz w:val="21"/>
                <w:szCs w:val="21"/>
                <w:highlight w:val="none"/>
                <w:lang w:val="en-US" w:eastAsia="zh-CN"/>
              </w:rPr>
              <w:t>7</w:t>
            </w:r>
            <w:r>
              <w:rPr>
                <w:rFonts w:hint="default" w:ascii="Arial" w:hAnsi="Arial" w:eastAsia="宋体" w:cs="Arial"/>
                <w:color w:val="auto"/>
                <w:sz w:val="21"/>
                <w:szCs w:val="21"/>
                <w:highlight w:val="none"/>
              </w:rPr>
              <w:t>°</w:t>
            </w:r>
            <w:r>
              <w:rPr>
                <w:rFonts w:hint="default" w:ascii="Arial" w:hAnsi="Arial" w:eastAsia="宋体" w:cs="Arial"/>
                <w:color w:val="auto"/>
                <w:sz w:val="21"/>
                <w:szCs w:val="21"/>
                <w:highlight w:val="none"/>
                <w:lang w:val="en-US" w:eastAsia="zh-CN"/>
              </w:rPr>
              <w:t>39</w:t>
            </w:r>
            <w:r>
              <w:rPr>
                <w:rFonts w:hint="default" w:ascii="Arial" w:hAnsi="Arial" w:eastAsia="宋体" w:cs="Arial"/>
                <w:color w:val="auto"/>
                <w:sz w:val="21"/>
                <w:szCs w:val="21"/>
                <w:highlight w:val="none"/>
              </w:rPr>
              <w:t>'</w:t>
            </w:r>
            <w:r>
              <w:rPr>
                <w:rFonts w:hint="default" w:ascii="Arial" w:hAnsi="Arial" w:eastAsia="宋体" w:cs="Arial"/>
                <w:color w:val="auto"/>
                <w:sz w:val="21"/>
                <w:szCs w:val="21"/>
                <w:highlight w:val="none"/>
                <w:lang w:val="en-US" w:eastAsia="zh-CN"/>
              </w:rPr>
              <w:t>23.07</w:t>
            </w:r>
            <w:r>
              <w:rPr>
                <w:rFonts w:hint="default" w:ascii="Arial" w:hAnsi="Arial" w:eastAsia="宋体" w:cs="Arial"/>
                <w:color w:val="auto"/>
                <w:sz w:val="21"/>
                <w:szCs w:val="21"/>
                <w:highlight w:val="none"/>
              </w:rPr>
              <w:t>"</w:t>
            </w:r>
          </w:p>
        </w:tc>
        <w:tc>
          <w:tcPr>
            <w:tcW w:w="1815" w:type="dxa"/>
            <w:vAlign w:val="center"/>
          </w:tcPr>
          <w:p>
            <w:pPr>
              <w:pStyle w:val="63"/>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lang w:val="en-US" w:eastAsia="zh-CN"/>
              </w:rPr>
              <w:t>新胜四社</w:t>
            </w:r>
          </w:p>
        </w:tc>
        <w:tc>
          <w:tcPr>
            <w:tcW w:w="908" w:type="dxa"/>
            <w:vAlign w:val="center"/>
          </w:tcPr>
          <w:p>
            <w:pPr>
              <w:pStyle w:val="63"/>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居民</w:t>
            </w:r>
          </w:p>
        </w:tc>
        <w:tc>
          <w:tcPr>
            <w:tcW w:w="908" w:type="dxa"/>
            <w:vAlign w:val="center"/>
          </w:tcPr>
          <w:p>
            <w:pPr>
              <w:pStyle w:val="63"/>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lang w:val="en-US" w:eastAsia="zh-CN"/>
              </w:rPr>
              <w:t>40</w:t>
            </w:r>
          </w:p>
        </w:tc>
        <w:tc>
          <w:tcPr>
            <w:tcW w:w="908" w:type="dxa"/>
            <w:vAlign w:val="center"/>
          </w:tcPr>
          <w:p>
            <w:pPr>
              <w:pStyle w:val="63"/>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lang w:val="en-US" w:eastAsia="zh-CN"/>
              </w:rPr>
              <w:t>92</w:t>
            </w:r>
          </w:p>
        </w:tc>
        <w:tc>
          <w:tcPr>
            <w:tcW w:w="1513" w:type="dxa"/>
            <w:vAlign w:val="center"/>
          </w:tcPr>
          <w:p>
            <w:pPr>
              <w:pStyle w:val="63"/>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lang w:val="en-US" w:eastAsia="zh-CN"/>
              </w:rPr>
              <w:t>西北侧</w:t>
            </w:r>
          </w:p>
        </w:tc>
        <w:tc>
          <w:tcPr>
            <w:tcW w:w="1513" w:type="dxa"/>
            <w:vAlign w:val="center"/>
          </w:tcPr>
          <w:p>
            <w:pPr>
              <w:pStyle w:val="63"/>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lang w:val="en-US" w:eastAsia="zh-CN"/>
              </w:rPr>
              <w:t>1.86</w:t>
            </w:r>
          </w:p>
        </w:tc>
        <w:tc>
          <w:tcPr>
            <w:tcW w:w="1682" w:type="dxa"/>
            <w:vMerge w:val="continue"/>
            <w:vAlign w:val="center"/>
          </w:tcPr>
          <w:p>
            <w:pPr>
              <w:pStyle w:val="63"/>
              <w:rPr>
                <w:rFonts w:hint="default" w:ascii="Arial" w:hAnsi="Arial" w:eastAsia="宋体" w:cs="Arial"/>
                <w:color w:val="auto"/>
                <w:sz w:val="21"/>
                <w:szCs w:val="21"/>
                <w:highlight w:val="none"/>
              </w:rPr>
            </w:pP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1513" w:type="dxa"/>
            <w:vMerge w:val="continue"/>
            <w:vAlign w:val="center"/>
          </w:tcPr>
          <w:p>
            <w:pPr>
              <w:pStyle w:val="63"/>
              <w:jc w:val="center"/>
              <w:rPr>
                <w:rFonts w:hint="default" w:ascii="Arial" w:hAnsi="Arial" w:eastAsia="宋体" w:cs="Arial"/>
                <w:color w:val="auto"/>
                <w:sz w:val="21"/>
                <w:szCs w:val="21"/>
                <w:highlight w:val="none"/>
                <w:lang w:val="en-US" w:eastAsia="zh-CN"/>
              </w:rPr>
            </w:pPr>
          </w:p>
        </w:tc>
        <w:tc>
          <w:tcPr>
            <w:tcW w:w="1815" w:type="dxa"/>
            <w:vAlign w:val="center"/>
          </w:tcPr>
          <w:p>
            <w:pPr>
              <w:pStyle w:val="63"/>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N40°</w:t>
            </w:r>
            <w:r>
              <w:rPr>
                <w:rFonts w:hint="default" w:ascii="Arial" w:hAnsi="Arial" w:eastAsia="宋体" w:cs="Arial"/>
                <w:color w:val="auto"/>
                <w:sz w:val="21"/>
                <w:szCs w:val="21"/>
                <w:highlight w:val="none"/>
                <w:lang w:val="en-US" w:eastAsia="zh-CN"/>
              </w:rPr>
              <w:t>57</w:t>
            </w:r>
            <w:r>
              <w:rPr>
                <w:rFonts w:hint="default" w:ascii="Arial" w:hAnsi="Arial" w:eastAsia="宋体" w:cs="Arial"/>
                <w:color w:val="auto"/>
                <w:sz w:val="21"/>
                <w:szCs w:val="21"/>
                <w:highlight w:val="none"/>
              </w:rPr>
              <w:t>'</w:t>
            </w:r>
            <w:r>
              <w:rPr>
                <w:rFonts w:hint="default" w:ascii="Arial" w:hAnsi="Arial" w:eastAsia="宋体" w:cs="Arial"/>
                <w:color w:val="auto"/>
                <w:sz w:val="21"/>
                <w:szCs w:val="21"/>
                <w:highlight w:val="none"/>
                <w:lang w:val="en-US" w:eastAsia="zh-CN"/>
              </w:rPr>
              <w:t>13.42</w:t>
            </w:r>
            <w:r>
              <w:rPr>
                <w:rFonts w:hint="default" w:ascii="Arial" w:hAnsi="Arial" w:eastAsia="宋体" w:cs="Arial"/>
                <w:color w:val="auto"/>
                <w:sz w:val="21"/>
                <w:szCs w:val="21"/>
                <w:highlight w:val="none"/>
              </w:rPr>
              <w:t>"</w:t>
            </w:r>
          </w:p>
        </w:tc>
        <w:tc>
          <w:tcPr>
            <w:tcW w:w="1815" w:type="dxa"/>
            <w:vAlign w:val="center"/>
          </w:tcPr>
          <w:p>
            <w:pPr>
              <w:pStyle w:val="63"/>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E10</w:t>
            </w:r>
            <w:r>
              <w:rPr>
                <w:rFonts w:hint="default" w:ascii="Arial" w:hAnsi="Arial" w:eastAsia="宋体" w:cs="Arial"/>
                <w:color w:val="auto"/>
                <w:sz w:val="21"/>
                <w:szCs w:val="21"/>
                <w:highlight w:val="none"/>
                <w:lang w:val="en-US" w:eastAsia="zh-CN"/>
              </w:rPr>
              <w:t>7</w:t>
            </w:r>
            <w:r>
              <w:rPr>
                <w:rFonts w:hint="default" w:ascii="Arial" w:hAnsi="Arial" w:eastAsia="宋体" w:cs="Arial"/>
                <w:color w:val="auto"/>
                <w:sz w:val="21"/>
                <w:szCs w:val="21"/>
                <w:highlight w:val="none"/>
              </w:rPr>
              <w:t>°</w:t>
            </w:r>
            <w:r>
              <w:rPr>
                <w:rFonts w:hint="default" w:ascii="Arial" w:hAnsi="Arial" w:eastAsia="宋体" w:cs="Arial"/>
                <w:color w:val="auto"/>
                <w:sz w:val="21"/>
                <w:szCs w:val="21"/>
                <w:highlight w:val="none"/>
                <w:lang w:val="en-US" w:eastAsia="zh-CN"/>
              </w:rPr>
              <w:t>39</w:t>
            </w:r>
            <w:r>
              <w:rPr>
                <w:rFonts w:hint="default" w:ascii="Arial" w:hAnsi="Arial" w:eastAsia="宋体" w:cs="Arial"/>
                <w:color w:val="auto"/>
                <w:sz w:val="21"/>
                <w:szCs w:val="21"/>
                <w:highlight w:val="none"/>
              </w:rPr>
              <w:t>'</w:t>
            </w:r>
            <w:r>
              <w:rPr>
                <w:rFonts w:hint="default" w:ascii="Arial" w:hAnsi="Arial" w:eastAsia="宋体" w:cs="Arial"/>
                <w:color w:val="auto"/>
                <w:sz w:val="21"/>
                <w:szCs w:val="21"/>
                <w:highlight w:val="none"/>
                <w:lang w:val="en-US" w:eastAsia="zh-CN"/>
              </w:rPr>
              <w:t>31.66</w:t>
            </w:r>
            <w:r>
              <w:rPr>
                <w:rFonts w:hint="default" w:ascii="Arial" w:hAnsi="Arial" w:eastAsia="宋体" w:cs="Arial"/>
                <w:color w:val="auto"/>
                <w:sz w:val="21"/>
                <w:szCs w:val="21"/>
                <w:highlight w:val="none"/>
              </w:rPr>
              <w:t>"</w:t>
            </w:r>
          </w:p>
        </w:tc>
        <w:tc>
          <w:tcPr>
            <w:tcW w:w="1815" w:type="dxa"/>
            <w:vAlign w:val="center"/>
          </w:tcPr>
          <w:p>
            <w:pPr>
              <w:pStyle w:val="63"/>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lang w:val="en-US" w:eastAsia="zh-CN"/>
              </w:rPr>
              <w:t>新胜二社</w:t>
            </w:r>
          </w:p>
        </w:tc>
        <w:tc>
          <w:tcPr>
            <w:tcW w:w="908" w:type="dxa"/>
            <w:vAlign w:val="center"/>
          </w:tcPr>
          <w:p>
            <w:pPr>
              <w:pStyle w:val="63"/>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居民</w:t>
            </w:r>
          </w:p>
        </w:tc>
        <w:tc>
          <w:tcPr>
            <w:tcW w:w="908" w:type="dxa"/>
            <w:vAlign w:val="center"/>
          </w:tcPr>
          <w:p>
            <w:pPr>
              <w:pStyle w:val="63"/>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lang w:val="en-US" w:eastAsia="zh-CN"/>
              </w:rPr>
              <w:t>53</w:t>
            </w:r>
          </w:p>
        </w:tc>
        <w:tc>
          <w:tcPr>
            <w:tcW w:w="908" w:type="dxa"/>
            <w:vAlign w:val="center"/>
          </w:tcPr>
          <w:p>
            <w:pPr>
              <w:pStyle w:val="63"/>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lang w:val="en-US" w:eastAsia="zh-CN"/>
              </w:rPr>
              <w:t>122</w:t>
            </w:r>
          </w:p>
        </w:tc>
        <w:tc>
          <w:tcPr>
            <w:tcW w:w="1513" w:type="dxa"/>
            <w:vAlign w:val="center"/>
          </w:tcPr>
          <w:p>
            <w:pPr>
              <w:pStyle w:val="63"/>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lang w:val="en-US" w:eastAsia="zh-CN"/>
              </w:rPr>
              <w:t>西北侧</w:t>
            </w:r>
          </w:p>
        </w:tc>
        <w:tc>
          <w:tcPr>
            <w:tcW w:w="1513" w:type="dxa"/>
            <w:vAlign w:val="center"/>
          </w:tcPr>
          <w:p>
            <w:pPr>
              <w:pStyle w:val="63"/>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lang w:val="en-US" w:eastAsia="zh-CN"/>
              </w:rPr>
              <w:t>2.25</w:t>
            </w:r>
          </w:p>
        </w:tc>
        <w:tc>
          <w:tcPr>
            <w:tcW w:w="1682" w:type="dxa"/>
            <w:vMerge w:val="continue"/>
            <w:vAlign w:val="center"/>
          </w:tcPr>
          <w:p>
            <w:pPr>
              <w:pStyle w:val="63"/>
              <w:rPr>
                <w:rFonts w:hint="default" w:ascii="Arial" w:hAnsi="Arial" w:eastAsia="宋体" w:cs="Arial"/>
                <w:color w:val="auto"/>
                <w:sz w:val="21"/>
                <w:szCs w:val="21"/>
                <w:highlight w:val="none"/>
              </w:rPr>
            </w:pP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1513" w:type="dxa"/>
            <w:vMerge w:val="continue"/>
            <w:vAlign w:val="center"/>
          </w:tcPr>
          <w:p>
            <w:pPr>
              <w:pStyle w:val="63"/>
              <w:jc w:val="center"/>
              <w:rPr>
                <w:rFonts w:hint="default" w:ascii="Arial" w:hAnsi="Arial" w:eastAsia="宋体" w:cs="Arial"/>
                <w:color w:val="auto"/>
                <w:sz w:val="21"/>
                <w:szCs w:val="21"/>
                <w:highlight w:val="none"/>
                <w:lang w:val="en-US" w:eastAsia="zh-CN"/>
              </w:rPr>
            </w:pPr>
          </w:p>
        </w:tc>
        <w:tc>
          <w:tcPr>
            <w:tcW w:w="1815" w:type="dxa"/>
            <w:vAlign w:val="center"/>
          </w:tcPr>
          <w:p>
            <w:pPr>
              <w:pStyle w:val="63"/>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N40°</w:t>
            </w:r>
            <w:r>
              <w:rPr>
                <w:rFonts w:hint="default" w:ascii="Arial" w:hAnsi="Arial" w:eastAsia="宋体" w:cs="Arial"/>
                <w:color w:val="auto"/>
                <w:sz w:val="21"/>
                <w:szCs w:val="21"/>
                <w:highlight w:val="none"/>
                <w:lang w:val="en-US" w:eastAsia="zh-CN"/>
              </w:rPr>
              <w:t>56</w:t>
            </w:r>
            <w:r>
              <w:rPr>
                <w:rFonts w:hint="default" w:ascii="Arial" w:hAnsi="Arial" w:eastAsia="宋体" w:cs="Arial"/>
                <w:color w:val="auto"/>
                <w:sz w:val="21"/>
                <w:szCs w:val="21"/>
                <w:highlight w:val="none"/>
              </w:rPr>
              <w:t>'</w:t>
            </w:r>
            <w:r>
              <w:rPr>
                <w:rFonts w:hint="default" w:ascii="Arial" w:hAnsi="Arial" w:eastAsia="宋体" w:cs="Arial"/>
                <w:color w:val="auto"/>
                <w:sz w:val="21"/>
                <w:szCs w:val="21"/>
                <w:highlight w:val="none"/>
                <w:lang w:val="en-US" w:eastAsia="zh-CN"/>
              </w:rPr>
              <w:t>57.51</w:t>
            </w:r>
            <w:r>
              <w:rPr>
                <w:rFonts w:hint="default" w:ascii="Arial" w:hAnsi="Arial" w:eastAsia="宋体" w:cs="Arial"/>
                <w:color w:val="auto"/>
                <w:sz w:val="21"/>
                <w:szCs w:val="21"/>
                <w:highlight w:val="none"/>
              </w:rPr>
              <w:t>"</w:t>
            </w:r>
          </w:p>
        </w:tc>
        <w:tc>
          <w:tcPr>
            <w:tcW w:w="1815" w:type="dxa"/>
            <w:vAlign w:val="center"/>
          </w:tcPr>
          <w:p>
            <w:pPr>
              <w:pStyle w:val="63"/>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E10</w:t>
            </w:r>
            <w:r>
              <w:rPr>
                <w:rFonts w:hint="default" w:ascii="Arial" w:hAnsi="Arial" w:eastAsia="宋体" w:cs="Arial"/>
                <w:color w:val="auto"/>
                <w:sz w:val="21"/>
                <w:szCs w:val="21"/>
                <w:highlight w:val="none"/>
                <w:lang w:val="en-US" w:eastAsia="zh-CN"/>
              </w:rPr>
              <w:t>7</w:t>
            </w:r>
            <w:r>
              <w:rPr>
                <w:rFonts w:hint="default" w:ascii="Arial" w:hAnsi="Arial" w:eastAsia="宋体" w:cs="Arial"/>
                <w:color w:val="auto"/>
                <w:sz w:val="21"/>
                <w:szCs w:val="21"/>
                <w:highlight w:val="none"/>
              </w:rPr>
              <w:t>°</w:t>
            </w:r>
            <w:r>
              <w:rPr>
                <w:rFonts w:hint="default" w:ascii="Arial" w:hAnsi="Arial" w:eastAsia="宋体" w:cs="Arial"/>
                <w:color w:val="auto"/>
                <w:sz w:val="21"/>
                <w:szCs w:val="21"/>
                <w:highlight w:val="none"/>
                <w:lang w:val="en-US" w:eastAsia="zh-CN"/>
              </w:rPr>
              <w:t>40</w:t>
            </w:r>
            <w:r>
              <w:rPr>
                <w:rFonts w:hint="default" w:ascii="Arial" w:hAnsi="Arial" w:eastAsia="宋体" w:cs="Arial"/>
                <w:color w:val="auto"/>
                <w:sz w:val="21"/>
                <w:szCs w:val="21"/>
                <w:highlight w:val="none"/>
              </w:rPr>
              <w:t>'</w:t>
            </w:r>
            <w:r>
              <w:rPr>
                <w:rFonts w:hint="default" w:ascii="Arial" w:hAnsi="Arial" w:eastAsia="宋体" w:cs="Arial"/>
                <w:color w:val="auto"/>
                <w:sz w:val="21"/>
                <w:szCs w:val="21"/>
                <w:highlight w:val="none"/>
                <w:lang w:val="en-US" w:eastAsia="zh-CN"/>
              </w:rPr>
              <w:t>51.98</w:t>
            </w:r>
            <w:r>
              <w:rPr>
                <w:rFonts w:hint="default" w:ascii="Arial" w:hAnsi="Arial" w:eastAsia="宋体" w:cs="Arial"/>
                <w:color w:val="auto"/>
                <w:sz w:val="21"/>
                <w:szCs w:val="21"/>
                <w:highlight w:val="none"/>
              </w:rPr>
              <w:t>"</w:t>
            </w:r>
          </w:p>
        </w:tc>
        <w:tc>
          <w:tcPr>
            <w:tcW w:w="1815" w:type="dxa"/>
            <w:vAlign w:val="center"/>
          </w:tcPr>
          <w:p>
            <w:pPr>
              <w:pStyle w:val="63"/>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lang w:val="en-US" w:eastAsia="zh-CN"/>
              </w:rPr>
              <w:t>新胜五社</w:t>
            </w:r>
          </w:p>
        </w:tc>
        <w:tc>
          <w:tcPr>
            <w:tcW w:w="908" w:type="dxa"/>
            <w:vAlign w:val="center"/>
          </w:tcPr>
          <w:p>
            <w:pPr>
              <w:pStyle w:val="63"/>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居民</w:t>
            </w:r>
          </w:p>
        </w:tc>
        <w:tc>
          <w:tcPr>
            <w:tcW w:w="908" w:type="dxa"/>
            <w:vAlign w:val="center"/>
          </w:tcPr>
          <w:p>
            <w:pPr>
              <w:pStyle w:val="63"/>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lang w:val="en-US" w:eastAsia="zh-CN"/>
              </w:rPr>
              <w:t>33</w:t>
            </w:r>
          </w:p>
        </w:tc>
        <w:tc>
          <w:tcPr>
            <w:tcW w:w="908" w:type="dxa"/>
            <w:vAlign w:val="center"/>
          </w:tcPr>
          <w:p>
            <w:pPr>
              <w:pStyle w:val="63"/>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lang w:val="en-US" w:eastAsia="zh-CN"/>
              </w:rPr>
              <w:t>75</w:t>
            </w:r>
          </w:p>
        </w:tc>
        <w:tc>
          <w:tcPr>
            <w:tcW w:w="1513" w:type="dxa"/>
            <w:vAlign w:val="center"/>
          </w:tcPr>
          <w:p>
            <w:pPr>
              <w:pStyle w:val="63"/>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lang w:val="en-US" w:eastAsia="zh-CN"/>
              </w:rPr>
              <w:t>北侧</w:t>
            </w:r>
          </w:p>
        </w:tc>
        <w:tc>
          <w:tcPr>
            <w:tcW w:w="1513" w:type="dxa"/>
            <w:vAlign w:val="center"/>
          </w:tcPr>
          <w:p>
            <w:pPr>
              <w:pStyle w:val="63"/>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lang w:val="en-US" w:eastAsia="zh-CN"/>
              </w:rPr>
              <w:t>1.11</w:t>
            </w:r>
          </w:p>
        </w:tc>
        <w:tc>
          <w:tcPr>
            <w:tcW w:w="1682" w:type="dxa"/>
            <w:vMerge w:val="continue"/>
            <w:vAlign w:val="center"/>
          </w:tcPr>
          <w:p>
            <w:pPr>
              <w:pStyle w:val="63"/>
              <w:rPr>
                <w:rFonts w:hint="default" w:ascii="Arial" w:hAnsi="Arial" w:eastAsia="宋体" w:cs="Arial"/>
                <w:color w:val="auto"/>
                <w:sz w:val="21"/>
                <w:szCs w:val="21"/>
                <w:highlight w:val="none"/>
              </w:rPr>
            </w:pP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1513" w:type="dxa"/>
            <w:vMerge w:val="restart"/>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地下水环境</w:t>
            </w:r>
          </w:p>
        </w:tc>
        <w:tc>
          <w:tcPr>
            <w:tcW w:w="1815" w:type="dxa"/>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zh-CN" w:eastAsia="zh-CN" w:bidi="ar-SA"/>
              </w:rPr>
            </w:pPr>
            <w:r>
              <w:rPr>
                <w:rFonts w:hint="default" w:ascii="Arial" w:hAnsi="Arial" w:eastAsia="宋体" w:cs="Arial"/>
                <w:color w:val="auto"/>
                <w:kern w:val="2"/>
                <w:sz w:val="21"/>
                <w:szCs w:val="21"/>
                <w:highlight w:val="none"/>
                <w:lang w:val="en-US" w:eastAsia="zh-CN" w:bidi="ar-SA"/>
              </w:rPr>
              <w:t>E107°40′33.3″</w:t>
            </w:r>
          </w:p>
        </w:tc>
        <w:tc>
          <w:tcPr>
            <w:tcW w:w="1815" w:type="dxa"/>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zh-CN" w:eastAsia="zh-CN" w:bidi="ar-SA"/>
              </w:rPr>
            </w:pPr>
            <w:r>
              <w:rPr>
                <w:rFonts w:hint="default" w:ascii="Arial" w:hAnsi="Arial" w:eastAsia="宋体" w:cs="Arial"/>
                <w:color w:val="auto"/>
                <w:kern w:val="2"/>
                <w:sz w:val="21"/>
                <w:szCs w:val="21"/>
                <w:highlight w:val="none"/>
                <w:lang w:val="en-US" w:eastAsia="zh-CN" w:bidi="ar-SA"/>
              </w:rPr>
              <w:t>N40°55′36.12″</w:t>
            </w:r>
          </w:p>
        </w:tc>
        <w:tc>
          <w:tcPr>
            <w:tcW w:w="1815" w:type="dxa"/>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lang w:val="en-US" w:eastAsia="zh-CN"/>
              </w:rPr>
              <w:t>☆1项目南侧新义五社水井（1#）</w:t>
            </w:r>
          </w:p>
        </w:tc>
        <w:tc>
          <w:tcPr>
            <w:tcW w:w="2724" w:type="dxa"/>
            <w:gridSpan w:val="3"/>
            <w:vAlign w:val="center"/>
          </w:tcPr>
          <w:p>
            <w:pPr>
              <w:pStyle w:val="63"/>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饮用水井</w:t>
            </w:r>
          </w:p>
        </w:tc>
        <w:tc>
          <w:tcPr>
            <w:tcW w:w="1513"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lang w:val="en-US" w:eastAsia="zh-CN"/>
              </w:rPr>
              <w:t>南侧</w:t>
            </w:r>
          </w:p>
        </w:tc>
        <w:tc>
          <w:tcPr>
            <w:tcW w:w="1513"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lang w:val="en-US" w:eastAsia="zh-CN"/>
              </w:rPr>
              <w:t>0.77</w:t>
            </w:r>
            <w:r>
              <w:rPr>
                <w:rFonts w:hint="default" w:ascii="Arial" w:hAnsi="Arial" w:eastAsia="宋体" w:cs="Arial"/>
                <w:color w:val="auto"/>
                <w:sz w:val="21"/>
                <w:szCs w:val="21"/>
                <w:highlight w:val="none"/>
              </w:rPr>
              <w:t>km</w:t>
            </w:r>
          </w:p>
        </w:tc>
        <w:tc>
          <w:tcPr>
            <w:tcW w:w="1682" w:type="dxa"/>
            <w:vMerge w:val="restart"/>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《地下水环境</w:t>
            </w:r>
          </w:p>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质量标准》（GB/T14848－2017）的III类标准</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1513" w:type="dxa"/>
            <w:vMerge w:val="continue"/>
            <w:vAlign w:val="center"/>
          </w:tcPr>
          <w:p>
            <w:pPr>
              <w:pStyle w:val="63"/>
              <w:rPr>
                <w:rFonts w:hint="default" w:ascii="Arial" w:hAnsi="Arial" w:eastAsia="宋体" w:cs="Arial"/>
                <w:color w:val="auto"/>
                <w:sz w:val="21"/>
                <w:szCs w:val="21"/>
                <w:highlight w:val="none"/>
              </w:rPr>
            </w:pPr>
          </w:p>
        </w:tc>
        <w:tc>
          <w:tcPr>
            <w:tcW w:w="1815" w:type="dxa"/>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zh-CN" w:eastAsia="zh-CN" w:bidi="ar-SA"/>
              </w:rPr>
            </w:pPr>
            <w:r>
              <w:rPr>
                <w:rFonts w:hint="default" w:ascii="Arial" w:hAnsi="Arial" w:eastAsia="宋体" w:cs="Arial"/>
                <w:color w:val="auto"/>
                <w:kern w:val="2"/>
                <w:sz w:val="21"/>
                <w:szCs w:val="21"/>
                <w:highlight w:val="none"/>
                <w:lang w:val="en-US" w:eastAsia="zh-CN" w:bidi="ar-SA"/>
              </w:rPr>
              <w:t>E107°40′57.43″</w:t>
            </w:r>
          </w:p>
        </w:tc>
        <w:tc>
          <w:tcPr>
            <w:tcW w:w="1815" w:type="dxa"/>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zh-CN" w:eastAsia="zh-CN" w:bidi="ar-SA"/>
              </w:rPr>
            </w:pPr>
            <w:r>
              <w:rPr>
                <w:rFonts w:hint="default" w:ascii="Arial" w:hAnsi="Arial" w:eastAsia="宋体" w:cs="Arial"/>
                <w:color w:val="auto"/>
                <w:kern w:val="2"/>
                <w:sz w:val="21"/>
                <w:szCs w:val="21"/>
                <w:highlight w:val="none"/>
                <w:lang w:val="en-US" w:eastAsia="zh-CN" w:bidi="ar-SA"/>
              </w:rPr>
              <w:t>N40°57′1.61″</w:t>
            </w:r>
          </w:p>
        </w:tc>
        <w:tc>
          <w:tcPr>
            <w:tcW w:w="1815" w:type="dxa"/>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lang w:val="en-US" w:eastAsia="zh-CN"/>
              </w:rPr>
              <w:t>☆2项目北侧新胜五社水井（1#）</w:t>
            </w:r>
          </w:p>
        </w:tc>
        <w:tc>
          <w:tcPr>
            <w:tcW w:w="2724" w:type="dxa"/>
            <w:gridSpan w:val="3"/>
            <w:vAlign w:val="center"/>
          </w:tcPr>
          <w:p>
            <w:pPr>
              <w:pStyle w:val="63"/>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饮用水井</w:t>
            </w:r>
          </w:p>
        </w:tc>
        <w:tc>
          <w:tcPr>
            <w:tcW w:w="1513"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lang w:val="en-US" w:eastAsia="zh-CN"/>
              </w:rPr>
              <w:t>北侧</w:t>
            </w:r>
          </w:p>
        </w:tc>
        <w:tc>
          <w:tcPr>
            <w:tcW w:w="1513"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0"/>
                <w:sz w:val="21"/>
                <w:szCs w:val="21"/>
                <w:highlight w:val="none"/>
                <w:lang w:val="en-US" w:eastAsia="zh-CN"/>
              </w:rPr>
              <w:t>1.25</w:t>
            </w:r>
            <w:r>
              <w:rPr>
                <w:rFonts w:hint="default" w:ascii="Arial" w:hAnsi="Arial" w:eastAsia="宋体" w:cs="Arial"/>
                <w:color w:val="auto"/>
                <w:kern w:val="0"/>
                <w:sz w:val="21"/>
                <w:szCs w:val="21"/>
                <w:highlight w:val="none"/>
              </w:rPr>
              <w:t>km</w:t>
            </w:r>
          </w:p>
        </w:tc>
        <w:tc>
          <w:tcPr>
            <w:tcW w:w="1682" w:type="dxa"/>
            <w:vMerge w:val="continue"/>
            <w:vAlign w:val="center"/>
          </w:tcPr>
          <w:p>
            <w:pPr>
              <w:pStyle w:val="63"/>
              <w:rPr>
                <w:rFonts w:hint="default" w:ascii="Arial" w:hAnsi="Arial" w:eastAsia="宋体" w:cs="Arial"/>
                <w:color w:val="auto"/>
                <w:sz w:val="21"/>
                <w:szCs w:val="21"/>
                <w:highlight w:val="none"/>
              </w:rPr>
            </w:pP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1513" w:type="dxa"/>
            <w:vMerge w:val="continue"/>
            <w:vAlign w:val="center"/>
          </w:tcPr>
          <w:p>
            <w:pPr>
              <w:pStyle w:val="63"/>
              <w:rPr>
                <w:rFonts w:hint="default" w:ascii="Arial" w:hAnsi="Arial" w:eastAsia="宋体" w:cs="Arial"/>
                <w:color w:val="auto"/>
                <w:sz w:val="21"/>
                <w:szCs w:val="21"/>
                <w:highlight w:val="none"/>
              </w:rPr>
            </w:pPr>
          </w:p>
        </w:tc>
        <w:tc>
          <w:tcPr>
            <w:tcW w:w="1815" w:type="dxa"/>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zh-CN" w:eastAsia="zh-CN" w:bidi="ar-SA"/>
              </w:rPr>
            </w:pPr>
            <w:r>
              <w:rPr>
                <w:rFonts w:hint="default" w:ascii="Arial" w:hAnsi="Arial" w:eastAsia="宋体" w:cs="Arial"/>
                <w:color w:val="auto"/>
                <w:kern w:val="2"/>
                <w:sz w:val="21"/>
                <w:szCs w:val="21"/>
                <w:highlight w:val="none"/>
                <w:lang w:val="en-US" w:eastAsia="zh-CN" w:bidi="ar-SA"/>
              </w:rPr>
              <w:t>E107°41′6.45″</w:t>
            </w:r>
          </w:p>
        </w:tc>
        <w:tc>
          <w:tcPr>
            <w:tcW w:w="1815" w:type="dxa"/>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zh-CN" w:eastAsia="zh-CN" w:bidi="ar-SA"/>
              </w:rPr>
            </w:pPr>
            <w:r>
              <w:rPr>
                <w:rFonts w:hint="default" w:ascii="Arial" w:hAnsi="Arial" w:eastAsia="宋体" w:cs="Arial"/>
                <w:color w:val="auto"/>
                <w:kern w:val="2"/>
                <w:sz w:val="21"/>
                <w:szCs w:val="21"/>
                <w:highlight w:val="none"/>
                <w:lang w:val="en-US" w:eastAsia="zh-CN" w:bidi="ar-SA"/>
              </w:rPr>
              <w:t>N40°56′8.17″</w:t>
            </w:r>
          </w:p>
        </w:tc>
        <w:tc>
          <w:tcPr>
            <w:tcW w:w="1815" w:type="dxa"/>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lang w:val="en-US" w:eastAsia="zh-CN"/>
              </w:rPr>
              <w:t>☆3项目东侧养殖场水井</w:t>
            </w:r>
          </w:p>
        </w:tc>
        <w:tc>
          <w:tcPr>
            <w:tcW w:w="2724" w:type="dxa"/>
            <w:gridSpan w:val="3"/>
            <w:vAlign w:val="center"/>
          </w:tcPr>
          <w:p>
            <w:pPr>
              <w:pStyle w:val="63"/>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lang w:val="en-US" w:eastAsia="zh-CN"/>
              </w:rPr>
              <w:t>养殖用水井</w:t>
            </w:r>
          </w:p>
        </w:tc>
        <w:tc>
          <w:tcPr>
            <w:tcW w:w="1513"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lang w:val="en-US" w:eastAsia="zh-CN"/>
              </w:rPr>
              <w:t>东侧</w:t>
            </w:r>
          </w:p>
        </w:tc>
        <w:tc>
          <w:tcPr>
            <w:tcW w:w="1513"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0"/>
                <w:sz w:val="21"/>
                <w:szCs w:val="21"/>
                <w:highlight w:val="none"/>
                <w:lang w:val="en-US" w:eastAsia="zh-CN" w:bidi="ar-SA"/>
              </w:rPr>
            </w:pPr>
            <w:r>
              <w:rPr>
                <w:rFonts w:hint="default" w:ascii="Arial" w:hAnsi="Arial" w:eastAsia="宋体" w:cs="Arial"/>
                <w:color w:val="auto"/>
                <w:kern w:val="0"/>
                <w:sz w:val="21"/>
                <w:szCs w:val="21"/>
                <w:highlight w:val="none"/>
                <w:lang w:val="en-US" w:eastAsia="zh-CN"/>
              </w:rPr>
              <w:t>0.30km</w:t>
            </w:r>
          </w:p>
        </w:tc>
        <w:tc>
          <w:tcPr>
            <w:tcW w:w="1682" w:type="dxa"/>
            <w:vMerge w:val="continue"/>
            <w:vAlign w:val="center"/>
          </w:tcPr>
          <w:p>
            <w:pPr>
              <w:pStyle w:val="63"/>
              <w:rPr>
                <w:rFonts w:hint="default" w:ascii="Arial" w:hAnsi="Arial" w:eastAsia="宋体" w:cs="Arial"/>
                <w:color w:val="auto"/>
                <w:sz w:val="21"/>
                <w:szCs w:val="21"/>
                <w:highlight w:val="none"/>
              </w:rPr>
            </w:pP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1513" w:type="dxa"/>
            <w:vMerge w:val="continue"/>
            <w:vAlign w:val="center"/>
          </w:tcPr>
          <w:p>
            <w:pPr>
              <w:pStyle w:val="63"/>
              <w:rPr>
                <w:rFonts w:hint="default" w:ascii="Arial" w:hAnsi="Arial" w:eastAsia="宋体" w:cs="Arial"/>
                <w:color w:val="auto"/>
                <w:sz w:val="21"/>
                <w:szCs w:val="21"/>
                <w:highlight w:val="none"/>
              </w:rPr>
            </w:pPr>
          </w:p>
        </w:tc>
        <w:tc>
          <w:tcPr>
            <w:tcW w:w="1815" w:type="dxa"/>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E107°40′31.01″</w:t>
            </w:r>
          </w:p>
        </w:tc>
        <w:tc>
          <w:tcPr>
            <w:tcW w:w="1815" w:type="dxa"/>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N40°55′41.63″</w:t>
            </w:r>
          </w:p>
        </w:tc>
        <w:tc>
          <w:tcPr>
            <w:tcW w:w="1815" w:type="dxa"/>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lang w:val="en-US" w:eastAsia="zh-CN"/>
              </w:rPr>
              <w:t>☆4项目南侧新义五社水井（2#）</w:t>
            </w:r>
          </w:p>
        </w:tc>
        <w:tc>
          <w:tcPr>
            <w:tcW w:w="2724" w:type="dxa"/>
            <w:gridSpan w:val="3"/>
            <w:vAlign w:val="center"/>
          </w:tcPr>
          <w:p>
            <w:pPr>
              <w:pStyle w:val="63"/>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饮用水井</w:t>
            </w:r>
          </w:p>
        </w:tc>
        <w:tc>
          <w:tcPr>
            <w:tcW w:w="1513"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lang w:val="en-US" w:eastAsia="zh-CN"/>
              </w:rPr>
              <w:t>南侧</w:t>
            </w:r>
          </w:p>
        </w:tc>
        <w:tc>
          <w:tcPr>
            <w:tcW w:w="1513"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0"/>
                <w:sz w:val="21"/>
                <w:szCs w:val="21"/>
                <w:highlight w:val="none"/>
                <w:lang w:val="en-US" w:eastAsia="zh-CN" w:bidi="ar-SA"/>
              </w:rPr>
            </w:pPr>
            <w:r>
              <w:rPr>
                <w:rFonts w:hint="default" w:ascii="Arial" w:hAnsi="Arial" w:eastAsia="宋体" w:cs="Arial"/>
                <w:color w:val="auto"/>
                <w:kern w:val="0"/>
                <w:sz w:val="21"/>
                <w:szCs w:val="21"/>
                <w:highlight w:val="none"/>
                <w:lang w:val="en-US" w:eastAsia="zh-CN"/>
              </w:rPr>
              <w:t>0.62km</w:t>
            </w:r>
          </w:p>
        </w:tc>
        <w:tc>
          <w:tcPr>
            <w:tcW w:w="1682" w:type="dxa"/>
            <w:vMerge w:val="continue"/>
            <w:vAlign w:val="center"/>
          </w:tcPr>
          <w:p>
            <w:pPr>
              <w:pStyle w:val="63"/>
              <w:rPr>
                <w:rFonts w:hint="default" w:ascii="Arial" w:hAnsi="Arial" w:eastAsia="宋体" w:cs="Arial"/>
                <w:color w:val="auto"/>
                <w:sz w:val="21"/>
                <w:szCs w:val="21"/>
                <w:highlight w:val="none"/>
              </w:rPr>
            </w:pP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1513" w:type="dxa"/>
            <w:vMerge w:val="continue"/>
            <w:vAlign w:val="center"/>
          </w:tcPr>
          <w:p>
            <w:pPr>
              <w:pStyle w:val="63"/>
              <w:rPr>
                <w:rFonts w:hint="default" w:ascii="Arial" w:hAnsi="Arial" w:eastAsia="宋体" w:cs="Arial"/>
                <w:color w:val="auto"/>
                <w:sz w:val="21"/>
                <w:szCs w:val="21"/>
                <w:highlight w:val="none"/>
              </w:rPr>
            </w:pPr>
          </w:p>
        </w:tc>
        <w:tc>
          <w:tcPr>
            <w:tcW w:w="1815" w:type="dxa"/>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E107°40′50.5″</w:t>
            </w:r>
          </w:p>
        </w:tc>
        <w:tc>
          <w:tcPr>
            <w:tcW w:w="1815" w:type="dxa"/>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N40°57′2.33″</w:t>
            </w:r>
          </w:p>
        </w:tc>
        <w:tc>
          <w:tcPr>
            <w:tcW w:w="1815" w:type="dxa"/>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lang w:val="en-US" w:eastAsia="zh-CN"/>
              </w:rPr>
              <w:t>☆5项目北侧新胜五社水井（2#）</w:t>
            </w:r>
          </w:p>
        </w:tc>
        <w:tc>
          <w:tcPr>
            <w:tcW w:w="2724" w:type="dxa"/>
            <w:gridSpan w:val="3"/>
            <w:vAlign w:val="center"/>
          </w:tcPr>
          <w:p>
            <w:pPr>
              <w:pStyle w:val="63"/>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饮用水井</w:t>
            </w:r>
          </w:p>
        </w:tc>
        <w:tc>
          <w:tcPr>
            <w:tcW w:w="1513"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lang w:val="en-US" w:eastAsia="zh-CN"/>
              </w:rPr>
              <w:t>北侧</w:t>
            </w:r>
          </w:p>
        </w:tc>
        <w:tc>
          <w:tcPr>
            <w:tcW w:w="1513"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lang w:val="en-US" w:eastAsia="zh-CN"/>
              </w:rPr>
              <w:t>1.29</w:t>
            </w:r>
            <w:r>
              <w:rPr>
                <w:rFonts w:hint="default" w:ascii="Arial" w:hAnsi="Arial" w:eastAsia="宋体" w:cs="Arial"/>
                <w:color w:val="auto"/>
                <w:sz w:val="21"/>
                <w:szCs w:val="21"/>
                <w:highlight w:val="none"/>
              </w:rPr>
              <w:t>km</w:t>
            </w:r>
          </w:p>
        </w:tc>
        <w:tc>
          <w:tcPr>
            <w:tcW w:w="1682" w:type="dxa"/>
            <w:vMerge w:val="continue"/>
            <w:vAlign w:val="center"/>
          </w:tcPr>
          <w:p>
            <w:pPr>
              <w:pStyle w:val="63"/>
              <w:rPr>
                <w:rFonts w:hint="default" w:ascii="Arial" w:hAnsi="Arial" w:eastAsia="宋体" w:cs="Arial"/>
                <w:color w:val="auto"/>
                <w:sz w:val="21"/>
                <w:szCs w:val="21"/>
                <w:highlight w:val="none"/>
              </w:rPr>
            </w:pP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1513" w:type="dxa"/>
            <w:vMerge w:val="continue"/>
            <w:vAlign w:val="center"/>
          </w:tcPr>
          <w:p>
            <w:pPr>
              <w:pStyle w:val="63"/>
              <w:rPr>
                <w:rFonts w:hint="default" w:ascii="Arial" w:hAnsi="Arial" w:eastAsia="宋体" w:cs="Arial"/>
                <w:color w:val="auto"/>
                <w:sz w:val="21"/>
                <w:szCs w:val="21"/>
                <w:highlight w:val="none"/>
              </w:rPr>
            </w:pPr>
          </w:p>
        </w:tc>
        <w:tc>
          <w:tcPr>
            <w:tcW w:w="1815" w:type="dxa"/>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zh-CN" w:eastAsia="zh-CN" w:bidi="ar-SA"/>
              </w:rPr>
            </w:pPr>
            <w:r>
              <w:rPr>
                <w:rFonts w:hint="default" w:ascii="Arial" w:hAnsi="Arial" w:eastAsia="宋体" w:cs="Arial"/>
                <w:color w:val="auto"/>
                <w:sz w:val="21"/>
                <w:szCs w:val="21"/>
                <w:highlight w:val="none"/>
                <w:lang w:val="en-US" w:eastAsia="zh-CN"/>
              </w:rPr>
              <w:t>E</w:t>
            </w:r>
            <w:r>
              <w:rPr>
                <w:rFonts w:hint="default" w:ascii="Arial" w:hAnsi="Arial" w:eastAsia="宋体" w:cs="Arial"/>
                <w:color w:val="auto"/>
                <w:sz w:val="21"/>
                <w:szCs w:val="21"/>
                <w:highlight w:val="none"/>
              </w:rPr>
              <w:t>1</w:t>
            </w:r>
            <w:r>
              <w:rPr>
                <w:rFonts w:hint="default" w:ascii="Arial" w:hAnsi="Arial" w:eastAsia="宋体" w:cs="Arial"/>
                <w:color w:val="auto"/>
                <w:sz w:val="21"/>
                <w:szCs w:val="21"/>
                <w:highlight w:val="none"/>
                <w:lang w:val="en-US" w:eastAsia="zh-CN"/>
              </w:rPr>
              <w:t>07</w:t>
            </w:r>
            <w:r>
              <w:rPr>
                <w:rFonts w:hint="default" w:ascii="Arial" w:hAnsi="Arial" w:eastAsia="宋体" w:cs="Arial"/>
                <w:color w:val="auto"/>
                <w:sz w:val="21"/>
                <w:szCs w:val="21"/>
                <w:highlight w:val="none"/>
              </w:rPr>
              <w:t>°</w:t>
            </w:r>
            <w:r>
              <w:rPr>
                <w:rFonts w:hint="default" w:ascii="Arial" w:hAnsi="Arial" w:eastAsia="宋体" w:cs="Arial"/>
                <w:color w:val="auto"/>
                <w:sz w:val="21"/>
                <w:szCs w:val="21"/>
                <w:highlight w:val="none"/>
                <w:lang w:val="en-US" w:eastAsia="zh-CN"/>
              </w:rPr>
              <w:t>40</w:t>
            </w:r>
            <w:r>
              <w:rPr>
                <w:rFonts w:hint="default" w:ascii="Arial" w:hAnsi="Arial" w:eastAsia="宋体" w:cs="Arial"/>
                <w:color w:val="auto"/>
                <w:sz w:val="21"/>
                <w:szCs w:val="21"/>
                <w:highlight w:val="none"/>
                <w:lang w:eastAsia="zh-CN"/>
              </w:rPr>
              <w:t>′</w:t>
            </w:r>
            <w:r>
              <w:rPr>
                <w:rFonts w:hint="default" w:ascii="Arial" w:hAnsi="Arial" w:eastAsia="宋体" w:cs="Arial"/>
                <w:color w:val="auto"/>
                <w:sz w:val="21"/>
                <w:szCs w:val="21"/>
                <w:highlight w:val="none"/>
                <w:lang w:val="en-US" w:eastAsia="zh-CN"/>
              </w:rPr>
              <w:t>31.83</w:t>
            </w:r>
            <w:r>
              <w:rPr>
                <w:rFonts w:hint="default" w:ascii="Arial" w:hAnsi="Arial" w:eastAsia="宋体" w:cs="Arial"/>
                <w:color w:val="auto"/>
                <w:sz w:val="21"/>
                <w:szCs w:val="21"/>
              </w:rPr>
              <w:t>″</w:t>
            </w:r>
          </w:p>
        </w:tc>
        <w:tc>
          <w:tcPr>
            <w:tcW w:w="1815" w:type="dxa"/>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zh-CN" w:eastAsia="zh-CN" w:bidi="ar-SA"/>
              </w:rPr>
            </w:pPr>
            <w:r>
              <w:rPr>
                <w:rFonts w:hint="default" w:ascii="Arial" w:hAnsi="Arial" w:eastAsia="宋体" w:cs="Arial"/>
                <w:color w:val="auto"/>
                <w:sz w:val="21"/>
                <w:szCs w:val="21"/>
                <w:lang w:val="en-US" w:eastAsia="zh-CN"/>
              </w:rPr>
              <w:t>N</w:t>
            </w:r>
            <w:r>
              <w:rPr>
                <w:rFonts w:hint="default" w:ascii="Arial" w:hAnsi="Arial" w:eastAsia="宋体" w:cs="Arial"/>
                <w:color w:val="auto"/>
                <w:sz w:val="21"/>
                <w:szCs w:val="21"/>
                <w:highlight w:val="none"/>
                <w:lang w:val="en-US" w:eastAsia="zh-CN"/>
              </w:rPr>
              <w:t>40</w:t>
            </w:r>
            <w:r>
              <w:rPr>
                <w:rFonts w:hint="default" w:ascii="Arial" w:hAnsi="Arial" w:eastAsia="宋体" w:cs="Arial"/>
                <w:color w:val="auto"/>
                <w:sz w:val="21"/>
                <w:szCs w:val="21"/>
                <w:highlight w:val="none"/>
              </w:rPr>
              <w:t>°</w:t>
            </w:r>
            <w:r>
              <w:rPr>
                <w:rFonts w:hint="default" w:ascii="Arial" w:hAnsi="Arial" w:eastAsia="宋体" w:cs="Arial"/>
                <w:color w:val="auto"/>
                <w:sz w:val="21"/>
                <w:szCs w:val="21"/>
                <w:highlight w:val="none"/>
                <w:lang w:val="en-US" w:eastAsia="zh-CN"/>
              </w:rPr>
              <w:t>56</w:t>
            </w:r>
            <w:r>
              <w:rPr>
                <w:rFonts w:hint="default" w:ascii="Arial" w:hAnsi="Arial" w:eastAsia="宋体" w:cs="Arial"/>
                <w:color w:val="auto"/>
                <w:sz w:val="21"/>
                <w:szCs w:val="21"/>
                <w:highlight w:val="none"/>
                <w:lang w:eastAsia="zh-CN"/>
              </w:rPr>
              <w:t>′</w:t>
            </w:r>
            <w:r>
              <w:rPr>
                <w:rFonts w:hint="default" w:ascii="Arial" w:hAnsi="Arial" w:eastAsia="宋体" w:cs="Arial"/>
                <w:color w:val="auto"/>
                <w:sz w:val="21"/>
                <w:szCs w:val="21"/>
                <w:highlight w:val="none"/>
                <w:lang w:val="en-US" w:eastAsia="zh-CN"/>
              </w:rPr>
              <w:t>34.1</w:t>
            </w:r>
            <w:r>
              <w:rPr>
                <w:rFonts w:hint="default" w:ascii="Arial" w:hAnsi="Arial" w:eastAsia="宋体" w:cs="Arial"/>
                <w:color w:val="auto"/>
                <w:sz w:val="21"/>
                <w:szCs w:val="21"/>
                <w:highlight w:val="none"/>
                <w:lang w:eastAsia="zh-CN"/>
              </w:rPr>
              <w:t>″</w:t>
            </w:r>
          </w:p>
        </w:tc>
        <w:tc>
          <w:tcPr>
            <w:tcW w:w="1815" w:type="dxa"/>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lang w:val="en-US" w:eastAsia="zh-CN"/>
              </w:rPr>
              <w:t>☆6项目西北侧水井</w:t>
            </w:r>
          </w:p>
        </w:tc>
        <w:tc>
          <w:tcPr>
            <w:tcW w:w="2724" w:type="dxa"/>
            <w:gridSpan w:val="3"/>
            <w:vAlign w:val="center"/>
          </w:tcPr>
          <w:p>
            <w:pPr>
              <w:pStyle w:val="63"/>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lang w:val="en-US" w:eastAsia="zh-CN"/>
              </w:rPr>
              <w:t>灌溉水井</w:t>
            </w:r>
          </w:p>
        </w:tc>
        <w:tc>
          <w:tcPr>
            <w:tcW w:w="1513"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lang w:val="en-US" w:eastAsia="zh-CN"/>
              </w:rPr>
              <w:t>西北侧</w:t>
            </w:r>
          </w:p>
        </w:tc>
        <w:tc>
          <w:tcPr>
            <w:tcW w:w="1513"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lang w:val="en-US" w:eastAsia="zh-CN"/>
              </w:rPr>
              <w:t>0.56</w:t>
            </w:r>
            <w:r>
              <w:rPr>
                <w:rFonts w:hint="default" w:ascii="Arial" w:hAnsi="Arial" w:eastAsia="宋体" w:cs="Arial"/>
                <w:color w:val="auto"/>
                <w:sz w:val="21"/>
                <w:szCs w:val="21"/>
                <w:highlight w:val="none"/>
              </w:rPr>
              <w:t>km</w:t>
            </w:r>
          </w:p>
        </w:tc>
        <w:tc>
          <w:tcPr>
            <w:tcW w:w="1682" w:type="dxa"/>
            <w:vMerge w:val="continue"/>
            <w:vAlign w:val="center"/>
          </w:tcPr>
          <w:p>
            <w:pPr>
              <w:pStyle w:val="63"/>
              <w:rPr>
                <w:rFonts w:hint="default" w:ascii="Arial" w:hAnsi="Arial" w:eastAsia="宋体" w:cs="Arial"/>
                <w:color w:val="auto"/>
                <w:sz w:val="21"/>
                <w:szCs w:val="21"/>
                <w:highlight w:val="none"/>
              </w:rPr>
            </w:pPr>
          </w:p>
        </w:tc>
      </w:tr>
    </w:tbl>
    <w:p>
      <w:pPr>
        <w:bidi w:val="0"/>
        <w:rPr>
          <w:rFonts w:hint="default" w:ascii="Arial" w:hAnsi="Arial" w:eastAsia="宋体" w:cs="Arial"/>
          <w:color w:val="auto"/>
        </w:rPr>
      </w:pPr>
    </w:p>
    <w:p>
      <w:pPr>
        <w:bidi w:val="0"/>
        <w:rPr>
          <w:rFonts w:hint="default" w:ascii="Arial" w:hAnsi="Arial" w:eastAsia="宋体" w:cs="Arial"/>
          <w:color w:val="auto"/>
        </w:rPr>
      </w:pPr>
    </w:p>
    <w:p>
      <w:pPr>
        <w:bidi w:val="0"/>
        <w:rPr>
          <w:rFonts w:hint="default" w:ascii="Arial" w:hAnsi="Arial" w:eastAsia="宋体" w:cs="Arial"/>
          <w:color w:val="auto"/>
        </w:rPr>
      </w:pPr>
    </w:p>
    <w:p>
      <w:pPr>
        <w:pStyle w:val="2"/>
        <w:rPr>
          <w:rFonts w:hint="default" w:ascii="Arial" w:hAnsi="Arial" w:eastAsia="宋体" w:cs="Arial"/>
          <w:color w:val="auto"/>
        </w:rPr>
      </w:pPr>
    </w:p>
    <w:p>
      <w:pPr>
        <w:rPr>
          <w:rFonts w:hint="default" w:ascii="Arial" w:hAnsi="Arial" w:eastAsia="宋体" w:cs="Arial"/>
          <w:color w:val="auto"/>
        </w:rPr>
        <w:sectPr>
          <w:pgSz w:w="16839" w:h="11907" w:orient="landscape"/>
          <w:pgMar w:top="1418" w:right="1247" w:bottom="1701" w:left="1247" w:header="851" w:footer="680" w:gutter="0"/>
          <w:pgBorders>
            <w:top w:val="none" w:sz="0" w:space="0"/>
            <w:left w:val="none" w:sz="0" w:space="0"/>
            <w:bottom w:val="none" w:sz="0" w:space="0"/>
            <w:right w:val="none" w:sz="0" w:space="0"/>
          </w:pgBorders>
          <w:pgNumType w:fmt="numberInDash"/>
          <w:cols w:space="720" w:num="1"/>
          <w:docGrid w:linePitch="326" w:charSpace="0"/>
        </w:sectPr>
      </w:pPr>
    </w:p>
    <w:p>
      <w:pPr>
        <w:pStyle w:val="22"/>
        <w:rPr>
          <w:rFonts w:hint="default" w:ascii="Arial" w:hAnsi="Arial" w:eastAsia="宋体" w:cs="Arial"/>
          <w:color w:val="auto"/>
        </w:rPr>
      </w:pPr>
      <w:r>
        <w:rPr>
          <w:rFonts w:hint="default" w:ascii="Arial" w:hAnsi="Arial" w:eastAsia="宋体" w:cs="Arial"/>
          <w:color w:val="auto"/>
          <w:lang w:eastAsia="zh-CN"/>
        </w:rPr>
        <w:drawing>
          <wp:anchor distT="0" distB="0" distL="114300" distR="114300" simplePos="0" relativeHeight="251684864" behindDoc="0" locked="0" layoutInCell="1" allowOverlap="1">
            <wp:simplePos x="0" y="0"/>
            <wp:positionH relativeFrom="column">
              <wp:posOffset>594995</wp:posOffset>
            </wp:positionH>
            <wp:positionV relativeFrom="paragraph">
              <wp:posOffset>1905</wp:posOffset>
            </wp:positionV>
            <wp:extent cx="7738745" cy="5255895"/>
            <wp:effectExtent l="0" t="0" r="14605" b="1905"/>
            <wp:wrapNone/>
            <wp:docPr id="6" name="图片 6" descr="屏幕截图223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屏幕截图223123"/>
                    <pic:cNvPicPr>
                      <a:picLocks noChangeAspect="1"/>
                    </pic:cNvPicPr>
                  </pic:nvPicPr>
                  <pic:blipFill>
                    <a:blip r:embed="rId15"/>
                    <a:stretch>
                      <a:fillRect/>
                    </a:stretch>
                  </pic:blipFill>
                  <pic:spPr>
                    <a:xfrm>
                      <a:off x="0" y="0"/>
                      <a:ext cx="7738745" cy="5255895"/>
                    </a:xfrm>
                    <a:prstGeom prst="rect">
                      <a:avLst/>
                    </a:prstGeom>
                  </pic:spPr>
                </pic:pic>
              </a:graphicData>
            </a:graphic>
          </wp:anchor>
        </w:drawing>
      </w:r>
      <w:r>
        <w:rPr>
          <w:rFonts w:hint="default" w:ascii="Arial" w:hAnsi="Arial" w:eastAsia="宋体" w:cs="Arial"/>
          <w:color w:val="auto"/>
        </w:rPr>
        <w:drawing>
          <wp:anchor distT="0" distB="0" distL="114300" distR="114300" simplePos="0" relativeHeight="251685888" behindDoc="0" locked="0" layoutInCell="1" allowOverlap="1">
            <wp:simplePos x="0" y="0"/>
            <wp:positionH relativeFrom="column">
              <wp:posOffset>182880</wp:posOffset>
            </wp:positionH>
            <wp:positionV relativeFrom="paragraph">
              <wp:posOffset>-1270</wp:posOffset>
            </wp:positionV>
            <wp:extent cx="1619885" cy="1517015"/>
            <wp:effectExtent l="0" t="0" r="18415" b="6985"/>
            <wp:wrapNone/>
            <wp:docPr id="9" name="图片 11" descr="五原风玫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1" descr="五原风玫瑰"/>
                    <pic:cNvPicPr>
                      <a:picLocks noChangeAspect="1"/>
                    </pic:cNvPicPr>
                  </pic:nvPicPr>
                  <pic:blipFill>
                    <a:blip r:embed="rId16"/>
                    <a:stretch>
                      <a:fillRect/>
                    </a:stretch>
                  </pic:blipFill>
                  <pic:spPr>
                    <a:xfrm>
                      <a:off x="0" y="0"/>
                      <a:ext cx="1619885" cy="1517015"/>
                    </a:xfrm>
                    <a:prstGeom prst="rect">
                      <a:avLst/>
                    </a:prstGeom>
                    <a:noFill/>
                    <a:ln>
                      <a:noFill/>
                    </a:ln>
                  </pic:spPr>
                </pic:pic>
              </a:graphicData>
            </a:graphic>
          </wp:anchor>
        </w:drawing>
      </w:r>
    </w:p>
    <w:p>
      <w:pPr>
        <w:pStyle w:val="22"/>
        <w:rPr>
          <w:rFonts w:hint="default" w:ascii="Arial" w:hAnsi="Arial" w:eastAsia="宋体" w:cs="Arial"/>
          <w:color w:val="auto"/>
        </w:rPr>
      </w:pPr>
      <w:r>
        <w:rPr>
          <w:rFonts w:hint="default" w:ascii="Arial" w:hAnsi="Arial" w:eastAsia="宋体" w:cs="Arial"/>
          <w:color w:val="auto"/>
          <w:sz w:val="32"/>
        </w:rPr>
        <mc:AlternateContent>
          <mc:Choice Requires="wps">
            <w:drawing>
              <wp:anchor distT="0" distB="0" distL="114300" distR="114300" simplePos="0" relativeHeight="251686912" behindDoc="0" locked="0" layoutInCell="1" allowOverlap="1">
                <wp:simplePos x="0" y="0"/>
                <wp:positionH relativeFrom="column">
                  <wp:posOffset>2259330</wp:posOffset>
                </wp:positionH>
                <wp:positionV relativeFrom="paragraph">
                  <wp:posOffset>109220</wp:posOffset>
                </wp:positionV>
                <wp:extent cx="5648325" cy="4316095"/>
                <wp:effectExtent l="12700" t="12700" r="15875" b="14605"/>
                <wp:wrapNone/>
                <wp:docPr id="10" name="矩形 10"/>
                <wp:cNvGraphicFramePr/>
                <a:graphic xmlns:a="http://schemas.openxmlformats.org/drawingml/2006/main">
                  <a:graphicData uri="http://schemas.microsoft.com/office/word/2010/wordprocessingShape">
                    <wps:wsp>
                      <wps:cNvSpPr/>
                      <wps:spPr>
                        <a:xfrm>
                          <a:off x="2465070" y="1605915"/>
                          <a:ext cx="5648325" cy="4316095"/>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77.9pt;margin-top:8.6pt;height:339.85pt;width:444.75pt;z-index:251686912;v-text-anchor:middle;mso-width-relative:page;mso-height-relative:page;" filled="f" stroked="t" coordsize="21600,21600" o:gfxdata="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">
                <v:fill on="f" focussize="0,0"/>
                <v:stroke weight="2pt" color="#FF0000 [3204]" joinstyle="round"/>
                <v:imagedata o:title=""/>
                <o:lock v:ext="edit" aspectratio="f"/>
              </v:rect>
            </w:pict>
          </mc:Fallback>
        </mc:AlternateContent>
      </w:r>
    </w:p>
    <w:p>
      <w:pPr>
        <w:pStyle w:val="22"/>
        <w:rPr>
          <w:rFonts w:hint="default" w:ascii="Arial" w:hAnsi="Arial" w:eastAsia="宋体" w:cs="Arial"/>
          <w:color w:val="auto"/>
        </w:rPr>
      </w:pPr>
      <w:r>
        <w:rPr>
          <w:rFonts w:hint="default" w:ascii="Arial" w:hAnsi="Arial" w:eastAsia="宋体" w:cs="Arial"/>
          <w:color w:val="auto"/>
          <w:sz w:val="32"/>
        </w:rPr>
        <mc:AlternateContent>
          <mc:Choice Requires="wps">
            <w:drawing>
              <wp:anchor distT="0" distB="0" distL="114300" distR="114300" simplePos="0" relativeHeight="251709440" behindDoc="0" locked="0" layoutInCell="1" allowOverlap="1">
                <wp:simplePos x="0" y="0"/>
                <wp:positionH relativeFrom="column">
                  <wp:posOffset>2728595</wp:posOffset>
                </wp:positionH>
                <wp:positionV relativeFrom="paragraph">
                  <wp:posOffset>269875</wp:posOffset>
                </wp:positionV>
                <wp:extent cx="884555" cy="325755"/>
                <wp:effectExtent l="0" t="0" r="0" b="0"/>
                <wp:wrapNone/>
                <wp:docPr id="44" name="矩形 44"/>
                <wp:cNvGraphicFramePr/>
                <a:graphic xmlns:a="http://schemas.openxmlformats.org/drawingml/2006/main">
                  <a:graphicData uri="http://schemas.microsoft.com/office/word/2010/wordprocessingShape">
                    <wps:wsp>
                      <wps:cNvSpPr/>
                      <wps:spPr>
                        <a:xfrm>
                          <a:off x="0" y="0"/>
                          <a:ext cx="884555" cy="32575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pPr>
                              <w:keepNext w:val="0"/>
                              <w:keepLines w:val="0"/>
                              <w:pageBreakBefore w:val="0"/>
                              <w:widowControl w:val="0"/>
                              <w:kinsoku/>
                              <w:wordWrap/>
                              <w:overflowPunct/>
                              <w:topLinePunct/>
                              <w:autoSpaceDE w:val="0"/>
                              <w:autoSpaceDN/>
                              <w:bidi w:val="0"/>
                              <w:adjustRightInd/>
                              <w:snapToGrid/>
                              <w:spacing w:line="240" w:lineRule="auto"/>
                              <w:ind w:firstLine="0" w:firstLineChars="0"/>
                              <w:jc w:val="center"/>
                              <w:textAlignment w:val="auto"/>
                              <w:rPr>
                                <w:b/>
                                <w:bCs/>
                                <w:color w:val="FF0000"/>
                                <w:sz w:val="24"/>
                                <w:szCs w:val="24"/>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pPr>
                            <w:r>
                              <w:rPr>
                                <w:rFonts w:hint="eastAsia" w:cs="Times New Roman"/>
                                <w:b/>
                                <w:bCs/>
                                <w:color w:val="FF0000"/>
                                <w:sz w:val="24"/>
                                <w:szCs w:val="24"/>
                                <w:highlight w:val="none"/>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t>新胜二社</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14.85pt;margin-top:21.25pt;height:25.65pt;width:69.65pt;z-index:251709440;v-text-anchor:middle;mso-width-relative:page;mso-height-relative:page;" filled="f" stroked="f" coordsize="21600,21600" o:gfxdata="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LBpUwLYAAAACQEA&#10;AA8AAAAAAAAAAQAgAAAAIgAAAGRycy9kb3ducmV2LnhtbFBLAQIUABQAAAAIAIdO4kAbc37FUwIA&#10;AJcEAAAOAAAAAAAAAAEAIAAAACcBAABkcnMvZTJvRG9jLnhtbFBLBQYAAAAABgAGAFkBAADsBQAA&#10;AAA=&#10;">
                <v:fill on="f" focussize="0,0"/>
                <v:stroke on="f" weight="2pt"/>
                <v:imagedata o:title=""/>
                <o:lock v:ext="edit" aspectratio="f"/>
                <v:textbox>
                  <w:txbxContent>
                    <w:p>
                      <w:pPr>
                        <w:keepNext w:val="0"/>
                        <w:keepLines w:val="0"/>
                        <w:pageBreakBefore w:val="0"/>
                        <w:widowControl w:val="0"/>
                        <w:kinsoku/>
                        <w:wordWrap/>
                        <w:overflowPunct/>
                        <w:topLinePunct/>
                        <w:autoSpaceDE w:val="0"/>
                        <w:autoSpaceDN/>
                        <w:bidi w:val="0"/>
                        <w:adjustRightInd/>
                        <w:snapToGrid/>
                        <w:spacing w:line="240" w:lineRule="auto"/>
                        <w:ind w:firstLine="0" w:firstLineChars="0"/>
                        <w:jc w:val="center"/>
                        <w:textAlignment w:val="auto"/>
                        <w:rPr>
                          <w:b/>
                          <w:bCs/>
                          <w:color w:val="FF0000"/>
                          <w:sz w:val="24"/>
                          <w:szCs w:val="24"/>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pPr>
                      <w:r>
                        <w:rPr>
                          <w:rFonts w:hint="eastAsia" w:cs="Times New Roman"/>
                          <w:b/>
                          <w:bCs/>
                          <w:color w:val="FF0000"/>
                          <w:sz w:val="24"/>
                          <w:szCs w:val="24"/>
                          <w:highlight w:val="none"/>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t>新胜二社</w:t>
                      </w:r>
                    </w:p>
                  </w:txbxContent>
                </v:textbox>
              </v:rect>
            </w:pict>
          </mc:Fallback>
        </mc:AlternateContent>
      </w:r>
      <w:r>
        <w:rPr>
          <w:rFonts w:hint="default" w:ascii="Arial" w:hAnsi="Arial" w:eastAsia="宋体" w:cs="Arial"/>
          <w:color w:val="auto"/>
          <w:sz w:val="32"/>
        </w:rPr>
        <mc:AlternateContent>
          <mc:Choice Requires="wps">
            <w:drawing>
              <wp:anchor distT="0" distB="0" distL="114300" distR="114300" simplePos="0" relativeHeight="251693056" behindDoc="0" locked="0" layoutInCell="1" allowOverlap="1">
                <wp:simplePos x="0" y="0"/>
                <wp:positionH relativeFrom="column">
                  <wp:posOffset>3097530</wp:posOffset>
                </wp:positionH>
                <wp:positionV relativeFrom="paragraph">
                  <wp:posOffset>212725</wp:posOffset>
                </wp:positionV>
                <wp:extent cx="107950" cy="107950"/>
                <wp:effectExtent l="12700" t="12700" r="12700" b="12700"/>
                <wp:wrapNone/>
                <wp:docPr id="20" name="椭圆 20"/>
                <wp:cNvGraphicFramePr/>
                <a:graphic xmlns:a="http://schemas.openxmlformats.org/drawingml/2006/main">
                  <a:graphicData uri="http://schemas.microsoft.com/office/word/2010/wordprocessingShape">
                    <wps:wsp>
                      <wps:cNvSpPr/>
                      <wps:spPr>
                        <a:xfrm>
                          <a:off x="3501390" y="2389505"/>
                          <a:ext cx="107950" cy="107950"/>
                        </a:xfrm>
                        <a:prstGeom prst="ellipse">
                          <a:avLst/>
                        </a:prstGeom>
                        <a:solidFill>
                          <a:schemeClr val="tx1"/>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243.9pt;margin-top:16.75pt;height:8.5pt;width:8.5pt;z-index:251693056;v-text-anchor:middle;mso-width-relative:page;mso-height-relative:page;" fillcolor="#000000 [3213]" filled="t" stroked="t" coordsize="21600,21600" o:gfxdata="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">
                <v:fill on="t" focussize="0,0"/>
                <v:stroke weight="2pt" color="#FF0000 [3204]" joinstyle="round"/>
                <v:imagedata o:title=""/>
                <o:lock v:ext="edit" aspectratio="f"/>
              </v:shape>
            </w:pict>
          </mc:Fallback>
        </mc:AlternateContent>
      </w:r>
      <w:r>
        <w:rPr>
          <w:rFonts w:hint="default" w:ascii="Arial" w:hAnsi="Arial" w:eastAsia="宋体" w:cs="Arial"/>
          <w:color w:val="auto"/>
          <w:sz w:val="24"/>
          <w:highlight w:val="none"/>
        </w:rPr>
        <mc:AlternateContent>
          <mc:Choice Requires="wps">
            <w:drawing>
              <wp:anchor distT="0" distB="0" distL="114300" distR="114300" simplePos="0" relativeHeight="251687936" behindDoc="0" locked="0" layoutInCell="1" allowOverlap="1">
                <wp:simplePos x="0" y="0"/>
                <wp:positionH relativeFrom="column">
                  <wp:posOffset>3770630</wp:posOffset>
                </wp:positionH>
                <wp:positionV relativeFrom="paragraph">
                  <wp:posOffset>338455</wp:posOffset>
                </wp:positionV>
                <wp:extent cx="2692400" cy="2577465"/>
                <wp:effectExtent l="12700" t="12700" r="19685" b="19050"/>
                <wp:wrapNone/>
                <wp:docPr id="12" name="矩形 12"/>
                <wp:cNvGraphicFramePr/>
                <a:graphic xmlns:a="http://schemas.openxmlformats.org/drawingml/2006/main">
                  <a:graphicData uri="http://schemas.microsoft.com/office/word/2010/wordprocessingShape">
                    <wps:wsp>
                      <wps:cNvSpPr/>
                      <wps:spPr>
                        <a:xfrm rot="5400000">
                          <a:off x="0" y="0"/>
                          <a:ext cx="2692400" cy="2577465"/>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96.9pt;margin-top:26.65pt;height:202.95pt;width:212pt;rotation:5898240f;z-index:251687936;v-text-anchor:middle;mso-width-relative:page;mso-height-relative:page;" filled="f" stroked="t" coordsize="21600,21600" o:gfxdata="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Lp5AxXbAAAACwEAAA8AAAAAAAAAAQAgAAAAIgAAAGRycy9kb3ducmV2LnhtbFBL&#10;AQIUABQAAAAIAIdO4kB+t6B4ZQIAAMUEAAAOAAAAAAAAAAEAIAAAACoBAABkcnMvZTJvRG9jLnht&#10;bFBLBQYAAAAABgAGAFkBAAABBgAAAAA=&#10;">
                <v:fill on="f" focussize="0,0"/>
                <v:stroke weight="2pt" color="#00B0F0 [3204]" joinstyle="round"/>
                <v:imagedata o:title=""/>
                <o:lock v:ext="edit" aspectratio="f"/>
              </v:rect>
            </w:pict>
          </mc:Fallback>
        </mc:AlternateContent>
      </w:r>
    </w:p>
    <w:p>
      <w:pPr>
        <w:pStyle w:val="22"/>
        <w:rPr>
          <w:rFonts w:hint="default" w:ascii="Arial" w:hAnsi="Arial" w:eastAsia="宋体" w:cs="Arial"/>
          <w:color w:val="auto"/>
        </w:rPr>
      </w:pPr>
      <w:r>
        <w:rPr>
          <w:rFonts w:hint="default" w:ascii="Arial" w:hAnsi="Arial" w:eastAsia="宋体" w:cs="Arial"/>
          <w:color w:val="auto"/>
          <w:sz w:val="32"/>
        </w:rPr>
        <mc:AlternateContent>
          <mc:Choice Requires="wps">
            <w:drawing>
              <wp:anchor distT="0" distB="0" distL="114300" distR="114300" simplePos="0" relativeHeight="251710464" behindDoc="0" locked="0" layoutInCell="1" allowOverlap="1">
                <wp:simplePos x="0" y="0"/>
                <wp:positionH relativeFrom="column">
                  <wp:posOffset>4901565</wp:posOffset>
                </wp:positionH>
                <wp:positionV relativeFrom="paragraph">
                  <wp:posOffset>254000</wp:posOffset>
                </wp:positionV>
                <wp:extent cx="884555" cy="325755"/>
                <wp:effectExtent l="0" t="0" r="0" b="0"/>
                <wp:wrapNone/>
                <wp:docPr id="45" name="矩形 45"/>
                <wp:cNvGraphicFramePr/>
                <a:graphic xmlns:a="http://schemas.openxmlformats.org/drawingml/2006/main">
                  <a:graphicData uri="http://schemas.microsoft.com/office/word/2010/wordprocessingShape">
                    <wps:wsp>
                      <wps:cNvSpPr/>
                      <wps:spPr>
                        <a:xfrm>
                          <a:off x="0" y="0"/>
                          <a:ext cx="884555" cy="32575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pPr>
                              <w:keepNext w:val="0"/>
                              <w:keepLines w:val="0"/>
                              <w:pageBreakBefore w:val="0"/>
                              <w:widowControl w:val="0"/>
                              <w:kinsoku/>
                              <w:wordWrap/>
                              <w:overflowPunct/>
                              <w:topLinePunct/>
                              <w:autoSpaceDE w:val="0"/>
                              <w:autoSpaceDN/>
                              <w:bidi w:val="0"/>
                              <w:adjustRightInd/>
                              <w:snapToGrid/>
                              <w:spacing w:line="240" w:lineRule="auto"/>
                              <w:ind w:firstLine="0" w:firstLineChars="0"/>
                              <w:jc w:val="center"/>
                              <w:textAlignment w:val="auto"/>
                              <w:rPr>
                                <w:b/>
                                <w:bCs/>
                                <w:color w:val="FF0000"/>
                                <w:sz w:val="24"/>
                                <w:szCs w:val="24"/>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pPr>
                            <w:r>
                              <w:rPr>
                                <w:rFonts w:hint="eastAsia" w:cs="Times New Roman"/>
                                <w:b/>
                                <w:bCs/>
                                <w:color w:val="FF0000"/>
                                <w:sz w:val="24"/>
                                <w:szCs w:val="24"/>
                                <w:highlight w:val="none"/>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t>新胜五社</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85.95pt;margin-top:20pt;height:25.65pt;width:69.65pt;z-index:251710464;v-text-anchor:middle;mso-width-relative:page;mso-height-relative:page;" filled="f" stroked="f" coordsize="21600,21600" o:gfxdata="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">
                <v:fill on="f" focussize="0,0"/>
                <v:stroke on="f" weight="2pt"/>
                <v:imagedata o:title=""/>
                <o:lock v:ext="edit" aspectratio="f"/>
                <v:textbox>
                  <w:txbxContent>
                    <w:p>
                      <w:pPr>
                        <w:keepNext w:val="0"/>
                        <w:keepLines w:val="0"/>
                        <w:pageBreakBefore w:val="0"/>
                        <w:widowControl w:val="0"/>
                        <w:kinsoku/>
                        <w:wordWrap/>
                        <w:overflowPunct/>
                        <w:topLinePunct/>
                        <w:autoSpaceDE w:val="0"/>
                        <w:autoSpaceDN/>
                        <w:bidi w:val="0"/>
                        <w:adjustRightInd/>
                        <w:snapToGrid/>
                        <w:spacing w:line="240" w:lineRule="auto"/>
                        <w:ind w:firstLine="0" w:firstLineChars="0"/>
                        <w:jc w:val="center"/>
                        <w:textAlignment w:val="auto"/>
                        <w:rPr>
                          <w:b/>
                          <w:bCs/>
                          <w:color w:val="FF0000"/>
                          <w:sz w:val="24"/>
                          <w:szCs w:val="24"/>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pPr>
                      <w:r>
                        <w:rPr>
                          <w:rFonts w:hint="eastAsia" w:cs="Times New Roman"/>
                          <w:b/>
                          <w:bCs/>
                          <w:color w:val="FF0000"/>
                          <w:sz w:val="24"/>
                          <w:szCs w:val="24"/>
                          <w:highlight w:val="none"/>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t>新胜五社</w:t>
                      </w:r>
                    </w:p>
                  </w:txbxContent>
                </v:textbox>
              </v:rect>
            </w:pict>
          </mc:Fallback>
        </mc:AlternateContent>
      </w:r>
    </w:p>
    <w:p>
      <w:pPr>
        <w:pStyle w:val="22"/>
        <w:rPr>
          <w:rFonts w:hint="default" w:ascii="Arial" w:hAnsi="Arial" w:eastAsia="宋体" w:cs="Arial"/>
          <w:color w:val="auto"/>
        </w:rPr>
      </w:pPr>
      <w:r>
        <w:rPr>
          <w:rFonts w:hint="default" w:ascii="Arial" w:hAnsi="Arial" w:eastAsia="宋体" w:cs="Arial"/>
          <w:color w:val="auto"/>
          <w:sz w:val="32"/>
        </w:rPr>
        <mc:AlternateContent>
          <mc:Choice Requires="wps">
            <w:drawing>
              <wp:anchor distT="0" distB="0" distL="114300" distR="114300" simplePos="0" relativeHeight="251713536" behindDoc="0" locked="0" layoutInCell="1" allowOverlap="1">
                <wp:simplePos x="0" y="0"/>
                <wp:positionH relativeFrom="column">
                  <wp:posOffset>5132070</wp:posOffset>
                </wp:positionH>
                <wp:positionV relativeFrom="paragraph">
                  <wp:posOffset>204470</wp:posOffset>
                </wp:positionV>
                <wp:extent cx="107950" cy="179705"/>
                <wp:effectExtent l="12700" t="12700" r="12700" b="17145"/>
                <wp:wrapNone/>
                <wp:docPr id="50" name="菱形 50"/>
                <wp:cNvGraphicFramePr/>
                <a:graphic xmlns:a="http://schemas.openxmlformats.org/drawingml/2006/main">
                  <a:graphicData uri="http://schemas.microsoft.com/office/word/2010/wordprocessingShape">
                    <wps:wsp>
                      <wps:cNvSpPr/>
                      <wps:spPr>
                        <a:xfrm>
                          <a:off x="0" y="0"/>
                          <a:ext cx="107950" cy="179705"/>
                        </a:xfrm>
                        <a:prstGeom prst="diamond">
                          <a:avLst/>
                        </a:prstGeom>
                        <a:solidFill>
                          <a:schemeClr val="tx1"/>
                        </a:solid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4" type="#_x0000_t4" style="position:absolute;left:0pt;margin-left:404.1pt;margin-top:16.1pt;height:14.15pt;width:8.5pt;z-index:251713536;v-text-anchor:middle;mso-width-relative:page;mso-height-relative:page;" fillcolor="#000000 [3213]" filled="t" stroked="t" coordsize="21600,21600" o:gfxdata="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AwcMKk1gAAAAkBAAAPAAAAAAAAAAEAIAAAACIAAABkcnMvZG93bnJldi54bWxQSwEC&#10;FAAUAAAACACHTuJAnJNhTmgCAADhBAAADgAAAAAAAAABACAAAAAlAQAAZHJzL2Uyb0RvYy54bWxQ&#10;SwUGAAAAAAYABgBZAQAA/wUAAAAA&#10;">
                <v:fill on="t" focussize="0,0"/>
                <v:stroke weight="2pt" color="#00B0F0 [3204]" joinstyle="round"/>
                <v:imagedata o:title=""/>
                <o:lock v:ext="edit" aspectratio="f"/>
              </v:shape>
            </w:pict>
          </mc:Fallback>
        </mc:AlternateContent>
      </w:r>
      <w:r>
        <w:rPr>
          <w:rFonts w:hint="default" w:ascii="Arial" w:hAnsi="Arial" w:eastAsia="宋体" w:cs="Arial"/>
          <w:color w:val="auto"/>
          <w:sz w:val="32"/>
        </w:rPr>
        <mc:AlternateContent>
          <mc:Choice Requires="wps">
            <w:drawing>
              <wp:anchor distT="0" distB="0" distL="114300" distR="114300" simplePos="0" relativeHeight="251714560" behindDoc="0" locked="0" layoutInCell="1" allowOverlap="1">
                <wp:simplePos x="0" y="0"/>
                <wp:positionH relativeFrom="column">
                  <wp:posOffset>5461635</wp:posOffset>
                </wp:positionH>
                <wp:positionV relativeFrom="paragraph">
                  <wp:posOffset>179705</wp:posOffset>
                </wp:positionV>
                <wp:extent cx="107950" cy="179705"/>
                <wp:effectExtent l="12700" t="12700" r="12700" b="17145"/>
                <wp:wrapNone/>
                <wp:docPr id="51" name="菱形 51"/>
                <wp:cNvGraphicFramePr/>
                <a:graphic xmlns:a="http://schemas.openxmlformats.org/drawingml/2006/main">
                  <a:graphicData uri="http://schemas.microsoft.com/office/word/2010/wordprocessingShape">
                    <wps:wsp>
                      <wps:cNvSpPr/>
                      <wps:spPr>
                        <a:xfrm>
                          <a:off x="0" y="0"/>
                          <a:ext cx="107950" cy="179705"/>
                        </a:xfrm>
                        <a:prstGeom prst="diamond">
                          <a:avLst/>
                        </a:prstGeom>
                        <a:solidFill>
                          <a:schemeClr val="tx1"/>
                        </a:solid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4" type="#_x0000_t4" style="position:absolute;left:0pt;margin-left:430.05pt;margin-top:14.15pt;height:14.15pt;width:8.5pt;z-index:251714560;v-text-anchor:middle;mso-width-relative:page;mso-height-relative:page;" fillcolor="#000000 [3213]" filled="t" stroked="t" coordsize="21600,21600" o:gfxdata="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2+q29cAAAAJAQAADwAAAAAAAAABACAAAAAiAAAAZHJzL2Rvd25yZXYueG1sUEsB&#10;AhQAFAAAAAgAh07iQJzD0QdoAgAA4QQAAA4AAAAAAAAAAQAgAAAAJgEAAGRycy9lMm9Eb2MueG1s&#10;UEsFBgAAAAAGAAYAWQEAAAAGAAAAAA==&#10;">
                <v:fill on="t" focussize="0,0"/>
                <v:stroke weight="2pt" color="#00B0F0 [3204]" joinstyle="round"/>
                <v:imagedata o:title=""/>
                <o:lock v:ext="edit" aspectratio="f"/>
              </v:shape>
            </w:pict>
          </mc:Fallback>
        </mc:AlternateContent>
      </w:r>
      <w:r>
        <w:rPr>
          <w:rFonts w:hint="default" w:ascii="Arial" w:hAnsi="Arial" w:eastAsia="宋体" w:cs="Arial"/>
          <w:color w:val="auto"/>
          <w:sz w:val="32"/>
        </w:rPr>
        <mc:AlternateContent>
          <mc:Choice Requires="wps">
            <w:drawing>
              <wp:anchor distT="0" distB="0" distL="114300" distR="114300" simplePos="0" relativeHeight="251708416" behindDoc="0" locked="0" layoutInCell="1" allowOverlap="1">
                <wp:simplePos x="0" y="0"/>
                <wp:positionH relativeFrom="column">
                  <wp:posOffset>2800985</wp:posOffset>
                </wp:positionH>
                <wp:positionV relativeFrom="paragraph">
                  <wp:posOffset>269240</wp:posOffset>
                </wp:positionV>
                <wp:extent cx="884555" cy="325755"/>
                <wp:effectExtent l="0" t="0" r="0" b="0"/>
                <wp:wrapNone/>
                <wp:docPr id="43" name="矩形 43"/>
                <wp:cNvGraphicFramePr/>
                <a:graphic xmlns:a="http://schemas.openxmlformats.org/drawingml/2006/main">
                  <a:graphicData uri="http://schemas.microsoft.com/office/word/2010/wordprocessingShape">
                    <wps:wsp>
                      <wps:cNvSpPr/>
                      <wps:spPr>
                        <a:xfrm>
                          <a:off x="0" y="0"/>
                          <a:ext cx="884555" cy="32575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pPr>
                              <w:keepNext w:val="0"/>
                              <w:keepLines w:val="0"/>
                              <w:pageBreakBefore w:val="0"/>
                              <w:widowControl w:val="0"/>
                              <w:kinsoku/>
                              <w:wordWrap/>
                              <w:overflowPunct/>
                              <w:topLinePunct/>
                              <w:autoSpaceDE w:val="0"/>
                              <w:autoSpaceDN/>
                              <w:bidi w:val="0"/>
                              <w:adjustRightInd/>
                              <w:snapToGrid/>
                              <w:spacing w:line="240" w:lineRule="auto"/>
                              <w:ind w:firstLine="0" w:firstLineChars="0"/>
                              <w:jc w:val="center"/>
                              <w:textAlignment w:val="auto"/>
                              <w:rPr>
                                <w:b/>
                                <w:bCs/>
                                <w:color w:val="FF0000"/>
                                <w:sz w:val="24"/>
                                <w:szCs w:val="24"/>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pPr>
                            <w:r>
                              <w:rPr>
                                <w:rFonts w:hint="eastAsia" w:cs="Times New Roman"/>
                                <w:b/>
                                <w:bCs/>
                                <w:color w:val="FF0000"/>
                                <w:sz w:val="24"/>
                                <w:szCs w:val="24"/>
                                <w:highlight w:val="none"/>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t>新胜四社</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20.55pt;margin-top:21.2pt;height:25.65pt;width:69.65pt;z-index:251708416;v-text-anchor:middle;mso-width-relative:page;mso-height-relative:page;" filled="f" stroked="f" coordsize="21600,21600" o:gfxdata="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KDfiL3YAAAACQEA&#10;AA8AAAAAAAAAAQAgAAAAIgAAAGRycy9kb3ducmV2LnhtbFBLAQIUABQAAAAIAIdO4kDP8fq7UwIA&#10;AJcEAAAOAAAAAAAAAAEAIAAAACcBAABkcnMvZTJvRG9jLnhtbFBLBQYAAAAABgAGAFkBAADsBQAA&#10;AAA=&#10;">
                <v:fill on="f" focussize="0,0"/>
                <v:stroke on="f" weight="2pt"/>
                <v:imagedata o:title=""/>
                <o:lock v:ext="edit" aspectratio="f"/>
                <v:textbox>
                  <w:txbxContent>
                    <w:p>
                      <w:pPr>
                        <w:keepNext w:val="0"/>
                        <w:keepLines w:val="0"/>
                        <w:pageBreakBefore w:val="0"/>
                        <w:widowControl w:val="0"/>
                        <w:kinsoku/>
                        <w:wordWrap/>
                        <w:overflowPunct/>
                        <w:topLinePunct/>
                        <w:autoSpaceDE w:val="0"/>
                        <w:autoSpaceDN/>
                        <w:bidi w:val="0"/>
                        <w:adjustRightInd/>
                        <w:snapToGrid/>
                        <w:spacing w:line="240" w:lineRule="auto"/>
                        <w:ind w:firstLine="0" w:firstLineChars="0"/>
                        <w:jc w:val="center"/>
                        <w:textAlignment w:val="auto"/>
                        <w:rPr>
                          <w:b/>
                          <w:bCs/>
                          <w:color w:val="FF0000"/>
                          <w:sz w:val="24"/>
                          <w:szCs w:val="24"/>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pPr>
                      <w:r>
                        <w:rPr>
                          <w:rFonts w:hint="eastAsia" w:cs="Times New Roman"/>
                          <w:b/>
                          <w:bCs/>
                          <w:color w:val="FF0000"/>
                          <w:sz w:val="24"/>
                          <w:szCs w:val="24"/>
                          <w:highlight w:val="none"/>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t>新胜四社</w:t>
                      </w:r>
                    </w:p>
                  </w:txbxContent>
                </v:textbox>
              </v:rect>
            </w:pict>
          </mc:Fallback>
        </mc:AlternateContent>
      </w:r>
      <w:r>
        <w:rPr>
          <w:rFonts w:hint="default" w:ascii="Arial" w:hAnsi="Arial" w:eastAsia="宋体" w:cs="Arial"/>
          <w:color w:val="auto"/>
          <w:sz w:val="32"/>
        </w:rPr>
        <mc:AlternateContent>
          <mc:Choice Requires="wps">
            <w:drawing>
              <wp:anchor distT="0" distB="0" distL="114300" distR="114300" simplePos="0" relativeHeight="251700224" behindDoc="0" locked="0" layoutInCell="1" allowOverlap="1">
                <wp:simplePos x="0" y="0"/>
                <wp:positionH relativeFrom="column">
                  <wp:posOffset>5332095</wp:posOffset>
                </wp:positionH>
                <wp:positionV relativeFrom="paragraph">
                  <wp:posOffset>191135</wp:posOffset>
                </wp:positionV>
                <wp:extent cx="107950" cy="107950"/>
                <wp:effectExtent l="12700" t="12700" r="12700" b="12700"/>
                <wp:wrapNone/>
                <wp:docPr id="32" name="椭圆 32"/>
                <wp:cNvGraphicFramePr/>
                <a:graphic xmlns:a="http://schemas.openxmlformats.org/drawingml/2006/main">
                  <a:graphicData uri="http://schemas.microsoft.com/office/word/2010/wordprocessingShape">
                    <wps:wsp>
                      <wps:cNvSpPr/>
                      <wps:spPr>
                        <a:xfrm>
                          <a:off x="0" y="0"/>
                          <a:ext cx="107950" cy="107950"/>
                        </a:xfrm>
                        <a:prstGeom prst="ellipse">
                          <a:avLst/>
                        </a:prstGeom>
                        <a:solidFill>
                          <a:schemeClr val="tx1"/>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419.85pt;margin-top:15.05pt;height:8.5pt;width:8.5pt;z-index:251700224;v-text-anchor:middle;mso-width-relative:page;mso-height-relative:page;" fillcolor="#000000 [3213]" filled="t" stroked="t" coordsize="21600,21600" o:gfxdata="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7Xai4dkAAAAJAQAADwAAAAAAAAABACAAAAAiAAAAZHJzL2Rvd25yZXYueG1sUEsBAhQA&#10;FAAAAAgAh07iQG8+LIRjAgAA4QQAAA4AAAAAAAAAAQAgAAAAKAEAAGRycy9lMm9Eb2MueG1sUEsF&#10;BgAAAAAGAAYAWQEAAP0FAAAAAA==&#10;">
                <v:fill on="t" focussize="0,0"/>
                <v:stroke weight="2pt" color="#FF0000 [3204]" joinstyle="round"/>
                <v:imagedata o:title=""/>
                <o:lock v:ext="edit" aspectratio="f"/>
              </v:shape>
            </w:pict>
          </mc:Fallback>
        </mc:AlternateContent>
      </w:r>
    </w:p>
    <w:p>
      <w:pPr>
        <w:pStyle w:val="22"/>
        <w:rPr>
          <w:rFonts w:hint="default" w:ascii="Arial" w:hAnsi="Arial" w:eastAsia="宋体" w:cs="Arial"/>
          <w:color w:val="auto"/>
        </w:rPr>
      </w:pPr>
      <w:r>
        <w:rPr>
          <w:rFonts w:hint="default" w:ascii="Arial" w:hAnsi="Arial" w:eastAsia="宋体" w:cs="Arial"/>
          <w:color w:val="auto"/>
          <w:sz w:val="32"/>
        </w:rPr>
        <mc:AlternateContent>
          <mc:Choice Requires="wps">
            <w:drawing>
              <wp:anchor distT="0" distB="0" distL="114300" distR="114300" simplePos="0" relativeHeight="251703296" behindDoc="0" locked="0" layoutInCell="1" allowOverlap="1">
                <wp:simplePos x="0" y="0"/>
                <wp:positionH relativeFrom="column">
                  <wp:posOffset>6958330</wp:posOffset>
                </wp:positionH>
                <wp:positionV relativeFrom="paragraph">
                  <wp:posOffset>59690</wp:posOffset>
                </wp:positionV>
                <wp:extent cx="884555" cy="325755"/>
                <wp:effectExtent l="0" t="0" r="0" b="0"/>
                <wp:wrapNone/>
                <wp:docPr id="35" name="矩形 35"/>
                <wp:cNvGraphicFramePr/>
                <a:graphic xmlns:a="http://schemas.openxmlformats.org/drawingml/2006/main">
                  <a:graphicData uri="http://schemas.microsoft.com/office/word/2010/wordprocessingShape">
                    <wps:wsp>
                      <wps:cNvSpPr/>
                      <wps:spPr>
                        <a:xfrm>
                          <a:off x="0" y="0"/>
                          <a:ext cx="884555" cy="32575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pPr>
                              <w:keepNext w:val="0"/>
                              <w:keepLines w:val="0"/>
                              <w:pageBreakBefore w:val="0"/>
                              <w:widowControl w:val="0"/>
                              <w:kinsoku/>
                              <w:wordWrap/>
                              <w:overflowPunct/>
                              <w:topLinePunct/>
                              <w:autoSpaceDE w:val="0"/>
                              <w:autoSpaceDN/>
                              <w:bidi w:val="0"/>
                              <w:adjustRightInd/>
                              <w:snapToGrid/>
                              <w:spacing w:line="240" w:lineRule="auto"/>
                              <w:ind w:firstLine="0" w:firstLineChars="0"/>
                              <w:jc w:val="center"/>
                              <w:textAlignment w:val="auto"/>
                              <w:rPr>
                                <w:b/>
                                <w:bCs/>
                                <w:color w:val="FF0000"/>
                                <w:sz w:val="24"/>
                                <w:szCs w:val="24"/>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pPr>
                            <w:r>
                              <w:rPr>
                                <w:rFonts w:hint="eastAsia" w:cs="Times New Roman"/>
                                <w:b/>
                                <w:bCs/>
                                <w:color w:val="FF0000"/>
                                <w:sz w:val="24"/>
                                <w:szCs w:val="24"/>
                                <w:highlight w:val="none"/>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t>永红村</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547.9pt;margin-top:4.7pt;height:25.65pt;width:69.65pt;z-index:251703296;v-text-anchor:middle;mso-width-relative:page;mso-height-relative:page;" filled="f" stroked="f" coordsize="21600,21600" o:gfxdata="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IIDRYPZAAAACgEA&#10;AA8AAAAAAAAAAQAgAAAAIgAAAGRycy9kb3ducmV2LnhtbFBLAQIUABQAAAAIAIdO4kDIuolWUgIA&#10;AJcEAAAOAAAAAAAAAAEAIAAAACgBAABkcnMvZTJvRG9jLnhtbFBLBQYAAAAABgAGAFkBAADsBQAA&#10;AAA=&#10;">
                <v:fill on="f" focussize="0,0"/>
                <v:stroke on="f" weight="2pt"/>
                <v:imagedata o:title=""/>
                <o:lock v:ext="edit" aspectratio="f"/>
                <v:textbox>
                  <w:txbxContent>
                    <w:p>
                      <w:pPr>
                        <w:keepNext w:val="0"/>
                        <w:keepLines w:val="0"/>
                        <w:pageBreakBefore w:val="0"/>
                        <w:widowControl w:val="0"/>
                        <w:kinsoku/>
                        <w:wordWrap/>
                        <w:overflowPunct/>
                        <w:topLinePunct/>
                        <w:autoSpaceDE w:val="0"/>
                        <w:autoSpaceDN/>
                        <w:bidi w:val="0"/>
                        <w:adjustRightInd/>
                        <w:snapToGrid/>
                        <w:spacing w:line="240" w:lineRule="auto"/>
                        <w:ind w:firstLine="0" w:firstLineChars="0"/>
                        <w:jc w:val="center"/>
                        <w:textAlignment w:val="auto"/>
                        <w:rPr>
                          <w:b/>
                          <w:bCs/>
                          <w:color w:val="FF0000"/>
                          <w:sz w:val="24"/>
                          <w:szCs w:val="24"/>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pPr>
                      <w:r>
                        <w:rPr>
                          <w:rFonts w:hint="eastAsia" w:cs="Times New Roman"/>
                          <w:b/>
                          <w:bCs/>
                          <w:color w:val="FF0000"/>
                          <w:sz w:val="24"/>
                          <w:szCs w:val="24"/>
                          <w:highlight w:val="none"/>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t>永红村</w:t>
                      </w:r>
                    </w:p>
                  </w:txbxContent>
                </v:textbox>
              </v:rect>
            </w:pict>
          </mc:Fallback>
        </mc:AlternateContent>
      </w:r>
      <w:r>
        <w:rPr>
          <w:rFonts w:hint="default" w:ascii="Arial" w:hAnsi="Arial" w:eastAsia="宋体" w:cs="Arial"/>
          <w:color w:val="auto"/>
          <w:sz w:val="32"/>
        </w:rPr>
        <mc:AlternateContent>
          <mc:Choice Requires="wps">
            <w:drawing>
              <wp:anchor distT="0" distB="0" distL="114300" distR="114300" simplePos="0" relativeHeight="251694080" behindDoc="0" locked="0" layoutInCell="1" allowOverlap="1">
                <wp:simplePos x="0" y="0"/>
                <wp:positionH relativeFrom="column">
                  <wp:posOffset>3181985</wp:posOffset>
                </wp:positionH>
                <wp:positionV relativeFrom="paragraph">
                  <wp:posOffset>219710</wp:posOffset>
                </wp:positionV>
                <wp:extent cx="107950" cy="107950"/>
                <wp:effectExtent l="12700" t="12700" r="12700" b="12700"/>
                <wp:wrapNone/>
                <wp:docPr id="23" name="椭圆 23"/>
                <wp:cNvGraphicFramePr/>
                <a:graphic xmlns:a="http://schemas.openxmlformats.org/drawingml/2006/main">
                  <a:graphicData uri="http://schemas.microsoft.com/office/word/2010/wordprocessingShape">
                    <wps:wsp>
                      <wps:cNvSpPr/>
                      <wps:spPr>
                        <a:xfrm>
                          <a:off x="0" y="0"/>
                          <a:ext cx="107950" cy="107950"/>
                        </a:xfrm>
                        <a:prstGeom prst="ellipse">
                          <a:avLst/>
                        </a:prstGeom>
                        <a:solidFill>
                          <a:schemeClr val="tx1"/>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250.55pt;margin-top:17.3pt;height:8.5pt;width:8.5pt;z-index:251694080;v-text-anchor:middle;mso-width-relative:page;mso-height-relative:page;" fillcolor="#000000 [3213]" filled="t" stroked="t" coordsize="21600,21600" o:gfxdata="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OYlvR7YAAAACQEAAA8AAAAAAAAAAQAgAAAAIgAAAGRycy9kb3ducmV2LnhtbFBLAQIUABQA&#10;AAAIAIdO4kA/3tXNYgIAAOEEAAAOAAAAAAAAAAEAIAAAACcBAABkcnMvZTJvRG9jLnhtbFBLBQYA&#10;AAAABgAGAFkBAAD7BQAAAAA=&#10;">
                <v:fill on="t" focussize="0,0"/>
                <v:stroke weight="2pt" color="#FF0000 [3204]" joinstyle="round"/>
                <v:imagedata o:title=""/>
                <o:lock v:ext="edit" aspectratio="f"/>
              </v:shape>
            </w:pict>
          </mc:Fallback>
        </mc:AlternateContent>
      </w:r>
      <w:r>
        <w:rPr>
          <w:rFonts w:hint="default" w:ascii="Arial" w:hAnsi="Arial" w:eastAsia="宋体" w:cs="Arial"/>
          <w:color w:val="auto"/>
          <w:sz w:val="32"/>
        </w:rPr>
        <mc:AlternateContent>
          <mc:Choice Requires="wps">
            <w:drawing>
              <wp:anchor distT="0" distB="0" distL="114300" distR="114300" simplePos="0" relativeHeight="251696128" behindDoc="0" locked="0" layoutInCell="1" allowOverlap="1">
                <wp:simplePos x="0" y="0"/>
                <wp:positionH relativeFrom="column">
                  <wp:posOffset>7371715</wp:posOffset>
                </wp:positionH>
                <wp:positionV relativeFrom="paragraph">
                  <wp:posOffset>300355</wp:posOffset>
                </wp:positionV>
                <wp:extent cx="107950" cy="107950"/>
                <wp:effectExtent l="12700" t="12700" r="12700" b="12700"/>
                <wp:wrapNone/>
                <wp:docPr id="26" name="椭圆 26"/>
                <wp:cNvGraphicFramePr/>
                <a:graphic xmlns:a="http://schemas.openxmlformats.org/drawingml/2006/main">
                  <a:graphicData uri="http://schemas.microsoft.com/office/word/2010/wordprocessingShape">
                    <wps:wsp>
                      <wps:cNvSpPr/>
                      <wps:spPr>
                        <a:xfrm>
                          <a:off x="0" y="0"/>
                          <a:ext cx="107950" cy="107950"/>
                        </a:xfrm>
                        <a:prstGeom prst="ellipse">
                          <a:avLst/>
                        </a:prstGeom>
                        <a:solidFill>
                          <a:schemeClr val="tx1"/>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580.45pt;margin-top:23.65pt;height:8.5pt;width:8.5pt;z-index:251696128;v-text-anchor:middle;mso-width-relative:page;mso-height-relative:page;" fillcolor="#000000 [3213]" filled="t" stroked="t" coordsize="21600,21600" o:gfxdata="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sd7h7doAAAALAQAADwAAAAAAAAABACAAAAAiAAAAZHJzL2Rvd25yZXYueG1sUEsBAhQA&#10;FAAAAAgAh07iQH7I1XliAgAA4QQAAA4AAAAAAAAAAQAgAAAAKQEAAGRycy9lMm9Eb2MueG1sUEsF&#10;BgAAAAAGAAYAWQEAAP0FAAAAAA==&#10;">
                <v:fill on="t" focussize="0,0"/>
                <v:stroke weight="2pt" color="#FF0000 [3204]" joinstyle="round"/>
                <v:imagedata o:title=""/>
                <o:lock v:ext="edit" aspectratio="f"/>
              </v:shape>
            </w:pict>
          </mc:Fallback>
        </mc:AlternateContent>
      </w:r>
    </w:p>
    <w:p>
      <w:pPr>
        <w:pStyle w:val="22"/>
        <w:rPr>
          <w:rFonts w:hint="default" w:ascii="Arial" w:hAnsi="Arial" w:eastAsia="宋体" w:cs="Arial"/>
          <w:color w:val="auto"/>
        </w:rPr>
      </w:pPr>
      <w:r>
        <w:rPr>
          <w:rFonts w:hint="default" w:ascii="Arial" w:hAnsi="Arial" w:eastAsia="宋体" w:cs="Arial"/>
          <w:color w:val="auto"/>
          <w:sz w:val="32"/>
        </w:rPr>
        <mc:AlternateContent>
          <mc:Choice Requires="wps">
            <w:drawing>
              <wp:anchor distT="0" distB="0" distL="114300" distR="114300" simplePos="0" relativeHeight="251715584" behindDoc="0" locked="0" layoutInCell="1" allowOverlap="1">
                <wp:simplePos x="0" y="0"/>
                <wp:positionH relativeFrom="column">
                  <wp:posOffset>4758690</wp:posOffset>
                </wp:positionH>
                <wp:positionV relativeFrom="paragraph">
                  <wp:posOffset>104140</wp:posOffset>
                </wp:positionV>
                <wp:extent cx="107950" cy="179705"/>
                <wp:effectExtent l="12700" t="12700" r="12700" b="17145"/>
                <wp:wrapNone/>
                <wp:docPr id="70" name="菱形 70"/>
                <wp:cNvGraphicFramePr/>
                <a:graphic xmlns:a="http://schemas.openxmlformats.org/drawingml/2006/main">
                  <a:graphicData uri="http://schemas.microsoft.com/office/word/2010/wordprocessingShape">
                    <wps:wsp>
                      <wps:cNvSpPr/>
                      <wps:spPr>
                        <a:xfrm>
                          <a:off x="0" y="0"/>
                          <a:ext cx="107950" cy="179705"/>
                        </a:xfrm>
                        <a:prstGeom prst="diamond">
                          <a:avLst/>
                        </a:prstGeom>
                        <a:solidFill>
                          <a:schemeClr val="tx1"/>
                        </a:solid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4" type="#_x0000_t4" style="position:absolute;left:0pt;margin-left:374.7pt;margin-top:8.2pt;height:14.15pt;width:8.5pt;z-index:251715584;v-text-anchor:middle;mso-width-relative:page;mso-height-relative:page;" fillcolor="#000000 [3213]" filled="t" stroked="t" coordsize="21600,21600" o:gfxdata="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D2/xQ61gAAAAkBAAAPAAAAAAAAAAEAIAAAACIAAABkcnMvZG93bnJldi54bWxQSwEC&#10;FAAUAAAACACHTuJAPPPyTmgCAADhBAAADgAAAAAAAAABACAAAAAlAQAAZHJzL2Uyb0RvYy54bWxQ&#10;SwUGAAAAAAYABgBZAQAA/wUAAAAA&#10;">
                <v:fill on="t" focussize="0,0"/>
                <v:stroke weight="2pt" color="#00B0F0 [3204]" joinstyle="round"/>
                <v:imagedata o:title=""/>
                <o:lock v:ext="edit" aspectratio="f"/>
              </v:shape>
            </w:pict>
          </mc:Fallback>
        </mc:AlternateContent>
      </w:r>
      <w:r>
        <w:rPr>
          <w:rFonts w:hint="default" w:ascii="Arial" w:hAnsi="Arial" w:eastAsia="宋体" w:cs="Arial"/>
          <w:color w:val="auto"/>
          <w:sz w:val="32"/>
        </w:rPr>
        <mc:AlternateContent>
          <mc:Choice Requires="wps">
            <w:drawing>
              <wp:anchor distT="0" distB="0" distL="114300" distR="114300" simplePos="0" relativeHeight="251702272" behindDoc="0" locked="0" layoutInCell="1" allowOverlap="1">
                <wp:simplePos x="0" y="0"/>
                <wp:positionH relativeFrom="column">
                  <wp:posOffset>6669405</wp:posOffset>
                </wp:positionH>
                <wp:positionV relativeFrom="paragraph">
                  <wp:posOffset>167005</wp:posOffset>
                </wp:positionV>
                <wp:extent cx="884555" cy="325755"/>
                <wp:effectExtent l="0" t="0" r="0" b="0"/>
                <wp:wrapNone/>
                <wp:docPr id="34" name="矩形 34"/>
                <wp:cNvGraphicFramePr/>
                <a:graphic xmlns:a="http://schemas.openxmlformats.org/drawingml/2006/main">
                  <a:graphicData uri="http://schemas.microsoft.com/office/word/2010/wordprocessingShape">
                    <wps:wsp>
                      <wps:cNvSpPr/>
                      <wps:spPr>
                        <a:xfrm>
                          <a:off x="3738880" y="2127250"/>
                          <a:ext cx="884555" cy="32575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pPr>
                              <w:keepNext w:val="0"/>
                              <w:keepLines w:val="0"/>
                              <w:pageBreakBefore w:val="0"/>
                              <w:widowControl w:val="0"/>
                              <w:kinsoku/>
                              <w:wordWrap/>
                              <w:overflowPunct/>
                              <w:topLinePunct/>
                              <w:autoSpaceDE w:val="0"/>
                              <w:autoSpaceDN/>
                              <w:bidi w:val="0"/>
                              <w:adjustRightInd/>
                              <w:snapToGrid/>
                              <w:spacing w:line="240" w:lineRule="auto"/>
                              <w:ind w:firstLine="0" w:firstLineChars="0"/>
                              <w:jc w:val="center"/>
                              <w:textAlignment w:val="auto"/>
                              <w:rPr>
                                <w:b/>
                                <w:bCs/>
                                <w:color w:val="FF0000"/>
                                <w:sz w:val="24"/>
                                <w:szCs w:val="24"/>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pPr>
                            <w:r>
                              <w:rPr>
                                <w:rFonts w:hint="eastAsia" w:cs="Times New Roman"/>
                                <w:b/>
                                <w:bCs/>
                                <w:color w:val="FF0000"/>
                                <w:sz w:val="24"/>
                                <w:szCs w:val="24"/>
                                <w:highlight w:val="none"/>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t>永红二社</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525.15pt;margin-top:13.15pt;height:25.65pt;width:69.65pt;z-index:251702272;v-text-anchor:middle;mso-width-relative:page;mso-height-relative:page;" filled="f" stroked="f" coordsize="21600,21600" o:gfxdata="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AGTc5Q2QAAAAsBAAAPAAAAAAAAAAEAIAAAACIAAABkcnMvZG93bnJldi54bWxQSwECFAAUAAAA&#10;CACHTuJAeTsvP18CAACjBAAADgAAAAAAAAABACAAAAAoAQAAZHJzL2Uyb0RvYy54bWxQSwUGAAAA&#10;AAYABgBZAQAA+QUAAAAA&#10;">
                <v:fill on="f" focussize="0,0"/>
                <v:stroke on="f" weight="2pt"/>
                <v:imagedata o:title=""/>
                <o:lock v:ext="edit" aspectratio="f"/>
                <v:textbox>
                  <w:txbxContent>
                    <w:p>
                      <w:pPr>
                        <w:keepNext w:val="0"/>
                        <w:keepLines w:val="0"/>
                        <w:pageBreakBefore w:val="0"/>
                        <w:widowControl w:val="0"/>
                        <w:kinsoku/>
                        <w:wordWrap/>
                        <w:overflowPunct/>
                        <w:topLinePunct/>
                        <w:autoSpaceDE w:val="0"/>
                        <w:autoSpaceDN/>
                        <w:bidi w:val="0"/>
                        <w:adjustRightInd/>
                        <w:snapToGrid/>
                        <w:spacing w:line="240" w:lineRule="auto"/>
                        <w:ind w:firstLine="0" w:firstLineChars="0"/>
                        <w:jc w:val="center"/>
                        <w:textAlignment w:val="auto"/>
                        <w:rPr>
                          <w:b/>
                          <w:bCs/>
                          <w:color w:val="FF0000"/>
                          <w:sz w:val="24"/>
                          <w:szCs w:val="24"/>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pPr>
                      <w:r>
                        <w:rPr>
                          <w:rFonts w:hint="eastAsia" w:cs="Times New Roman"/>
                          <w:b/>
                          <w:bCs/>
                          <w:color w:val="FF0000"/>
                          <w:sz w:val="24"/>
                          <w:szCs w:val="24"/>
                          <w:highlight w:val="none"/>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t>永红二社</w:t>
                      </w:r>
                    </w:p>
                  </w:txbxContent>
                </v:textbox>
              </v:rect>
            </w:pict>
          </mc:Fallback>
        </mc:AlternateContent>
      </w:r>
    </w:p>
    <w:p>
      <w:pPr>
        <w:pStyle w:val="22"/>
        <w:rPr>
          <w:rFonts w:hint="default" w:ascii="Arial" w:hAnsi="Arial" w:eastAsia="宋体" w:cs="Arial"/>
          <w:color w:val="auto"/>
        </w:rPr>
      </w:pPr>
      <w:r>
        <w:rPr>
          <w:rFonts w:hint="default" w:ascii="Arial" w:hAnsi="Arial" w:eastAsia="宋体" w:cs="Arial"/>
          <w:color w:val="auto"/>
          <w:sz w:val="32"/>
        </w:rPr>
        <mc:AlternateContent>
          <mc:Choice Requires="wps">
            <w:drawing>
              <wp:anchor distT="0" distB="0" distL="114300" distR="114300" simplePos="0" relativeHeight="251695104" behindDoc="0" locked="0" layoutInCell="1" allowOverlap="1">
                <wp:simplePos x="0" y="0"/>
                <wp:positionH relativeFrom="column">
                  <wp:posOffset>7089775</wp:posOffset>
                </wp:positionH>
                <wp:positionV relativeFrom="paragraph">
                  <wp:posOffset>143510</wp:posOffset>
                </wp:positionV>
                <wp:extent cx="107950" cy="107950"/>
                <wp:effectExtent l="12700" t="12700" r="12700" b="12700"/>
                <wp:wrapNone/>
                <wp:docPr id="25" name="椭圆 25"/>
                <wp:cNvGraphicFramePr/>
                <a:graphic xmlns:a="http://schemas.openxmlformats.org/drawingml/2006/main">
                  <a:graphicData uri="http://schemas.microsoft.com/office/word/2010/wordprocessingShape">
                    <wps:wsp>
                      <wps:cNvSpPr/>
                      <wps:spPr>
                        <a:xfrm>
                          <a:off x="0" y="0"/>
                          <a:ext cx="107950" cy="107950"/>
                        </a:xfrm>
                        <a:prstGeom prst="ellipse">
                          <a:avLst/>
                        </a:prstGeom>
                        <a:solidFill>
                          <a:schemeClr val="tx1"/>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558.25pt;margin-top:11.3pt;height:8.5pt;width:8.5pt;z-index:251695104;v-text-anchor:middle;mso-width-relative:page;mso-height-relative:page;" fillcolor="#000000 [3213]" filled="t" stroked="t" coordsize="21600,21600" o:gfxdata="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FIUSL/ZAAAACwEAAA8AAAAAAAAAAQAgAAAAIgAAAGRycy9kb3ducmV2LnhtbFBLAQIUABQA&#10;AAAIAIdO4kB+OAWjYQIAAOEEAAAOAAAAAAAAAAEAIAAAACgBAABkcnMvZTJvRG9jLnhtbFBLBQYA&#10;AAAABgAGAFkBAAD7BQAAAAA=&#10;">
                <v:fill on="t" focussize="0,0"/>
                <v:stroke weight="2pt" color="#FF0000 [3204]" joinstyle="round"/>
                <v:imagedata o:title=""/>
                <o:lock v:ext="edit" aspectratio="f"/>
              </v:shape>
            </w:pict>
          </mc:Fallback>
        </mc:AlternateContent>
      </w:r>
    </w:p>
    <w:p>
      <w:pPr>
        <w:pStyle w:val="22"/>
        <w:rPr>
          <w:rFonts w:hint="default" w:ascii="Arial" w:hAnsi="Arial" w:eastAsia="宋体" w:cs="Arial"/>
          <w:color w:val="auto"/>
        </w:rPr>
      </w:pPr>
      <w:r>
        <w:rPr>
          <w:rFonts w:hint="default" w:ascii="Arial" w:hAnsi="Arial" w:eastAsia="宋体" w:cs="Arial"/>
          <w:color w:val="auto"/>
          <w:sz w:val="32"/>
        </w:rPr>
        <mc:AlternateContent>
          <mc:Choice Requires="wps">
            <w:drawing>
              <wp:anchor distT="0" distB="0" distL="114300" distR="114300" simplePos="0" relativeHeight="251716608" behindDoc="0" locked="0" layoutInCell="1" allowOverlap="1">
                <wp:simplePos x="0" y="0"/>
                <wp:positionH relativeFrom="column">
                  <wp:posOffset>5606415</wp:posOffset>
                </wp:positionH>
                <wp:positionV relativeFrom="paragraph">
                  <wp:posOffset>43180</wp:posOffset>
                </wp:positionV>
                <wp:extent cx="107950" cy="179705"/>
                <wp:effectExtent l="12700" t="12700" r="12700" b="17145"/>
                <wp:wrapNone/>
                <wp:docPr id="67" name="菱形 67"/>
                <wp:cNvGraphicFramePr/>
                <a:graphic xmlns:a="http://schemas.openxmlformats.org/drawingml/2006/main">
                  <a:graphicData uri="http://schemas.microsoft.com/office/word/2010/wordprocessingShape">
                    <wps:wsp>
                      <wps:cNvSpPr/>
                      <wps:spPr>
                        <a:xfrm>
                          <a:off x="0" y="0"/>
                          <a:ext cx="107950" cy="179705"/>
                        </a:xfrm>
                        <a:prstGeom prst="diamond">
                          <a:avLst/>
                        </a:prstGeom>
                        <a:solidFill>
                          <a:schemeClr val="tx1"/>
                        </a:solid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4" type="#_x0000_t4" style="position:absolute;left:0pt;margin-left:441.45pt;margin-top:3.4pt;height:14.15pt;width:8.5pt;z-index:251716608;v-text-anchor:middle;mso-width-relative:page;mso-height-relative:page;" fillcolor="#000000 [3213]" filled="t" stroked="t" coordsize="21600,21600" o:gfxdata="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2bBHQ9UAAAAIAQAADwAAAAAAAAABACAAAAAiAAAAZHJzL2Rvd25yZXYueG1sUEsB&#10;AhQAFAAAAAgAh07iQC3122lqAgAA4QQAAA4AAAAAAAAAAQAgAAAAJAEAAGRycy9lMm9Eb2MueG1s&#10;UEsFBgAAAAAGAAYAWQEAAAAGAAAAAA==&#10;">
                <v:fill on="t" focussize="0,0"/>
                <v:stroke weight="2pt" color="#00B0F0 [3204]" joinstyle="round"/>
                <v:imagedata o:title=""/>
                <o:lock v:ext="edit" aspectratio="f"/>
              </v:shape>
            </w:pict>
          </mc:Fallback>
        </mc:AlternateContent>
      </w:r>
    </w:p>
    <w:p>
      <w:pPr>
        <w:pStyle w:val="22"/>
        <w:rPr>
          <w:rFonts w:hint="default" w:ascii="Arial" w:hAnsi="Arial" w:eastAsia="宋体" w:cs="Arial"/>
          <w:color w:val="auto"/>
        </w:rPr>
      </w:pPr>
    </w:p>
    <w:p>
      <w:pPr>
        <w:pStyle w:val="22"/>
        <w:ind w:left="0" w:leftChars="0" w:firstLine="0" w:firstLineChars="0"/>
        <w:rPr>
          <w:rFonts w:hint="default" w:ascii="Arial" w:hAnsi="Arial" w:eastAsia="宋体" w:cs="Arial"/>
          <w:color w:val="auto"/>
        </w:rPr>
      </w:pPr>
      <w:r>
        <w:rPr>
          <w:rFonts w:hint="default" w:ascii="Arial" w:hAnsi="Arial" w:eastAsia="宋体" w:cs="Arial"/>
          <w:color w:val="auto"/>
          <w:sz w:val="32"/>
        </w:rPr>
        <mc:AlternateContent>
          <mc:Choice Requires="wps">
            <w:drawing>
              <wp:anchor distT="0" distB="0" distL="114300" distR="114300" simplePos="0" relativeHeight="251717632" behindDoc="0" locked="0" layoutInCell="1" allowOverlap="1">
                <wp:simplePos x="0" y="0"/>
                <wp:positionH relativeFrom="column">
                  <wp:posOffset>4719320</wp:posOffset>
                </wp:positionH>
                <wp:positionV relativeFrom="paragraph">
                  <wp:posOffset>77470</wp:posOffset>
                </wp:positionV>
                <wp:extent cx="107950" cy="179705"/>
                <wp:effectExtent l="12700" t="12700" r="12700" b="17145"/>
                <wp:wrapNone/>
                <wp:docPr id="66" name="菱形 66"/>
                <wp:cNvGraphicFramePr/>
                <a:graphic xmlns:a="http://schemas.openxmlformats.org/drawingml/2006/main">
                  <a:graphicData uri="http://schemas.microsoft.com/office/word/2010/wordprocessingShape">
                    <wps:wsp>
                      <wps:cNvSpPr/>
                      <wps:spPr>
                        <a:xfrm>
                          <a:off x="0" y="0"/>
                          <a:ext cx="107950" cy="179705"/>
                        </a:xfrm>
                        <a:prstGeom prst="diamond">
                          <a:avLst/>
                        </a:prstGeom>
                        <a:solidFill>
                          <a:schemeClr val="tx1"/>
                        </a:solid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4" type="#_x0000_t4" style="position:absolute;left:0pt;margin-left:371.6pt;margin-top:6.1pt;height:14.15pt;width:8.5pt;z-index:251717632;v-text-anchor:middle;mso-width-relative:page;mso-height-relative:page;" fillcolor="#000000 [3213]" filled="t" stroked="t" coordsize="21600,21600" o:gfxdata="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">
                <v:fill on="t" focussize="0,0"/>
                <v:stroke weight="2pt" color="#00B0F0 [3204]" joinstyle="round"/>
                <v:imagedata o:title=""/>
                <o:lock v:ext="edit" aspectratio="f"/>
              </v:shape>
            </w:pict>
          </mc:Fallback>
        </mc:AlternateContent>
      </w:r>
      <w:r>
        <w:rPr>
          <w:rFonts w:hint="default" w:ascii="Arial" w:hAnsi="Arial" w:eastAsia="宋体" w:cs="Arial"/>
          <w:color w:val="auto"/>
          <w:sz w:val="32"/>
        </w:rPr>
        <mc:AlternateContent>
          <mc:Choice Requires="wps">
            <w:drawing>
              <wp:anchor distT="0" distB="0" distL="114300" distR="114300" simplePos="0" relativeHeight="251720704" behindDoc="0" locked="0" layoutInCell="1" allowOverlap="1">
                <wp:simplePos x="0" y="0"/>
                <wp:positionH relativeFrom="column">
                  <wp:posOffset>5076825</wp:posOffset>
                </wp:positionH>
                <wp:positionV relativeFrom="paragraph">
                  <wp:posOffset>53975</wp:posOffset>
                </wp:positionV>
                <wp:extent cx="107950" cy="179705"/>
                <wp:effectExtent l="12700" t="12700" r="12700" b="17145"/>
                <wp:wrapNone/>
                <wp:docPr id="65" name="菱形 65"/>
                <wp:cNvGraphicFramePr/>
                <a:graphic xmlns:a="http://schemas.openxmlformats.org/drawingml/2006/main">
                  <a:graphicData uri="http://schemas.microsoft.com/office/word/2010/wordprocessingShape">
                    <wps:wsp>
                      <wps:cNvSpPr/>
                      <wps:spPr>
                        <a:xfrm>
                          <a:off x="0" y="0"/>
                          <a:ext cx="107950" cy="179705"/>
                        </a:xfrm>
                        <a:prstGeom prst="diamond">
                          <a:avLst/>
                        </a:prstGeom>
                        <a:solidFill>
                          <a:schemeClr val="tx1"/>
                        </a:solid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4" type="#_x0000_t4" style="position:absolute;left:0pt;margin-left:399.75pt;margin-top:4.25pt;height:14.15pt;width:8.5pt;z-index:251720704;v-text-anchor:middle;mso-width-relative:page;mso-height-relative:page;" fillcolor="#000000 [3213]" filled="t" stroked="t" coordsize="21600,21600" o:gfxdata="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CU8v6rWAAAACAEAAA8AAAAAAAAAAQAgAAAAIgAAAGRycy9kb3ducmV2LnhtbFBL&#10;AQIUABQAAAAIAIdO4kAtVbv6agIAAOEEAAAOAAAAAAAAAAEAIAAAACUBAABkcnMvZTJvRG9jLnht&#10;bFBLBQYAAAAABgAGAFkBAAABBgAAAAA=&#10;">
                <v:fill on="t" focussize="0,0"/>
                <v:stroke weight="2pt" color="#00B0F0 [3204]" joinstyle="round"/>
                <v:imagedata o:title=""/>
                <o:lock v:ext="edit" aspectratio="f"/>
              </v:shape>
            </w:pict>
          </mc:Fallback>
        </mc:AlternateContent>
      </w:r>
      <w:r>
        <w:rPr>
          <w:rFonts w:hint="default" w:ascii="Arial" w:hAnsi="Arial" w:eastAsia="宋体" w:cs="Arial"/>
          <w:color w:val="auto"/>
          <w:sz w:val="32"/>
        </w:rPr>
        <mc:AlternateContent>
          <mc:Choice Requires="wps">
            <w:drawing>
              <wp:anchor distT="0" distB="0" distL="114300" distR="114300" simplePos="0" relativeHeight="251707392" behindDoc="0" locked="0" layoutInCell="1" allowOverlap="1">
                <wp:simplePos x="0" y="0"/>
                <wp:positionH relativeFrom="column">
                  <wp:posOffset>2417445</wp:posOffset>
                </wp:positionH>
                <wp:positionV relativeFrom="paragraph">
                  <wp:posOffset>43180</wp:posOffset>
                </wp:positionV>
                <wp:extent cx="884555" cy="325755"/>
                <wp:effectExtent l="0" t="0" r="0" b="0"/>
                <wp:wrapNone/>
                <wp:docPr id="39" name="矩形 39"/>
                <wp:cNvGraphicFramePr/>
                <a:graphic xmlns:a="http://schemas.openxmlformats.org/drawingml/2006/main">
                  <a:graphicData uri="http://schemas.microsoft.com/office/word/2010/wordprocessingShape">
                    <wps:wsp>
                      <wps:cNvSpPr/>
                      <wps:spPr>
                        <a:xfrm>
                          <a:off x="0" y="0"/>
                          <a:ext cx="884555" cy="32575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pPr>
                              <w:keepNext w:val="0"/>
                              <w:keepLines w:val="0"/>
                              <w:pageBreakBefore w:val="0"/>
                              <w:widowControl w:val="0"/>
                              <w:kinsoku/>
                              <w:wordWrap/>
                              <w:overflowPunct/>
                              <w:topLinePunct/>
                              <w:autoSpaceDE w:val="0"/>
                              <w:autoSpaceDN/>
                              <w:bidi w:val="0"/>
                              <w:adjustRightInd/>
                              <w:snapToGrid/>
                              <w:spacing w:line="240" w:lineRule="auto"/>
                              <w:ind w:firstLine="0" w:firstLineChars="0"/>
                              <w:jc w:val="center"/>
                              <w:textAlignment w:val="auto"/>
                              <w:rPr>
                                <w:b/>
                                <w:bCs/>
                                <w:color w:val="FF0000"/>
                                <w:sz w:val="24"/>
                                <w:szCs w:val="24"/>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pPr>
                            <w:r>
                              <w:rPr>
                                <w:rFonts w:hint="eastAsia" w:cs="Times New Roman"/>
                                <w:b/>
                                <w:bCs/>
                                <w:color w:val="FF0000"/>
                                <w:sz w:val="24"/>
                                <w:szCs w:val="24"/>
                                <w:highlight w:val="none"/>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t>新永七社</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90.35pt;margin-top:3.4pt;height:25.65pt;width:69.65pt;z-index:251707392;v-text-anchor:middle;mso-width-relative:page;mso-height-relative:page;" filled="f" stroked="f" coordsize="21600,21600" o:gfxdata="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m27Sm9cAAAAIAQAA&#10;DwAAAAAAAAABACAAAAAiAAAAZHJzL2Rvd25yZXYueG1sUEsBAhQAFAAAAAgAh07iQFgI7o9TAgAA&#10;lwQAAA4AAAAAAAAAAQAgAAAAJgEAAGRycy9lMm9Eb2MueG1sUEsFBgAAAAAGAAYAWQEAAOsFAAAA&#10;AA==&#10;">
                <v:fill on="f" focussize="0,0"/>
                <v:stroke on="f" weight="2pt"/>
                <v:imagedata o:title=""/>
                <o:lock v:ext="edit" aspectratio="f"/>
                <v:textbox>
                  <w:txbxContent>
                    <w:p>
                      <w:pPr>
                        <w:keepNext w:val="0"/>
                        <w:keepLines w:val="0"/>
                        <w:pageBreakBefore w:val="0"/>
                        <w:widowControl w:val="0"/>
                        <w:kinsoku/>
                        <w:wordWrap/>
                        <w:overflowPunct/>
                        <w:topLinePunct/>
                        <w:autoSpaceDE w:val="0"/>
                        <w:autoSpaceDN/>
                        <w:bidi w:val="0"/>
                        <w:adjustRightInd/>
                        <w:snapToGrid/>
                        <w:spacing w:line="240" w:lineRule="auto"/>
                        <w:ind w:firstLine="0" w:firstLineChars="0"/>
                        <w:jc w:val="center"/>
                        <w:textAlignment w:val="auto"/>
                        <w:rPr>
                          <w:b/>
                          <w:bCs/>
                          <w:color w:val="FF0000"/>
                          <w:sz w:val="24"/>
                          <w:szCs w:val="24"/>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pPr>
                      <w:r>
                        <w:rPr>
                          <w:rFonts w:hint="eastAsia" w:cs="Times New Roman"/>
                          <w:b/>
                          <w:bCs/>
                          <w:color w:val="FF0000"/>
                          <w:sz w:val="24"/>
                          <w:szCs w:val="24"/>
                          <w:highlight w:val="none"/>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t>新永七社</w:t>
                      </w:r>
                    </w:p>
                  </w:txbxContent>
                </v:textbox>
              </v:rect>
            </w:pict>
          </mc:Fallback>
        </mc:AlternateContent>
      </w:r>
      <w:r>
        <w:rPr>
          <w:rFonts w:hint="default" w:ascii="Arial" w:hAnsi="Arial" w:eastAsia="宋体" w:cs="Arial"/>
          <w:color w:val="auto"/>
          <w:sz w:val="32"/>
        </w:rPr>
        <mc:AlternateContent>
          <mc:Choice Requires="wps">
            <w:drawing>
              <wp:anchor distT="0" distB="0" distL="114300" distR="114300" simplePos="0" relativeHeight="251705344" behindDoc="0" locked="0" layoutInCell="1" allowOverlap="1">
                <wp:simplePos x="0" y="0"/>
                <wp:positionH relativeFrom="column">
                  <wp:posOffset>4497705</wp:posOffset>
                </wp:positionH>
                <wp:positionV relativeFrom="paragraph">
                  <wp:posOffset>130175</wp:posOffset>
                </wp:positionV>
                <wp:extent cx="884555" cy="325755"/>
                <wp:effectExtent l="0" t="0" r="0" b="0"/>
                <wp:wrapNone/>
                <wp:docPr id="37" name="矩形 37"/>
                <wp:cNvGraphicFramePr/>
                <a:graphic xmlns:a="http://schemas.openxmlformats.org/drawingml/2006/main">
                  <a:graphicData uri="http://schemas.microsoft.com/office/word/2010/wordprocessingShape">
                    <wps:wsp>
                      <wps:cNvSpPr/>
                      <wps:spPr>
                        <a:xfrm>
                          <a:off x="0" y="0"/>
                          <a:ext cx="884555" cy="32575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pPr>
                              <w:keepNext w:val="0"/>
                              <w:keepLines w:val="0"/>
                              <w:pageBreakBefore w:val="0"/>
                              <w:widowControl w:val="0"/>
                              <w:kinsoku/>
                              <w:wordWrap/>
                              <w:overflowPunct/>
                              <w:topLinePunct/>
                              <w:autoSpaceDE w:val="0"/>
                              <w:autoSpaceDN/>
                              <w:bidi w:val="0"/>
                              <w:adjustRightInd/>
                              <w:snapToGrid/>
                              <w:spacing w:line="240" w:lineRule="auto"/>
                              <w:ind w:firstLine="0" w:firstLineChars="0"/>
                              <w:jc w:val="center"/>
                              <w:textAlignment w:val="auto"/>
                              <w:rPr>
                                <w:b/>
                                <w:bCs/>
                                <w:color w:val="FF0000"/>
                                <w:sz w:val="24"/>
                                <w:szCs w:val="24"/>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pPr>
                            <w:r>
                              <w:rPr>
                                <w:rFonts w:hint="eastAsia" w:cs="Times New Roman"/>
                                <w:b/>
                                <w:bCs/>
                                <w:color w:val="FF0000"/>
                                <w:sz w:val="24"/>
                                <w:szCs w:val="24"/>
                                <w:highlight w:val="none"/>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t>新义五社</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54.15pt;margin-top:10.25pt;height:25.65pt;width:69.65pt;z-index:251705344;v-text-anchor:middle;mso-width-relative:page;mso-height-relative:page;" filled="f" stroked="f" coordsize="21600,21600" o:gfxdata="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HCg7ZLYAAAACQEA&#10;AA8AAAAAAAAAAQAgAAAAIgAAAGRycy9kb3ducmV2LnhtbFBLAQIUABQAAAAIAIdO4kDwDedyUwIA&#10;AJcEAAAOAAAAAAAAAAEAIAAAACcBAABkcnMvZTJvRG9jLnhtbFBLBQYAAAAABgAGAFkBAADsBQAA&#10;AAA=&#10;">
                <v:fill on="f" focussize="0,0"/>
                <v:stroke on="f" weight="2pt"/>
                <v:imagedata o:title=""/>
                <o:lock v:ext="edit" aspectratio="f"/>
                <v:textbox>
                  <w:txbxContent>
                    <w:p>
                      <w:pPr>
                        <w:keepNext w:val="0"/>
                        <w:keepLines w:val="0"/>
                        <w:pageBreakBefore w:val="0"/>
                        <w:widowControl w:val="0"/>
                        <w:kinsoku/>
                        <w:wordWrap/>
                        <w:overflowPunct/>
                        <w:topLinePunct/>
                        <w:autoSpaceDE w:val="0"/>
                        <w:autoSpaceDN/>
                        <w:bidi w:val="0"/>
                        <w:adjustRightInd/>
                        <w:snapToGrid/>
                        <w:spacing w:line="240" w:lineRule="auto"/>
                        <w:ind w:firstLine="0" w:firstLineChars="0"/>
                        <w:jc w:val="center"/>
                        <w:textAlignment w:val="auto"/>
                        <w:rPr>
                          <w:b/>
                          <w:bCs/>
                          <w:color w:val="FF0000"/>
                          <w:sz w:val="24"/>
                          <w:szCs w:val="24"/>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pPr>
                      <w:r>
                        <w:rPr>
                          <w:rFonts w:hint="eastAsia" w:cs="Times New Roman"/>
                          <w:b/>
                          <w:bCs/>
                          <w:color w:val="FF0000"/>
                          <w:sz w:val="24"/>
                          <w:szCs w:val="24"/>
                          <w:highlight w:val="none"/>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t>新义五社</w:t>
                      </w:r>
                    </w:p>
                  </w:txbxContent>
                </v:textbox>
              </v:rect>
            </w:pict>
          </mc:Fallback>
        </mc:AlternateContent>
      </w:r>
      <w:r>
        <w:rPr>
          <w:rFonts w:hint="default" w:ascii="Arial" w:hAnsi="Arial" w:eastAsia="宋体" w:cs="Arial"/>
          <w:color w:val="auto"/>
          <w:sz w:val="32"/>
        </w:rPr>
        <mc:AlternateContent>
          <mc:Choice Requires="wps">
            <w:drawing>
              <wp:anchor distT="0" distB="0" distL="114300" distR="114300" simplePos="0" relativeHeight="251701248" behindDoc="0" locked="0" layoutInCell="1" allowOverlap="1">
                <wp:simplePos x="0" y="0"/>
                <wp:positionH relativeFrom="column">
                  <wp:posOffset>4892675</wp:posOffset>
                </wp:positionH>
                <wp:positionV relativeFrom="paragraph">
                  <wp:posOffset>86360</wp:posOffset>
                </wp:positionV>
                <wp:extent cx="107950" cy="107950"/>
                <wp:effectExtent l="12700" t="12700" r="12700" b="12700"/>
                <wp:wrapNone/>
                <wp:docPr id="33" name="椭圆 33"/>
                <wp:cNvGraphicFramePr/>
                <a:graphic xmlns:a="http://schemas.openxmlformats.org/drawingml/2006/main">
                  <a:graphicData uri="http://schemas.microsoft.com/office/word/2010/wordprocessingShape">
                    <wps:wsp>
                      <wps:cNvSpPr/>
                      <wps:spPr>
                        <a:xfrm>
                          <a:off x="0" y="0"/>
                          <a:ext cx="107950" cy="107950"/>
                        </a:xfrm>
                        <a:prstGeom prst="ellipse">
                          <a:avLst/>
                        </a:prstGeom>
                        <a:solidFill>
                          <a:schemeClr val="tx1"/>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385.25pt;margin-top:6.8pt;height:8.5pt;width:8.5pt;z-index:251701248;v-text-anchor:middle;mso-width-relative:page;mso-height-relative:page;" fillcolor="#000000 [3213]" filled="t" stroked="t" coordsize="21600,21600" o:gfxdata="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DiPoHZ2AAAAAkBAAAPAAAAAAAAAAEAIAAAACIAAABkcnMvZG93bnJldi54bWxQSwECFAAU&#10;AAAACACHTuJAb26czWMCAADhBAAADgAAAAAAAAABACAAAAAnAQAAZHJzL2Uyb0RvYy54bWxQSwUG&#10;AAAAAAYABgBZAQAA/AUAAAAA&#10;">
                <v:fill on="t" focussize="0,0"/>
                <v:stroke weight="2pt" color="#FF0000 [3204]" joinstyle="round"/>
                <v:imagedata o:title=""/>
                <o:lock v:ext="edit" aspectratio="f"/>
              </v:shape>
            </w:pict>
          </mc:Fallback>
        </mc:AlternateContent>
      </w:r>
      <w:r>
        <w:rPr>
          <w:rFonts w:hint="default" w:ascii="Arial" w:hAnsi="Arial" w:eastAsia="宋体" w:cs="Arial"/>
          <w:color w:val="auto"/>
          <w:sz w:val="24"/>
          <w:highlight w:val="none"/>
        </w:rPr>
        <mc:AlternateContent>
          <mc:Choice Requires="wps">
            <w:drawing>
              <wp:anchor distT="0" distB="0" distL="114300" distR="114300" simplePos="0" relativeHeight="251688960" behindDoc="0" locked="0" layoutInCell="1" allowOverlap="1">
                <wp:simplePos x="0" y="0"/>
                <wp:positionH relativeFrom="column">
                  <wp:posOffset>151765</wp:posOffset>
                </wp:positionH>
                <wp:positionV relativeFrom="paragraph">
                  <wp:posOffset>171450</wp:posOffset>
                </wp:positionV>
                <wp:extent cx="1936750" cy="2033905"/>
                <wp:effectExtent l="12700" t="12700" r="12700" b="29845"/>
                <wp:wrapNone/>
                <wp:docPr id="13" name="矩形 13"/>
                <wp:cNvGraphicFramePr/>
                <a:graphic xmlns:a="http://schemas.openxmlformats.org/drawingml/2006/main">
                  <a:graphicData uri="http://schemas.microsoft.com/office/word/2010/wordprocessingShape">
                    <wps:wsp>
                      <wps:cNvSpPr/>
                      <wps:spPr>
                        <a:xfrm>
                          <a:off x="0" y="0"/>
                          <a:ext cx="1936750" cy="2033905"/>
                        </a:xfrm>
                        <a:prstGeom prst="rect">
                          <a:avLst/>
                        </a:prstGeom>
                        <a:solidFill>
                          <a:schemeClr val="accent3">
                            <a:lumMod val="40000"/>
                            <a:lumOff val="6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pPr>
                              <w:keepNext w:val="0"/>
                              <w:keepLines w:val="0"/>
                              <w:pageBreakBefore w:val="0"/>
                              <w:widowControl w:val="0"/>
                              <w:kinsoku/>
                              <w:wordWrap/>
                              <w:overflowPunct/>
                              <w:topLinePunct/>
                              <w:autoSpaceDE w:val="0"/>
                              <w:autoSpaceDN/>
                              <w:bidi w:val="0"/>
                              <w:adjustRightInd/>
                              <w:snapToGrid/>
                              <w:spacing w:line="360" w:lineRule="auto"/>
                              <w:ind w:left="0" w:leftChars="0" w:firstLine="0" w:firstLineChars="0"/>
                              <w:jc w:val="center"/>
                              <w:textAlignment w:val="auto"/>
                              <w:rPr>
                                <w:rFonts w:hint="eastAsia"/>
                                <w:color w:val="000000" w:themeColor="text1"/>
                                <w:sz w:val="24"/>
                                <w:szCs w:val="22"/>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color w:val="000000" w:themeColor="text1"/>
                                <w:sz w:val="24"/>
                                <w:szCs w:val="22"/>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图例</w:t>
                            </w:r>
                          </w:p>
                          <w:p>
                            <w:pPr>
                              <w:pStyle w:val="3"/>
                              <w:keepNext w:val="0"/>
                              <w:keepLines w:val="0"/>
                              <w:pageBreakBefore w:val="0"/>
                              <w:widowControl w:val="0"/>
                              <w:kinsoku/>
                              <w:wordWrap/>
                              <w:overflowPunct/>
                              <w:topLinePunct/>
                              <w:autoSpaceDE w:val="0"/>
                              <w:autoSpaceDN/>
                              <w:bidi w:val="0"/>
                              <w:adjustRightInd/>
                              <w:snapToGrid/>
                              <w:spacing w:after="0" w:line="360" w:lineRule="auto"/>
                              <w:ind w:left="0" w:leftChars="0" w:firstLine="0" w:firstLineChars="0"/>
                              <w:jc w:val="left"/>
                              <w:textAlignment w:val="auto"/>
                              <w:rPr>
                                <w:rFonts w:hint="eastAsia"/>
                                <w:color w:val="000000" w:themeColor="text1"/>
                                <w:sz w:val="24"/>
                                <w:szCs w:val="22"/>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color w:val="000000" w:themeColor="text1"/>
                                <w:sz w:val="24"/>
                                <w:szCs w:val="22"/>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场区</w:t>
                            </w:r>
                          </w:p>
                          <w:p>
                            <w:pPr>
                              <w:keepNext w:val="0"/>
                              <w:keepLines w:val="0"/>
                              <w:pageBreakBefore w:val="0"/>
                              <w:widowControl w:val="0"/>
                              <w:kinsoku/>
                              <w:wordWrap/>
                              <w:overflowPunct/>
                              <w:topLinePunct/>
                              <w:autoSpaceDE w:val="0"/>
                              <w:autoSpaceDN/>
                              <w:bidi w:val="0"/>
                              <w:adjustRightInd/>
                              <w:snapToGrid/>
                              <w:spacing w:line="360" w:lineRule="auto"/>
                              <w:ind w:left="0" w:leftChars="0" w:firstLine="0" w:firstLineChars="0"/>
                              <w:jc w:val="left"/>
                              <w:textAlignment w:val="auto"/>
                              <w:rPr>
                                <w:rFonts w:hint="eastAsia"/>
                                <w:color w:val="000000" w:themeColor="text1"/>
                                <w:sz w:val="24"/>
                                <w:szCs w:val="22"/>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color w:val="000000" w:themeColor="text1"/>
                                <w:sz w:val="24"/>
                                <w:szCs w:val="22"/>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环境空气评价范围</w:t>
                            </w:r>
                          </w:p>
                          <w:p>
                            <w:pPr>
                              <w:pStyle w:val="3"/>
                              <w:keepNext w:val="0"/>
                              <w:keepLines w:val="0"/>
                              <w:pageBreakBefore w:val="0"/>
                              <w:widowControl w:val="0"/>
                              <w:kinsoku/>
                              <w:wordWrap/>
                              <w:overflowPunct/>
                              <w:topLinePunct/>
                              <w:autoSpaceDE w:val="0"/>
                              <w:autoSpaceDN/>
                              <w:bidi w:val="0"/>
                              <w:adjustRightInd/>
                              <w:snapToGrid/>
                              <w:spacing w:after="0" w:line="360" w:lineRule="auto"/>
                              <w:ind w:left="0" w:leftChars="0" w:firstLine="0" w:firstLineChars="0"/>
                              <w:jc w:val="left"/>
                              <w:textAlignment w:val="auto"/>
                              <w:rPr>
                                <w:rFonts w:hint="eastAsia"/>
                                <w:color w:val="000000" w:themeColor="text1"/>
                                <w:sz w:val="24"/>
                                <w:szCs w:val="22"/>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color w:val="000000" w:themeColor="text1"/>
                                <w:sz w:val="24"/>
                                <w:szCs w:val="22"/>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大气环境保护目标</w:t>
                            </w:r>
                          </w:p>
                          <w:p>
                            <w:pPr>
                              <w:pStyle w:val="3"/>
                              <w:keepNext w:val="0"/>
                              <w:keepLines w:val="0"/>
                              <w:pageBreakBefore w:val="0"/>
                              <w:widowControl w:val="0"/>
                              <w:kinsoku/>
                              <w:wordWrap/>
                              <w:overflowPunct/>
                              <w:topLinePunct/>
                              <w:autoSpaceDE w:val="0"/>
                              <w:autoSpaceDN/>
                              <w:bidi w:val="0"/>
                              <w:adjustRightInd/>
                              <w:snapToGrid/>
                              <w:spacing w:after="0" w:line="360" w:lineRule="auto"/>
                              <w:ind w:left="0" w:leftChars="0" w:firstLine="0" w:firstLineChars="0"/>
                              <w:jc w:val="left"/>
                              <w:textAlignment w:val="auto"/>
                              <w:rPr>
                                <w:rFonts w:hint="eastAsia"/>
                                <w:color w:val="000000" w:themeColor="text1"/>
                                <w:sz w:val="24"/>
                                <w:szCs w:val="22"/>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color w:val="000000" w:themeColor="text1"/>
                                <w:sz w:val="24"/>
                                <w:szCs w:val="22"/>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地下水环境评价范围</w:t>
                            </w:r>
                          </w:p>
                          <w:p>
                            <w:pPr>
                              <w:pStyle w:val="3"/>
                              <w:keepNext w:val="0"/>
                              <w:keepLines w:val="0"/>
                              <w:pageBreakBefore w:val="0"/>
                              <w:widowControl w:val="0"/>
                              <w:kinsoku/>
                              <w:wordWrap/>
                              <w:overflowPunct/>
                              <w:topLinePunct/>
                              <w:autoSpaceDE w:val="0"/>
                              <w:autoSpaceDN/>
                              <w:bidi w:val="0"/>
                              <w:adjustRightInd/>
                              <w:snapToGrid/>
                              <w:spacing w:after="0" w:line="360" w:lineRule="auto"/>
                              <w:ind w:left="0" w:leftChars="0" w:firstLine="0" w:firstLineChars="0"/>
                              <w:jc w:val="left"/>
                              <w:textAlignment w:val="auto"/>
                              <w:rPr>
                                <w:rFonts w:hint="eastAsia"/>
                                <w:color w:val="000000" w:themeColor="text1"/>
                                <w:sz w:val="24"/>
                                <w:szCs w:val="22"/>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color w:val="000000" w:themeColor="text1"/>
                                <w:sz w:val="24"/>
                                <w:szCs w:val="22"/>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地下水环境保护目标</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1.95pt;margin-top:13.5pt;height:160.15pt;width:152.5pt;z-index:251688960;v-text-anchor:middle;mso-width-relative:page;mso-height-relative:page;" fillcolor="#D7E4BD [1302]" filled="t" stroked="t" coordsize="21600,21600" o:gfxdata="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">
                <v:fill on="t" focussize="0,0"/>
                <v:stroke weight="2pt" color="#000000 [3213]" joinstyle="round"/>
                <v:imagedata o:title=""/>
                <o:lock v:ext="edit" aspectratio="f"/>
                <v:textbox>
                  <w:txbxContent>
                    <w:p>
                      <w:pPr>
                        <w:keepNext w:val="0"/>
                        <w:keepLines w:val="0"/>
                        <w:pageBreakBefore w:val="0"/>
                        <w:widowControl w:val="0"/>
                        <w:kinsoku/>
                        <w:wordWrap/>
                        <w:overflowPunct/>
                        <w:topLinePunct/>
                        <w:autoSpaceDE w:val="0"/>
                        <w:autoSpaceDN/>
                        <w:bidi w:val="0"/>
                        <w:adjustRightInd/>
                        <w:snapToGrid/>
                        <w:spacing w:line="360" w:lineRule="auto"/>
                        <w:ind w:left="0" w:leftChars="0" w:firstLine="0" w:firstLineChars="0"/>
                        <w:jc w:val="center"/>
                        <w:textAlignment w:val="auto"/>
                        <w:rPr>
                          <w:rFonts w:hint="eastAsia"/>
                          <w:color w:val="000000" w:themeColor="text1"/>
                          <w:sz w:val="24"/>
                          <w:szCs w:val="22"/>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color w:val="000000" w:themeColor="text1"/>
                          <w:sz w:val="24"/>
                          <w:szCs w:val="22"/>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图例</w:t>
                      </w:r>
                    </w:p>
                    <w:p>
                      <w:pPr>
                        <w:pStyle w:val="3"/>
                        <w:keepNext w:val="0"/>
                        <w:keepLines w:val="0"/>
                        <w:pageBreakBefore w:val="0"/>
                        <w:widowControl w:val="0"/>
                        <w:kinsoku/>
                        <w:wordWrap/>
                        <w:overflowPunct/>
                        <w:topLinePunct/>
                        <w:autoSpaceDE w:val="0"/>
                        <w:autoSpaceDN/>
                        <w:bidi w:val="0"/>
                        <w:adjustRightInd/>
                        <w:snapToGrid/>
                        <w:spacing w:after="0" w:line="360" w:lineRule="auto"/>
                        <w:ind w:left="0" w:leftChars="0" w:firstLine="0" w:firstLineChars="0"/>
                        <w:jc w:val="left"/>
                        <w:textAlignment w:val="auto"/>
                        <w:rPr>
                          <w:rFonts w:hint="eastAsia"/>
                          <w:color w:val="000000" w:themeColor="text1"/>
                          <w:sz w:val="24"/>
                          <w:szCs w:val="22"/>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color w:val="000000" w:themeColor="text1"/>
                          <w:sz w:val="24"/>
                          <w:szCs w:val="22"/>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场区</w:t>
                      </w:r>
                    </w:p>
                    <w:p>
                      <w:pPr>
                        <w:keepNext w:val="0"/>
                        <w:keepLines w:val="0"/>
                        <w:pageBreakBefore w:val="0"/>
                        <w:widowControl w:val="0"/>
                        <w:kinsoku/>
                        <w:wordWrap/>
                        <w:overflowPunct/>
                        <w:topLinePunct/>
                        <w:autoSpaceDE w:val="0"/>
                        <w:autoSpaceDN/>
                        <w:bidi w:val="0"/>
                        <w:adjustRightInd/>
                        <w:snapToGrid/>
                        <w:spacing w:line="360" w:lineRule="auto"/>
                        <w:ind w:left="0" w:leftChars="0" w:firstLine="0" w:firstLineChars="0"/>
                        <w:jc w:val="left"/>
                        <w:textAlignment w:val="auto"/>
                        <w:rPr>
                          <w:rFonts w:hint="eastAsia"/>
                          <w:color w:val="000000" w:themeColor="text1"/>
                          <w:sz w:val="24"/>
                          <w:szCs w:val="22"/>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color w:val="000000" w:themeColor="text1"/>
                          <w:sz w:val="24"/>
                          <w:szCs w:val="22"/>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环境空气评价范围</w:t>
                      </w:r>
                    </w:p>
                    <w:p>
                      <w:pPr>
                        <w:pStyle w:val="3"/>
                        <w:keepNext w:val="0"/>
                        <w:keepLines w:val="0"/>
                        <w:pageBreakBefore w:val="0"/>
                        <w:widowControl w:val="0"/>
                        <w:kinsoku/>
                        <w:wordWrap/>
                        <w:overflowPunct/>
                        <w:topLinePunct/>
                        <w:autoSpaceDE w:val="0"/>
                        <w:autoSpaceDN/>
                        <w:bidi w:val="0"/>
                        <w:adjustRightInd/>
                        <w:snapToGrid/>
                        <w:spacing w:after="0" w:line="360" w:lineRule="auto"/>
                        <w:ind w:left="0" w:leftChars="0" w:firstLine="0" w:firstLineChars="0"/>
                        <w:jc w:val="left"/>
                        <w:textAlignment w:val="auto"/>
                        <w:rPr>
                          <w:rFonts w:hint="eastAsia"/>
                          <w:color w:val="000000" w:themeColor="text1"/>
                          <w:sz w:val="24"/>
                          <w:szCs w:val="22"/>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color w:val="000000" w:themeColor="text1"/>
                          <w:sz w:val="24"/>
                          <w:szCs w:val="22"/>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大气环境保护目标</w:t>
                      </w:r>
                    </w:p>
                    <w:p>
                      <w:pPr>
                        <w:pStyle w:val="3"/>
                        <w:keepNext w:val="0"/>
                        <w:keepLines w:val="0"/>
                        <w:pageBreakBefore w:val="0"/>
                        <w:widowControl w:val="0"/>
                        <w:kinsoku/>
                        <w:wordWrap/>
                        <w:overflowPunct/>
                        <w:topLinePunct/>
                        <w:autoSpaceDE w:val="0"/>
                        <w:autoSpaceDN/>
                        <w:bidi w:val="0"/>
                        <w:adjustRightInd/>
                        <w:snapToGrid/>
                        <w:spacing w:after="0" w:line="360" w:lineRule="auto"/>
                        <w:ind w:left="0" w:leftChars="0" w:firstLine="0" w:firstLineChars="0"/>
                        <w:jc w:val="left"/>
                        <w:textAlignment w:val="auto"/>
                        <w:rPr>
                          <w:rFonts w:hint="eastAsia"/>
                          <w:color w:val="000000" w:themeColor="text1"/>
                          <w:sz w:val="24"/>
                          <w:szCs w:val="22"/>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color w:val="000000" w:themeColor="text1"/>
                          <w:sz w:val="24"/>
                          <w:szCs w:val="22"/>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地下水环境评价范围</w:t>
                      </w:r>
                    </w:p>
                    <w:p>
                      <w:pPr>
                        <w:pStyle w:val="3"/>
                        <w:keepNext w:val="0"/>
                        <w:keepLines w:val="0"/>
                        <w:pageBreakBefore w:val="0"/>
                        <w:widowControl w:val="0"/>
                        <w:kinsoku/>
                        <w:wordWrap/>
                        <w:overflowPunct/>
                        <w:topLinePunct/>
                        <w:autoSpaceDE w:val="0"/>
                        <w:autoSpaceDN/>
                        <w:bidi w:val="0"/>
                        <w:adjustRightInd/>
                        <w:snapToGrid/>
                        <w:spacing w:after="0" w:line="360" w:lineRule="auto"/>
                        <w:ind w:left="0" w:leftChars="0" w:firstLine="0" w:firstLineChars="0"/>
                        <w:jc w:val="left"/>
                        <w:textAlignment w:val="auto"/>
                        <w:rPr>
                          <w:rFonts w:hint="eastAsia"/>
                          <w:color w:val="000000" w:themeColor="text1"/>
                          <w:sz w:val="24"/>
                          <w:szCs w:val="22"/>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color w:val="000000" w:themeColor="text1"/>
                          <w:sz w:val="24"/>
                          <w:szCs w:val="22"/>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地下水环境保护目标</w:t>
                      </w:r>
                    </w:p>
                  </w:txbxContent>
                </v:textbox>
              </v:rect>
            </w:pict>
          </mc:Fallback>
        </mc:AlternateContent>
      </w:r>
    </w:p>
    <w:p>
      <w:pPr>
        <w:pStyle w:val="22"/>
        <w:rPr>
          <w:rFonts w:hint="default" w:ascii="Arial" w:hAnsi="Arial" w:eastAsia="宋体" w:cs="Arial"/>
          <w:color w:val="auto"/>
        </w:rPr>
      </w:pPr>
      <w:r>
        <w:rPr>
          <w:rFonts w:hint="default" w:ascii="Arial" w:hAnsi="Arial" w:eastAsia="宋体" w:cs="Arial"/>
          <w:color w:val="auto"/>
          <w:sz w:val="32"/>
        </w:rPr>
        <mc:AlternateContent>
          <mc:Choice Requires="wps">
            <w:drawing>
              <wp:anchor distT="0" distB="0" distL="114300" distR="114300" simplePos="0" relativeHeight="251699200" behindDoc="0" locked="0" layoutInCell="1" allowOverlap="1">
                <wp:simplePos x="0" y="0"/>
                <wp:positionH relativeFrom="column">
                  <wp:posOffset>2813685</wp:posOffset>
                </wp:positionH>
                <wp:positionV relativeFrom="paragraph">
                  <wp:posOffset>8255</wp:posOffset>
                </wp:positionV>
                <wp:extent cx="107950" cy="107950"/>
                <wp:effectExtent l="12700" t="12700" r="12700" b="12700"/>
                <wp:wrapNone/>
                <wp:docPr id="31" name="椭圆 31"/>
                <wp:cNvGraphicFramePr/>
                <a:graphic xmlns:a="http://schemas.openxmlformats.org/drawingml/2006/main">
                  <a:graphicData uri="http://schemas.microsoft.com/office/word/2010/wordprocessingShape">
                    <wps:wsp>
                      <wps:cNvSpPr/>
                      <wps:spPr>
                        <a:xfrm>
                          <a:off x="0" y="0"/>
                          <a:ext cx="107950" cy="107950"/>
                        </a:xfrm>
                        <a:prstGeom prst="ellipse">
                          <a:avLst/>
                        </a:prstGeom>
                        <a:solidFill>
                          <a:schemeClr val="tx1"/>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221.55pt;margin-top:0.65pt;height:8.5pt;width:8.5pt;z-index:251699200;v-text-anchor:middle;mso-width-relative:page;mso-height-relative:page;" fillcolor="#000000 [3213]" filled="t" stroked="t" coordsize="21600,21600" o:gfxdata="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Bq2KhT1gAAAAgBAAAPAAAAAAAAAAEAIAAAACIAAABkcnMvZG93bnJldi54bWxQSwECFAAUAAAA&#10;CACHTuJAb878XmICAADhBAAADgAAAAAAAAABACAAAAAlAQAAZHJzL2Uyb0RvYy54bWxQSwUGAAAA&#10;AAYABgBZAQAA+QUAAAAA&#10;">
                <v:fill on="t" focussize="0,0"/>
                <v:stroke weight="2pt" color="#FF0000 [3204]" joinstyle="round"/>
                <v:imagedata o:title=""/>
                <o:lock v:ext="edit" aspectratio="f"/>
              </v:shape>
            </w:pict>
          </mc:Fallback>
        </mc:AlternateContent>
      </w:r>
    </w:p>
    <w:p>
      <w:pPr>
        <w:pStyle w:val="22"/>
        <w:rPr>
          <w:rFonts w:hint="default" w:ascii="Arial" w:hAnsi="Arial" w:eastAsia="宋体" w:cs="Arial"/>
          <w:color w:val="auto"/>
        </w:rPr>
      </w:pPr>
      <w:r>
        <w:rPr>
          <w:rFonts w:hint="default" w:ascii="Arial" w:hAnsi="Arial" w:eastAsia="宋体" w:cs="Arial"/>
          <w:color w:val="auto"/>
          <w:sz w:val="32"/>
        </w:rPr>
        <mc:AlternateContent>
          <mc:Choice Requires="wps">
            <w:drawing>
              <wp:anchor distT="0" distB="0" distL="114300" distR="114300" simplePos="0" relativeHeight="251706368" behindDoc="0" locked="0" layoutInCell="1" allowOverlap="1">
                <wp:simplePos x="0" y="0"/>
                <wp:positionH relativeFrom="column">
                  <wp:posOffset>3041650</wp:posOffset>
                </wp:positionH>
                <wp:positionV relativeFrom="paragraph">
                  <wp:posOffset>261620</wp:posOffset>
                </wp:positionV>
                <wp:extent cx="884555" cy="325755"/>
                <wp:effectExtent l="0" t="0" r="0" b="0"/>
                <wp:wrapNone/>
                <wp:docPr id="38" name="矩形 38"/>
                <wp:cNvGraphicFramePr/>
                <a:graphic xmlns:a="http://schemas.openxmlformats.org/drawingml/2006/main">
                  <a:graphicData uri="http://schemas.microsoft.com/office/word/2010/wordprocessingShape">
                    <wps:wsp>
                      <wps:cNvSpPr/>
                      <wps:spPr>
                        <a:xfrm>
                          <a:off x="0" y="0"/>
                          <a:ext cx="884555" cy="32575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pPr>
                              <w:keepNext w:val="0"/>
                              <w:keepLines w:val="0"/>
                              <w:pageBreakBefore w:val="0"/>
                              <w:widowControl w:val="0"/>
                              <w:kinsoku/>
                              <w:wordWrap/>
                              <w:overflowPunct/>
                              <w:topLinePunct/>
                              <w:autoSpaceDE w:val="0"/>
                              <w:autoSpaceDN/>
                              <w:bidi w:val="0"/>
                              <w:adjustRightInd/>
                              <w:snapToGrid/>
                              <w:spacing w:line="240" w:lineRule="auto"/>
                              <w:ind w:firstLine="0" w:firstLineChars="0"/>
                              <w:jc w:val="center"/>
                              <w:textAlignment w:val="auto"/>
                              <w:rPr>
                                <w:b/>
                                <w:bCs/>
                                <w:color w:val="FF0000"/>
                                <w:sz w:val="24"/>
                                <w:szCs w:val="24"/>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pPr>
                            <w:r>
                              <w:rPr>
                                <w:rFonts w:hint="eastAsia" w:cs="Times New Roman"/>
                                <w:b/>
                                <w:bCs/>
                                <w:color w:val="FF0000"/>
                                <w:sz w:val="24"/>
                                <w:szCs w:val="24"/>
                                <w:highlight w:val="none"/>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t>新永四社</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39.5pt;margin-top:20.6pt;height:25.65pt;width:69.65pt;z-index:251706368;v-text-anchor:middle;mso-width-relative:page;mso-height-relative:page;" filled="f" stroked="f" coordsize="21600,21600" o:gfxdata="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At4bt/ZAAAACQEA&#10;AA8AAAAAAAAAAQAgAAAAIgAAAGRycy9kb3ducmV2LnhtbFBLAQIUABQAAAAIAIdO4kDEU9mdUgIA&#10;AJcEAAAOAAAAAAAAAAEAIAAAACgBAABkcnMvZTJvRG9jLnhtbFBLBQYAAAAABgAGAFkBAADsBQAA&#10;AAA=&#10;">
                <v:fill on="f" focussize="0,0"/>
                <v:stroke on="f" weight="2pt"/>
                <v:imagedata o:title=""/>
                <o:lock v:ext="edit" aspectratio="f"/>
                <v:textbox>
                  <w:txbxContent>
                    <w:p>
                      <w:pPr>
                        <w:keepNext w:val="0"/>
                        <w:keepLines w:val="0"/>
                        <w:pageBreakBefore w:val="0"/>
                        <w:widowControl w:val="0"/>
                        <w:kinsoku/>
                        <w:wordWrap/>
                        <w:overflowPunct/>
                        <w:topLinePunct/>
                        <w:autoSpaceDE w:val="0"/>
                        <w:autoSpaceDN/>
                        <w:bidi w:val="0"/>
                        <w:adjustRightInd/>
                        <w:snapToGrid/>
                        <w:spacing w:line="240" w:lineRule="auto"/>
                        <w:ind w:firstLine="0" w:firstLineChars="0"/>
                        <w:jc w:val="center"/>
                        <w:textAlignment w:val="auto"/>
                        <w:rPr>
                          <w:b/>
                          <w:bCs/>
                          <w:color w:val="FF0000"/>
                          <w:sz w:val="24"/>
                          <w:szCs w:val="24"/>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pPr>
                      <w:r>
                        <w:rPr>
                          <w:rFonts w:hint="eastAsia" w:cs="Times New Roman"/>
                          <w:b/>
                          <w:bCs/>
                          <w:color w:val="FF0000"/>
                          <w:sz w:val="24"/>
                          <w:szCs w:val="24"/>
                          <w:highlight w:val="none"/>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t>新永四社</w:t>
                      </w:r>
                    </w:p>
                  </w:txbxContent>
                </v:textbox>
              </v:rect>
            </w:pict>
          </mc:Fallback>
        </mc:AlternateContent>
      </w:r>
      <w:r>
        <w:rPr>
          <w:rFonts w:hint="default" w:ascii="Arial" w:hAnsi="Arial" w:eastAsia="宋体" w:cs="Arial"/>
          <w:color w:val="auto"/>
          <w:sz w:val="32"/>
        </w:rPr>
        <mc:AlternateContent>
          <mc:Choice Requires="wps">
            <w:drawing>
              <wp:anchor distT="0" distB="0" distL="114300" distR="114300" simplePos="0" relativeHeight="251698176" behindDoc="0" locked="0" layoutInCell="1" allowOverlap="1">
                <wp:simplePos x="0" y="0"/>
                <wp:positionH relativeFrom="column">
                  <wp:posOffset>3415665</wp:posOffset>
                </wp:positionH>
                <wp:positionV relativeFrom="paragraph">
                  <wp:posOffset>211455</wp:posOffset>
                </wp:positionV>
                <wp:extent cx="107950" cy="107950"/>
                <wp:effectExtent l="12700" t="12700" r="12700" b="12700"/>
                <wp:wrapNone/>
                <wp:docPr id="30" name="椭圆 30"/>
                <wp:cNvGraphicFramePr/>
                <a:graphic xmlns:a="http://schemas.openxmlformats.org/drawingml/2006/main">
                  <a:graphicData uri="http://schemas.microsoft.com/office/word/2010/wordprocessingShape">
                    <wps:wsp>
                      <wps:cNvSpPr/>
                      <wps:spPr>
                        <a:xfrm>
                          <a:off x="0" y="0"/>
                          <a:ext cx="107950" cy="107950"/>
                        </a:xfrm>
                        <a:prstGeom prst="ellipse">
                          <a:avLst/>
                        </a:prstGeom>
                        <a:solidFill>
                          <a:schemeClr val="tx1"/>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268.95pt;margin-top:16.65pt;height:8.5pt;width:8.5pt;z-index:251698176;v-text-anchor:middle;mso-width-relative:page;mso-height-relative:page;" fillcolor="#000000 [3213]" filled="t" stroked="t" coordsize="21600,21600" o:gfxdata="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DOSio32QAAAAkBAAAPAAAAAAAAAAEAIAAAACIAAABkcnMvZG93bnJldi54bWxQSwECFAAU&#10;AAAACACHTuJAb55MF2ICAADhBAAADgAAAAAAAAABACAAAAAoAQAAZHJzL2Uyb0RvYy54bWxQSwUG&#10;AAAAAAYABgBZAQAA/AUAAAAA&#10;">
                <v:fill on="t" focussize="0,0"/>
                <v:stroke weight="2pt" color="#FF0000 [3204]" joinstyle="round"/>
                <v:imagedata o:title=""/>
                <o:lock v:ext="edit" aspectratio="f"/>
              </v:shape>
            </w:pict>
          </mc:Fallback>
        </mc:AlternateContent>
      </w:r>
      <w:r>
        <w:rPr>
          <w:rFonts w:hint="default" w:ascii="Arial" w:hAnsi="Arial" w:eastAsia="宋体" w:cs="Arial"/>
          <w:color w:val="auto"/>
          <w:sz w:val="24"/>
          <w:highlight w:val="none"/>
        </w:rPr>
        <mc:AlternateContent>
          <mc:Choice Requires="wps">
            <w:drawing>
              <wp:anchor distT="0" distB="0" distL="114300" distR="114300" simplePos="0" relativeHeight="251689984" behindDoc="0" locked="0" layoutInCell="1" allowOverlap="1">
                <wp:simplePos x="0" y="0"/>
                <wp:positionH relativeFrom="column">
                  <wp:posOffset>643890</wp:posOffset>
                </wp:positionH>
                <wp:positionV relativeFrom="paragraph">
                  <wp:posOffset>10160</wp:posOffset>
                </wp:positionV>
                <wp:extent cx="288290" cy="107950"/>
                <wp:effectExtent l="12700" t="12700" r="22860" b="12700"/>
                <wp:wrapNone/>
                <wp:docPr id="15" name="矩形 15"/>
                <wp:cNvGraphicFramePr/>
                <a:graphic xmlns:a="http://schemas.openxmlformats.org/drawingml/2006/main">
                  <a:graphicData uri="http://schemas.microsoft.com/office/word/2010/wordprocessingShape">
                    <wps:wsp>
                      <wps:cNvSpPr/>
                      <wps:spPr>
                        <a:xfrm>
                          <a:off x="0" y="0"/>
                          <a:ext cx="288290" cy="107950"/>
                        </a:xfrm>
                        <a:prstGeom prst="rect">
                          <a:avLst/>
                        </a:prstGeom>
                        <a:solidFill>
                          <a:schemeClr val="accent4">
                            <a:lumMod val="60000"/>
                            <a:lumOff val="40000"/>
                          </a:schemeClr>
                        </a:solid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50.7pt;margin-top:0.8pt;height:8.5pt;width:22.7pt;z-index:251689984;v-text-anchor:middle;mso-width-relative:page;mso-height-relative:page;" fillcolor="#B3A2C7 [1943]" filled="t" stroked="t" coordsize="21600,21600" o:gfxdata="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">
                <v:fill on="t" focussize="0,0"/>
                <v:stroke weight="2pt" color="#C00000 [3204]" joinstyle="round"/>
                <v:imagedata o:title=""/>
                <o:lock v:ext="edit" aspectratio="f"/>
              </v:rect>
            </w:pict>
          </mc:Fallback>
        </mc:AlternateContent>
      </w:r>
    </w:p>
    <w:p>
      <w:pPr>
        <w:pStyle w:val="22"/>
        <w:rPr>
          <w:rFonts w:hint="default" w:ascii="Arial" w:hAnsi="Arial" w:eastAsia="宋体" w:cs="Arial"/>
          <w:color w:val="auto"/>
        </w:rPr>
      </w:pPr>
      <w:r>
        <w:rPr>
          <w:rFonts w:hint="default" w:ascii="Arial" w:hAnsi="Arial" w:eastAsia="宋体" w:cs="Arial"/>
          <w:color w:val="auto"/>
          <w:sz w:val="32"/>
        </w:rPr>
        <mc:AlternateContent>
          <mc:Choice Requires="wps">
            <w:drawing>
              <wp:anchor distT="0" distB="0" distL="114300" distR="114300" simplePos="0" relativeHeight="251704320" behindDoc="0" locked="0" layoutInCell="1" allowOverlap="1">
                <wp:simplePos x="0" y="0"/>
                <wp:positionH relativeFrom="column">
                  <wp:posOffset>5093970</wp:posOffset>
                </wp:positionH>
                <wp:positionV relativeFrom="paragraph">
                  <wp:posOffset>240030</wp:posOffset>
                </wp:positionV>
                <wp:extent cx="884555" cy="325755"/>
                <wp:effectExtent l="0" t="0" r="0" b="0"/>
                <wp:wrapNone/>
                <wp:docPr id="36" name="矩形 36"/>
                <wp:cNvGraphicFramePr/>
                <a:graphic xmlns:a="http://schemas.openxmlformats.org/drawingml/2006/main">
                  <a:graphicData uri="http://schemas.microsoft.com/office/word/2010/wordprocessingShape">
                    <wps:wsp>
                      <wps:cNvSpPr/>
                      <wps:spPr>
                        <a:xfrm>
                          <a:off x="0" y="0"/>
                          <a:ext cx="884555" cy="32575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pPr>
                              <w:keepNext w:val="0"/>
                              <w:keepLines w:val="0"/>
                              <w:pageBreakBefore w:val="0"/>
                              <w:widowControl w:val="0"/>
                              <w:kinsoku/>
                              <w:wordWrap/>
                              <w:overflowPunct/>
                              <w:topLinePunct/>
                              <w:autoSpaceDE w:val="0"/>
                              <w:autoSpaceDN/>
                              <w:bidi w:val="0"/>
                              <w:adjustRightInd/>
                              <w:snapToGrid/>
                              <w:spacing w:line="240" w:lineRule="auto"/>
                              <w:ind w:firstLine="0" w:firstLineChars="0"/>
                              <w:jc w:val="center"/>
                              <w:textAlignment w:val="auto"/>
                              <w:rPr>
                                <w:b/>
                                <w:bCs/>
                                <w:color w:val="FF0000"/>
                                <w:sz w:val="24"/>
                                <w:szCs w:val="24"/>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pPr>
                            <w:r>
                              <w:rPr>
                                <w:rFonts w:hint="eastAsia" w:cs="Times New Roman"/>
                                <w:b/>
                                <w:bCs/>
                                <w:color w:val="FF0000"/>
                                <w:sz w:val="24"/>
                                <w:szCs w:val="24"/>
                                <w:highlight w:val="none"/>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t>二合永村</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401.1pt;margin-top:18.9pt;height:25.65pt;width:69.65pt;z-index:251704320;v-text-anchor:middle;mso-width-relative:page;mso-height-relative:page;" filled="f" stroked="f" coordsize="21600,21600" o:gfxdata="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GlTteHYAAAACQEA&#10;AA8AAAAAAAAAAQAgAAAAIgAAAGRycy9kb3ducmV2LnhtbFBLAQIUABQAAAAIAIdO4kBsVtBgUwIA&#10;AJcEAAAOAAAAAAAAAAEAIAAAACcBAABkcnMvZTJvRG9jLnhtbFBLBQYAAAAABgAGAFkBAADsBQAA&#10;AAA=&#10;">
                <v:fill on="f" focussize="0,0"/>
                <v:stroke on="f" weight="2pt"/>
                <v:imagedata o:title=""/>
                <o:lock v:ext="edit" aspectratio="f"/>
                <v:textbox>
                  <w:txbxContent>
                    <w:p>
                      <w:pPr>
                        <w:keepNext w:val="0"/>
                        <w:keepLines w:val="0"/>
                        <w:pageBreakBefore w:val="0"/>
                        <w:widowControl w:val="0"/>
                        <w:kinsoku/>
                        <w:wordWrap/>
                        <w:overflowPunct/>
                        <w:topLinePunct/>
                        <w:autoSpaceDE w:val="0"/>
                        <w:autoSpaceDN/>
                        <w:bidi w:val="0"/>
                        <w:adjustRightInd/>
                        <w:snapToGrid/>
                        <w:spacing w:line="240" w:lineRule="auto"/>
                        <w:ind w:firstLine="0" w:firstLineChars="0"/>
                        <w:jc w:val="center"/>
                        <w:textAlignment w:val="auto"/>
                        <w:rPr>
                          <w:b/>
                          <w:bCs/>
                          <w:color w:val="FF0000"/>
                          <w:sz w:val="24"/>
                          <w:szCs w:val="24"/>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pPr>
                      <w:r>
                        <w:rPr>
                          <w:rFonts w:hint="eastAsia" w:cs="Times New Roman"/>
                          <w:b/>
                          <w:bCs/>
                          <w:color w:val="FF0000"/>
                          <w:sz w:val="24"/>
                          <w:szCs w:val="24"/>
                          <w:highlight w:val="none"/>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t>二合永村</w:t>
                      </w:r>
                    </w:p>
                  </w:txbxContent>
                </v:textbox>
              </v:rect>
            </w:pict>
          </mc:Fallback>
        </mc:AlternateContent>
      </w:r>
      <w:r>
        <w:rPr>
          <w:rFonts w:hint="default" w:ascii="Arial" w:hAnsi="Arial" w:eastAsia="宋体" w:cs="Arial"/>
          <w:color w:val="auto"/>
          <w:sz w:val="24"/>
          <w:highlight w:val="none"/>
        </w:rPr>
        <mc:AlternateContent>
          <mc:Choice Requires="wps">
            <w:drawing>
              <wp:anchor distT="0" distB="0" distL="114300" distR="114300" simplePos="0" relativeHeight="251691008" behindDoc="0" locked="0" layoutInCell="1" allowOverlap="1">
                <wp:simplePos x="0" y="0"/>
                <wp:positionH relativeFrom="column">
                  <wp:posOffset>1560195</wp:posOffset>
                </wp:positionH>
                <wp:positionV relativeFrom="paragraph">
                  <wp:posOffset>13335</wp:posOffset>
                </wp:positionV>
                <wp:extent cx="288290" cy="107950"/>
                <wp:effectExtent l="12700" t="12700" r="22860" b="12700"/>
                <wp:wrapNone/>
                <wp:docPr id="16" name="矩形 16"/>
                <wp:cNvGraphicFramePr/>
                <a:graphic xmlns:a="http://schemas.openxmlformats.org/drawingml/2006/main">
                  <a:graphicData uri="http://schemas.microsoft.com/office/word/2010/wordprocessingShape">
                    <wps:wsp>
                      <wps:cNvSpPr/>
                      <wps:spPr>
                        <a:xfrm>
                          <a:off x="0" y="0"/>
                          <a:ext cx="288290" cy="10795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22.85pt;margin-top:1.05pt;height:8.5pt;width:22.7pt;z-index:251691008;v-text-anchor:middle;mso-width-relative:page;mso-height-relative:page;" filled="f" stroked="t" coordsize="21600,21600" o:gfxdata="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NF4&#10;DxLXAAAACAEAAA8AAAAAAAAAAQAgAAAAIgAAAGRycy9kb3ducmV2LnhtbFBLAQIUABQAAAAIAIdO&#10;4kDT+U2hXQIAALUEAAAOAAAAAAAAAAEAIAAAACYBAABkcnMvZTJvRG9jLnhtbFBLBQYAAAAABgAG&#10;AFkBAAD1BQAAAAA=&#10;">
                <v:fill on="f" focussize="0,0"/>
                <v:stroke weight="2pt" color="#FF0000 [3204]" joinstyle="round"/>
                <v:imagedata o:title=""/>
                <o:lock v:ext="edit" aspectratio="f"/>
              </v:rect>
            </w:pict>
          </mc:Fallback>
        </mc:AlternateContent>
      </w:r>
    </w:p>
    <w:p>
      <w:pPr>
        <w:pStyle w:val="22"/>
        <w:rPr>
          <w:rFonts w:hint="default" w:ascii="Arial" w:hAnsi="Arial" w:eastAsia="宋体" w:cs="Arial"/>
          <w:color w:val="auto"/>
        </w:rPr>
      </w:pPr>
      <w:r>
        <w:rPr>
          <w:rFonts w:hint="default" w:ascii="Arial" w:hAnsi="Arial" w:eastAsia="宋体" w:cs="Arial"/>
          <w:color w:val="auto"/>
          <w:sz w:val="32"/>
        </w:rPr>
        <mc:AlternateContent>
          <mc:Choice Requires="wps">
            <w:drawing>
              <wp:anchor distT="0" distB="0" distL="114300" distR="114300" simplePos="0" relativeHeight="251711488" behindDoc="0" locked="0" layoutInCell="1" allowOverlap="1">
                <wp:simplePos x="0" y="0"/>
                <wp:positionH relativeFrom="column">
                  <wp:posOffset>1529080</wp:posOffset>
                </wp:positionH>
                <wp:positionV relativeFrom="paragraph">
                  <wp:posOffset>48260</wp:posOffset>
                </wp:positionV>
                <wp:extent cx="107950" cy="107950"/>
                <wp:effectExtent l="12700" t="12700" r="12700" b="12700"/>
                <wp:wrapNone/>
                <wp:docPr id="46" name="椭圆 46"/>
                <wp:cNvGraphicFramePr/>
                <a:graphic xmlns:a="http://schemas.openxmlformats.org/drawingml/2006/main">
                  <a:graphicData uri="http://schemas.microsoft.com/office/word/2010/wordprocessingShape">
                    <wps:wsp>
                      <wps:cNvSpPr/>
                      <wps:spPr>
                        <a:xfrm>
                          <a:off x="0" y="0"/>
                          <a:ext cx="107950" cy="107950"/>
                        </a:xfrm>
                        <a:prstGeom prst="ellipse">
                          <a:avLst/>
                        </a:prstGeom>
                        <a:solidFill>
                          <a:schemeClr val="tx1"/>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120.4pt;margin-top:3.8pt;height:8.5pt;width:8.5pt;z-index:251711488;v-text-anchor:middle;mso-width-relative:page;mso-height-relative:page;" fillcolor="#000000 [3213]" filled="t" stroked="t" coordsize="21600,21600" o:gfxdata="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LNbBu/XAAAACAEAAA8AAAAAAAAAAQAgAAAAIgAAAGRycy9kb3ducmV2LnhtbFBLAQIUABQA&#10;AAAIAIdO4kCeaWB4YwIAAOEEAAAOAAAAAAAAAAEAIAAAACYBAABkcnMvZTJvRG9jLnhtbFBLBQYA&#10;AAAABgAGAFkBAAD7BQAAAAA=&#10;">
                <v:fill on="t" focussize="0,0"/>
                <v:stroke weight="2pt" color="#FF0000 [3204]" joinstyle="round"/>
                <v:imagedata o:title=""/>
                <o:lock v:ext="edit" aspectratio="f"/>
              </v:shape>
            </w:pict>
          </mc:Fallback>
        </mc:AlternateContent>
      </w:r>
      <w:r>
        <w:rPr>
          <w:rFonts w:hint="default" w:ascii="Arial" w:hAnsi="Arial" w:eastAsia="宋体" w:cs="Arial"/>
          <w:color w:val="auto"/>
          <w:sz w:val="32"/>
        </w:rPr>
        <mc:AlternateContent>
          <mc:Choice Requires="wps">
            <w:drawing>
              <wp:anchor distT="0" distB="0" distL="114300" distR="114300" simplePos="0" relativeHeight="251697152" behindDoc="0" locked="0" layoutInCell="1" allowOverlap="1">
                <wp:simplePos x="0" y="0"/>
                <wp:positionH relativeFrom="column">
                  <wp:posOffset>5502275</wp:posOffset>
                </wp:positionH>
                <wp:positionV relativeFrom="paragraph">
                  <wp:posOffset>198120</wp:posOffset>
                </wp:positionV>
                <wp:extent cx="107950" cy="107950"/>
                <wp:effectExtent l="12700" t="12700" r="12700" b="12700"/>
                <wp:wrapNone/>
                <wp:docPr id="27" name="椭圆 27"/>
                <wp:cNvGraphicFramePr/>
                <a:graphic xmlns:a="http://schemas.openxmlformats.org/drawingml/2006/main">
                  <a:graphicData uri="http://schemas.microsoft.com/office/word/2010/wordprocessingShape">
                    <wps:wsp>
                      <wps:cNvSpPr/>
                      <wps:spPr>
                        <a:xfrm>
                          <a:off x="0" y="0"/>
                          <a:ext cx="107950" cy="107950"/>
                        </a:xfrm>
                        <a:prstGeom prst="ellipse">
                          <a:avLst/>
                        </a:prstGeom>
                        <a:solidFill>
                          <a:schemeClr val="tx1"/>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433.25pt;margin-top:15.6pt;height:8.5pt;width:8.5pt;z-index:251697152;v-text-anchor:middle;mso-width-relative:page;mso-height-relative:page;" fillcolor="#000000 [3213]" filled="t" stroked="t" coordsize="21600,21600" o:gfxdata="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CjqpxV2QAAAAkBAAAPAAAAAAAAAAEAIAAAACIAAABkcnMvZG93bnJldi54bWxQSwECFAAU&#10;AAAACACHTuJAfphlMGICAADhBAAADgAAAAAAAAABACAAAAAoAQAAZHJzL2Uyb0RvYy54bWxQSwUG&#10;AAAAAAYABgBZAQAA/AUAAAAA&#10;">
                <v:fill on="t" focussize="0,0"/>
                <v:stroke weight="2pt" color="#FF0000 [3204]" joinstyle="round"/>
                <v:imagedata o:title=""/>
                <o:lock v:ext="edit" aspectratio="f"/>
              </v:shape>
            </w:pict>
          </mc:Fallback>
        </mc:AlternateContent>
      </w:r>
    </w:p>
    <w:p>
      <w:pPr>
        <w:pStyle w:val="22"/>
        <w:rPr>
          <w:rFonts w:hint="default" w:ascii="Arial" w:hAnsi="Arial" w:eastAsia="宋体" w:cs="Arial"/>
          <w:color w:val="auto"/>
        </w:rPr>
      </w:pPr>
      <w:r>
        <w:rPr>
          <w:rFonts w:hint="default" w:ascii="Arial" w:hAnsi="Arial" w:eastAsia="宋体" w:cs="Arial"/>
          <w:color w:val="auto"/>
          <w:sz w:val="24"/>
          <w:highlight w:val="none"/>
        </w:rPr>
        <mc:AlternateContent>
          <mc:Choice Requires="wps">
            <w:drawing>
              <wp:anchor distT="0" distB="0" distL="114300" distR="114300" simplePos="0" relativeHeight="251692032" behindDoc="0" locked="0" layoutInCell="1" allowOverlap="1">
                <wp:simplePos x="0" y="0"/>
                <wp:positionH relativeFrom="column">
                  <wp:posOffset>1686560</wp:posOffset>
                </wp:positionH>
                <wp:positionV relativeFrom="paragraph">
                  <wp:posOffset>69215</wp:posOffset>
                </wp:positionV>
                <wp:extent cx="288290" cy="107950"/>
                <wp:effectExtent l="12700" t="12700" r="22860" b="12700"/>
                <wp:wrapNone/>
                <wp:docPr id="18" name="矩形 18"/>
                <wp:cNvGraphicFramePr/>
                <a:graphic xmlns:a="http://schemas.openxmlformats.org/drawingml/2006/main">
                  <a:graphicData uri="http://schemas.microsoft.com/office/word/2010/wordprocessingShape">
                    <wps:wsp>
                      <wps:cNvSpPr/>
                      <wps:spPr>
                        <a:xfrm>
                          <a:off x="0" y="0"/>
                          <a:ext cx="288290" cy="107950"/>
                        </a:xfrm>
                        <a:prstGeom prst="rect">
                          <a:avLst/>
                        </a:prstGeom>
                        <a:no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32.8pt;margin-top:5.45pt;height:8.5pt;width:22.7pt;z-index:251692032;v-text-anchor:middle;mso-width-relative:page;mso-height-relative:page;" filled="f" stroked="t" coordsize="21600,21600" o:gfxdata="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A4b0&#10;pNYAAAAJAQAADwAAAAAAAAABACAAAAAiAAAAZHJzL2Rvd25yZXYueG1sUEsBAhQAFAAAAAgAh07i&#10;QC4tx6JdAgAAtQQAAA4AAAAAAAAAAQAgAAAAJQEAAGRycy9lMm9Eb2MueG1sUEsFBgAAAAAGAAYA&#10;WQEAAPQFAAAAAA==&#10;">
                <v:fill on="f" focussize="0,0"/>
                <v:stroke weight="2pt" color="#00B0F0 [3204]" joinstyle="round"/>
                <v:imagedata o:title=""/>
                <o:lock v:ext="edit" aspectratio="f"/>
              </v:rect>
            </w:pict>
          </mc:Fallback>
        </mc:AlternateContent>
      </w:r>
    </w:p>
    <w:p>
      <w:pPr>
        <w:pStyle w:val="22"/>
        <w:rPr>
          <w:rFonts w:hint="default" w:ascii="Arial" w:hAnsi="Arial" w:eastAsia="宋体" w:cs="Arial"/>
          <w:color w:val="auto"/>
        </w:rPr>
      </w:pPr>
      <w:r>
        <w:rPr>
          <w:rFonts w:hint="default" w:ascii="Arial" w:hAnsi="Arial" w:eastAsia="宋体" w:cs="Arial"/>
          <w:color w:val="auto"/>
          <w:sz w:val="32"/>
        </w:rPr>
        <mc:AlternateContent>
          <mc:Choice Requires="wps">
            <w:drawing>
              <wp:anchor distT="0" distB="0" distL="114300" distR="114300" simplePos="0" relativeHeight="251712512" behindDoc="0" locked="0" layoutInCell="1" allowOverlap="1">
                <wp:simplePos x="0" y="0"/>
                <wp:positionH relativeFrom="column">
                  <wp:posOffset>1654175</wp:posOffset>
                </wp:positionH>
                <wp:positionV relativeFrom="paragraph">
                  <wp:posOffset>35560</wp:posOffset>
                </wp:positionV>
                <wp:extent cx="107950" cy="179705"/>
                <wp:effectExtent l="12700" t="12700" r="12700" b="17145"/>
                <wp:wrapNone/>
                <wp:docPr id="47" name="菱形 47"/>
                <wp:cNvGraphicFramePr/>
                <a:graphic xmlns:a="http://schemas.openxmlformats.org/drawingml/2006/main">
                  <a:graphicData uri="http://schemas.microsoft.com/office/word/2010/wordprocessingShape">
                    <wps:wsp>
                      <wps:cNvSpPr/>
                      <wps:spPr>
                        <a:xfrm>
                          <a:off x="3806825" y="3043555"/>
                          <a:ext cx="107950" cy="179705"/>
                        </a:xfrm>
                        <a:prstGeom prst="diamond">
                          <a:avLst/>
                        </a:prstGeom>
                        <a:solidFill>
                          <a:schemeClr val="tx1"/>
                        </a:solid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4" type="#_x0000_t4" style="position:absolute;left:0pt;margin-left:130.25pt;margin-top:2.8pt;height:14.15pt;width:8.5pt;z-index:251712512;v-text-anchor:middle;mso-width-relative:page;mso-height-relative:page;" fillcolor="#000000 [3213]" filled="t" stroked="t" coordsize="21600,21600" o:gfxdata="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">
                <v:fill on="t" focussize="0,0"/>
                <v:stroke weight="2pt" color="#00B0F0 [3204]" joinstyle="round"/>
                <v:imagedata o:title=""/>
                <o:lock v:ext="edit" aspectratio="f"/>
              </v:shape>
            </w:pict>
          </mc:Fallback>
        </mc:AlternateContent>
      </w:r>
    </w:p>
    <w:p>
      <w:pPr>
        <w:bidi w:val="0"/>
        <w:jc w:val="center"/>
        <w:rPr>
          <w:rFonts w:hint="default" w:ascii="Arial" w:hAnsi="Arial" w:eastAsia="宋体" w:cs="Arial"/>
          <w:b/>
          <w:bCs/>
          <w:color w:val="auto"/>
          <w:sz w:val="28"/>
          <w:szCs w:val="24"/>
        </w:rPr>
      </w:pPr>
      <w:r>
        <w:rPr>
          <w:rFonts w:hint="default" w:ascii="Arial" w:hAnsi="Arial" w:eastAsia="宋体" w:cs="Arial"/>
          <w:b/>
          <w:bCs/>
          <w:color w:val="auto"/>
          <w:sz w:val="24"/>
          <w:szCs w:val="22"/>
        </w:rPr>
        <w:t>图2.6-1    项目环境</w:t>
      </w:r>
      <w:r>
        <w:rPr>
          <w:rFonts w:hint="default" w:ascii="Arial" w:hAnsi="Arial" w:eastAsia="宋体" w:cs="Arial"/>
          <w:b/>
          <w:bCs/>
          <w:color w:val="auto"/>
          <w:sz w:val="24"/>
          <w:szCs w:val="22"/>
          <w:lang w:eastAsia="zh-CN"/>
        </w:rPr>
        <w:t>空气和地下水环境</w:t>
      </w:r>
      <w:r>
        <w:rPr>
          <w:rFonts w:hint="default" w:ascii="Arial" w:hAnsi="Arial" w:eastAsia="宋体" w:cs="Arial"/>
          <w:b/>
          <w:bCs/>
          <w:color w:val="auto"/>
          <w:sz w:val="24"/>
          <w:szCs w:val="22"/>
        </w:rPr>
        <w:t>保护目标及评价范围图</w:t>
      </w:r>
    </w:p>
    <w:p>
      <w:pPr>
        <w:bidi w:val="0"/>
        <w:ind w:left="0" w:leftChars="0" w:firstLine="0" w:firstLineChars="0"/>
        <w:rPr>
          <w:rFonts w:hint="default" w:ascii="Arial" w:hAnsi="Arial" w:eastAsia="宋体" w:cs="Arial"/>
          <w:color w:val="auto"/>
          <w:lang w:eastAsia="zh-CN"/>
        </w:rPr>
      </w:pPr>
      <w:r>
        <w:rPr>
          <w:rFonts w:hint="default" w:ascii="Arial" w:hAnsi="Arial" w:eastAsia="宋体" w:cs="Arial"/>
          <w:color w:val="auto"/>
          <w:lang w:eastAsia="zh-CN"/>
        </w:rPr>
        <w:drawing>
          <wp:anchor distT="0" distB="0" distL="114300" distR="114300" simplePos="0" relativeHeight="251721728" behindDoc="1" locked="0" layoutInCell="1" allowOverlap="1">
            <wp:simplePos x="0" y="0"/>
            <wp:positionH relativeFrom="column">
              <wp:posOffset>975360</wp:posOffset>
            </wp:positionH>
            <wp:positionV relativeFrom="paragraph">
              <wp:posOffset>-47625</wp:posOffset>
            </wp:positionV>
            <wp:extent cx="6939280" cy="5255895"/>
            <wp:effectExtent l="0" t="0" r="13970" b="1905"/>
            <wp:wrapNone/>
            <wp:docPr id="77" name="图片 77" descr="屏幕截图22333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77" descr="屏幕截图22333212"/>
                    <pic:cNvPicPr>
                      <a:picLocks noChangeAspect="1"/>
                    </pic:cNvPicPr>
                  </pic:nvPicPr>
                  <pic:blipFill>
                    <a:blip r:embed="rId17"/>
                    <a:stretch>
                      <a:fillRect/>
                    </a:stretch>
                  </pic:blipFill>
                  <pic:spPr>
                    <a:xfrm>
                      <a:off x="0" y="0"/>
                      <a:ext cx="6939280" cy="5255895"/>
                    </a:xfrm>
                    <a:prstGeom prst="rect">
                      <a:avLst/>
                    </a:prstGeom>
                  </pic:spPr>
                </pic:pic>
              </a:graphicData>
            </a:graphic>
          </wp:anchor>
        </w:drawing>
      </w:r>
      <w:r>
        <w:rPr>
          <w:rFonts w:hint="default" w:ascii="Arial" w:hAnsi="Arial" w:eastAsia="宋体" w:cs="Arial"/>
          <w:color w:val="auto"/>
        </w:rPr>
        <w:drawing>
          <wp:anchor distT="0" distB="0" distL="114300" distR="114300" simplePos="0" relativeHeight="251722752" behindDoc="0" locked="0" layoutInCell="1" allowOverlap="1">
            <wp:simplePos x="0" y="0"/>
            <wp:positionH relativeFrom="column">
              <wp:posOffset>226060</wp:posOffset>
            </wp:positionH>
            <wp:positionV relativeFrom="paragraph">
              <wp:posOffset>-43180</wp:posOffset>
            </wp:positionV>
            <wp:extent cx="1619885" cy="1517015"/>
            <wp:effectExtent l="0" t="0" r="18415" b="6985"/>
            <wp:wrapNone/>
            <wp:docPr id="79" name="图片 11" descr="五原风玫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11" descr="五原风玫瑰"/>
                    <pic:cNvPicPr>
                      <a:picLocks noChangeAspect="1"/>
                    </pic:cNvPicPr>
                  </pic:nvPicPr>
                  <pic:blipFill>
                    <a:blip r:embed="rId16"/>
                    <a:stretch>
                      <a:fillRect/>
                    </a:stretch>
                  </pic:blipFill>
                  <pic:spPr>
                    <a:xfrm>
                      <a:off x="0" y="0"/>
                      <a:ext cx="1619885" cy="1517015"/>
                    </a:xfrm>
                    <a:prstGeom prst="rect">
                      <a:avLst/>
                    </a:prstGeom>
                    <a:noFill/>
                    <a:ln>
                      <a:noFill/>
                    </a:ln>
                  </pic:spPr>
                </pic:pic>
              </a:graphicData>
            </a:graphic>
          </wp:anchor>
        </w:drawing>
      </w:r>
    </w:p>
    <w:p>
      <w:pPr>
        <w:bidi w:val="0"/>
        <w:rPr>
          <w:rFonts w:hint="default" w:ascii="Arial" w:hAnsi="Arial" w:eastAsia="宋体" w:cs="Arial"/>
          <w:color w:val="auto"/>
        </w:rPr>
      </w:pPr>
      <w:r>
        <w:rPr>
          <w:rFonts w:hint="default" w:ascii="Arial" w:hAnsi="Arial" w:eastAsia="宋体" w:cs="Arial"/>
          <w:color w:val="auto"/>
          <w:sz w:val="24"/>
        </w:rPr>
        <mc:AlternateContent>
          <mc:Choice Requires="wps">
            <w:drawing>
              <wp:anchor distT="0" distB="0" distL="114300" distR="114300" simplePos="0" relativeHeight="251719680" behindDoc="0" locked="0" layoutInCell="1" allowOverlap="1">
                <wp:simplePos x="0" y="0"/>
                <wp:positionH relativeFrom="column">
                  <wp:posOffset>1569720</wp:posOffset>
                </wp:positionH>
                <wp:positionV relativeFrom="paragraph">
                  <wp:posOffset>302260</wp:posOffset>
                </wp:positionV>
                <wp:extent cx="5389245" cy="3733165"/>
                <wp:effectExtent l="12700" t="5715" r="27305" b="13970"/>
                <wp:wrapNone/>
                <wp:docPr id="84" name="任意多边形 84"/>
                <wp:cNvGraphicFramePr/>
                <a:graphic xmlns:a="http://schemas.openxmlformats.org/drawingml/2006/main">
                  <a:graphicData uri="http://schemas.microsoft.com/office/word/2010/wordprocessingShape">
                    <wps:wsp>
                      <wps:cNvSpPr/>
                      <wps:spPr>
                        <a:xfrm>
                          <a:off x="0" y="0"/>
                          <a:ext cx="5389245" cy="3733165"/>
                        </a:xfrm>
                        <a:custGeom>
                          <a:avLst/>
                          <a:gdLst>
                            <a:gd name="connisteX0" fmla="*/ 3519170 w 3519170"/>
                            <a:gd name="connsiteY0" fmla="*/ 0 h 2751455"/>
                            <a:gd name="connisteX1" fmla="*/ 2449830 w 3519170"/>
                            <a:gd name="connsiteY1" fmla="*/ 2529205 h 2751455"/>
                            <a:gd name="connisteX2" fmla="*/ 1741170 w 3519170"/>
                            <a:gd name="connsiteY2" fmla="*/ 2751455 h 2751455"/>
                            <a:gd name="connisteX3" fmla="*/ 1619250 w 3519170"/>
                            <a:gd name="connsiteY3" fmla="*/ 2032000 h 2751455"/>
                            <a:gd name="connisteX4" fmla="*/ 1301750 w 3519170"/>
                            <a:gd name="connsiteY4" fmla="*/ 2026285 h 2751455"/>
                            <a:gd name="connisteX5" fmla="*/ 1275080 w 3519170"/>
                            <a:gd name="connsiteY5" fmla="*/ 1952625 h 2751455"/>
                            <a:gd name="connisteX6" fmla="*/ 772795 w 3519170"/>
                            <a:gd name="connsiteY6" fmla="*/ 2026285 h 2751455"/>
                            <a:gd name="connisteX7" fmla="*/ 777875 w 3519170"/>
                            <a:gd name="connsiteY7" fmla="*/ 1793875 h 2751455"/>
                            <a:gd name="connisteX8" fmla="*/ 550545 w 3519170"/>
                            <a:gd name="connsiteY8" fmla="*/ 1798955 h 2751455"/>
                            <a:gd name="connisteX9" fmla="*/ 338455 w 3519170"/>
                            <a:gd name="connsiteY9" fmla="*/ 1740535 h 2751455"/>
                            <a:gd name="connisteX10" fmla="*/ 201295 w 3519170"/>
                            <a:gd name="connsiteY10" fmla="*/ 1661160 h 2751455"/>
                            <a:gd name="connisteX11" fmla="*/ 106045 w 3519170"/>
                            <a:gd name="connsiteY11" fmla="*/ 1565910 h 2751455"/>
                            <a:gd name="connisteX12" fmla="*/ 42545 w 3519170"/>
                            <a:gd name="connsiteY12" fmla="*/ 1470660 h 2751455"/>
                            <a:gd name="connisteX13" fmla="*/ 0 w 3519170"/>
                            <a:gd name="connsiteY13" fmla="*/ 1195705 h 2751455"/>
                            <a:gd name="connisteX14" fmla="*/ 719455 w 3519170"/>
                            <a:gd name="connsiteY14" fmla="*/ 957580 h 2751455"/>
                            <a:gd name="connisteX15" fmla="*/ 1254125 w 3519170"/>
                            <a:gd name="connsiteY15" fmla="*/ 359410 h 2751455"/>
                            <a:gd name="connisteX16" fmla="*/ 1439545 w 3519170"/>
                            <a:gd name="connsiteY16" fmla="*/ 460375 h 2751455"/>
                            <a:gd name="connisteX17" fmla="*/ 1444625 w 3519170"/>
                            <a:gd name="connsiteY17" fmla="*/ 454660 h 2751455"/>
                          </a:gdLst>
                          <a:ahLst/>
                          <a:cxnLst>
                            <a:cxn ang="0">
                              <a:pos x="connisteX0" y="connsiteY0"/>
                            </a:cxn>
                            <a:cxn ang="0">
                              <a:pos x="connisteX1" y="connsiteY1"/>
                            </a:cxn>
                            <a:cxn ang="0">
                              <a:pos x="connisteX2" y="connsiteY2"/>
                            </a:cxn>
                            <a:cxn ang="0">
                              <a:pos x="connisteX3" y="connsiteY3"/>
                            </a:cxn>
                            <a:cxn ang="0">
                              <a:pos x="connisteX4" y="connsiteY4"/>
                            </a:cxn>
                            <a:cxn ang="0">
                              <a:pos x="connisteX5" y="connsiteY5"/>
                            </a:cxn>
                            <a:cxn ang="0">
                              <a:pos x="connisteX6" y="connsiteY6"/>
                            </a:cxn>
                            <a:cxn ang="0">
                              <a:pos x="connisteX7" y="connsiteY7"/>
                            </a:cxn>
                            <a:cxn ang="0">
                              <a:pos x="connisteX8" y="connsiteY8"/>
                            </a:cxn>
                            <a:cxn ang="0">
                              <a:pos x="connisteX9" y="connsiteY9"/>
                            </a:cxn>
                            <a:cxn ang="0">
                              <a:pos x="connisteX10" y="connsiteY10"/>
                            </a:cxn>
                            <a:cxn ang="0">
                              <a:pos x="connisteX11" y="connsiteY11"/>
                            </a:cxn>
                            <a:cxn ang="0">
                              <a:pos x="connisteX12" y="connsiteY12"/>
                            </a:cxn>
                            <a:cxn ang="0">
                              <a:pos x="connisteX13" y="connsiteY13"/>
                            </a:cxn>
                            <a:cxn ang="0">
                              <a:pos x="connisteX14" y="connsiteY14"/>
                            </a:cxn>
                            <a:cxn ang="0">
                              <a:pos x="connisteX15" y="connsiteY15"/>
                            </a:cxn>
                            <a:cxn ang="0">
                              <a:pos x="connisteX16" y="connsiteY16"/>
                            </a:cxn>
                            <a:cxn ang="0">
                              <a:pos x="connisteX17" y="connsiteY17"/>
                            </a:cxn>
                          </a:cxnLst>
                          <a:rect l="l" t="t" r="r" b="b"/>
                          <a:pathLst>
                            <a:path w="3519170" h="2751455">
                              <a:moveTo>
                                <a:pt x="3519170" y="0"/>
                              </a:moveTo>
                              <a:lnTo>
                                <a:pt x="2449830" y="2529205"/>
                              </a:lnTo>
                              <a:lnTo>
                                <a:pt x="1741170" y="2751455"/>
                              </a:lnTo>
                              <a:lnTo>
                                <a:pt x="1619250" y="2032000"/>
                              </a:lnTo>
                              <a:lnTo>
                                <a:pt x="1301750" y="2026285"/>
                              </a:lnTo>
                              <a:lnTo>
                                <a:pt x="1275080" y="1952625"/>
                              </a:lnTo>
                              <a:lnTo>
                                <a:pt x="772795" y="2026285"/>
                              </a:lnTo>
                              <a:lnTo>
                                <a:pt x="777875" y="1793875"/>
                              </a:lnTo>
                              <a:lnTo>
                                <a:pt x="550545" y="1798955"/>
                              </a:lnTo>
                              <a:lnTo>
                                <a:pt x="338455" y="1740535"/>
                              </a:lnTo>
                              <a:lnTo>
                                <a:pt x="201295" y="1661160"/>
                              </a:lnTo>
                              <a:lnTo>
                                <a:pt x="106045" y="1565910"/>
                              </a:lnTo>
                              <a:lnTo>
                                <a:pt x="42545" y="1470660"/>
                              </a:lnTo>
                              <a:lnTo>
                                <a:pt x="0" y="1195705"/>
                              </a:lnTo>
                              <a:lnTo>
                                <a:pt x="719455" y="957580"/>
                              </a:lnTo>
                              <a:lnTo>
                                <a:pt x="1254125" y="359410"/>
                              </a:lnTo>
                              <a:lnTo>
                                <a:pt x="1439545" y="460375"/>
                              </a:lnTo>
                              <a:lnTo>
                                <a:pt x="1444625" y="454660"/>
                              </a:lnTo>
                            </a:path>
                          </a:pathLst>
                        </a:custGeom>
                        <a:noFill/>
                        <a:ln>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txbx>
                        <w:txbxContent>
                          <w:p>
                            <w:pPr>
                              <w:jc w:val="center"/>
                            </w:pPr>
                          </w:p>
                        </w:txbxContent>
                      </wps:txbx>
                      <wps:bodyPr/>
                    </wps:wsp>
                  </a:graphicData>
                </a:graphic>
              </wp:anchor>
            </w:drawing>
          </mc:Choice>
          <mc:Fallback>
            <w:pict>
              <v:shape id="_x0000_s1026" o:spid="_x0000_s1026" o:spt="100" style="position:absolute;left:0pt;margin-left:123.6pt;margin-top:23.8pt;height:293.95pt;width:424.35pt;z-index:251719680;mso-width-relative:page;mso-height-relative:page;" filled="f" stroked="t" coordsize="3519170,2751455" o:gfxdata="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" path="m3519170,0l2449830,2529205,1741170,2751455,1619250,2032000,1301750,2026285,1275080,1952625,772795,2026285,777875,1793875,550545,1798955,338455,1740535,201295,1661160,106045,1565910,42545,1470660,0,1195705,719455,957580,1254125,359410,1439545,460375,1444625,454660e">
                <v:path textboxrect="0,0,3519170,2751455" o:connectlocs="5389245,0;3751661,3431616;2666421,3733165;2479713,2757010;1993495,2749256;1952653,2649315;1183455,2749256;1191235,2433923;843102,2440816;518308,2361552;308262,2253856;162396,2124621;65153,1995386;0,1622328;1101770,1299241;1920562,487646;2204514,624635;2212293,616881" o:connectangles="0,0,0,0,0,0,0,0,0,0,0,0,0,0,0,0,0,0"/>
                <v:fill on="f" focussize="0,0"/>
                <v:stroke weight="2pt" color="#FFFF00 [3204]" joinstyle="round"/>
                <v:imagedata o:title=""/>
                <o:lock v:ext="edit" aspectratio="f"/>
                <v:textbox>
                  <w:txbxContent>
                    <w:p>
                      <w:pPr>
                        <w:jc w:val="center"/>
                      </w:pPr>
                    </w:p>
                  </w:txbxContent>
                </v:textbox>
              </v:shape>
            </w:pict>
          </mc:Fallback>
        </mc:AlternateContent>
      </w:r>
    </w:p>
    <w:p>
      <w:pPr>
        <w:bidi w:val="0"/>
        <w:rPr>
          <w:rFonts w:hint="default" w:ascii="Arial" w:hAnsi="Arial" w:eastAsia="宋体" w:cs="Arial"/>
          <w:color w:val="auto"/>
        </w:rPr>
      </w:pPr>
      <w:r>
        <w:rPr>
          <w:rFonts w:hint="default" w:ascii="Arial" w:hAnsi="Arial" w:eastAsia="宋体" w:cs="Arial"/>
          <w:color w:val="auto"/>
          <w:sz w:val="24"/>
        </w:rPr>
        <mc:AlternateContent>
          <mc:Choice Requires="wps">
            <w:drawing>
              <wp:anchor distT="0" distB="0" distL="114300" distR="114300" simplePos="0" relativeHeight="251718656" behindDoc="0" locked="0" layoutInCell="1" allowOverlap="1">
                <wp:simplePos x="0" y="0"/>
                <wp:positionH relativeFrom="column">
                  <wp:posOffset>3756660</wp:posOffset>
                </wp:positionH>
                <wp:positionV relativeFrom="paragraph">
                  <wp:posOffset>1270</wp:posOffset>
                </wp:positionV>
                <wp:extent cx="3209925" cy="619760"/>
                <wp:effectExtent l="3810" t="12700" r="5715" b="15240"/>
                <wp:wrapNone/>
                <wp:docPr id="83" name="任意多边形 83"/>
                <wp:cNvGraphicFramePr/>
                <a:graphic xmlns:a="http://schemas.openxmlformats.org/drawingml/2006/main">
                  <a:graphicData uri="http://schemas.microsoft.com/office/word/2010/wordprocessingShape">
                    <wps:wsp>
                      <wps:cNvSpPr/>
                      <wps:spPr>
                        <a:xfrm>
                          <a:off x="0" y="0"/>
                          <a:ext cx="3209925" cy="619760"/>
                        </a:xfrm>
                        <a:custGeom>
                          <a:avLst/>
                          <a:gdLst>
                            <a:gd name="connisteX0" fmla="*/ 0 w 2070100"/>
                            <a:gd name="connsiteY0" fmla="*/ 450850 h 450850"/>
                            <a:gd name="connisteX1" fmla="*/ 984250 w 2070100"/>
                            <a:gd name="connsiteY1" fmla="*/ 76200 h 450850"/>
                            <a:gd name="connisteX2" fmla="*/ 2070100 w 2070100"/>
                            <a:gd name="connsiteY2" fmla="*/ 0 h 450850"/>
                          </a:gdLst>
                          <a:ahLst/>
                          <a:cxnLst>
                            <a:cxn ang="0">
                              <a:pos x="connisteX0" y="connsiteY0"/>
                            </a:cxn>
                            <a:cxn ang="0">
                              <a:pos x="connisteX1" y="connsiteY1"/>
                            </a:cxn>
                            <a:cxn ang="0">
                              <a:pos x="connisteX2" y="connsiteY2"/>
                            </a:cxn>
                          </a:cxnLst>
                          <a:rect l="l" t="t" r="r" b="b"/>
                          <a:pathLst>
                            <a:path w="2070100" h="450850">
                              <a:moveTo>
                                <a:pt x="0" y="450850"/>
                              </a:moveTo>
                              <a:lnTo>
                                <a:pt x="984250" y="76200"/>
                              </a:lnTo>
                              <a:lnTo>
                                <a:pt x="2070100" y="0"/>
                              </a:lnTo>
                            </a:path>
                          </a:pathLst>
                        </a:custGeom>
                        <a:noFill/>
                        <a:ln>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txbx>
                        <w:txbxContent>
                          <w:p>
                            <w:pPr>
                              <w:jc w:val="center"/>
                            </w:pPr>
                          </w:p>
                        </w:txbxContent>
                      </wps:txbx>
                      <wps:bodyPr/>
                    </wps:wsp>
                  </a:graphicData>
                </a:graphic>
              </wp:anchor>
            </w:drawing>
          </mc:Choice>
          <mc:Fallback>
            <w:pict>
              <v:shape id="_x0000_s1026" o:spid="_x0000_s1026" o:spt="100" style="position:absolute;left:0pt;margin-left:295.8pt;margin-top:0.1pt;height:48.8pt;width:252.75pt;z-index:251718656;mso-width-relative:page;mso-height-relative:page;" filled="f" stroked="t" coordsize="2070100,450850" o:gfxdata="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" path="m0,450850l984250,76200,2070100,0e">
                <v:path textboxrect="0,0,2070100,450850" o:connectlocs="0,619760;1526191,104748;3209925,0" o:connectangles="0,0,0"/>
                <v:fill on="f" focussize="0,0"/>
                <v:stroke weight="2pt" color="#FFFF00 [3204]" joinstyle="round"/>
                <v:imagedata o:title=""/>
                <o:lock v:ext="edit" aspectratio="f"/>
                <v:textbox>
                  <w:txbxContent>
                    <w:p>
                      <w:pPr>
                        <w:jc w:val="center"/>
                      </w:pPr>
                    </w:p>
                  </w:txbxContent>
                </v:textbox>
              </v:shape>
            </w:pict>
          </mc:Fallback>
        </mc:AlternateContent>
      </w:r>
    </w:p>
    <w:p>
      <w:pPr>
        <w:bidi w:val="0"/>
        <w:rPr>
          <w:rFonts w:hint="default" w:ascii="Arial" w:hAnsi="Arial" w:eastAsia="宋体" w:cs="Arial"/>
          <w:color w:val="auto"/>
        </w:rPr>
      </w:pPr>
      <w:r>
        <w:rPr>
          <w:rFonts w:hint="default" w:ascii="Arial" w:hAnsi="Arial" w:eastAsia="宋体" w:cs="Arial"/>
          <w:color w:val="auto"/>
          <w:sz w:val="24"/>
        </w:rPr>
        <mc:AlternateContent>
          <mc:Choice Requires="wps">
            <w:drawing>
              <wp:anchor distT="0" distB="0" distL="114300" distR="114300" simplePos="0" relativeHeight="251723776" behindDoc="0" locked="0" layoutInCell="1" allowOverlap="1">
                <wp:simplePos x="0" y="0"/>
                <wp:positionH relativeFrom="column">
                  <wp:posOffset>4144645</wp:posOffset>
                </wp:positionH>
                <wp:positionV relativeFrom="paragraph">
                  <wp:posOffset>154940</wp:posOffset>
                </wp:positionV>
                <wp:extent cx="2070100" cy="450850"/>
                <wp:effectExtent l="4445" t="12700" r="1905" b="12700"/>
                <wp:wrapNone/>
                <wp:docPr id="80" name="任意多边形 80"/>
                <wp:cNvGraphicFramePr/>
                <a:graphic xmlns:a="http://schemas.openxmlformats.org/drawingml/2006/main">
                  <a:graphicData uri="http://schemas.microsoft.com/office/word/2010/wordprocessingShape">
                    <wps:wsp>
                      <wps:cNvSpPr/>
                      <wps:spPr>
                        <a:xfrm>
                          <a:off x="4945380" y="1965325"/>
                          <a:ext cx="2070100" cy="450850"/>
                        </a:xfrm>
                        <a:custGeom>
                          <a:avLst/>
                          <a:gdLst>
                            <a:gd name="connisteX0" fmla="*/ 0 w 2070100"/>
                            <a:gd name="connsiteY0" fmla="*/ 450850 h 450850"/>
                            <a:gd name="connisteX1" fmla="*/ 984250 w 2070100"/>
                            <a:gd name="connsiteY1" fmla="*/ 76200 h 450850"/>
                            <a:gd name="connisteX2" fmla="*/ 2070100 w 2070100"/>
                            <a:gd name="connsiteY2" fmla="*/ 0 h 450850"/>
                          </a:gdLst>
                          <a:ahLst/>
                          <a:cxnLst>
                            <a:cxn ang="0">
                              <a:pos x="connisteX0" y="connsiteY0"/>
                            </a:cxn>
                            <a:cxn ang="0">
                              <a:pos x="connisteX1" y="connsiteY1"/>
                            </a:cxn>
                            <a:cxn ang="0">
                              <a:pos x="connisteX2" y="connsiteY2"/>
                            </a:cxn>
                          </a:cxnLst>
                          <a:rect l="l" t="t" r="r" b="b"/>
                          <a:pathLst>
                            <a:path w="2070100" h="450850">
                              <a:moveTo>
                                <a:pt x="0" y="450850"/>
                              </a:moveTo>
                              <a:lnTo>
                                <a:pt x="984250" y="76200"/>
                              </a:lnTo>
                              <a:lnTo>
                                <a:pt x="2070100" y="0"/>
                              </a:lnTo>
                            </a:path>
                          </a:pathLst>
                        </a:custGeom>
                        <a:noFill/>
                        <a:ln>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txbx>
                        <w:txbxContent>
                          <w:p>
                            <w:pPr>
                              <w:jc w:val="center"/>
                            </w:pPr>
                          </w:p>
                        </w:txbxContent>
                      </wps:txbx>
                      <wps:bodyPr/>
                    </wps:wsp>
                  </a:graphicData>
                </a:graphic>
              </wp:anchor>
            </w:drawing>
          </mc:Choice>
          <mc:Fallback>
            <w:pict>
              <v:shape id="_x0000_s1026" o:spid="_x0000_s1026" o:spt="100" style="position:absolute;left:0pt;margin-left:326.35pt;margin-top:12.2pt;height:35.5pt;width:163pt;z-index:251723776;mso-width-relative:page;mso-height-relative:page;" filled="f" stroked="t" coordsize="2070100,450850" o:gfxdata="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" path="m0,450850l984250,76200,2070100,0e">
                <v:path textboxrect="0,0,2070100,450850" o:connectlocs="0,450850;984250,76200;2070100,0" o:connectangles="0,0,0"/>
                <v:fill on="f" focussize="0,0"/>
                <v:stroke weight="2pt" color="#00B050 [3204]" joinstyle="round"/>
                <v:imagedata o:title=""/>
                <o:lock v:ext="edit" aspectratio="f"/>
                <v:textbox>
                  <w:txbxContent>
                    <w:p>
                      <w:pPr>
                        <w:jc w:val="center"/>
                      </w:pPr>
                    </w:p>
                  </w:txbxContent>
                </v:textbox>
              </v:shape>
            </w:pict>
          </mc:Fallback>
        </mc:AlternateContent>
      </w:r>
      <w:r>
        <w:rPr>
          <w:rFonts w:hint="default" w:ascii="Arial" w:hAnsi="Arial" w:eastAsia="宋体" w:cs="Arial"/>
          <w:color w:val="auto"/>
          <w:sz w:val="24"/>
        </w:rPr>
        <mc:AlternateContent>
          <mc:Choice Requires="wps">
            <w:drawing>
              <wp:anchor distT="0" distB="0" distL="114300" distR="114300" simplePos="0" relativeHeight="251724800" behindDoc="0" locked="0" layoutInCell="1" allowOverlap="1">
                <wp:simplePos x="0" y="0"/>
                <wp:positionH relativeFrom="column">
                  <wp:posOffset>2701290</wp:posOffset>
                </wp:positionH>
                <wp:positionV relativeFrom="paragraph">
                  <wp:posOffset>146685</wp:posOffset>
                </wp:positionV>
                <wp:extent cx="3519170" cy="2751455"/>
                <wp:effectExtent l="12700" t="5080" r="11430" b="24765"/>
                <wp:wrapNone/>
                <wp:docPr id="82" name="任意多边形 82"/>
                <wp:cNvGraphicFramePr/>
                <a:graphic xmlns:a="http://schemas.openxmlformats.org/drawingml/2006/main">
                  <a:graphicData uri="http://schemas.microsoft.com/office/word/2010/wordprocessingShape">
                    <wps:wsp>
                      <wps:cNvSpPr/>
                      <wps:spPr>
                        <a:xfrm>
                          <a:off x="3493135" y="1961515"/>
                          <a:ext cx="3519170" cy="2751455"/>
                        </a:xfrm>
                        <a:custGeom>
                          <a:avLst/>
                          <a:gdLst>
                            <a:gd name="connisteX0" fmla="*/ 3519170 w 3519170"/>
                            <a:gd name="connsiteY0" fmla="*/ 0 h 2751455"/>
                            <a:gd name="connisteX1" fmla="*/ 2449830 w 3519170"/>
                            <a:gd name="connsiteY1" fmla="*/ 2529205 h 2751455"/>
                            <a:gd name="connisteX2" fmla="*/ 1741170 w 3519170"/>
                            <a:gd name="connsiteY2" fmla="*/ 2751455 h 2751455"/>
                            <a:gd name="connisteX3" fmla="*/ 1619250 w 3519170"/>
                            <a:gd name="connsiteY3" fmla="*/ 2032000 h 2751455"/>
                            <a:gd name="connisteX4" fmla="*/ 1301750 w 3519170"/>
                            <a:gd name="connsiteY4" fmla="*/ 2026285 h 2751455"/>
                            <a:gd name="connisteX5" fmla="*/ 1275080 w 3519170"/>
                            <a:gd name="connsiteY5" fmla="*/ 1952625 h 2751455"/>
                            <a:gd name="connisteX6" fmla="*/ 772795 w 3519170"/>
                            <a:gd name="connsiteY6" fmla="*/ 2026285 h 2751455"/>
                            <a:gd name="connisteX7" fmla="*/ 777875 w 3519170"/>
                            <a:gd name="connsiteY7" fmla="*/ 1793875 h 2751455"/>
                            <a:gd name="connisteX8" fmla="*/ 550545 w 3519170"/>
                            <a:gd name="connsiteY8" fmla="*/ 1798955 h 2751455"/>
                            <a:gd name="connisteX9" fmla="*/ 338455 w 3519170"/>
                            <a:gd name="connsiteY9" fmla="*/ 1740535 h 2751455"/>
                            <a:gd name="connisteX10" fmla="*/ 201295 w 3519170"/>
                            <a:gd name="connsiteY10" fmla="*/ 1661160 h 2751455"/>
                            <a:gd name="connisteX11" fmla="*/ 106045 w 3519170"/>
                            <a:gd name="connsiteY11" fmla="*/ 1565910 h 2751455"/>
                            <a:gd name="connisteX12" fmla="*/ 42545 w 3519170"/>
                            <a:gd name="connsiteY12" fmla="*/ 1470660 h 2751455"/>
                            <a:gd name="connisteX13" fmla="*/ 0 w 3519170"/>
                            <a:gd name="connsiteY13" fmla="*/ 1195705 h 2751455"/>
                            <a:gd name="connisteX14" fmla="*/ 719455 w 3519170"/>
                            <a:gd name="connsiteY14" fmla="*/ 957580 h 2751455"/>
                            <a:gd name="connisteX15" fmla="*/ 1254125 w 3519170"/>
                            <a:gd name="connsiteY15" fmla="*/ 359410 h 2751455"/>
                            <a:gd name="connisteX16" fmla="*/ 1439545 w 3519170"/>
                            <a:gd name="connsiteY16" fmla="*/ 460375 h 2751455"/>
                            <a:gd name="connisteX17" fmla="*/ 1444625 w 3519170"/>
                            <a:gd name="connsiteY17" fmla="*/ 454660 h 2751455"/>
                          </a:gdLst>
                          <a:ahLst/>
                          <a:cxnLst>
                            <a:cxn ang="0">
                              <a:pos x="connisteX0" y="connsiteY0"/>
                            </a:cxn>
                            <a:cxn ang="0">
                              <a:pos x="connisteX1" y="connsiteY1"/>
                            </a:cxn>
                            <a:cxn ang="0">
                              <a:pos x="connisteX2" y="connsiteY2"/>
                            </a:cxn>
                            <a:cxn ang="0">
                              <a:pos x="connisteX3" y="connsiteY3"/>
                            </a:cxn>
                            <a:cxn ang="0">
                              <a:pos x="connisteX4" y="connsiteY4"/>
                            </a:cxn>
                            <a:cxn ang="0">
                              <a:pos x="connisteX5" y="connsiteY5"/>
                            </a:cxn>
                            <a:cxn ang="0">
                              <a:pos x="connisteX6" y="connsiteY6"/>
                            </a:cxn>
                            <a:cxn ang="0">
                              <a:pos x="connisteX7" y="connsiteY7"/>
                            </a:cxn>
                            <a:cxn ang="0">
                              <a:pos x="connisteX8" y="connsiteY8"/>
                            </a:cxn>
                            <a:cxn ang="0">
                              <a:pos x="connisteX9" y="connsiteY9"/>
                            </a:cxn>
                            <a:cxn ang="0">
                              <a:pos x="connisteX10" y="connsiteY10"/>
                            </a:cxn>
                            <a:cxn ang="0">
                              <a:pos x="connisteX11" y="connsiteY11"/>
                            </a:cxn>
                            <a:cxn ang="0">
                              <a:pos x="connisteX12" y="connsiteY12"/>
                            </a:cxn>
                            <a:cxn ang="0">
                              <a:pos x="connisteX13" y="connsiteY13"/>
                            </a:cxn>
                            <a:cxn ang="0">
                              <a:pos x="connisteX14" y="connsiteY14"/>
                            </a:cxn>
                            <a:cxn ang="0">
                              <a:pos x="connisteX15" y="connsiteY15"/>
                            </a:cxn>
                            <a:cxn ang="0">
                              <a:pos x="connisteX16" y="connsiteY16"/>
                            </a:cxn>
                            <a:cxn ang="0">
                              <a:pos x="connisteX17" y="connsiteY17"/>
                            </a:cxn>
                          </a:cxnLst>
                          <a:rect l="l" t="t" r="r" b="b"/>
                          <a:pathLst>
                            <a:path w="3519170" h="2751455">
                              <a:moveTo>
                                <a:pt x="3519170" y="0"/>
                              </a:moveTo>
                              <a:lnTo>
                                <a:pt x="2449830" y="2529205"/>
                              </a:lnTo>
                              <a:lnTo>
                                <a:pt x="1741170" y="2751455"/>
                              </a:lnTo>
                              <a:lnTo>
                                <a:pt x="1619250" y="2032000"/>
                              </a:lnTo>
                              <a:lnTo>
                                <a:pt x="1301750" y="2026285"/>
                              </a:lnTo>
                              <a:lnTo>
                                <a:pt x="1275080" y="1952625"/>
                              </a:lnTo>
                              <a:lnTo>
                                <a:pt x="772795" y="2026285"/>
                              </a:lnTo>
                              <a:lnTo>
                                <a:pt x="777875" y="1793875"/>
                              </a:lnTo>
                              <a:lnTo>
                                <a:pt x="550545" y="1798955"/>
                              </a:lnTo>
                              <a:lnTo>
                                <a:pt x="338455" y="1740535"/>
                              </a:lnTo>
                              <a:lnTo>
                                <a:pt x="201295" y="1661160"/>
                              </a:lnTo>
                              <a:lnTo>
                                <a:pt x="106045" y="1565910"/>
                              </a:lnTo>
                              <a:lnTo>
                                <a:pt x="42545" y="1470660"/>
                              </a:lnTo>
                              <a:lnTo>
                                <a:pt x="0" y="1195705"/>
                              </a:lnTo>
                              <a:lnTo>
                                <a:pt x="719455" y="957580"/>
                              </a:lnTo>
                              <a:lnTo>
                                <a:pt x="1254125" y="359410"/>
                              </a:lnTo>
                              <a:lnTo>
                                <a:pt x="1439545" y="460375"/>
                              </a:lnTo>
                              <a:lnTo>
                                <a:pt x="1444625" y="454660"/>
                              </a:lnTo>
                            </a:path>
                          </a:pathLst>
                        </a:custGeom>
                        <a:noFill/>
                        <a:ln>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txbx>
                        <w:txbxContent>
                          <w:p>
                            <w:pPr>
                              <w:jc w:val="center"/>
                            </w:pPr>
                          </w:p>
                        </w:txbxContent>
                      </wps:txbx>
                      <wps:bodyPr/>
                    </wps:wsp>
                  </a:graphicData>
                </a:graphic>
              </wp:anchor>
            </w:drawing>
          </mc:Choice>
          <mc:Fallback>
            <w:pict>
              <v:shape id="_x0000_s1026" o:spid="_x0000_s1026" o:spt="100" style="position:absolute;left:0pt;margin-left:212.7pt;margin-top:11.55pt;height:216.65pt;width:277.1pt;z-index:251724800;mso-width-relative:page;mso-height-relative:page;" filled="f" stroked="t" coordsize="3519170,2751455" o:gfxdata="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" path="m3519170,0l2449830,2529205,1741170,2751455,1619250,2032000,1301750,2026285,1275080,1952625,772795,2026285,777875,1793875,550545,1798955,338455,1740535,201295,1661160,106045,1565910,42545,1470660,0,1195705,719455,957580,1254125,359410,1439545,460375,1444625,454660e">
                <v:path textboxrect="0,0,3519170,2751455" o:connectlocs="3519170,0;2449830,2529205;1741170,2751455;1619250,2032000;1301750,2026285;1275080,1952625;772795,2026285;777875,1793875;550545,1798955;338455,1740535;201295,1661160;106045,1565910;42545,1470660;0,1195705;719455,957580;1254125,359410;1439545,460375;1444625,454660" o:connectangles="0,0,0,0,0,0,0,0,0,0,0,0,0,0,0,0,0,0"/>
                <v:fill on="f" focussize="0,0"/>
                <v:stroke weight="2pt" color="#00B050 [3204]" joinstyle="round"/>
                <v:imagedata o:title=""/>
                <o:lock v:ext="edit" aspectratio="f"/>
                <v:textbox>
                  <w:txbxContent>
                    <w:p>
                      <w:pPr>
                        <w:jc w:val="center"/>
                      </w:pPr>
                    </w:p>
                  </w:txbxContent>
                </v:textbox>
              </v:shape>
            </w:pict>
          </mc:Fallback>
        </mc:AlternateContent>
      </w:r>
    </w:p>
    <w:p>
      <w:pPr>
        <w:pStyle w:val="3"/>
        <w:ind w:left="0" w:leftChars="0" w:firstLine="0" w:firstLineChars="0"/>
        <w:jc w:val="center"/>
        <w:rPr>
          <w:rFonts w:hint="default" w:ascii="Arial" w:hAnsi="Arial" w:eastAsia="宋体" w:cs="Arial"/>
          <w:b/>
          <w:bCs/>
          <w:color w:val="auto"/>
          <w:highlight w:val="none"/>
        </w:rPr>
      </w:pPr>
    </w:p>
    <w:p>
      <w:pPr>
        <w:pStyle w:val="3"/>
        <w:ind w:left="0" w:leftChars="0" w:firstLine="0" w:firstLineChars="0"/>
        <w:jc w:val="center"/>
        <w:rPr>
          <w:rFonts w:hint="default" w:ascii="Arial" w:hAnsi="Arial" w:eastAsia="宋体" w:cs="Arial"/>
          <w:b/>
          <w:bCs/>
          <w:color w:val="auto"/>
          <w:highlight w:val="none"/>
        </w:rPr>
      </w:pPr>
    </w:p>
    <w:p>
      <w:pPr>
        <w:pStyle w:val="3"/>
        <w:ind w:left="0" w:leftChars="0" w:firstLine="0" w:firstLineChars="0"/>
        <w:jc w:val="center"/>
        <w:rPr>
          <w:rFonts w:hint="default" w:ascii="Arial" w:hAnsi="Arial" w:eastAsia="宋体" w:cs="Arial"/>
          <w:b/>
          <w:bCs/>
          <w:color w:val="auto"/>
          <w:highlight w:val="none"/>
        </w:rPr>
      </w:pPr>
    </w:p>
    <w:p>
      <w:pPr>
        <w:pStyle w:val="3"/>
        <w:ind w:left="0" w:leftChars="0" w:firstLine="0" w:firstLineChars="0"/>
        <w:jc w:val="center"/>
        <w:rPr>
          <w:rFonts w:hint="default" w:ascii="Arial" w:hAnsi="Arial" w:eastAsia="宋体" w:cs="Arial"/>
          <w:b/>
          <w:bCs/>
          <w:color w:val="auto"/>
          <w:highlight w:val="none"/>
        </w:rPr>
      </w:pPr>
    </w:p>
    <w:p>
      <w:pPr>
        <w:pStyle w:val="3"/>
        <w:ind w:left="0" w:leftChars="0" w:firstLine="0" w:firstLineChars="0"/>
        <w:jc w:val="center"/>
        <w:rPr>
          <w:rFonts w:hint="default" w:ascii="Arial" w:hAnsi="Arial" w:eastAsia="宋体" w:cs="Arial"/>
          <w:b/>
          <w:bCs/>
          <w:color w:val="auto"/>
          <w:highlight w:val="none"/>
        </w:rPr>
      </w:pPr>
    </w:p>
    <w:p>
      <w:pPr>
        <w:pStyle w:val="3"/>
        <w:ind w:left="0" w:leftChars="0" w:firstLine="0" w:firstLineChars="0"/>
        <w:jc w:val="center"/>
        <w:rPr>
          <w:rFonts w:hint="default" w:ascii="Arial" w:hAnsi="Arial" w:eastAsia="宋体" w:cs="Arial"/>
          <w:b/>
          <w:bCs/>
          <w:color w:val="auto"/>
          <w:highlight w:val="none"/>
        </w:rPr>
      </w:pPr>
    </w:p>
    <w:p>
      <w:pPr>
        <w:pStyle w:val="3"/>
        <w:ind w:left="0" w:leftChars="0" w:firstLine="0" w:firstLineChars="0"/>
        <w:jc w:val="center"/>
        <w:rPr>
          <w:rFonts w:hint="default" w:ascii="Arial" w:hAnsi="Arial" w:eastAsia="宋体" w:cs="Arial"/>
          <w:b/>
          <w:bCs/>
          <w:color w:val="auto"/>
          <w:highlight w:val="none"/>
        </w:rPr>
      </w:pPr>
      <w:r>
        <w:rPr>
          <w:rFonts w:hint="default" w:ascii="Arial" w:hAnsi="Arial" w:eastAsia="宋体" w:cs="Arial"/>
          <w:color w:val="auto"/>
          <w:sz w:val="24"/>
          <w:highlight w:val="none"/>
        </w:rPr>
        <mc:AlternateContent>
          <mc:Choice Requires="wps">
            <w:drawing>
              <wp:anchor distT="0" distB="0" distL="114300" distR="114300" simplePos="0" relativeHeight="251725824" behindDoc="0" locked="0" layoutInCell="1" allowOverlap="1">
                <wp:simplePos x="0" y="0"/>
                <wp:positionH relativeFrom="column">
                  <wp:posOffset>151765</wp:posOffset>
                </wp:positionH>
                <wp:positionV relativeFrom="paragraph">
                  <wp:posOffset>273685</wp:posOffset>
                </wp:positionV>
                <wp:extent cx="1936750" cy="1403350"/>
                <wp:effectExtent l="12700" t="12700" r="12700" b="12700"/>
                <wp:wrapNone/>
                <wp:docPr id="85" name="矩形 85"/>
                <wp:cNvGraphicFramePr/>
                <a:graphic xmlns:a="http://schemas.openxmlformats.org/drawingml/2006/main">
                  <a:graphicData uri="http://schemas.microsoft.com/office/word/2010/wordprocessingShape">
                    <wps:wsp>
                      <wps:cNvSpPr/>
                      <wps:spPr>
                        <a:xfrm>
                          <a:off x="0" y="0"/>
                          <a:ext cx="1936750" cy="1403350"/>
                        </a:xfrm>
                        <a:prstGeom prst="rect">
                          <a:avLst/>
                        </a:prstGeom>
                        <a:solidFill>
                          <a:schemeClr val="accent3">
                            <a:lumMod val="40000"/>
                            <a:lumOff val="60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pPr>
                              <w:keepNext w:val="0"/>
                              <w:keepLines w:val="0"/>
                              <w:pageBreakBefore w:val="0"/>
                              <w:widowControl w:val="0"/>
                              <w:kinsoku/>
                              <w:wordWrap/>
                              <w:overflowPunct/>
                              <w:topLinePunct/>
                              <w:autoSpaceDE w:val="0"/>
                              <w:autoSpaceDN/>
                              <w:bidi w:val="0"/>
                              <w:adjustRightInd/>
                              <w:snapToGrid/>
                              <w:spacing w:line="360" w:lineRule="auto"/>
                              <w:ind w:left="0" w:leftChars="0" w:firstLine="0" w:firstLineChars="0"/>
                              <w:jc w:val="center"/>
                              <w:textAlignment w:val="auto"/>
                              <w:rPr>
                                <w:rFonts w:hint="eastAsia"/>
                                <w:color w:val="000000" w:themeColor="text1"/>
                                <w:sz w:val="24"/>
                                <w:szCs w:val="22"/>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color w:val="000000" w:themeColor="text1"/>
                                <w:sz w:val="24"/>
                                <w:szCs w:val="22"/>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图例</w:t>
                            </w:r>
                          </w:p>
                          <w:p>
                            <w:pPr>
                              <w:pStyle w:val="3"/>
                              <w:keepNext w:val="0"/>
                              <w:keepLines w:val="0"/>
                              <w:pageBreakBefore w:val="0"/>
                              <w:widowControl w:val="0"/>
                              <w:kinsoku/>
                              <w:wordWrap/>
                              <w:overflowPunct/>
                              <w:topLinePunct/>
                              <w:autoSpaceDE w:val="0"/>
                              <w:autoSpaceDN/>
                              <w:bidi w:val="0"/>
                              <w:adjustRightInd/>
                              <w:snapToGrid/>
                              <w:spacing w:after="0" w:line="360" w:lineRule="auto"/>
                              <w:ind w:left="0" w:leftChars="0" w:firstLine="0" w:firstLineChars="0"/>
                              <w:jc w:val="left"/>
                              <w:textAlignment w:val="auto"/>
                              <w:rPr>
                                <w:rFonts w:hint="eastAsia"/>
                                <w:color w:val="000000" w:themeColor="text1"/>
                                <w:sz w:val="24"/>
                                <w:szCs w:val="22"/>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color w:val="000000" w:themeColor="text1"/>
                                <w:sz w:val="24"/>
                                <w:szCs w:val="22"/>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场区</w:t>
                            </w:r>
                          </w:p>
                          <w:p>
                            <w:pPr>
                              <w:keepNext w:val="0"/>
                              <w:keepLines w:val="0"/>
                              <w:pageBreakBefore w:val="0"/>
                              <w:widowControl w:val="0"/>
                              <w:kinsoku/>
                              <w:wordWrap/>
                              <w:overflowPunct/>
                              <w:topLinePunct/>
                              <w:autoSpaceDE w:val="0"/>
                              <w:autoSpaceDN/>
                              <w:bidi w:val="0"/>
                              <w:adjustRightInd/>
                              <w:snapToGrid/>
                              <w:spacing w:line="360" w:lineRule="auto"/>
                              <w:ind w:left="0" w:leftChars="0" w:firstLine="0" w:firstLineChars="0"/>
                              <w:jc w:val="left"/>
                              <w:textAlignment w:val="auto"/>
                              <w:rPr>
                                <w:rFonts w:hint="eastAsia"/>
                                <w:color w:val="000000" w:themeColor="text1"/>
                                <w:sz w:val="24"/>
                                <w:szCs w:val="22"/>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color w:val="000000" w:themeColor="text1"/>
                                <w:sz w:val="24"/>
                                <w:szCs w:val="22"/>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土壤空气评价范围</w:t>
                            </w:r>
                          </w:p>
                          <w:p>
                            <w:pPr>
                              <w:pStyle w:val="3"/>
                              <w:keepNext w:val="0"/>
                              <w:keepLines w:val="0"/>
                              <w:pageBreakBefore w:val="0"/>
                              <w:widowControl w:val="0"/>
                              <w:kinsoku/>
                              <w:wordWrap/>
                              <w:overflowPunct/>
                              <w:topLinePunct/>
                              <w:autoSpaceDE w:val="0"/>
                              <w:autoSpaceDN/>
                              <w:bidi w:val="0"/>
                              <w:adjustRightInd/>
                              <w:snapToGrid/>
                              <w:spacing w:after="0" w:line="360" w:lineRule="auto"/>
                              <w:ind w:left="0" w:leftChars="0" w:firstLine="0" w:firstLineChars="0"/>
                              <w:jc w:val="left"/>
                              <w:textAlignment w:val="auto"/>
                              <w:rPr>
                                <w:rFonts w:hint="eastAsia"/>
                                <w:color w:val="000000" w:themeColor="text1"/>
                                <w:sz w:val="24"/>
                                <w:szCs w:val="22"/>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color w:val="000000" w:themeColor="text1"/>
                                <w:sz w:val="24"/>
                                <w:szCs w:val="22"/>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声环境评价范围</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1.95pt;margin-top:21.55pt;height:110.5pt;width:152.5pt;z-index:251725824;v-text-anchor:middle;mso-width-relative:page;mso-height-relative:page;" fillcolor="#D7E4BD [1302]" filled="t" stroked="t" coordsize="21600,21600" o:gfxdata="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">
                <v:fill on="t" focussize="0,0"/>
                <v:stroke weight="2pt" color="#000000 [3213]" joinstyle="round"/>
                <v:imagedata o:title=""/>
                <o:lock v:ext="edit" aspectratio="f"/>
                <v:textbox>
                  <w:txbxContent>
                    <w:p>
                      <w:pPr>
                        <w:keepNext w:val="0"/>
                        <w:keepLines w:val="0"/>
                        <w:pageBreakBefore w:val="0"/>
                        <w:widowControl w:val="0"/>
                        <w:kinsoku/>
                        <w:wordWrap/>
                        <w:overflowPunct/>
                        <w:topLinePunct/>
                        <w:autoSpaceDE w:val="0"/>
                        <w:autoSpaceDN/>
                        <w:bidi w:val="0"/>
                        <w:adjustRightInd/>
                        <w:snapToGrid/>
                        <w:spacing w:line="360" w:lineRule="auto"/>
                        <w:ind w:left="0" w:leftChars="0" w:firstLine="0" w:firstLineChars="0"/>
                        <w:jc w:val="center"/>
                        <w:textAlignment w:val="auto"/>
                        <w:rPr>
                          <w:rFonts w:hint="eastAsia"/>
                          <w:color w:val="000000" w:themeColor="text1"/>
                          <w:sz w:val="24"/>
                          <w:szCs w:val="22"/>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color w:val="000000" w:themeColor="text1"/>
                          <w:sz w:val="24"/>
                          <w:szCs w:val="22"/>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图例</w:t>
                      </w:r>
                    </w:p>
                    <w:p>
                      <w:pPr>
                        <w:pStyle w:val="3"/>
                        <w:keepNext w:val="0"/>
                        <w:keepLines w:val="0"/>
                        <w:pageBreakBefore w:val="0"/>
                        <w:widowControl w:val="0"/>
                        <w:kinsoku/>
                        <w:wordWrap/>
                        <w:overflowPunct/>
                        <w:topLinePunct/>
                        <w:autoSpaceDE w:val="0"/>
                        <w:autoSpaceDN/>
                        <w:bidi w:val="0"/>
                        <w:adjustRightInd/>
                        <w:snapToGrid/>
                        <w:spacing w:after="0" w:line="360" w:lineRule="auto"/>
                        <w:ind w:left="0" w:leftChars="0" w:firstLine="0" w:firstLineChars="0"/>
                        <w:jc w:val="left"/>
                        <w:textAlignment w:val="auto"/>
                        <w:rPr>
                          <w:rFonts w:hint="eastAsia"/>
                          <w:color w:val="000000" w:themeColor="text1"/>
                          <w:sz w:val="24"/>
                          <w:szCs w:val="22"/>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color w:val="000000" w:themeColor="text1"/>
                          <w:sz w:val="24"/>
                          <w:szCs w:val="22"/>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场区</w:t>
                      </w:r>
                    </w:p>
                    <w:p>
                      <w:pPr>
                        <w:keepNext w:val="0"/>
                        <w:keepLines w:val="0"/>
                        <w:pageBreakBefore w:val="0"/>
                        <w:widowControl w:val="0"/>
                        <w:kinsoku/>
                        <w:wordWrap/>
                        <w:overflowPunct/>
                        <w:topLinePunct/>
                        <w:autoSpaceDE w:val="0"/>
                        <w:autoSpaceDN/>
                        <w:bidi w:val="0"/>
                        <w:adjustRightInd/>
                        <w:snapToGrid/>
                        <w:spacing w:line="360" w:lineRule="auto"/>
                        <w:ind w:left="0" w:leftChars="0" w:firstLine="0" w:firstLineChars="0"/>
                        <w:jc w:val="left"/>
                        <w:textAlignment w:val="auto"/>
                        <w:rPr>
                          <w:rFonts w:hint="eastAsia"/>
                          <w:color w:val="000000" w:themeColor="text1"/>
                          <w:sz w:val="24"/>
                          <w:szCs w:val="22"/>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color w:val="000000" w:themeColor="text1"/>
                          <w:sz w:val="24"/>
                          <w:szCs w:val="22"/>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土壤空气评价范围</w:t>
                      </w:r>
                    </w:p>
                    <w:p>
                      <w:pPr>
                        <w:pStyle w:val="3"/>
                        <w:keepNext w:val="0"/>
                        <w:keepLines w:val="0"/>
                        <w:pageBreakBefore w:val="0"/>
                        <w:widowControl w:val="0"/>
                        <w:kinsoku/>
                        <w:wordWrap/>
                        <w:overflowPunct/>
                        <w:topLinePunct/>
                        <w:autoSpaceDE w:val="0"/>
                        <w:autoSpaceDN/>
                        <w:bidi w:val="0"/>
                        <w:adjustRightInd/>
                        <w:snapToGrid/>
                        <w:spacing w:after="0" w:line="360" w:lineRule="auto"/>
                        <w:ind w:left="0" w:leftChars="0" w:firstLine="0" w:firstLineChars="0"/>
                        <w:jc w:val="left"/>
                        <w:textAlignment w:val="auto"/>
                        <w:rPr>
                          <w:rFonts w:hint="eastAsia"/>
                          <w:color w:val="000000" w:themeColor="text1"/>
                          <w:sz w:val="24"/>
                          <w:szCs w:val="22"/>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color w:val="000000" w:themeColor="text1"/>
                          <w:sz w:val="24"/>
                          <w:szCs w:val="22"/>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声环境评价范围</w:t>
                      </w:r>
                    </w:p>
                  </w:txbxContent>
                </v:textbox>
              </v:rect>
            </w:pict>
          </mc:Fallback>
        </mc:AlternateContent>
      </w:r>
    </w:p>
    <w:p>
      <w:pPr>
        <w:pStyle w:val="3"/>
        <w:ind w:left="0" w:leftChars="0" w:firstLine="0" w:firstLineChars="0"/>
        <w:jc w:val="center"/>
        <w:rPr>
          <w:rFonts w:hint="default" w:ascii="Arial" w:hAnsi="Arial" w:eastAsia="宋体" w:cs="Arial"/>
          <w:b/>
          <w:bCs/>
          <w:color w:val="auto"/>
          <w:highlight w:val="none"/>
        </w:rPr>
      </w:pPr>
      <w:r>
        <w:rPr>
          <w:rFonts w:hint="default" w:ascii="Arial" w:hAnsi="Arial" w:eastAsia="宋体" w:cs="Arial"/>
          <w:color w:val="auto"/>
          <w:sz w:val="24"/>
          <w:highlight w:val="none"/>
        </w:rPr>
        <mc:AlternateContent>
          <mc:Choice Requires="wps">
            <w:drawing>
              <wp:anchor distT="0" distB="0" distL="114300" distR="114300" simplePos="0" relativeHeight="251726848" behindDoc="0" locked="0" layoutInCell="1" allowOverlap="1">
                <wp:simplePos x="0" y="0"/>
                <wp:positionH relativeFrom="column">
                  <wp:posOffset>643890</wp:posOffset>
                </wp:positionH>
                <wp:positionV relativeFrom="paragraph">
                  <wp:posOffset>318135</wp:posOffset>
                </wp:positionV>
                <wp:extent cx="288290" cy="107950"/>
                <wp:effectExtent l="12700" t="12700" r="22860" b="12700"/>
                <wp:wrapNone/>
                <wp:docPr id="86" name="矩形 86"/>
                <wp:cNvGraphicFramePr/>
                <a:graphic xmlns:a="http://schemas.openxmlformats.org/drawingml/2006/main">
                  <a:graphicData uri="http://schemas.microsoft.com/office/word/2010/wordprocessingShape">
                    <wps:wsp>
                      <wps:cNvSpPr/>
                      <wps:spPr>
                        <a:xfrm>
                          <a:off x="0" y="0"/>
                          <a:ext cx="288290" cy="107950"/>
                        </a:xfrm>
                        <a:prstGeom prst="rect">
                          <a:avLst/>
                        </a:prstGeom>
                        <a:solidFill>
                          <a:schemeClr val="accent4">
                            <a:lumMod val="60000"/>
                            <a:lumOff val="40000"/>
                          </a:schemeClr>
                        </a:solid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50.7pt;margin-top:25.05pt;height:8.5pt;width:22.7pt;z-index:251726848;v-text-anchor:middle;mso-width-relative:page;mso-height-relative:page;" fillcolor="#B3A2C7 [1943]" filled="t" stroked="t" coordsize="21600,21600" o:gfxdata="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">
                <v:fill on="t" focussize="0,0"/>
                <v:stroke weight="2pt" color="#C00000 [3204]" joinstyle="round"/>
                <v:imagedata o:title=""/>
                <o:lock v:ext="edit" aspectratio="f"/>
              </v:rect>
            </w:pict>
          </mc:Fallback>
        </mc:AlternateContent>
      </w:r>
    </w:p>
    <w:p>
      <w:pPr>
        <w:pStyle w:val="3"/>
        <w:ind w:left="0" w:leftChars="0" w:firstLine="0" w:firstLineChars="0"/>
        <w:jc w:val="center"/>
        <w:rPr>
          <w:rFonts w:hint="default" w:ascii="Arial" w:hAnsi="Arial" w:eastAsia="宋体" w:cs="Arial"/>
          <w:b/>
          <w:bCs/>
          <w:color w:val="auto"/>
          <w:highlight w:val="none"/>
        </w:rPr>
      </w:pPr>
      <w:r>
        <w:rPr>
          <w:rFonts w:hint="default" w:ascii="Arial" w:hAnsi="Arial" w:eastAsia="宋体" w:cs="Arial"/>
          <w:color w:val="auto"/>
          <w:sz w:val="24"/>
          <w:highlight w:val="none"/>
        </w:rPr>
        <mc:AlternateContent>
          <mc:Choice Requires="wps">
            <w:drawing>
              <wp:anchor distT="0" distB="0" distL="114300" distR="114300" simplePos="0" relativeHeight="251727872" behindDoc="0" locked="0" layoutInCell="1" allowOverlap="1">
                <wp:simplePos x="0" y="0"/>
                <wp:positionH relativeFrom="column">
                  <wp:posOffset>1560195</wp:posOffset>
                </wp:positionH>
                <wp:positionV relativeFrom="paragraph">
                  <wp:posOffset>267970</wp:posOffset>
                </wp:positionV>
                <wp:extent cx="288290" cy="107950"/>
                <wp:effectExtent l="12700" t="12700" r="22860" b="12700"/>
                <wp:wrapNone/>
                <wp:docPr id="87" name="矩形 87"/>
                <wp:cNvGraphicFramePr/>
                <a:graphic xmlns:a="http://schemas.openxmlformats.org/drawingml/2006/main">
                  <a:graphicData uri="http://schemas.microsoft.com/office/word/2010/wordprocessingShape">
                    <wps:wsp>
                      <wps:cNvSpPr/>
                      <wps:spPr>
                        <a:xfrm>
                          <a:off x="0" y="0"/>
                          <a:ext cx="288290" cy="107950"/>
                        </a:xfrm>
                        <a:prstGeom prst="rect">
                          <a:avLst/>
                        </a:prstGeom>
                        <a:noFill/>
                        <a:ln>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22.85pt;margin-top:21.1pt;height:8.5pt;width:22.7pt;z-index:251727872;v-text-anchor:middle;mso-width-relative:page;mso-height-relative:page;" filled="f" stroked="t" coordsize="21600,21600" o:gfxdata="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IvnzDbaAAAACQEAAA8AAAAAAAAAAQAgAAAAIgAAAGRycy9kb3ducmV2LnhtbFBLAQIUABQAAAAI&#10;AIdO4kAexJrWXQIAALUEAAAOAAAAAAAAAAEAIAAAACkBAABkcnMvZTJvRG9jLnhtbFBLBQYAAAAA&#10;BgAGAFkBAAD4BQAAAAA=&#10;">
                <v:fill on="f" focussize="0,0"/>
                <v:stroke weight="2pt" color="#00B050 [3204]" joinstyle="round"/>
                <v:imagedata o:title=""/>
                <o:lock v:ext="edit" aspectratio="f"/>
              </v:rect>
            </w:pict>
          </mc:Fallback>
        </mc:AlternateContent>
      </w:r>
    </w:p>
    <w:p>
      <w:pPr>
        <w:pStyle w:val="3"/>
        <w:ind w:left="0" w:leftChars="0" w:firstLine="0" w:firstLineChars="0"/>
        <w:jc w:val="center"/>
        <w:rPr>
          <w:rFonts w:hint="default" w:ascii="Arial" w:hAnsi="Arial" w:eastAsia="宋体" w:cs="Arial"/>
          <w:b/>
          <w:bCs/>
          <w:color w:val="auto"/>
          <w:highlight w:val="none"/>
        </w:rPr>
      </w:pPr>
      <w:r>
        <w:rPr>
          <w:rFonts w:hint="default" w:ascii="Arial" w:hAnsi="Arial" w:eastAsia="宋体" w:cs="Arial"/>
          <w:color w:val="auto"/>
          <w:sz w:val="24"/>
          <w:highlight w:val="none"/>
        </w:rPr>
        <mc:AlternateContent>
          <mc:Choice Requires="wps">
            <w:drawing>
              <wp:anchor distT="0" distB="0" distL="114300" distR="114300" simplePos="0" relativeHeight="251728896" behindDoc="0" locked="0" layoutInCell="1" allowOverlap="1">
                <wp:simplePos x="0" y="0"/>
                <wp:positionH relativeFrom="column">
                  <wp:posOffset>1412875</wp:posOffset>
                </wp:positionH>
                <wp:positionV relativeFrom="paragraph">
                  <wp:posOffset>231140</wp:posOffset>
                </wp:positionV>
                <wp:extent cx="288290" cy="107950"/>
                <wp:effectExtent l="12700" t="12700" r="22860" b="12700"/>
                <wp:wrapNone/>
                <wp:docPr id="89" name="矩形 89"/>
                <wp:cNvGraphicFramePr/>
                <a:graphic xmlns:a="http://schemas.openxmlformats.org/drawingml/2006/main">
                  <a:graphicData uri="http://schemas.microsoft.com/office/word/2010/wordprocessingShape">
                    <wps:wsp>
                      <wps:cNvSpPr/>
                      <wps:spPr>
                        <a:xfrm>
                          <a:off x="0" y="0"/>
                          <a:ext cx="288290" cy="107950"/>
                        </a:xfrm>
                        <a:prstGeom prst="rect">
                          <a:avLst/>
                        </a:prstGeom>
                        <a:noFill/>
                        <a:ln>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11.25pt;margin-top:18.2pt;height:8.5pt;width:22.7pt;z-index:251728896;v-text-anchor:middle;mso-width-relative:page;mso-height-relative:page;" filled="f" stroked="t" coordsize="21600,21600" o:gfxdata="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Dy&#10;D0Bz2QAAAAkBAAAPAAAAAAAAAAEAIAAAACIAAABkcnMvZG93bnJldi54bWxQSwECFAAUAAAACACH&#10;TuJA63wcg1wCAAC1BAAADgAAAAAAAAABACAAAAAoAQAAZHJzL2Uyb0RvYy54bWxQSwUGAAAAAAYA&#10;BgBZAQAA9gUAAAAA&#10;">
                <v:fill on="f" focussize="0,0"/>
                <v:stroke weight="2pt" color="#FFFF00 [3204]" joinstyle="round"/>
                <v:imagedata o:title=""/>
                <o:lock v:ext="edit" aspectratio="f"/>
              </v:rect>
            </w:pict>
          </mc:Fallback>
        </mc:AlternateContent>
      </w:r>
    </w:p>
    <w:p>
      <w:pPr>
        <w:spacing w:line="240" w:lineRule="auto"/>
        <w:ind w:firstLine="0" w:firstLineChars="0"/>
        <w:jc w:val="center"/>
        <w:rPr>
          <w:rFonts w:hint="default" w:ascii="Arial" w:hAnsi="Arial" w:eastAsia="宋体" w:cs="Arial"/>
          <w:b/>
          <w:bCs/>
          <w:color w:val="auto"/>
          <w:highlight w:val="none"/>
        </w:rPr>
      </w:pPr>
    </w:p>
    <w:p>
      <w:pPr>
        <w:spacing w:line="240" w:lineRule="auto"/>
        <w:ind w:firstLine="0" w:firstLineChars="0"/>
        <w:jc w:val="center"/>
        <w:rPr>
          <w:rFonts w:hint="default" w:ascii="Arial" w:hAnsi="Arial" w:eastAsia="宋体" w:cs="Arial"/>
          <w:b/>
          <w:bCs/>
          <w:color w:val="auto"/>
          <w:highlight w:val="none"/>
        </w:rPr>
      </w:pPr>
      <w:r>
        <w:rPr>
          <w:rFonts w:hint="default" w:ascii="Arial" w:hAnsi="Arial" w:eastAsia="宋体" w:cs="Arial"/>
          <w:b/>
          <w:bCs/>
          <w:color w:val="auto"/>
          <w:highlight w:val="none"/>
        </w:rPr>
        <w:t>图2.6-</w:t>
      </w:r>
      <w:r>
        <w:rPr>
          <w:rFonts w:hint="default" w:ascii="Arial" w:hAnsi="Arial" w:eastAsia="宋体" w:cs="Arial"/>
          <w:b/>
          <w:bCs/>
          <w:color w:val="auto"/>
          <w:highlight w:val="none"/>
          <w:lang w:val="en-US" w:eastAsia="zh-CN"/>
        </w:rPr>
        <w:t>2</w:t>
      </w:r>
      <w:r>
        <w:rPr>
          <w:rFonts w:hint="default" w:ascii="Arial" w:hAnsi="Arial" w:eastAsia="宋体" w:cs="Arial"/>
          <w:b/>
          <w:bCs/>
          <w:color w:val="auto"/>
          <w:highlight w:val="none"/>
        </w:rPr>
        <w:t xml:space="preserve">    项目</w:t>
      </w:r>
      <w:r>
        <w:rPr>
          <w:rFonts w:hint="default" w:ascii="Arial" w:hAnsi="Arial" w:eastAsia="宋体" w:cs="Arial"/>
          <w:b/>
          <w:bCs/>
          <w:color w:val="auto"/>
          <w:highlight w:val="none"/>
          <w:lang w:val="en-US" w:eastAsia="zh-CN"/>
        </w:rPr>
        <w:t>土壤</w:t>
      </w:r>
      <w:r>
        <w:rPr>
          <w:rFonts w:hint="default" w:ascii="Arial" w:hAnsi="Arial" w:eastAsia="宋体" w:cs="Arial"/>
          <w:b/>
          <w:bCs/>
          <w:color w:val="auto"/>
          <w:highlight w:val="none"/>
        </w:rPr>
        <w:t>环境</w:t>
      </w:r>
      <w:r>
        <w:rPr>
          <w:rFonts w:hint="default" w:ascii="Arial" w:hAnsi="Arial" w:eastAsia="宋体" w:cs="Arial"/>
          <w:b/>
          <w:bCs/>
          <w:color w:val="auto"/>
          <w:highlight w:val="none"/>
          <w:lang w:eastAsia="zh-CN"/>
        </w:rPr>
        <w:t>空气和</w:t>
      </w:r>
      <w:r>
        <w:rPr>
          <w:rFonts w:hint="default" w:ascii="Arial" w:hAnsi="Arial" w:eastAsia="宋体" w:cs="Arial"/>
          <w:b/>
          <w:bCs/>
          <w:color w:val="auto"/>
          <w:highlight w:val="none"/>
          <w:lang w:val="en-US" w:eastAsia="zh-CN"/>
        </w:rPr>
        <w:t>声</w:t>
      </w:r>
      <w:r>
        <w:rPr>
          <w:rFonts w:hint="default" w:ascii="Arial" w:hAnsi="Arial" w:eastAsia="宋体" w:cs="Arial"/>
          <w:b/>
          <w:bCs/>
          <w:color w:val="auto"/>
          <w:highlight w:val="none"/>
          <w:lang w:eastAsia="zh-CN"/>
        </w:rPr>
        <w:t>环境</w:t>
      </w:r>
      <w:r>
        <w:rPr>
          <w:rFonts w:hint="default" w:ascii="Arial" w:hAnsi="Arial" w:eastAsia="宋体" w:cs="Arial"/>
          <w:b/>
          <w:bCs/>
          <w:color w:val="auto"/>
          <w:highlight w:val="none"/>
        </w:rPr>
        <w:t>保护目标及评价范围图</w:t>
      </w:r>
    </w:p>
    <w:p>
      <w:pPr>
        <w:overflowPunct w:val="0"/>
        <w:spacing w:line="240" w:lineRule="auto"/>
        <w:ind w:firstLine="0" w:firstLineChars="0"/>
        <w:rPr>
          <w:rFonts w:hint="default" w:ascii="Arial" w:hAnsi="Arial" w:eastAsia="宋体" w:cs="Arial"/>
          <w:color w:val="auto"/>
          <w:highlight w:val="none"/>
        </w:rPr>
        <w:sectPr>
          <w:pgSz w:w="16839" w:h="11907" w:orient="landscape"/>
          <w:pgMar w:top="1418" w:right="1247" w:bottom="1701" w:left="1247" w:header="851" w:footer="680" w:gutter="0"/>
          <w:pgBorders>
            <w:top w:val="none" w:sz="0" w:space="0"/>
            <w:left w:val="none" w:sz="0" w:space="0"/>
            <w:bottom w:val="none" w:sz="0" w:space="0"/>
            <w:right w:val="none" w:sz="0" w:space="0"/>
          </w:pgBorders>
          <w:pgNumType w:fmt="numberInDash"/>
          <w:cols w:space="720" w:num="1"/>
          <w:docGrid w:linePitch="326" w:charSpace="0"/>
        </w:sectPr>
      </w:pPr>
    </w:p>
    <w:p>
      <w:pPr>
        <w:spacing w:line="240" w:lineRule="auto"/>
        <w:ind w:firstLine="0" w:firstLineChars="0"/>
        <w:jc w:val="center"/>
        <w:rPr>
          <w:rFonts w:hint="default" w:ascii="Arial" w:hAnsi="Arial" w:eastAsia="宋体" w:cs="Arial"/>
          <w:b/>
          <w:bCs/>
          <w:color w:val="auto"/>
          <w:highlight w:val="none"/>
        </w:rPr>
      </w:pPr>
      <w:r>
        <w:rPr>
          <w:rFonts w:hint="default" w:ascii="Arial" w:hAnsi="Arial" w:eastAsia="宋体" w:cs="Arial"/>
          <w:color w:val="auto"/>
          <w:highlight w:val="none"/>
          <w:lang w:eastAsia="zh-CN"/>
        </w:rPr>
        <w:drawing>
          <wp:anchor distT="0" distB="0" distL="114300" distR="114300" simplePos="0" relativeHeight="251683840" behindDoc="0" locked="0" layoutInCell="1" allowOverlap="1">
            <wp:simplePos x="0" y="0"/>
            <wp:positionH relativeFrom="column">
              <wp:posOffset>1181100</wp:posOffset>
            </wp:positionH>
            <wp:positionV relativeFrom="paragraph">
              <wp:posOffset>6350</wp:posOffset>
            </wp:positionV>
            <wp:extent cx="6802120" cy="5255895"/>
            <wp:effectExtent l="0" t="0" r="17780" b="1905"/>
            <wp:wrapNone/>
            <wp:docPr id="8" name="图片 8" descr="遥感影像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遥感影像图"/>
                    <pic:cNvPicPr>
                      <a:picLocks noChangeAspect="1"/>
                    </pic:cNvPicPr>
                  </pic:nvPicPr>
                  <pic:blipFill>
                    <a:blip r:embed="rId18"/>
                    <a:stretch>
                      <a:fillRect/>
                    </a:stretch>
                  </pic:blipFill>
                  <pic:spPr>
                    <a:xfrm>
                      <a:off x="0" y="0"/>
                      <a:ext cx="6802120" cy="5255895"/>
                    </a:xfrm>
                    <a:prstGeom prst="rect">
                      <a:avLst/>
                    </a:prstGeom>
                  </pic:spPr>
                </pic:pic>
              </a:graphicData>
            </a:graphic>
          </wp:anchor>
        </w:drawing>
      </w:r>
    </w:p>
    <w:p>
      <w:pPr>
        <w:bidi w:val="0"/>
        <w:rPr>
          <w:rFonts w:hint="default" w:ascii="Arial" w:hAnsi="Arial" w:eastAsia="宋体" w:cs="Arial"/>
          <w:color w:val="auto"/>
          <w:highlight w:val="none"/>
          <w:lang w:eastAsia="zh-CN"/>
        </w:rPr>
      </w:pPr>
    </w:p>
    <w:p>
      <w:pPr>
        <w:bidi w:val="0"/>
        <w:rPr>
          <w:rFonts w:hint="default" w:ascii="Arial" w:hAnsi="Arial" w:eastAsia="宋体" w:cs="Arial"/>
          <w:color w:val="auto"/>
          <w:highlight w:val="none"/>
        </w:rPr>
      </w:pPr>
    </w:p>
    <w:p>
      <w:pPr>
        <w:bidi w:val="0"/>
        <w:rPr>
          <w:rFonts w:hint="default" w:ascii="Arial" w:hAnsi="Arial" w:eastAsia="宋体" w:cs="Arial"/>
          <w:color w:val="auto"/>
          <w:highlight w:val="none"/>
        </w:rPr>
      </w:pPr>
    </w:p>
    <w:p>
      <w:pPr>
        <w:bidi w:val="0"/>
        <w:rPr>
          <w:rFonts w:hint="default" w:ascii="Arial" w:hAnsi="Arial" w:eastAsia="宋体" w:cs="Arial"/>
          <w:color w:val="auto"/>
          <w:highlight w:val="none"/>
        </w:rPr>
      </w:pPr>
    </w:p>
    <w:p>
      <w:pPr>
        <w:bidi w:val="0"/>
        <w:rPr>
          <w:rFonts w:hint="default" w:ascii="Arial" w:hAnsi="Arial" w:eastAsia="宋体" w:cs="Arial"/>
          <w:color w:val="auto"/>
          <w:highlight w:val="none"/>
        </w:rPr>
      </w:pPr>
    </w:p>
    <w:p>
      <w:pPr>
        <w:bidi w:val="0"/>
        <w:rPr>
          <w:rFonts w:hint="default" w:ascii="Arial" w:hAnsi="Arial" w:eastAsia="宋体" w:cs="Arial"/>
          <w:color w:val="auto"/>
          <w:highlight w:val="none"/>
        </w:rPr>
      </w:pPr>
    </w:p>
    <w:p>
      <w:pPr>
        <w:bidi w:val="0"/>
        <w:rPr>
          <w:rFonts w:hint="default" w:ascii="Arial" w:hAnsi="Arial" w:eastAsia="宋体" w:cs="Arial"/>
          <w:color w:val="auto"/>
          <w:highlight w:val="none"/>
        </w:rPr>
      </w:pPr>
    </w:p>
    <w:p>
      <w:pPr>
        <w:bidi w:val="0"/>
        <w:rPr>
          <w:rFonts w:hint="default" w:ascii="Arial" w:hAnsi="Arial" w:eastAsia="宋体" w:cs="Arial"/>
          <w:color w:val="auto"/>
          <w:highlight w:val="none"/>
        </w:rPr>
      </w:pPr>
    </w:p>
    <w:p>
      <w:pPr>
        <w:bidi w:val="0"/>
        <w:rPr>
          <w:rFonts w:hint="default" w:ascii="Arial" w:hAnsi="Arial" w:eastAsia="宋体" w:cs="Arial"/>
          <w:color w:val="auto"/>
          <w:highlight w:val="none"/>
        </w:rPr>
      </w:pPr>
    </w:p>
    <w:p>
      <w:pPr>
        <w:bidi w:val="0"/>
        <w:rPr>
          <w:rFonts w:hint="default" w:ascii="Arial" w:hAnsi="Arial" w:eastAsia="宋体" w:cs="Arial"/>
          <w:color w:val="auto"/>
          <w:highlight w:val="none"/>
        </w:rPr>
      </w:pPr>
    </w:p>
    <w:p>
      <w:pPr>
        <w:bidi w:val="0"/>
        <w:rPr>
          <w:rFonts w:hint="default" w:ascii="Arial" w:hAnsi="Arial" w:eastAsia="宋体" w:cs="Arial"/>
          <w:color w:val="auto"/>
          <w:highlight w:val="none"/>
        </w:rPr>
      </w:pPr>
    </w:p>
    <w:p>
      <w:pPr>
        <w:bidi w:val="0"/>
        <w:rPr>
          <w:rFonts w:hint="default" w:ascii="Arial" w:hAnsi="Arial" w:eastAsia="宋体" w:cs="Arial"/>
          <w:color w:val="auto"/>
          <w:highlight w:val="none"/>
        </w:rPr>
      </w:pPr>
    </w:p>
    <w:p>
      <w:pPr>
        <w:bidi w:val="0"/>
        <w:rPr>
          <w:rFonts w:hint="default" w:ascii="Arial" w:hAnsi="Arial" w:eastAsia="宋体" w:cs="Arial"/>
          <w:color w:val="auto"/>
          <w:highlight w:val="none"/>
        </w:rPr>
      </w:pPr>
    </w:p>
    <w:p>
      <w:pPr>
        <w:bidi w:val="0"/>
        <w:rPr>
          <w:rFonts w:hint="default" w:ascii="Arial" w:hAnsi="Arial" w:eastAsia="宋体" w:cs="Arial"/>
          <w:color w:val="auto"/>
          <w:highlight w:val="none"/>
        </w:rPr>
      </w:pPr>
    </w:p>
    <w:p>
      <w:pPr>
        <w:bidi w:val="0"/>
        <w:rPr>
          <w:rFonts w:hint="default" w:ascii="Arial" w:hAnsi="Arial" w:eastAsia="宋体" w:cs="Arial"/>
          <w:color w:val="auto"/>
          <w:highlight w:val="none"/>
        </w:rPr>
      </w:pPr>
    </w:p>
    <w:p>
      <w:pPr>
        <w:bidi w:val="0"/>
        <w:ind w:left="0" w:leftChars="0" w:firstLine="0" w:firstLineChars="0"/>
        <w:rPr>
          <w:rFonts w:hint="default" w:ascii="Arial" w:hAnsi="Arial" w:eastAsia="宋体" w:cs="Arial"/>
          <w:color w:val="auto"/>
          <w:highlight w:val="none"/>
        </w:rPr>
      </w:pPr>
    </w:p>
    <w:p>
      <w:pPr>
        <w:bidi w:val="0"/>
        <w:rPr>
          <w:rFonts w:hint="default" w:ascii="Arial" w:hAnsi="Arial" w:eastAsia="宋体" w:cs="Arial"/>
          <w:color w:val="auto"/>
          <w:highlight w:val="none"/>
        </w:rPr>
      </w:pPr>
    </w:p>
    <w:p>
      <w:pPr>
        <w:spacing w:line="240" w:lineRule="auto"/>
        <w:ind w:firstLine="0" w:firstLineChars="0"/>
        <w:jc w:val="center"/>
        <w:rPr>
          <w:rFonts w:hint="default" w:ascii="Arial" w:hAnsi="Arial" w:eastAsia="宋体" w:cs="Arial"/>
          <w:b/>
          <w:bCs/>
          <w:color w:val="auto"/>
          <w:highlight w:val="none"/>
          <w:lang w:eastAsia="zh-CN"/>
        </w:rPr>
      </w:pPr>
      <w:r>
        <w:rPr>
          <w:rFonts w:hint="default" w:ascii="Arial" w:hAnsi="Arial" w:eastAsia="宋体" w:cs="Arial"/>
          <w:b/>
          <w:bCs/>
          <w:color w:val="auto"/>
          <w:highlight w:val="none"/>
        </w:rPr>
        <w:t>图2.6-</w:t>
      </w:r>
      <w:r>
        <w:rPr>
          <w:rFonts w:hint="default" w:ascii="Arial" w:hAnsi="Arial" w:eastAsia="宋体" w:cs="Arial"/>
          <w:b/>
          <w:bCs/>
          <w:color w:val="auto"/>
          <w:highlight w:val="none"/>
          <w:lang w:val="en-US" w:eastAsia="zh-CN"/>
        </w:rPr>
        <w:t>3</w:t>
      </w:r>
      <w:r>
        <w:rPr>
          <w:rFonts w:hint="default" w:ascii="Arial" w:hAnsi="Arial" w:eastAsia="宋体" w:cs="Arial"/>
          <w:b/>
          <w:bCs/>
          <w:color w:val="auto"/>
          <w:highlight w:val="none"/>
        </w:rPr>
        <w:t xml:space="preserve">    项目</w:t>
      </w:r>
      <w:r>
        <w:rPr>
          <w:rFonts w:hint="default" w:ascii="Arial" w:hAnsi="Arial" w:eastAsia="宋体" w:cs="Arial"/>
          <w:b/>
          <w:bCs/>
          <w:color w:val="auto"/>
          <w:highlight w:val="none"/>
          <w:lang w:val="en-US" w:eastAsia="zh-CN"/>
        </w:rPr>
        <w:t>生态</w:t>
      </w:r>
      <w:r>
        <w:rPr>
          <w:rFonts w:hint="default" w:ascii="Arial" w:hAnsi="Arial" w:eastAsia="宋体" w:cs="Arial"/>
          <w:b/>
          <w:bCs/>
          <w:color w:val="auto"/>
          <w:highlight w:val="none"/>
        </w:rPr>
        <w:t>环境保护目标及评价范围</w:t>
      </w:r>
      <w:r>
        <w:rPr>
          <w:rFonts w:hint="default" w:ascii="Arial" w:hAnsi="Arial" w:eastAsia="宋体" w:cs="Arial"/>
          <w:b/>
          <w:bCs/>
          <w:color w:val="auto"/>
          <w:highlight w:val="none"/>
          <w:lang w:eastAsia="zh-CN"/>
        </w:rPr>
        <w:t>图</w:t>
      </w:r>
    </w:p>
    <w:p>
      <w:pPr>
        <w:spacing w:line="240" w:lineRule="auto"/>
        <w:ind w:firstLine="0" w:firstLineChars="0"/>
        <w:jc w:val="both"/>
        <w:rPr>
          <w:rFonts w:hint="default" w:ascii="Arial" w:hAnsi="Arial" w:eastAsia="宋体" w:cs="Arial"/>
          <w:color w:val="auto"/>
          <w:highlight w:val="none"/>
        </w:rPr>
        <w:sectPr>
          <w:pgSz w:w="16839" w:h="11907" w:orient="landscape"/>
          <w:pgMar w:top="1417" w:right="1247" w:bottom="1701" w:left="1247" w:header="680" w:footer="567" w:gutter="0"/>
          <w:pgBorders>
            <w:top w:val="none" w:sz="0" w:space="0"/>
            <w:left w:val="none" w:sz="0" w:space="0"/>
            <w:bottom w:val="none" w:sz="0" w:space="0"/>
            <w:right w:val="none" w:sz="0" w:space="0"/>
          </w:pgBorders>
          <w:pgNumType w:fmt="numberInDash"/>
          <w:cols w:space="720" w:num="1"/>
          <w:docGrid w:linePitch="326" w:charSpace="0"/>
        </w:sectPr>
      </w:pPr>
    </w:p>
    <w:p>
      <w:pPr>
        <w:pStyle w:val="5"/>
        <w:rPr>
          <w:rFonts w:hint="default" w:ascii="Arial" w:hAnsi="Arial" w:eastAsia="宋体" w:cs="Arial"/>
          <w:color w:val="auto"/>
          <w:sz w:val="28"/>
          <w:szCs w:val="32"/>
          <w:highlight w:val="none"/>
        </w:rPr>
      </w:pPr>
      <w:bookmarkStart w:id="176" w:name="_Toc25856"/>
      <w:r>
        <w:rPr>
          <w:rFonts w:hint="default" w:ascii="Arial" w:hAnsi="Arial" w:eastAsia="宋体" w:cs="Arial"/>
          <w:color w:val="auto"/>
          <w:sz w:val="28"/>
          <w:szCs w:val="32"/>
          <w:highlight w:val="none"/>
        </w:rPr>
        <w:t>2.7项目符合性分析</w:t>
      </w:r>
      <w:bookmarkEnd w:id="176"/>
    </w:p>
    <w:p>
      <w:pPr>
        <w:pStyle w:val="6"/>
        <w:rPr>
          <w:rFonts w:hint="default" w:ascii="Arial" w:hAnsi="Arial" w:eastAsia="宋体" w:cs="Arial"/>
          <w:color w:val="auto"/>
          <w:sz w:val="24"/>
          <w:szCs w:val="32"/>
          <w:highlight w:val="none"/>
        </w:rPr>
      </w:pPr>
      <w:bookmarkStart w:id="177" w:name="_Toc4812"/>
      <w:r>
        <w:rPr>
          <w:rFonts w:hint="default" w:ascii="Arial" w:hAnsi="Arial" w:eastAsia="宋体" w:cs="Arial"/>
          <w:color w:val="auto"/>
          <w:sz w:val="24"/>
          <w:szCs w:val="32"/>
          <w:highlight w:val="none"/>
        </w:rPr>
        <w:t>2.7.1《产业结构调整指导目录（2019年本）》符合性</w:t>
      </w:r>
      <w:bookmarkEnd w:id="177"/>
    </w:p>
    <w:p>
      <w:pPr>
        <w:keepNext w:val="0"/>
        <w:keepLines w:val="0"/>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sz w:val="24"/>
          <w:szCs w:val="22"/>
          <w:highlight w:val="none"/>
        </w:rPr>
      </w:pPr>
      <w:r>
        <w:rPr>
          <w:rFonts w:hint="default" w:ascii="Arial" w:hAnsi="Arial" w:eastAsia="宋体" w:cs="Arial"/>
          <w:color w:val="auto"/>
          <w:sz w:val="24"/>
          <w:szCs w:val="22"/>
          <w:highlight w:val="none"/>
        </w:rPr>
        <w:t>本项目为</w:t>
      </w:r>
      <w:r>
        <w:rPr>
          <w:rFonts w:hint="default" w:ascii="Arial" w:hAnsi="Arial" w:eastAsia="宋体" w:cs="Arial"/>
          <w:color w:val="auto"/>
          <w:sz w:val="24"/>
          <w:szCs w:val="22"/>
          <w:highlight w:val="none"/>
          <w:lang w:eastAsia="zh-CN"/>
        </w:rPr>
        <w:t>规模化肉牛养殖项目</w:t>
      </w:r>
      <w:r>
        <w:rPr>
          <w:rFonts w:hint="default" w:ascii="Arial" w:hAnsi="Arial" w:eastAsia="宋体" w:cs="Arial"/>
          <w:color w:val="auto"/>
          <w:sz w:val="24"/>
          <w:szCs w:val="22"/>
          <w:highlight w:val="none"/>
        </w:rPr>
        <w:t>，根据《产业结构调整指导目录（2019年本）》（中华人民共和国国家发展和改革委员会令 第29号），本项目属于“第一类 鼓励类”中“一、农林业--4、畜禽标准化规模养殖技术开发与应用”。</w:t>
      </w:r>
    </w:p>
    <w:p>
      <w:pPr>
        <w:keepNext w:val="0"/>
        <w:keepLines w:val="0"/>
        <w:pageBreakBefore w:val="0"/>
        <w:widowControl w:val="0"/>
        <w:kinsoku/>
        <w:wordWrap/>
        <w:overflowPunct/>
        <w:topLinePunct/>
        <w:autoSpaceDE w:val="0"/>
        <w:autoSpaceDN/>
        <w:bidi w:val="0"/>
        <w:adjustRightInd/>
        <w:snapToGrid/>
        <w:textAlignment w:val="auto"/>
        <w:rPr>
          <w:rFonts w:hint="default" w:ascii="Arial" w:hAnsi="Arial" w:eastAsia="宋体" w:cs="Arial"/>
          <w:color w:val="auto"/>
          <w:sz w:val="24"/>
          <w:szCs w:val="22"/>
          <w:highlight w:val="none"/>
        </w:rPr>
      </w:pPr>
      <w:r>
        <w:rPr>
          <w:rFonts w:hint="default" w:ascii="Arial" w:hAnsi="Arial" w:eastAsia="宋体" w:cs="Arial"/>
          <w:color w:val="auto"/>
          <w:sz w:val="24"/>
          <w:szCs w:val="22"/>
          <w:highlight w:val="none"/>
        </w:rPr>
        <w:t>对照《关于发布实施&lt;限制用地项目目录（2012年本）&gt;和&lt;禁止用地项目目录（2012年本）&gt;的通知》，该项目也不属于限制及禁止用地项目目录的范畴，且不占用耕地资源，用地符合国家产业政策。</w:t>
      </w:r>
    </w:p>
    <w:p>
      <w:pPr>
        <w:keepNext w:val="0"/>
        <w:keepLines w:val="0"/>
        <w:pageBreakBefore w:val="0"/>
        <w:widowControl w:val="0"/>
        <w:kinsoku/>
        <w:wordWrap/>
        <w:overflowPunct/>
        <w:topLinePunct/>
        <w:autoSpaceDE w:val="0"/>
        <w:autoSpaceDN/>
        <w:bidi w:val="0"/>
        <w:adjustRightInd/>
        <w:snapToGrid/>
        <w:textAlignment w:val="auto"/>
        <w:rPr>
          <w:rFonts w:hint="default" w:ascii="Arial" w:hAnsi="Arial" w:eastAsia="宋体" w:cs="Arial"/>
          <w:color w:val="auto"/>
          <w:sz w:val="24"/>
          <w:szCs w:val="22"/>
          <w:highlight w:val="none"/>
        </w:rPr>
      </w:pPr>
      <w:r>
        <w:rPr>
          <w:rFonts w:hint="default" w:ascii="Arial" w:hAnsi="Arial" w:eastAsia="宋体" w:cs="Arial"/>
          <w:color w:val="auto"/>
          <w:sz w:val="24"/>
          <w:szCs w:val="22"/>
          <w:highlight w:val="none"/>
        </w:rPr>
        <w:t>因此，本项目的实施符合国家现行产业政策要求。</w:t>
      </w:r>
    </w:p>
    <w:p>
      <w:pPr>
        <w:pStyle w:val="6"/>
        <w:rPr>
          <w:rFonts w:hint="default" w:ascii="Arial" w:hAnsi="Arial" w:eastAsia="宋体" w:cs="Arial"/>
          <w:color w:val="auto"/>
          <w:sz w:val="24"/>
          <w:szCs w:val="32"/>
          <w:highlight w:val="none"/>
        </w:rPr>
      </w:pPr>
      <w:bookmarkStart w:id="178" w:name="_Toc7986"/>
      <w:r>
        <w:rPr>
          <w:rFonts w:hint="default" w:ascii="Arial" w:hAnsi="Arial" w:eastAsia="宋体" w:cs="Arial"/>
          <w:color w:val="auto"/>
          <w:sz w:val="24"/>
          <w:szCs w:val="32"/>
          <w:highlight w:val="none"/>
        </w:rPr>
        <w:t>2.7.2相关法律、法规的符合性</w:t>
      </w:r>
      <w:bookmarkEnd w:id="178"/>
    </w:p>
    <w:p>
      <w:pPr>
        <w:bidi w:val="0"/>
        <w:rPr>
          <w:rFonts w:hint="default" w:ascii="Arial" w:hAnsi="Arial" w:eastAsia="宋体" w:cs="Arial"/>
          <w:color w:val="auto"/>
          <w:sz w:val="24"/>
          <w:szCs w:val="22"/>
          <w:highlight w:val="none"/>
        </w:rPr>
      </w:pPr>
      <w:r>
        <w:rPr>
          <w:rFonts w:hint="default" w:ascii="Arial" w:hAnsi="Arial" w:eastAsia="宋体" w:cs="Arial"/>
          <w:color w:val="auto"/>
          <w:sz w:val="24"/>
          <w:szCs w:val="22"/>
          <w:highlight w:val="none"/>
        </w:rPr>
        <w:t>本项目与目前我国有关畜禽养殖污染物防治的法律法规符合性分析见表2.7-1。</w:t>
      </w:r>
    </w:p>
    <w:p>
      <w:pPr>
        <w:pStyle w:val="6"/>
        <w:rPr>
          <w:rFonts w:hint="default" w:ascii="Arial" w:hAnsi="Arial" w:eastAsia="宋体" w:cs="Arial"/>
          <w:color w:val="auto"/>
          <w:sz w:val="24"/>
          <w:szCs w:val="32"/>
          <w:highlight w:val="none"/>
        </w:rPr>
      </w:pPr>
      <w:bookmarkStart w:id="179" w:name="_Toc27409"/>
      <w:r>
        <w:rPr>
          <w:rFonts w:hint="default" w:ascii="Arial" w:hAnsi="Arial" w:eastAsia="宋体" w:cs="Arial"/>
          <w:color w:val="auto"/>
          <w:sz w:val="24"/>
          <w:szCs w:val="32"/>
          <w:highlight w:val="none"/>
        </w:rPr>
        <w:t>2.7.3相关规范符合性分析</w:t>
      </w:r>
      <w:bookmarkEnd w:id="179"/>
    </w:p>
    <w:p>
      <w:pPr>
        <w:ind w:firstLine="480"/>
        <w:rPr>
          <w:rFonts w:hint="default" w:ascii="Arial" w:hAnsi="Arial" w:eastAsia="宋体" w:cs="Arial"/>
          <w:color w:val="auto"/>
          <w:sz w:val="24"/>
          <w:szCs w:val="22"/>
          <w:highlight w:val="none"/>
        </w:rPr>
      </w:pPr>
      <w:r>
        <w:rPr>
          <w:rFonts w:hint="default" w:ascii="Arial" w:hAnsi="Arial" w:eastAsia="宋体" w:cs="Arial"/>
          <w:color w:val="auto"/>
          <w:sz w:val="24"/>
          <w:szCs w:val="22"/>
          <w:highlight w:val="none"/>
        </w:rPr>
        <w:t>本项目与目前我国有关畜禽养殖污染物防治的相关规范符合性分析见表2.7-2。</w:t>
      </w:r>
    </w:p>
    <w:p>
      <w:pPr>
        <w:pStyle w:val="6"/>
        <w:rPr>
          <w:rFonts w:hint="default" w:ascii="Arial" w:hAnsi="Arial" w:eastAsia="宋体" w:cs="Arial"/>
          <w:color w:val="auto"/>
          <w:sz w:val="24"/>
          <w:szCs w:val="32"/>
          <w:highlight w:val="none"/>
        </w:rPr>
      </w:pPr>
      <w:bookmarkStart w:id="180" w:name="_Toc23788"/>
      <w:r>
        <w:rPr>
          <w:rFonts w:hint="default" w:ascii="Arial" w:hAnsi="Arial" w:eastAsia="宋体" w:cs="Arial"/>
          <w:color w:val="auto"/>
          <w:sz w:val="24"/>
          <w:szCs w:val="32"/>
          <w:highlight w:val="none"/>
        </w:rPr>
        <w:t>2.7.4相关政策符合性分析</w:t>
      </w:r>
      <w:bookmarkEnd w:id="180"/>
    </w:p>
    <w:p>
      <w:pPr>
        <w:ind w:firstLine="480"/>
        <w:rPr>
          <w:rFonts w:hint="default" w:ascii="Arial" w:hAnsi="Arial" w:eastAsia="宋体" w:cs="Arial"/>
          <w:color w:val="auto"/>
          <w:sz w:val="24"/>
          <w:szCs w:val="22"/>
          <w:highlight w:val="none"/>
        </w:rPr>
      </w:pPr>
      <w:r>
        <w:rPr>
          <w:rFonts w:hint="default" w:ascii="Arial" w:hAnsi="Arial" w:eastAsia="宋体" w:cs="Arial"/>
          <w:color w:val="auto"/>
          <w:sz w:val="24"/>
          <w:szCs w:val="22"/>
          <w:highlight w:val="none"/>
        </w:rPr>
        <w:t>本项目的建设与目前我国有关畜禽养殖污染物防治的政策符合性分析见表2.7-3。</w:t>
      </w:r>
    </w:p>
    <w:p>
      <w:pPr>
        <w:pStyle w:val="6"/>
        <w:rPr>
          <w:rFonts w:hint="default" w:ascii="Arial" w:hAnsi="Arial" w:eastAsia="宋体" w:cs="Arial"/>
          <w:color w:val="auto"/>
          <w:sz w:val="24"/>
          <w:szCs w:val="32"/>
          <w:highlight w:val="none"/>
        </w:rPr>
      </w:pPr>
      <w:bookmarkStart w:id="181" w:name="_Toc19681"/>
      <w:r>
        <w:rPr>
          <w:rFonts w:hint="default" w:ascii="Arial" w:hAnsi="Arial" w:eastAsia="宋体" w:cs="Arial"/>
          <w:color w:val="auto"/>
          <w:sz w:val="24"/>
          <w:szCs w:val="32"/>
          <w:highlight w:val="none"/>
        </w:rPr>
        <w:t>2.7.5相关规划符合性分析</w:t>
      </w:r>
      <w:bookmarkEnd w:id="181"/>
    </w:p>
    <w:p>
      <w:pPr>
        <w:ind w:firstLine="480"/>
        <w:rPr>
          <w:rFonts w:hint="default" w:ascii="Arial" w:hAnsi="Arial" w:eastAsia="宋体" w:cs="Arial"/>
          <w:color w:val="auto"/>
          <w:sz w:val="24"/>
          <w:szCs w:val="22"/>
          <w:highlight w:val="none"/>
          <w:lang w:eastAsia="zh-CN"/>
        </w:rPr>
      </w:pPr>
      <w:r>
        <w:rPr>
          <w:rFonts w:hint="default" w:ascii="Arial" w:hAnsi="Arial" w:eastAsia="宋体" w:cs="Arial"/>
          <w:color w:val="auto"/>
          <w:sz w:val="24"/>
          <w:szCs w:val="22"/>
          <w:highlight w:val="none"/>
        </w:rPr>
        <w:t>本项目与相关规划的符合性分析见表2.7-4</w:t>
      </w:r>
      <w:r>
        <w:rPr>
          <w:rFonts w:hint="default" w:ascii="Arial" w:hAnsi="Arial" w:eastAsia="宋体" w:cs="Arial"/>
          <w:color w:val="auto"/>
          <w:sz w:val="24"/>
          <w:szCs w:val="22"/>
          <w:highlight w:val="none"/>
          <w:lang w:eastAsia="zh-CN"/>
        </w:rPr>
        <w:t>。</w:t>
      </w:r>
    </w:p>
    <w:p>
      <w:pPr>
        <w:ind w:firstLine="480"/>
        <w:rPr>
          <w:rFonts w:hint="default" w:ascii="Arial" w:hAnsi="Arial" w:eastAsia="宋体" w:cs="Arial"/>
          <w:color w:val="auto"/>
          <w:sz w:val="24"/>
          <w:szCs w:val="22"/>
          <w:highlight w:val="none"/>
          <w:lang w:eastAsia="zh-CN"/>
        </w:rPr>
      </w:pPr>
    </w:p>
    <w:p>
      <w:pPr>
        <w:ind w:firstLine="480"/>
        <w:rPr>
          <w:rFonts w:hint="default" w:ascii="Arial" w:hAnsi="Arial" w:eastAsia="宋体" w:cs="Arial"/>
          <w:color w:val="auto"/>
          <w:sz w:val="24"/>
          <w:szCs w:val="22"/>
          <w:highlight w:val="none"/>
        </w:rPr>
      </w:pPr>
    </w:p>
    <w:p>
      <w:pPr>
        <w:pStyle w:val="25"/>
        <w:spacing w:after="0" w:line="500" w:lineRule="exact"/>
        <w:ind w:left="0" w:leftChars="0" w:firstLine="480"/>
        <w:rPr>
          <w:rFonts w:hint="default" w:ascii="Arial" w:hAnsi="Arial" w:eastAsia="宋体" w:cs="Arial"/>
          <w:color w:val="auto"/>
          <w:highlight w:val="none"/>
        </w:rPr>
      </w:pPr>
    </w:p>
    <w:p>
      <w:pPr>
        <w:pStyle w:val="25"/>
        <w:spacing w:after="0" w:line="500" w:lineRule="exact"/>
        <w:ind w:left="0" w:leftChars="0" w:firstLine="480"/>
        <w:rPr>
          <w:rFonts w:hint="default" w:ascii="Arial" w:hAnsi="Arial" w:eastAsia="宋体" w:cs="Arial"/>
          <w:color w:val="auto"/>
          <w:highlight w:val="none"/>
        </w:rPr>
        <w:sectPr>
          <w:pgSz w:w="11906" w:h="16838"/>
          <w:pgMar w:top="1418" w:right="1418" w:bottom="1247" w:left="1701" w:header="851" w:footer="680" w:gutter="0"/>
          <w:pgBorders>
            <w:top w:val="none" w:sz="0" w:space="0"/>
            <w:left w:val="none" w:sz="0" w:space="0"/>
            <w:bottom w:val="none" w:sz="0" w:space="0"/>
            <w:right w:val="none" w:sz="0" w:space="0"/>
          </w:pgBorders>
          <w:pgNumType w:fmt="numberInDash"/>
          <w:cols w:space="425" w:num="1"/>
          <w:docGrid w:linePitch="326" w:charSpace="0"/>
        </w:sectPr>
      </w:pPr>
    </w:p>
    <w:p>
      <w:pPr>
        <w:pStyle w:val="8"/>
        <w:rPr>
          <w:rFonts w:hint="default" w:ascii="Arial" w:hAnsi="Arial" w:eastAsia="宋体" w:cs="Arial"/>
          <w:color w:val="auto"/>
          <w:highlight w:val="none"/>
        </w:rPr>
      </w:pPr>
      <w:r>
        <w:rPr>
          <w:rFonts w:hint="default" w:ascii="Arial" w:hAnsi="Arial" w:eastAsia="宋体" w:cs="Arial"/>
          <w:color w:val="auto"/>
          <w:highlight w:val="none"/>
        </w:rPr>
        <w:t>表2.7-1    本项目建设与畜禽养殖污染防治的相关法律法规符合性分析</w:t>
      </w:r>
    </w:p>
    <w:tbl>
      <w:tblPr>
        <w:tblStyle w:val="39"/>
        <w:tblW w:w="14389"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668"/>
        <w:gridCol w:w="7512"/>
        <w:gridCol w:w="4536"/>
        <w:gridCol w:w="673"/>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668"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b/>
                <w:bCs/>
                <w:color w:val="auto"/>
                <w:sz w:val="21"/>
                <w:szCs w:val="21"/>
                <w:highlight w:val="none"/>
              </w:rPr>
            </w:pPr>
            <w:r>
              <w:rPr>
                <w:rFonts w:hint="default" w:ascii="Arial" w:hAnsi="Arial" w:eastAsia="宋体" w:cs="Arial"/>
                <w:b/>
                <w:bCs/>
                <w:color w:val="auto"/>
                <w:sz w:val="21"/>
                <w:szCs w:val="21"/>
                <w:highlight w:val="none"/>
              </w:rPr>
              <w:t>政策法规</w:t>
            </w:r>
          </w:p>
        </w:tc>
        <w:tc>
          <w:tcPr>
            <w:tcW w:w="7512"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b/>
                <w:bCs/>
                <w:color w:val="auto"/>
                <w:sz w:val="21"/>
                <w:szCs w:val="21"/>
                <w:highlight w:val="none"/>
              </w:rPr>
            </w:pPr>
            <w:r>
              <w:rPr>
                <w:rFonts w:hint="default" w:ascii="Arial" w:hAnsi="Arial" w:eastAsia="宋体" w:cs="Arial"/>
                <w:b/>
                <w:bCs/>
                <w:color w:val="auto"/>
                <w:sz w:val="21"/>
                <w:szCs w:val="21"/>
                <w:highlight w:val="none"/>
              </w:rPr>
              <w:t>相关条款及规定</w:t>
            </w:r>
          </w:p>
        </w:tc>
        <w:tc>
          <w:tcPr>
            <w:tcW w:w="4536"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b/>
                <w:bCs/>
                <w:color w:val="auto"/>
                <w:sz w:val="21"/>
                <w:szCs w:val="21"/>
                <w:highlight w:val="none"/>
              </w:rPr>
            </w:pPr>
            <w:r>
              <w:rPr>
                <w:rFonts w:hint="default" w:ascii="Arial" w:hAnsi="Arial" w:eastAsia="宋体" w:cs="Arial"/>
                <w:b/>
                <w:bCs/>
                <w:color w:val="auto"/>
                <w:sz w:val="21"/>
                <w:szCs w:val="21"/>
                <w:highlight w:val="none"/>
              </w:rPr>
              <w:t>符合性分析</w:t>
            </w:r>
          </w:p>
        </w:tc>
        <w:tc>
          <w:tcPr>
            <w:tcW w:w="673"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b/>
                <w:bCs/>
                <w:color w:val="auto"/>
                <w:sz w:val="21"/>
                <w:szCs w:val="21"/>
                <w:highlight w:val="none"/>
              </w:rPr>
            </w:pPr>
            <w:r>
              <w:rPr>
                <w:rFonts w:hint="default" w:ascii="Arial" w:hAnsi="Arial" w:eastAsia="宋体" w:cs="Arial"/>
                <w:b/>
                <w:bCs/>
                <w:color w:val="auto"/>
                <w:sz w:val="21"/>
                <w:szCs w:val="21"/>
                <w:highlight w:val="none"/>
              </w:rPr>
              <w:t>符合</w:t>
            </w:r>
          </w:p>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b/>
                <w:bCs/>
                <w:color w:val="auto"/>
                <w:sz w:val="21"/>
                <w:szCs w:val="21"/>
                <w:highlight w:val="none"/>
              </w:rPr>
            </w:pPr>
            <w:r>
              <w:rPr>
                <w:rFonts w:hint="default" w:ascii="Arial" w:hAnsi="Arial" w:eastAsia="宋体" w:cs="Arial"/>
                <w:b/>
                <w:bCs/>
                <w:color w:val="auto"/>
                <w:sz w:val="21"/>
                <w:szCs w:val="21"/>
                <w:highlight w:val="none"/>
              </w:rPr>
              <w:t>情况</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668"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《中华人民共和国水污染防治法》（2017）</w:t>
            </w:r>
          </w:p>
        </w:tc>
        <w:tc>
          <w:tcPr>
            <w:tcW w:w="7512" w:type="dxa"/>
            <w:vAlign w:val="center"/>
          </w:tcPr>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国家支持畜禽养殖场、养殖小区建设畜禽粪便、废水的综合利用或者无害化处理设施。</w:t>
            </w:r>
          </w:p>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畜禽养殖场、养殖小区应当保证其畜禽粪便、废水的综合利用或者无害化处理设施正常运转，保证污水达标排放，防止污染水环境。</w:t>
            </w:r>
          </w:p>
        </w:tc>
        <w:tc>
          <w:tcPr>
            <w:tcW w:w="4536" w:type="dxa"/>
            <w:vAlign w:val="center"/>
          </w:tcPr>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lang w:val="en-US" w:eastAsia="zh-CN"/>
              </w:rPr>
              <w:t>项目</w:t>
            </w:r>
            <w:r>
              <w:rPr>
                <w:rFonts w:hint="default" w:ascii="Arial" w:hAnsi="Arial" w:eastAsia="宋体" w:cs="Arial"/>
                <w:color w:val="auto"/>
                <w:sz w:val="21"/>
                <w:szCs w:val="21"/>
                <w:highlight w:val="none"/>
                <w:lang w:eastAsia="zh-CN"/>
              </w:rPr>
              <w:t>牛粪便经</w:t>
            </w:r>
            <w:r>
              <w:rPr>
                <w:rFonts w:hint="default" w:ascii="Arial" w:hAnsi="Arial" w:eastAsia="宋体" w:cs="Arial"/>
                <w:color w:val="auto"/>
                <w:sz w:val="21"/>
                <w:szCs w:val="21"/>
                <w:highlight w:val="none"/>
                <w:lang w:val="en-US" w:eastAsia="zh-CN"/>
              </w:rPr>
              <w:t>堆肥场储存并堆肥</w:t>
            </w:r>
            <w:r>
              <w:rPr>
                <w:rFonts w:hint="default" w:ascii="Arial" w:hAnsi="Arial" w:eastAsia="宋体" w:cs="Arial"/>
                <w:color w:val="auto"/>
                <w:sz w:val="21"/>
                <w:szCs w:val="21"/>
                <w:highlight w:val="none"/>
                <w:lang w:eastAsia="zh-CN"/>
              </w:rPr>
              <w:t>后，作为有机肥还田利用。</w:t>
            </w:r>
          </w:p>
        </w:tc>
        <w:tc>
          <w:tcPr>
            <w:tcW w:w="673"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符合</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668"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《中华人民共和国固体废物污染环境防治法》（2016）</w:t>
            </w:r>
          </w:p>
        </w:tc>
        <w:tc>
          <w:tcPr>
            <w:tcW w:w="7512" w:type="dxa"/>
            <w:vAlign w:val="center"/>
          </w:tcPr>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从事畜禽规模养殖应按照国家有关规定收集、贮存、利用或者处理养殖过程中产生的粪便，防止污染环境。</w:t>
            </w:r>
          </w:p>
        </w:tc>
        <w:tc>
          <w:tcPr>
            <w:tcW w:w="4536" w:type="dxa"/>
            <w:vAlign w:val="center"/>
          </w:tcPr>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highlight w:val="none"/>
                <w:lang w:val="en-US" w:eastAsia="zh-CN"/>
              </w:rPr>
              <w:t>项目</w:t>
            </w:r>
            <w:r>
              <w:rPr>
                <w:rFonts w:hint="default" w:ascii="Arial" w:hAnsi="Arial" w:eastAsia="宋体" w:cs="Arial"/>
                <w:color w:val="auto"/>
                <w:sz w:val="21"/>
                <w:szCs w:val="21"/>
                <w:highlight w:val="none"/>
                <w:lang w:eastAsia="zh-CN"/>
              </w:rPr>
              <w:t>牛粪便经</w:t>
            </w:r>
            <w:r>
              <w:rPr>
                <w:rFonts w:hint="default" w:ascii="Arial" w:hAnsi="Arial" w:eastAsia="宋体" w:cs="Arial"/>
                <w:color w:val="auto"/>
                <w:sz w:val="21"/>
                <w:szCs w:val="21"/>
                <w:highlight w:val="none"/>
                <w:lang w:val="en-US" w:eastAsia="zh-CN"/>
              </w:rPr>
              <w:t>堆肥场储存并堆肥</w:t>
            </w:r>
            <w:r>
              <w:rPr>
                <w:rFonts w:hint="default" w:ascii="Arial" w:hAnsi="Arial" w:eastAsia="宋体" w:cs="Arial"/>
                <w:color w:val="auto"/>
                <w:sz w:val="21"/>
                <w:szCs w:val="21"/>
                <w:highlight w:val="none"/>
                <w:lang w:eastAsia="zh-CN"/>
              </w:rPr>
              <w:t>后，作为有机肥还田利用；</w:t>
            </w:r>
            <w:r>
              <w:rPr>
                <w:rFonts w:hint="default" w:ascii="Arial" w:hAnsi="Arial" w:eastAsia="宋体" w:cs="Arial"/>
                <w:color w:val="auto"/>
                <w:sz w:val="21"/>
                <w:szCs w:val="21"/>
                <w:highlight w:val="none"/>
              </w:rPr>
              <w:t>无害化</w:t>
            </w:r>
            <w:r>
              <w:rPr>
                <w:rFonts w:hint="default" w:ascii="Arial" w:hAnsi="Arial" w:eastAsia="宋体" w:cs="Arial"/>
                <w:color w:val="auto"/>
                <w:sz w:val="21"/>
                <w:szCs w:val="21"/>
                <w:highlight w:val="none"/>
                <w:lang w:val="en-US" w:eastAsia="zh-CN"/>
              </w:rPr>
              <w:t>后还田</w:t>
            </w:r>
            <w:r>
              <w:rPr>
                <w:rFonts w:hint="default" w:ascii="Arial" w:hAnsi="Arial" w:eastAsia="宋体" w:cs="Arial"/>
                <w:color w:val="auto"/>
                <w:sz w:val="21"/>
                <w:szCs w:val="21"/>
                <w:highlight w:val="none"/>
              </w:rPr>
              <w:t>综合利用</w:t>
            </w:r>
            <w:r>
              <w:rPr>
                <w:rFonts w:hint="default" w:ascii="Arial" w:hAnsi="Arial" w:eastAsia="宋体" w:cs="Arial"/>
                <w:color w:val="auto"/>
                <w:sz w:val="21"/>
                <w:szCs w:val="21"/>
                <w:highlight w:val="none"/>
                <w:lang w:eastAsia="zh-CN"/>
              </w:rPr>
              <w:t>，</w:t>
            </w:r>
            <w:r>
              <w:rPr>
                <w:rFonts w:hint="default" w:ascii="Arial" w:hAnsi="Arial" w:eastAsia="宋体" w:cs="Arial"/>
                <w:color w:val="auto"/>
                <w:sz w:val="21"/>
                <w:szCs w:val="21"/>
                <w:highlight w:val="none"/>
                <w:lang w:val="en-US" w:eastAsia="zh-CN"/>
              </w:rPr>
              <w:t>不污染环境。</w:t>
            </w:r>
          </w:p>
        </w:tc>
        <w:tc>
          <w:tcPr>
            <w:tcW w:w="673"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符合</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668"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《中华人民共和国畜牧法》（2015）</w:t>
            </w:r>
          </w:p>
        </w:tc>
        <w:tc>
          <w:tcPr>
            <w:tcW w:w="7512" w:type="dxa"/>
            <w:vAlign w:val="center"/>
          </w:tcPr>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畜禽养殖场、养殖小区应当保证畜禽粪便、废水及其他固体废弃物综合利用或者无害化处理设施的正常运转，保证污染物达标排放，防止污染环境。</w:t>
            </w:r>
          </w:p>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禁止在生活饮用水的水源保护区，风景名胜区，以及自然保护区的核心区和缓冲区；城镇居民区、文化教育科学研究区等人口集中区域；法律法规规定的其他禁养区域内建设畜禽养殖场、养殖小区。</w:t>
            </w:r>
          </w:p>
        </w:tc>
        <w:tc>
          <w:tcPr>
            <w:tcW w:w="4536" w:type="dxa"/>
            <w:vAlign w:val="center"/>
          </w:tcPr>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sz w:val="21"/>
                <w:szCs w:val="21"/>
                <w:highlight w:val="none"/>
                <w:lang w:eastAsia="zh-CN"/>
              </w:rPr>
            </w:pPr>
            <w:r>
              <w:rPr>
                <w:rFonts w:hint="default" w:ascii="Arial" w:hAnsi="Arial" w:eastAsia="宋体" w:cs="Arial"/>
                <w:color w:val="auto"/>
                <w:sz w:val="21"/>
                <w:szCs w:val="21"/>
                <w:highlight w:val="none"/>
                <w:lang w:eastAsia="zh-CN"/>
              </w:rPr>
              <w:t>项目牛粪便经</w:t>
            </w:r>
            <w:r>
              <w:rPr>
                <w:rFonts w:hint="default" w:ascii="Arial" w:hAnsi="Arial" w:eastAsia="宋体" w:cs="Arial"/>
                <w:color w:val="auto"/>
                <w:sz w:val="21"/>
                <w:szCs w:val="21"/>
                <w:highlight w:val="none"/>
                <w:lang w:val="en-US" w:eastAsia="zh-CN"/>
              </w:rPr>
              <w:t>堆肥场储存并堆肥</w:t>
            </w:r>
            <w:r>
              <w:rPr>
                <w:rFonts w:hint="default" w:ascii="Arial" w:hAnsi="Arial" w:eastAsia="宋体" w:cs="Arial"/>
                <w:color w:val="auto"/>
                <w:sz w:val="21"/>
                <w:szCs w:val="21"/>
                <w:highlight w:val="none"/>
                <w:lang w:eastAsia="zh-CN"/>
              </w:rPr>
              <w:t>后，作为有机肥还田利用；</w:t>
            </w:r>
            <w:r>
              <w:rPr>
                <w:rFonts w:hint="default" w:ascii="Arial" w:hAnsi="Arial" w:eastAsia="宋体" w:cs="Arial"/>
                <w:color w:val="auto"/>
                <w:sz w:val="21"/>
                <w:szCs w:val="21"/>
                <w:highlight w:val="none"/>
              </w:rPr>
              <w:t>无害化处理还田，符合要求。</w:t>
            </w:r>
          </w:p>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项目选址不在生活饮用水的水源保护区，风景名胜区</w:t>
            </w:r>
            <w:r>
              <w:rPr>
                <w:rFonts w:hint="default" w:ascii="Arial" w:hAnsi="Arial" w:eastAsia="宋体" w:cs="Arial"/>
                <w:color w:val="auto"/>
                <w:sz w:val="21"/>
                <w:szCs w:val="21"/>
                <w:highlight w:val="none"/>
                <w:lang w:eastAsia="zh-CN"/>
              </w:rPr>
              <w:t>，</w:t>
            </w:r>
            <w:r>
              <w:rPr>
                <w:rFonts w:hint="default" w:ascii="Arial" w:hAnsi="Arial" w:eastAsia="宋体" w:cs="Arial"/>
                <w:color w:val="auto"/>
                <w:sz w:val="21"/>
                <w:szCs w:val="21"/>
                <w:highlight w:val="none"/>
              </w:rPr>
              <w:t>自然保护区；城镇居民区、文化教育科学研究区等人口集中区域；法律法规规定的其他禁养区域内建设畜禽养殖场、养殖小区。</w:t>
            </w:r>
          </w:p>
        </w:tc>
        <w:tc>
          <w:tcPr>
            <w:tcW w:w="673"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符合</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668"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《中华人民共和国农业法》（2013修正）</w:t>
            </w:r>
          </w:p>
        </w:tc>
        <w:tc>
          <w:tcPr>
            <w:tcW w:w="7512" w:type="dxa"/>
            <w:vAlign w:val="center"/>
          </w:tcPr>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从事畜禽规模养殖的单位和个人应对粪便、废水及废弃物进行无害化处理或者综合利用。</w:t>
            </w:r>
          </w:p>
        </w:tc>
        <w:tc>
          <w:tcPr>
            <w:tcW w:w="4536" w:type="dxa"/>
            <w:vAlign w:val="center"/>
          </w:tcPr>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lang w:eastAsia="zh-CN"/>
              </w:rPr>
              <w:t>项目牛粪便经</w:t>
            </w:r>
            <w:r>
              <w:rPr>
                <w:rFonts w:hint="default" w:ascii="Arial" w:hAnsi="Arial" w:eastAsia="宋体" w:cs="Arial"/>
                <w:color w:val="auto"/>
                <w:sz w:val="21"/>
                <w:szCs w:val="21"/>
                <w:highlight w:val="none"/>
                <w:lang w:val="en-US" w:eastAsia="zh-CN"/>
              </w:rPr>
              <w:t>堆肥场储存并堆肥</w:t>
            </w:r>
            <w:r>
              <w:rPr>
                <w:rFonts w:hint="default" w:ascii="Arial" w:hAnsi="Arial" w:eastAsia="宋体" w:cs="Arial"/>
                <w:color w:val="auto"/>
                <w:sz w:val="21"/>
                <w:szCs w:val="21"/>
                <w:highlight w:val="none"/>
                <w:lang w:eastAsia="zh-CN"/>
              </w:rPr>
              <w:t>后，作为有机肥还田利用；</w:t>
            </w:r>
            <w:r>
              <w:rPr>
                <w:rFonts w:hint="default" w:ascii="Arial" w:hAnsi="Arial" w:eastAsia="宋体" w:cs="Arial"/>
                <w:color w:val="auto"/>
                <w:sz w:val="21"/>
                <w:szCs w:val="21"/>
                <w:highlight w:val="none"/>
              </w:rPr>
              <w:t>无害化处理还田，符合要求。</w:t>
            </w:r>
          </w:p>
        </w:tc>
        <w:tc>
          <w:tcPr>
            <w:tcW w:w="673"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符合</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668" w:type="dxa"/>
            <w:vMerge w:val="restart"/>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《畜禽规模养殖污染防治条例》（国务院令第643号）</w:t>
            </w:r>
          </w:p>
        </w:tc>
        <w:tc>
          <w:tcPr>
            <w:tcW w:w="7512" w:type="dxa"/>
            <w:vAlign w:val="center"/>
          </w:tcPr>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第十一条禁止在下列区域内建设畜禽养殖场、养殖小区：（一）饮用水水源保护区，风景名胜区；（二）自然保护区的核心区和缓冲区；（三）城镇居民区、文化教育科学研究区等人口集中区域；（四）法律、法规规定的其他禁止养殖区域。</w:t>
            </w:r>
          </w:p>
        </w:tc>
        <w:tc>
          <w:tcPr>
            <w:tcW w:w="4536" w:type="dxa"/>
            <w:vAlign w:val="center"/>
          </w:tcPr>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项目建设区域</w:t>
            </w:r>
            <w:r>
              <w:rPr>
                <w:rFonts w:hint="default" w:ascii="Arial" w:hAnsi="Arial" w:eastAsia="宋体" w:cs="Arial"/>
                <w:color w:val="auto"/>
                <w:sz w:val="21"/>
                <w:szCs w:val="21"/>
                <w:highlight w:val="none"/>
                <w:lang w:eastAsia="zh-CN"/>
              </w:rPr>
              <w:t>周边</w:t>
            </w:r>
            <w:r>
              <w:rPr>
                <w:rFonts w:hint="default" w:ascii="Arial" w:hAnsi="Arial" w:eastAsia="宋体" w:cs="Arial"/>
                <w:color w:val="auto"/>
                <w:sz w:val="21"/>
                <w:szCs w:val="21"/>
                <w:highlight w:val="none"/>
              </w:rPr>
              <w:t>无（一）饮用水水源保护区，风景名胜区；（二）自然保护区的核心区和缓冲区；（三）城镇居民区、文化教育科学研究区等人口集中区域；（四）法律、法规规定的其他禁止养殖区域，符合要求。</w:t>
            </w:r>
          </w:p>
        </w:tc>
        <w:tc>
          <w:tcPr>
            <w:tcW w:w="673"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符合</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668" w:type="dxa"/>
            <w:vMerge w:val="continue"/>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p>
        </w:tc>
        <w:tc>
          <w:tcPr>
            <w:tcW w:w="7512" w:type="dxa"/>
            <w:vAlign w:val="center"/>
          </w:tcPr>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第十三条畜禽养殖场、养殖小区应当根据养殖规模和污染防治需要，建设相应的畜禽粪便、污水与雨水分流设施，畜禽粪便、污水的贮存设施，粪污厌氧消化和堆沤、有机肥加工、制取沼气、沼渣沼液分离和输送、污水处理、畜禽尸体处理等综合利用和无害化处理设施。</w:t>
            </w:r>
          </w:p>
        </w:tc>
        <w:tc>
          <w:tcPr>
            <w:tcW w:w="4536" w:type="dxa"/>
            <w:vAlign w:val="center"/>
          </w:tcPr>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项目全场采取雨污分流，设置</w:t>
            </w:r>
            <w:r>
              <w:rPr>
                <w:rFonts w:hint="default" w:ascii="Arial" w:hAnsi="Arial" w:eastAsia="宋体" w:cs="Arial"/>
                <w:color w:val="auto"/>
                <w:sz w:val="21"/>
                <w:szCs w:val="21"/>
                <w:highlight w:val="none"/>
                <w:lang w:eastAsia="zh-CN"/>
              </w:rPr>
              <w:t>堆肥场</w:t>
            </w:r>
            <w:r>
              <w:rPr>
                <w:rFonts w:hint="default" w:ascii="Arial" w:hAnsi="Arial" w:eastAsia="宋体" w:cs="Arial"/>
                <w:color w:val="auto"/>
                <w:sz w:val="21"/>
                <w:szCs w:val="21"/>
                <w:highlight w:val="none"/>
              </w:rPr>
              <w:t>等粪污处理设施，项目采用干清粪工艺，</w:t>
            </w:r>
            <w:r>
              <w:rPr>
                <w:rFonts w:hint="default" w:ascii="Arial" w:hAnsi="Arial" w:eastAsia="宋体" w:cs="Arial"/>
                <w:color w:val="auto"/>
                <w:sz w:val="21"/>
                <w:szCs w:val="21"/>
                <w:highlight w:val="none"/>
                <w:lang w:eastAsia="zh-CN"/>
              </w:rPr>
              <w:t>项目牛粪便经</w:t>
            </w:r>
            <w:r>
              <w:rPr>
                <w:rFonts w:hint="default" w:ascii="Arial" w:hAnsi="Arial" w:eastAsia="宋体" w:cs="Arial"/>
                <w:color w:val="auto"/>
                <w:sz w:val="21"/>
                <w:szCs w:val="21"/>
                <w:highlight w:val="none"/>
                <w:lang w:val="en-US" w:eastAsia="zh-CN"/>
              </w:rPr>
              <w:t>堆肥场储存并堆肥</w:t>
            </w:r>
            <w:r>
              <w:rPr>
                <w:rFonts w:hint="default" w:ascii="Arial" w:hAnsi="Arial" w:eastAsia="宋体" w:cs="Arial"/>
                <w:color w:val="auto"/>
                <w:sz w:val="21"/>
                <w:szCs w:val="21"/>
                <w:highlight w:val="none"/>
                <w:lang w:eastAsia="zh-CN"/>
              </w:rPr>
              <w:t>后，作为有机肥还田利用；</w:t>
            </w:r>
            <w:r>
              <w:rPr>
                <w:rFonts w:hint="default" w:ascii="Arial" w:hAnsi="Arial" w:eastAsia="宋体" w:cs="Arial"/>
                <w:color w:val="auto"/>
                <w:sz w:val="21"/>
                <w:szCs w:val="21"/>
                <w:highlight w:val="none"/>
              </w:rPr>
              <w:t>无害化处理还田，符合要求。</w:t>
            </w:r>
          </w:p>
        </w:tc>
        <w:tc>
          <w:tcPr>
            <w:tcW w:w="673"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符合</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668" w:type="dxa"/>
            <w:vMerge w:val="continue"/>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p>
        </w:tc>
        <w:tc>
          <w:tcPr>
            <w:tcW w:w="7512" w:type="dxa"/>
            <w:vAlign w:val="center"/>
          </w:tcPr>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第十五条国家鼓励和支持采取粪肥还田、制取沼气、制造有机肥等方法，对畜禽养殖废弃物进行综合利用。</w:t>
            </w:r>
          </w:p>
        </w:tc>
        <w:tc>
          <w:tcPr>
            <w:tcW w:w="4536" w:type="dxa"/>
            <w:vAlign w:val="center"/>
          </w:tcPr>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lang w:eastAsia="zh-CN"/>
              </w:rPr>
              <w:t>项目牛粪便经</w:t>
            </w:r>
            <w:r>
              <w:rPr>
                <w:rFonts w:hint="default" w:ascii="Arial" w:hAnsi="Arial" w:eastAsia="宋体" w:cs="Arial"/>
                <w:color w:val="auto"/>
                <w:sz w:val="21"/>
                <w:szCs w:val="21"/>
                <w:highlight w:val="none"/>
                <w:lang w:val="en-US" w:eastAsia="zh-CN"/>
              </w:rPr>
              <w:t>堆肥场储存并堆肥</w:t>
            </w:r>
            <w:r>
              <w:rPr>
                <w:rFonts w:hint="default" w:ascii="Arial" w:hAnsi="Arial" w:eastAsia="宋体" w:cs="Arial"/>
                <w:color w:val="auto"/>
                <w:sz w:val="21"/>
                <w:szCs w:val="21"/>
                <w:highlight w:val="none"/>
                <w:lang w:eastAsia="zh-CN"/>
              </w:rPr>
              <w:t>后，作为有机肥还田利用；</w:t>
            </w:r>
            <w:r>
              <w:rPr>
                <w:rFonts w:hint="default" w:ascii="Arial" w:hAnsi="Arial" w:eastAsia="宋体" w:cs="Arial"/>
                <w:color w:val="auto"/>
                <w:sz w:val="21"/>
                <w:szCs w:val="21"/>
                <w:highlight w:val="none"/>
              </w:rPr>
              <w:t>无害化处理还田，符合要求。</w:t>
            </w:r>
          </w:p>
        </w:tc>
        <w:tc>
          <w:tcPr>
            <w:tcW w:w="673"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符合</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668" w:type="dxa"/>
            <w:vMerge w:val="continue"/>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p>
        </w:tc>
        <w:tc>
          <w:tcPr>
            <w:tcW w:w="7512" w:type="dxa"/>
            <w:vAlign w:val="center"/>
          </w:tcPr>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第十六条国家鼓励和支持采取种植和养殖相结合的方式消纳利用畜禽养殖废弃物，促进畜禽粪便、污水等废弃物就地就近利用。</w:t>
            </w:r>
          </w:p>
        </w:tc>
        <w:tc>
          <w:tcPr>
            <w:tcW w:w="4536" w:type="dxa"/>
            <w:vAlign w:val="center"/>
          </w:tcPr>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lang w:val="en-US" w:eastAsia="zh-CN"/>
              </w:rPr>
              <w:t>项目</w:t>
            </w:r>
            <w:r>
              <w:rPr>
                <w:rFonts w:hint="default" w:ascii="Arial" w:hAnsi="Arial" w:eastAsia="宋体" w:cs="Arial"/>
                <w:color w:val="auto"/>
                <w:sz w:val="21"/>
                <w:szCs w:val="21"/>
                <w:highlight w:val="none"/>
                <w:lang w:eastAsia="zh-CN"/>
              </w:rPr>
              <w:t>牛粪便经</w:t>
            </w:r>
            <w:r>
              <w:rPr>
                <w:rFonts w:hint="default" w:ascii="Arial" w:hAnsi="Arial" w:eastAsia="宋体" w:cs="Arial"/>
                <w:color w:val="auto"/>
                <w:sz w:val="21"/>
                <w:szCs w:val="21"/>
                <w:highlight w:val="none"/>
                <w:lang w:val="en-US" w:eastAsia="zh-CN"/>
              </w:rPr>
              <w:t>堆肥场储存并堆肥</w:t>
            </w:r>
            <w:r>
              <w:rPr>
                <w:rFonts w:hint="default" w:ascii="Arial" w:hAnsi="Arial" w:eastAsia="宋体" w:cs="Arial"/>
                <w:color w:val="auto"/>
                <w:sz w:val="21"/>
                <w:szCs w:val="21"/>
                <w:highlight w:val="none"/>
                <w:lang w:eastAsia="zh-CN"/>
              </w:rPr>
              <w:t>后，作为有机肥还田利用；</w:t>
            </w:r>
            <w:r>
              <w:rPr>
                <w:rFonts w:hint="default" w:ascii="Arial" w:hAnsi="Arial" w:eastAsia="宋体" w:cs="Arial"/>
                <w:color w:val="auto"/>
                <w:sz w:val="21"/>
                <w:szCs w:val="21"/>
                <w:highlight w:val="none"/>
              </w:rPr>
              <w:t>无害化处理还田，符合要求。</w:t>
            </w:r>
          </w:p>
        </w:tc>
        <w:tc>
          <w:tcPr>
            <w:tcW w:w="673"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符合</w:t>
            </w:r>
          </w:p>
        </w:tc>
      </w:tr>
    </w:tbl>
    <w:p>
      <w:pPr>
        <w:ind w:firstLine="480"/>
        <w:rPr>
          <w:rFonts w:hint="default" w:ascii="Arial" w:hAnsi="Arial" w:eastAsia="宋体" w:cs="Arial"/>
          <w:color w:val="auto"/>
          <w:highlight w:val="none"/>
        </w:rPr>
      </w:pPr>
      <w:r>
        <w:rPr>
          <w:rFonts w:hint="default" w:ascii="Arial" w:hAnsi="Arial" w:eastAsia="宋体" w:cs="Arial"/>
          <w:color w:val="auto"/>
          <w:highlight w:val="none"/>
        </w:rPr>
        <w:t>根据上表的分析可知，本项目的建设可满足养殖类相关法律、法规及相关政策的要求。</w:t>
      </w:r>
    </w:p>
    <w:p>
      <w:pPr>
        <w:ind w:firstLine="480"/>
        <w:rPr>
          <w:rFonts w:hint="default" w:ascii="Arial" w:hAnsi="Arial" w:eastAsia="宋体" w:cs="Arial"/>
          <w:color w:val="auto"/>
          <w:highlight w:val="none"/>
        </w:rPr>
      </w:pPr>
      <w:r>
        <w:rPr>
          <w:rFonts w:hint="default" w:ascii="Arial" w:hAnsi="Arial" w:eastAsia="宋体" w:cs="Arial"/>
          <w:color w:val="auto"/>
          <w:highlight w:val="none"/>
        </w:rPr>
        <w:br w:type="page"/>
      </w:r>
    </w:p>
    <w:p>
      <w:pPr>
        <w:pStyle w:val="8"/>
        <w:rPr>
          <w:rFonts w:hint="default" w:ascii="Arial" w:hAnsi="Arial" w:eastAsia="宋体" w:cs="Arial"/>
          <w:color w:val="auto"/>
          <w:highlight w:val="none"/>
        </w:rPr>
      </w:pPr>
      <w:r>
        <w:rPr>
          <w:rFonts w:hint="default" w:ascii="Arial" w:hAnsi="Arial" w:eastAsia="宋体" w:cs="Arial"/>
          <w:color w:val="auto"/>
          <w:highlight w:val="none"/>
        </w:rPr>
        <w:t>表2.7-2    本项目建设与畜禽养殖污染防治的相关规范符合性分析</w:t>
      </w:r>
    </w:p>
    <w:tbl>
      <w:tblPr>
        <w:tblStyle w:val="39"/>
        <w:tblW w:w="14389" w:type="dxa"/>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1101"/>
        <w:gridCol w:w="992"/>
        <w:gridCol w:w="6237"/>
        <w:gridCol w:w="5386"/>
        <w:gridCol w:w="673"/>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093" w:type="dxa"/>
            <w:gridSpan w:val="2"/>
            <w:vAlign w:val="center"/>
          </w:tcPr>
          <w:p>
            <w:pPr>
              <w:pStyle w:val="63"/>
              <w:rPr>
                <w:rFonts w:hint="default" w:ascii="Arial" w:hAnsi="Arial" w:eastAsia="宋体" w:cs="Arial"/>
                <w:b/>
                <w:bCs/>
                <w:color w:val="auto"/>
                <w:sz w:val="21"/>
                <w:szCs w:val="21"/>
                <w:highlight w:val="none"/>
              </w:rPr>
            </w:pPr>
            <w:r>
              <w:rPr>
                <w:rFonts w:hint="default" w:ascii="Arial" w:hAnsi="Arial" w:eastAsia="宋体" w:cs="Arial"/>
                <w:b/>
                <w:bCs/>
                <w:color w:val="auto"/>
                <w:sz w:val="21"/>
                <w:szCs w:val="21"/>
                <w:highlight w:val="none"/>
              </w:rPr>
              <w:t>类别</w:t>
            </w:r>
          </w:p>
        </w:tc>
        <w:tc>
          <w:tcPr>
            <w:tcW w:w="6237" w:type="dxa"/>
            <w:vAlign w:val="center"/>
          </w:tcPr>
          <w:p>
            <w:pPr>
              <w:pStyle w:val="63"/>
              <w:rPr>
                <w:rFonts w:hint="default" w:ascii="Arial" w:hAnsi="Arial" w:eastAsia="宋体" w:cs="Arial"/>
                <w:b/>
                <w:bCs/>
                <w:color w:val="auto"/>
                <w:sz w:val="21"/>
                <w:szCs w:val="21"/>
                <w:highlight w:val="none"/>
              </w:rPr>
            </w:pPr>
            <w:r>
              <w:rPr>
                <w:rFonts w:hint="default" w:ascii="Arial" w:hAnsi="Arial" w:eastAsia="宋体" w:cs="Arial"/>
                <w:b/>
                <w:bCs/>
                <w:color w:val="auto"/>
                <w:sz w:val="21"/>
                <w:szCs w:val="21"/>
                <w:highlight w:val="none"/>
              </w:rPr>
              <w:t>相关规定</w:t>
            </w:r>
          </w:p>
        </w:tc>
        <w:tc>
          <w:tcPr>
            <w:tcW w:w="5386" w:type="dxa"/>
            <w:vAlign w:val="center"/>
          </w:tcPr>
          <w:p>
            <w:pPr>
              <w:pStyle w:val="63"/>
              <w:rPr>
                <w:rFonts w:hint="default" w:ascii="Arial" w:hAnsi="Arial" w:eastAsia="宋体" w:cs="Arial"/>
                <w:b/>
                <w:bCs/>
                <w:color w:val="auto"/>
                <w:sz w:val="21"/>
                <w:szCs w:val="21"/>
                <w:highlight w:val="none"/>
              </w:rPr>
            </w:pPr>
            <w:r>
              <w:rPr>
                <w:rFonts w:hint="default" w:ascii="Arial" w:hAnsi="Arial" w:eastAsia="宋体" w:cs="Arial"/>
                <w:b/>
                <w:bCs/>
                <w:color w:val="auto"/>
                <w:sz w:val="21"/>
                <w:szCs w:val="21"/>
                <w:highlight w:val="none"/>
              </w:rPr>
              <w:t>本项目情况</w:t>
            </w:r>
          </w:p>
        </w:tc>
        <w:tc>
          <w:tcPr>
            <w:tcW w:w="673" w:type="dxa"/>
            <w:vAlign w:val="center"/>
          </w:tcPr>
          <w:p>
            <w:pPr>
              <w:pStyle w:val="63"/>
              <w:rPr>
                <w:rFonts w:hint="default" w:ascii="Arial" w:hAnsi="Arial" w:eastAsia="宋体" w:cs="Arial"/>
                <w:b/>
                <w:bCs/>
                <w:color w:val="auto"/>
                <w:sz w:val="21"/>
                <w:szCs w:val="21"/>
                <w:highlight w:val="none"/>
              </w:rPr>
            </w:pPr>
            <w:r>
              <w:rPr>
                <w:rFonts w:hint="default" w:ascii="Arial" w:hAnsi="Arial" w:eastAsia="宋体" w:cs="Arial"/>
                <w:b/>
                <w:bCs/>
                <w:color w:val="auto"/>
                <w:sz w:val="21"/>
                <w:szCs w:val="21"/>
                <w:highlight w:val="none"/>
              </w:rPr>
              <w:t>符合情况</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101" w:type="dxa"/>
            <w:vMerge w:val="restart"/>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《畜禽养殖业污染治理工程技术规范》（HJ497-2009）</w:t>
            </w:r>
          </w:p>
        </w:tc>
        <w:tc>
          <w:tcPr>
            <w:tcW w:w="992" w:type="dxa"/>
            <w:vMerge w:val="restart"/>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场区布局与清粪工艺</w:t>
            </w:r>
          </w:p>
        </w:tc>
        <w:tc>
          <w:tcPr>
            <w:tcW w:w="6237" w:type="dxa"/>
            <w:vAlign w:val="center"/>
          </w:tcPr>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4.1新建、改建、扩建的畜禽养殖场应实现生产区、生活管理区的隔离，粪便污水处理设施和禽畜尸体焚烧炉应设在养殖场的生产区、生活管理区的常年主导风向的下风向或侧风向处。</w:t>
            </w:r>
          </w:p>
        </w:tc>
        <w:tc>
          <w:tcPr>
            <w:tcW w:w="5386" w:type="dxa"/>
            <w:vAlign w:val="center"/>
          </w:tcPr>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sz w:val="21"/>
                <w:szCs w:val="21"/>
                <w:highlight w:val="none"/>
                <w:lang w:eastAsia="zh-CN"/>
              </w:rPr>
            </w:pPr>
            <w:r>
              <w:rPr>
                <w:rFonts w:hint="default" w:ascii="Arial" w:hAnsi="Arial" w:eastAsia="宋体" w:cs="Arial"/>
                <w:color w:val="auto"/>
                <w:sz w:val="21"/>
                <w:szCs w:val="21"/>
                <w:highlight w:val="none"/>
              </w:rPr>
              <w:t>项目生活管理区与生产区、</w:t>
            </w:r>
            <w:r>
              <w:rPr>
                <w:rFonts w:hint="default" w:ascii="Arial" w:hAnsi="Arial" w:eastAsia="宋体" w:cs="Arial"/>
                <w:color w:val="auto"/>
                <w:sz w:val="21"/>
                <w:szCs w:val="21"/>
                <w:highlight w:val="none"/>
                <w:lang w:eastAsia="zh-CN"/>
              </w:rPr>
              <w:t>堆肥场</w:t>
            </w:r>
            <w:r>
              <w:rPr>
                <w:rFonts w:hint="default" w:ascii="Arial" w:hAnsi="Arial" w:eastAsia="宋体" w:cs="Arial"/>
                <w:color w:val="auto"/>
                <w:sz w:val="21"/>
                <w:szCs w:val="21"/>
                <w:highlight w:val="none"/>
                <w:lang w:val="en-US" w:eastAsia="zh-CN"/>
              </w:rPr>
              <w:t>隔离</w:t>
            </w:r>
            <w:r>
              <w:rPr>
                <w:rFonts w:hint="default" w:ascii="Arial" w:hAnsi="Arial" w:eastAsia="宋体" w:cs="Arial"/>
                <w:color w:val="auto"/>
                <w:sz w:val="21"/>
                <w:szCs w:val="21"/>
                <w:highlight w:val="none"/>
              </w:rPr>
              <w:t>设置</w:t>
            </w:r>
            <w:r>
              <w:rPr>
                <w:rFonts w:hint="default" w:ascii="Arial" w:hAnsi="Arial" w:eastAsia="宋体" w:cs="Arial"/>
                <w:color w:val="auto"/>
                <w:sz w:val="21"/>
                <w:szCs w:val="21"/>
                <w:highlight w:val="none"/>
                <w:lang w:eastAsia="zh-CN"/>
              </w:rPr>
              <w:t>；</w:t>
            </w:r>
          </w:p>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sz w:val="21"/>
                <w:szCs w:val="21"/>
                <w:highlight w:val="none"/>
                <w:lang w:eastAsia="zh-CN"/>
              </w:rPr>
            </w:pPr>
            <w:r>
              <w:rPr>
                <w:rFonts w:hint="default" w:ascii="Arial" w:hAnsi="Arial" w:eastAsia="宋体" w:cs="Arial"/>
                <w:color w:val="auto"/>
                <w:sz w:val="21"/>
                <w:szCs w:val="21"/>
                <w:highlight w:val="none"/>
              </w:rPr>
              <w:t>项目</w:t>
            </w:r>
            <w:r>
              <w:rPr>
                <w:rFonts w:hint="default" w:ascii="Arial" w:hAnsi="Arial" w:eastAsia="宋体" w:cs="Arial"/>
                <w:color w:val="auto"/>
                <w:sz w:val="21"/>
                <w:szCs w:val="21"/>
                <w:highlight w:val="none"/>
                <w:lang w:eastAsia="zh-CN"/>
              </w:rPr>
              <w:t>堆肥场</w:t>
            </w:r>
            <w:r>
              <w:rPr>
                <w:rFonts w:hint="default" w:ascii="Arial" w:hAnsi="Arial" w:eastAsia="宋体" w:cs="Arial"/>
                <w:color w:val="auto"/>
                <w:sz w:val="21"/>
                <w:szCs w:val="21"/>
                <w:highlight w:val="none"/>
              </w:rPr>
              <w:t>位于养殖区及生活区的</w:t>
            </w:r>
            <w:r>
              <w:rPr>
                <w:rFonts w:hint="default" w:ascii="Arial" w:hAnsi="Arial" w:eastAsia="宋体" w:cs="Arial"/>
                <w:color w:val="auto"/>
                <w:sz w:val="21"/>
                <w:szCs w:val="21"/>
                <w:highlight w:val="none"/>
                <w:lang w:val="en-US" w:eastAsia="zh-CN"/>
              </w:rPr>
              <w:t>当地</w:t>
            </w:r>
            <w:r>
              <w:rPr>
                <w:rFonts w:hint="default" w:ascii="Arial" w:hAnsi="Arial" w:eastAsia="宋体" w:cs="Arial"/>
                <w:color w:val="auto"/>
                <w:sz w:val="21"/>
                <w:szCs w:val="21"/>
                <w:highlight w:val="none"/>
              </w:rPr>
              <w:t>20年主</w:t>
            </w:r>
            <w:r>
              <w:rPr>
                <w:rFonts w:hint="default" w:ascii="Arial" w:hAnsi="Arial" w:eastAsia="宋体" w:cs="Arial"/>
                <w:color w:val="auto"/>
                <w:sz w:val="21"/>
                <w:szCs w:val="21"/>
                <w:highlight w:val="none"/>
                <w:lang w:eastAsia="zh-CN"/>
              </w:rPr>
              <w:t>导</w:t>
            </w:r>
            <w:r>
              <w:rPr>
                <w:rFonts w:hint="default" w:ascii="Arial" w:hAnsi="Arial" w:eastAsia="宋体" w:cs="Arial"/>
                <w:color w:val="auto"/>
                <w:sz w:val="21"/>
                <w:szCs w:val="21"/>
                <w:highlight w:val="none"/>
              </w:rPr>
              <w:t>风向的</w:t>
            </w:r>
            <w:r>
              <w:rPr>
                <w:rFonts w:hint="default" w:ascii="Arial" w:hAnsi="Arial" w:eastAsia="宋体" w:cs="Arial"/>
                <w:color w:val="auto"/>
                <w:sz w:val="21"/>
                <w:szCs w:val="21"/>
                <w:highlight w:val="none"/>
                <w:lang w:eastAsia="zh-CN"/>
              </w:rPr>
              <w:t>侧</w:t>
            </w:r>
            <w:r>
              <w:rPr>
                <w:rFonts w:hint="default" w:ascii="Arial" w:hAnsi="Arial" w:eastAsia="宋体" w:cs="Arial"/>
                <w:color w:val="auto"/>
                <w:sz w:val="21"/>
                <w:szCs w:val="21"/>
                <w:highlight w:val="none"/>
              </w:rPr>
              <w:t>风向</w:t>
            </w:r>
            <w:r>
              <w:rPr>
                <w:rFonts w:hint="default" w:ascii="Arial" w:hAnsi="Arial" w:eastAsia="宋体" w:cs="Arial"/>
                <w:color w:val="auto"/>
                <w:sz w:val="21"/>
                <w:szCs w:val="21"/>
                <w:highlight w:val="none"/>
                <w:lang w:eastAsia="zh-CN"/>
              </w:rPr>
              <w:t>。</w:t>
            </w:r>
          </w:p>
        </w:tc>
        <w:tc>
          <w:tcPr>
            <w:tcW w:w="673"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符合</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101" w:type="dxa"/>
            <w:vMerge w:val="continue"/>
            <w:vAlign w:val="center"/>
          </w:tcPr>
          <w:p>
            <w:pPr>
              <w:pStyle w:val="63"/>
              <w:rPr>
                <w:rFonts w:hint="default" w:ascii="Arial" w:hAnsi="Arial" w:eastAsia="宋体" w:cs="Arial"/>
                <w:color w:val="auto"/>
                <w:sz w:val="21"/>
                <w:szCs w:val="21"/>
                <w:highlight w:val="none"/>
              </w:rPr>
            </w:pPr>
          </w:p>
        </w:tc>
        <w:tc>
          <w:tcPr>
            <w:tcW w:w="992" w:type="dxa"/>
            <w:vMerge w:val="continue"/>
            <w:vAlign w:val="center"/>
          </w:tcPr>
          <w:p>
            <w:pPr>
              <w:pStyle w:val="63"/>
              <w:rPr>
                <w:rFonts w:hint="default" w:ascii="Arial" w:hAnsi="Arial" w:eastAsia="宋体" w:cs="Arial"/>
                <w:color w:val="auto"/>
                <w:sz w:val="21"/>
                <w:szCs w:val="21"/>
                <w:highlight w:val="none"/>
              </w:rPr>
            </w:pPr>
          </w:p>
        </w:tc>
        <w:tc>
          <w:tcPr>
            <w:tcW w:w="6237" w:type="dxa"/>
            <w:vAlign w:val="center"/>
          </w:tcPr>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4.2养殖场的排水系统应实行雨水和污水收集输送系统分离，在场区内外设置的污水收集输送系统，不得采取明沟布设。</w:t>
            </w:r>
          </w:p>
        </w:tc>
        <w:tc>
          <w:tcPr>
            <w:tcW w:w="5386" w:type="dxa"/>
            <w:vAlign w:val="center"/>
          </w:tcPr>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sz w:val="21"/>
                <w:szCs w:val="21"/>
                <w:highlight w:val="none"/>
                <w:lang w:eastAsia="zh-CN"/>
              </w:rPr>
            </w:pPr>
            <w:r>
              <w:rPr>
                <w:rFonts w:hint="default" w:ascii="Arial" w:hAnsi="Arial" w:eastAsia="宋体" w:cs="Arial"/>
                <w:color w:val="auto"/>
                <w:sz w:val="21"/>
                <w:szCs w:val="21"/>
                <w:highlight w:val="none"/>
                <w:lang w:eastAsia="zh-CN"/>
              </w:rPr>
              <w:t>养殖废水主要为牛舍内收集的牛尿，本项目为肉牛养殖场项目，肉牛饮用水量较少，尿液排放量较少，在养殖区（牛舍、运动场）排放的尿液大部分由于当地气候干燥挥发，剩余尿液与粪便完全粘结混合在一起，一起运往堆肥场储存并堆肥，因此，没有尿液排放；</w:t>
            </w:r>
          </w:p>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sz w:val="21"/>
                <w:szCs w:val="21"/>
                <w:highlight w:val="none"/>
                <w:lang w:eastAsia="zh-CN"/>
              </w:rPr>
            </w:pPr>
            <w:r>
              <w:rPr>
                <w:rFonts w:hint="default" w:ascii="Arial" w:hAnsi="Arial" w:eastAsia="宋体" w:cs="Arial"/>
                <w:color w:val="auto"/>
                <w:sz w:val="21"/>
                <w:szCs w:val="21"/>
                <w:highlight w:val="none"/>
                <w:lang w:eastAsia="zh-CN"/>
              </w:rPr>
              <w:t>养殖区（牛舍、运动场）场地不采取水冲洗方式清理，采用生石灰或者消毒水每周喷洒消毒2~3次，因此，养殖区（牛舍、运动场）不产生冲洗废水</w:t>
            </w:r>
            <w:r>
              <w:rPr>
                <w:rFonts w:hint="eastAsia" w:ascii="Arial" w:hAnsi="Arial" w:cs="Arial"/>
                <w:color w:val="auto"/>
                <w:sz w:val="21"/>
                <w:szCs w:val="21"/>
                <w:highlight w:val="none"/>
                <w:lang w:eastAsia="zh-CN"/>
              </w:rPr>
              <w:t>。</w:t>
            </w:r>
          </w:p>
        </w:tc>
        <w:tc>
          <w:tcPr>
            <w:tcW w:w="673"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符合</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101" w:type="dxa"/>
            <w:vMerge w:val="continue"/>
            <w:vAlign w:val="center"/>
          </w:tcPr>
          <w:p>
            <w:pPr>
              <w:pStyle w:val="63"/>
              <w:rPr>
                <w:rFonts w:hint="default" w:ascii="Arial" w:hAnsi="Arial" w:eastAsia="宋体" w:cs="Arial"/>
                <w:color w:val="auto"/>
                <w:sz w:val="21"/>
                <w:szCs w:val="21"/>
                <w:highlight w:val="none"/>
              </w:rPr>
            </w:pPr>
          </w:p>
        </w:tc>
        <w:tc>
          <w:tcPr>
            <w:tcW w:w="992" w:type="dxa"/>
            <w:vMerge w:val="continue"/>
            <w:vAlign w:val="center"/>
          </w:tcPr>
          <w:p>
            <w:pPr>
              <w:pStyle w:val="63"/>
              <w:rPr>
                <w:rFonts w:hint="default" w:ascii="Arial" w:hAnsi="Arial" w:eastAsia="宋体" w:cs="Arial"/>
                <w:color w:val="auto"/>
                <w:sz w:val="21"/>
                <w:szCs w:val="21"/>
                <w:highlight w:val="none"/>
              </w:rPr>
            </w:pPr>
          </w:p>
        </w:tc>
        <w:tc>
          <w:tcPr>
            <w:tcW w:w="6237" w:type="dxa"/>
            <w:vAlign w:val="center"/>
          </w:tcPr>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4.3新建、改建、扩建的畜禽养殖场应采取干法清粪工艺，采取有效指施将粪及时、单独清出，不可与尿、污水混合排出，并将产生的渣及时运至贮存或处理场所，实现日产日清。采用水冲、水泡粪湿法清粪工艺的养殖场，要逐步改为干法清粪工艺。</w:t>
            </w:r>
          </w:p>
        </w:tc>
        <w:tc>
          <w:tcPr>
            <w:tcW w:w="5386" w:type="dxa"/>
            <w:vAlign w:val="center"/>
          </w:tcPr>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项目采用干清粪工艺，日产日清</w:t>
            </w:r>
            <w:r>
              <w:rPr>
                <w:rFonts w:hint="default" w:ascii="Arial" w:hAnsi="Arial" w:eastAsia="宋体" w:cs="Arial"/>
                <w:color w:val="auto"/>
                <w:sz w:val="21"/>
                <w:szCs w:val="21"/>
                <w:highlight w:val="none"/>
                <w:lang w:eastAsia="zh-CN"/>
              </w:rPr>
              <w:t>，牛粪便经</w:t>
            </w:r>
            <w:r>
              <w:rPr>
                <w:rFonts w:hint="default" w:ascii="Arial" w:hAnsi="Arial" w:eastAsia="宋体" w:cs="Arial"/>
                <w:color w:val="auto"/>
                <w:sz w:val="21"/>
                <w:szCs w:val="21"/>
                <w:highlight w:val="none"/>
                <w:lang w:val="en-US" w:eastAsia="zh-CN"/>
              </w:rPr>
              <w:t>堆肥场储存并堆肥</w:t>
            </w:r>
            <w:r>
              <w:rPr>
                <w:rFonts w:hint="default" w:ascii="Arial" w:hAnsi="Arial" w:eastAsia="宋体" w:cs="Arial"/>
                <w:color w:val="auto"/>
                <w:sz w:val="21"/>
                <w:szCs w:val="21"/>
                <w:highlight w:val="none"/>
                <w:lang w:eastAsia="zh-CN"/>
              </w:rPr>
              <w:t>后，作为有机肥还田利用。</w:t>
            </w:r>
          </w:p>
        </w:tc>
        <w:tc>
          <w:tcPr>
            <w:tcW w:w="673"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符合</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101" w:type="dxa"/>
            <w:vMerge w:val="continue"/>
            <w:vAlign w:val="center"/>
          </w:tcPr>
          <w:p>
            <w:pPr>
              <w:pStyle w:val="63"/>
              <w:rPr>
                <w:rFonts w:hint="default" w:ascii="Arial" w:hAnsi="Arial" w:eastAsia="宋体" w:cs="Arial"/>
                <w:color w:val="auto"/>
                <w:sz w:val="21"/>
                <w:szCs w:val="21"/>
                <w:highlight w:val="none"/>
              </w:rPr>
            </w:pPr>
          </w:p>
        </w:tc>
        <w:tc>
          <w:tcPr>
            <w:tcW w:w="992"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畜禽粪便的贮存</w:t>
            </w:r>
          </w:p>
        </w:tc>
        <w:tc>
          <w:tcPr>
            <w:tcW w:w="6237" w:type="dxa"/>
            <w:vAlign w:val="center"/>
          </w:tcPr>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①畜禽养殖场产生的畜禽粪便应设置专门的贮存设施，其恶臭及污染物排放应符合《畜禽养殖业污染物排放标准》。</w:t>
            </w:r>
          </w:p>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②贮存设施的位置必须远离各类功能地表水体(距离不得小于400m)，并应设在养殖场生产及生活管理区的常年主导风向的下风向或侧风向处。</w:t>
            </w:r>
          </w:p>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③对于种养结合的养殖场，畜禽粪便，贮存设施的总容积不得低于当地农林作物生产用肥的最大间隔时间内本养殖场所产生粪便的总量。</w:t>
            </w:r>
          </w:p>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④贮存设施应采取设置顶盖等防止降雨(水)进入的措施。</w:t>
            </w:r>
          </w:p>
        </w:tc>
        <w:tc>
          <w:tcPr>
            <w:tcW w:w="5386" w:type="dxa"/>
            <w:vAlign w:val="center"/>
          </w:tcPr>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①项目设置</w:t>
            </w:r>
            <w:r>
              <w:rPr>
                <w:rFonts w:hint="default" w:ascii="Arial" w:hAnsi="Arial" w:eastAsia="宋体" w:cs="Arial"/>
                <w:color w:val="auto"/>
                <w:sz w:val="21"/>
                <w:szCs w:val="21"/>
                <w:highlight w:val="none"/>
                <w:lang w:eastAsia="zh-CN"/>
              </w:rPr>
              <w:t>堆肥场，为牛</w:t>
            </w:r>
            <w:r>
              <w:rPr>
                <w:rFonts w:hint="default" w:ascii="Arial" w:hAnsi="Arial" w:eastAsia="宋体" w:cs="Arial"/>
                <w:color w:val="auto"/>
                <w:sz w:val="21"/>
                <w:szCs w:val="21"/>
                <w:highlight w:val="none"/>
              </w:rPr>
              <w:t>粪便收集贮存设施，恶臭污染物排放满足《畜禽养殖业污染物排放标准》要求；</w:t>
            </w:r>
          </w:p>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②堆肥场周边</w:t>
            </w:r>
            <w:r>
              <w:rPr>
                <w:rFonts w:hint="default" w:ascii="Arial" w:hAnsi="Arial" w:eastAsia="宋体" w:cs="Arial"/>
                <w:color w:val="auto"/>
                <w:sz w:val="21"/>
                <w:szCs w:val="21"/>
                <w:highlight w:val="none"/>
                <w:lang w:val="en-US" w:eastAsia="zh-CN"/>
              </w:rPr>
              <w:t>400m范围内</w:t>
            </w:r>
            <w:r>
              <w:rPr>
                <w:rFonts w:hint="default" w:ascii="Arial" w:hAnsi="Arial" w:eastAsia="宋体" w:cs="Arial"/>
                <w:color w:val="auto"/>
                <w:sz w:val="21"/>
                <w:szCs w:val="21"/>
                <w:highlight w:val="none"/>
              </w:rPr>
              <w:t>无地表水体，堆肥场位于养殖区及生活区</w:t>
            </w:r>
            <w:r>
              <w:rPr>
                <w:rFonts w:hint="default" w:ascii="Arial" w:hAnsi="Arial" w:eastAsia="宋体" w:cs="Arial"/>
                <w:color w:val="auto"/>
                <w:sz w:val="21"/>
                <w:szCs w:val="21"/>
                <w:highlight w:val="none"/>
                <w:lang w:val="en-US" w:eastAsia="zh-CN"/>
              </w:rPr>
              <w:t>的当地</w:t>
            </w:r>
            <w:r>
              <w:rPr>
                <w:rFonts w:hint="default" w:ascii="Arial" w:hAnsi="Arial" w:eastAsia="宋体" w:cs="Arial"/>
                <w:color w:val="auto"/>
                <w:sz w:val="21"/>
                <w:szCs w:val="21"/>
                <w:highlight w:val="none"/>
              </w:rPr>
              <w:t>20年主</w:t>
            </w:r>
            <w:r>
              <w:rPr>
                <w:rFonts w:hint="default" w:ascii="Arial" w:hAnsi="Arial" w:eastAsia="宋体" w:cs="Arial"/>
                <w:color w:val="auto"/>
                <w:sz w:val="21"/>
                <w:szCs w:val="21"/>
                <w:highlight w:val="none"/>
                <w:lang w:eastAsia="zh-CN"/>
              </w:rPr>
              <w:t>导</w:t>
            </w:r>
            <w:r>
              <w:rPr>
                <w:rFonts w:hint="default" w:ascii="Arial" w:hAnsi="Arial" w:eastAsia="宋体" w:cs="Arial"/>
                <w:color w:val="auto"/>
                <w:sz w:val="21"/>
                <w:szCs w:val="21"/>
                <w:highlight w:val="none"/>
              </w:rPr>
              <w:t>风向的</w:t>
            </w:r>
            <w:r>
              <w:rPr>
                <w:rFonts w:hint="default" w:ascii="Arial" w:hAnsi="Arial" w:eastAsia="宋体" w:cs="Arial"/>
                <w:color w:val="auto"/>
                <w:sz w:val="21"/>
                <w:szCs w:val="21"/>
                <w:highlight w:val="none"/>
                <w:lang w:eastAsia="zh-CN"/>
              </w:rPr>
              <w:t>侧</w:t>
            </w:r>
            <w:r>
              <w:rPr>
                <w:rFonts w:hint="default" w:ascii="Arial" w:hAnsi="Arial" w:eastAsia="宋体" w:cs="Arial"/>
                <w:color w:val="auto"/>
                <w:sz w:val="21"/>
                <w:szCs w:val="21"/>
                <w:highlight w:val="none"/>
              </w:rPr>
              <w:t>风向；</w:t>
            </w:r>
          </w:p>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③</w:t>
            </w:r>
            <w:r>
              <w:rPr>
                <w:rFonts w:hint="default" w:ascii="Arial" w:hAnsi="Arial" w:eastAsia="宋体" w:cs="Arial"/>
                <w:color w:val="auto"/>
                <w:sz w:val="21"/>
                <w:szCs w:val="21"/>
                <w:highlight w:val="none"/>
                <w:lang w:eastAsia="zh-CN"/>
              </w:rPr>
              <w:t>堆肥场面积</w:t>
            </w:r>
            <w:r>
              <w:rPr>
                <w:rFonts w:hint="default" w:ascii="Arial" w:hAnsi="Arial" w:eastAsia="宋体" w:cs="Arial"/>
                <w:color w:val="auto"/>
                <w:sz w:val="21"/>
                <w:szCs w:val="21"/>
                <w:highlight w:val="none"/>
              </w:rPr>
              <w:t>等满足</w:t>
            </w:r>
            <w:r>
              <w:rPr>
                <w:rFonts w:hint="default" w:ascii="Arial" w:hAnsi="Arial" w:eastAsia="宋体" w:cs="Arial"/>
                <w:color w:val="auto"/>
                <w:sz w:val="21"/>
                <w:szCs w:val="21"/>
                <w:highlight w:val="none"/>
                <w:lang w:val="en-US" w:eastAsia="zh-CN"/>
              </w:rPr>
              <w:t>2</w:t>
            </w:r>
            <w:r>
              <w:rPr>
                <w:rFonts w:hint="default" w:ascii="Arial" w:hAnsi="Arial" w:eastAsia="宋体" w:cs="Arial"/>
                <w:color w:val="auto"/>
                <w:sz w:val="21"/>
                <w:szCs w:val="21"/>
                <w:highlight w:val="none"/>
              </w:rPr>
              <w:t>个月的还田间隔要求及存储容积要求。</w:t>
            </w:r>
          </w:p>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④</w:t>
            </w:r>
            <w:r>
              <w:rPr>
                <w:rFonts w:hint="default" w:ascii="Arial" w:hAnsi="Arial" w:eastAsia="宋体" w:cs="Arial"/>
                <w:color w:val="auto"/>
                <w:sz w:val="21"/>
                <w:szCs w:val="21"/>
                <w:highlight w:val="none"/>
                <w:lang w:eastAsia="zh-CN"/>
              </w:rPr>
              <w:t>堆肥场</w:t>
            </w:r>
            <w:r>
              <w:rPr>
                <w:rFonts w:hint="default" w:ascii="Arial" w:hAnsi="Arial" w:eastAsia="宋体" w:cs="Arial"/>
                <w:color w:val="auto"/>
                <w:sz w:val="21"/>
                <w:szCs w:val="21"/>
                <w:highlight w:val="none"/>
              </w:rPr>
              <w:t>设置挡水墙（坡道）及导流渠</w:t>
            </w:r>
            <w:r>
              <w:rPr>
                <w:rFonts w:hint="default" w:ascii="Arial" w:hAnsi="Arial" w:eastAsia="宋体" w:cs="Arial"/>
                <w:color w:val="auto"/>
                <w:sz w:val="21"/>
                <w:szCs w:val="21"/>
                <w:highlight w:val="none"/>
                <w:lang w:val="en-US" w:eastAsia="zh-CN"/>
              </w:rPr>
              <w:t>，</w:t>
            </w:r>
            <w:r>
              <w:rPr>
                <w:rFonts w:hint="default" w:ascii="Arial" w:hAnsi="Arial" w:eastAsia="宋体" w:cs="Arial"/>
                <w:color w:val="auto"/>
                <w:sz w:val="21"/>
                <w:szCs w:val="21"/>
                <w:highlight w:val="none"/>
              </w:rPr>
              <w:t>可防止降雨(水)的进入。</w:t>
            </w:r>
          </w:p>
        </w:tc>
        <w:tc>
          <w:tcPr>
            <w:tcW w:w="673"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符合</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101" w:type="dxa"/>
            <w:vMerge w:val="continue"/>
            <w:vAlign w:val="center"/>
          </w:tcPr>
          <w:p>
            <w:pPr>
              <w:pStyle w:val="63"/>
              <w:rPr>
                <w:rFonts w:hint="default" w:ascii="Arial" w:hAnsi="Arial" w:eastAsia="宋体" w:cs="Arial"/>
                <w:color w:val="auto"/>
                <w:sz w:val="21"/>
                <w:szCs w:val="21"/>
                <w:highlight w:val="none"/>
              </w:rPr>
            </w:pPr>
          </w:p>
        </w:tc>
        <w:tc>
          <w:tcPr>
            <w:tcW w:w="992"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污水的处理</w:t>
            </w:r>
          </w:p>
        </w:tc>
        <w:tc>
          <w:tcPr>
            <w:tcW w:w="6237" w:type="dxa"/>
            <w:vAlign w:val="center"/>
          </w:tcPr>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畜禽养殖过程中产生的污水应坚持种养结合的原则，经无害化处理后尽量充分还田，实现污水资源化利用。</w:t>
            </w:r>
          </w:p>
        </w:tc>
        <w:tc>
          <w:tcPr>
            <w:tcW w:w="5386" w:type="dxa"/>
            <w:vAlign w:val="center"/>
          </w:tcPr>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sz w:val="21"/>
                <w:szCs w:val="21"/>
                <w:highlight w:val="none"/>
                <w:lang w:eastAsia="zh-CN"/>
              </w:rPr>
            </w:pPr>
            <w:r>
              <w:rPr>
                <w:rFonts w:hint="default" w:ascii="Arial" w:hAnsi="Arial" w:eastAsia="宋体" w:cs="Arial"/>
                <w:color w:val="auto"/>
                <w:sz w:val="21"/>
                <w:szCs w:val="21"/>
                <w:highlight w:val="none"/>
                <w:lang w:eastAsia="zh-CN"/>
              </w:rPr>
              <w:t>养殖废水主要为牛舍内收集的牛尿，本项目为肉牛养殖场项目，肉牛饮用水量较少，尿液排放量较少，在养殖区（牛舍、运动场）排放的尿液大部分由于当地气候干燥挥发，剩余尿液与粪便完全粘结混合在一起，一起运往堆肥场储存并堆肥，因此，没有尿液排放。</w:t>
            </w:r>
          </w:p>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lang w:eastAsia="zh-CN"/>
              </w:rPr>
              <w:t>养殖区（牛舍、运动场）场地不采取水冲洗方式清理，采用生石灰或者消毒水每周喷洒消毒2~3次，因此，养殖区（牛舍、运动场）不产生冲洗废水</w:t>
            </w:r>
            <w:r>
              <w:rPr>
                <w:rFonts w:hint="eastAsia" w:ascii="Arial" w:hAnsi="Arial" w:cs="Arial"/>
                <w:color w:val="auto"/>
                <w:sz w:val="21"/>
                <w:szCs w:val="21"/>
                <w:highlight w:val="none"/>
                <w:lang w:eastAsia="zh-CN"/>
              </w:rPr>
              <w:t>。</w:t>
            </w:r>
          </w:p>
        </w:tc>
        <w:tc>
          <w:tcPr>
            <w:tcW w:w="673"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符合</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101" w:type="dxa"/>
            <w:vMerge w:val="continue"/>
            <w:vAlign w:val="center"/>
          </w:tcPr>
          <w:p>
            <w:pPr>
              <w:pStyle w:val="63"/>
              <w:rPr>
                <w:rFonts w:hint="default" w:ascii="Arial" w:hAnsi="Arial" w:eastAsia="宋体" w:cs="Arial"/>
                <w:color w:val="auto"/>
                <w:sz w:val="21"/>
                <w:szCs w:val="21"/>
                <w:highlight w:val="none"/>
              </w:rPr>
            </w:pPr>
          </w:p>
        </w:tc>
        <w:tc>
          <w:tcPr>
            <w:tcW w:w="992"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固体粪肥的处理利用</w:t>
            </w:r>
          </w:p>
        </w:tc>
        <w:tc>
          <w:tcPr>
            <w:tcW w:w="6237" w:type="dxa"/>
            <w:vAlign w:val="center"/>
          </w:tcPr>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①畜禽粪便必须经过无害化处理，并且须符合《粪便无害化卫生标准》后，才能进行土地利用，禁止未经处理的畜禽粪便直接施入农田。</w:t>
            </w:r>
          </w:p>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②经过处理的粪便作为土地的肥料或土壤调节剂来满足作物生长的需要，其用量不能超过作物当年生长所需养分的需求量。在确定粪肥的最佳使用量时需要对土壤肥力和粪肥肥效进行测试评价，并应符合当地环境容量的要求。</w:t>
            </w:r>
          </w:p>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③对高降雨区、坡地及沙质容易产生径流和渗透性较强的土壤，不适宜施用粪肥或粪肥使用量过高易使粪肥流失引起地表水或地下水污染时，应禁止或暂停使用粪肥。</w:t>
            </w:r>
          </w:p>
        </w:tc>
        <w:tc>
          <w:tcPr>
            <w:tcW w:w="5386" w:type="dxa"/>
            <w:vAlign w:val="center"/>
          </w:tcPr>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①本项目</w:t>
            </w:r>
            <w:r>
              <w:rPr>
                <w:rFonts w:hint="default" w:ascii="Arial" w:hAnsi="Arial" w:eastAsia="宋体" w:cs="Arial"/>
                <w:color w:val="auto"/>
                <w:sz w:val="21"/>
                <w:szCs w:val="21"/>
                <w:highlight w:val="none"/>
                <w:lang w:eastAsia="zh-CN"/>
              </w:rPr>
              <w:t>牛粪便经</w:t>
            </w:r>
            <w:r>
              <w:rPr>
                <w:rFonts w:hint="default" w:ascii="Arial" w:hAnsi="Arial" w:eastAsia="宋体" w:cs="Arial"/>
                <w:color w:val="auto"/>
                <w:sz w:val="21"/>
                <w:szCs w:val="21"/>
                <w:highlight w:val="none"/>
                <w:lang w:val="en-US" w:eastAsia="zh-CN"/>
              </w:rPr>
              <w:t>堆肥场储存并堆肥</w:t>
            </w:r>
            <w:r>
              <w:rPr>
                <w:rFonts w:hint="default" w:ascii="Arial" w:hAnsi="Arial" w:eastAsia="宋体" w:cs="Arial"/>
                <w:color w:val="auto"/>
                <w:sz w:val="21"/>
                <w:szCs w:val="21"/>
                <w:highlight w:val="none"/>
                <w:lang w:eastAsia="zh-CN"/>
              </w:rPr>
              <w:t>后，</w:t>
            </w:r>
            <w:r>
              <w:rPr>
                <w:rFonts w:hint="default" w:ascii="Arial" w:hAnsi="Arial" w:eastAsia="宋体" w:cs="Arial"/>
                <w:color w:val="auto"/>
                <w:sz w:val="21"/>
                <w:szCs w:val="21"/>
                <w:highlight w:val="none"/>
                <w:lang w:val="en-US" w:eastAsia="zh-CN"/>
              </w:rPr>
              <w:t>满足</w:t>
            </w:r>
            <w:r>
              <w:rPr>
                <w:rFonts w:hint="default" w:ascii="Arial" w:hAnsi="Arial" w:eastAsia="宋体" w:cs="Arial"/>
                <w:color w:val="auto"/>
                <w:sz w:val="21"/>
                <w:szCs w:val="21"/>
                <w:highlight w:val="none"/>
              </w:rPr>
              <w:t>《粪便无害化卫生标准》</w:t>
            </w:r>
            <w:r>
              <w:rPr>
                <w:rFonts w:hint="default" w:ascii="Arial" w:hAnsi="Arial" w:eastAsia="宋体" w:cs="Arial"/>
                <w:color w:val="auto"/>
                <w:sz w:val="21"/>
                <w:szCs w:val="21"/>
                <w:highlight w:val="none"/>
                <w:lang w:val="en-US" w:eastAsia="zh-CN"/>
              </w:rPr>
              <w:t>的要求</w:t>
            </w:r>
            <w:r>
              <w:rPr>
                <w:rFonts w:hint="default" w:ascii="Arial" w:hAnsi="Arial" w:eastAsia="宋体" w:cs="Arial"/>
                <w:color w:val="auto"/>
                <w:sz w:val="21"/>
                <w:szCs w:val="21"/>
                <w:highlight w:val="none"/>
                <w:lang w:eastAsia="zh-CN"/>
              </w:rPr>
              <w:t>作为有机肥还田利用。</w:t>
            </w:r>
          </w:p>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②项目</w:t>
            </w:r>
            <w:r>
              <w:rPr>
                <w:rFonts w:hint="default" w:ascii="Arial" w:hAnsi="Arial" w:eastAsia="宋体" w:cs="Arial"/>
                <w:color w:val="auto"/>
                <w:sz w:val="21"/>
                <w:szCs w:val="21"/>
                <w:highlight w:val="none"/>
                <w:lang w:eastAsia="zh-CN"/>
              </w:rPr>
              <w:t>牛粪便</w:t>
            </w:r>
            <w:r>
              <w:rPr>
                <w:rFonts w:hint="default" w:ascii="Arial" w:hAnsi="Arial" w:eastAsia="宋体" w:cs="Arial"/>
                <w:color w:val="auto"/>
                <w:sz w:val="21"/>
                <w:szCs w:val="21"/>
                <w:highlight w:val="none"/>
              </w:rPr>
              <w:t>经</w:t>
            </w:r>
            <w:r>
              <w:rPr>
                <w:rFonts w:hint="default" w:ascii="Arial" w:hAnsi="Arial" w:eastAsia="宋体" w:cs="Arial"/>
                <w:color w:val="auto"/>
                <w:sz w:val="21"/>
                <w:szCs w:val="21"/>
                <w:highlight w:val="none"/>
                <w:lang w:val="en-US" w:eastAsia="zh-CN"/>
              </w:rPr>
              <w:t>2</w:t>
            </w:r>
            <w:r>
              <w:rPr>
                <w:rFonts w:hint="default" w:ascii="Arial" w:hAnsi="Arial" w:eastAsia="宋体" w:cs="Arial"/>
                <w:color w:val="auto"/>
                <w:sz w:val="21"/>
                <w:szCs w:val="21"/>
                <w:highlight w:val="none"/>
              </w:rPr>
              <w:t>个月好氧堆肥无害化处理后符合《粪便无害化卫生标准》后用于</w:t>
            </w:r>
            <w:r>
              <w:rPr>
                <w:rFonts w:hint="default" w:ascii="Arial" w:hAnsi="Arial" w:eastAsia="宋体" w:cs="Arial"/>
                <w:color w:val="auto"/>
                <w:sz w:val="21"/>
                <w:szCs w:val="21"/>
                <w:highlight w:val="none"/>
                <w:lang w:eastAsia="zh-CN"/>
              </w:rPr>
              <w:t>周边农田</w:t>
            </w:r>
            <w:r>
              <w:rPr>
                <w:rFonts w:hint="default" w:ascii="Arial" w:hAnsi="Arial" w:eastAsia="宋体" w:cs="Arial"/>
                <w:color w:val="auto"/>
                <w:sz w:val="21"/>
                <w:szCs w:val="21"/>
                <w:highlight w:val="none"/>
              </w:rPr>
              <w:t>还田，用量不超过作物当年生长所需养分的需求量，并符合当地环境容量的要求；</w:t>
            </w:r>
          </w:p>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③项目周边消纳土地不属于高降雨区、坡地及沙质容易产生径流的土壤。</w:t>
            </w:r>
          </w:p>
        </w:tc>
        <w:tc>
          <w:tcPr>
            <w:tcW w:w="673"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符合</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101" w:type="dxa"/>
            <w:vMerge w:val="continue"/>
            <w:vAlign w:val="center"/>
          </w:tcPr>
          <w:p>
            <w:pPr>
              <w:pStyle w:val="63"/>
              <w:rPr>
                <w:rFonts w:hint="default" w:ascii="Arial" w:hAnsi="Arial" w:eastAsia="宋体" w:cs="Arial"/>
                <w:color w:val="auto"/>
                <w:sz w:val="21"/>
                <w:szCs w:val="21"/>
                <w:highlight w:val="none"/>
              </w:rPr>
            </w:pPr>
          </w:p>
        </w:tc>
        <w:tc>
          <w:tcPr>
            <w:tcW w:w="992"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饲料和饲养管理</w:t>
            </w:r>
          </w:p>
        </w:tc>
        <w:tc>
          <w:tcPr>
            <w:tcW w:w="6237" w:type="dxa"/>
            <w:vAlign w:val="center"/>
          </w:tcPr>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①畜禽养殖饲料应采用合理配方，如理想蛋白质体系配等，提高蛋白质及其它营养的吸收效率，减少氮的排放量和粪的生产量。</w:t>
            </w:r>
          </w:p>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②提倡使用微生物制剂、酶制剂和植物提取液等活性物质，减少污染物排放和恶臭气体的产生。</w:t>
            </w:r>
          </w:p>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③养殖场场区、畜禽舍、器械等消毒应采用环境友好的消毒剂和消毒措施(包括紫外线、臭氧、双氧水等方法)，防止产生氯代有机物及其它的二次污染物。</w:t>
            </w:r>
          </w:p>
        </w:tc>
        <w:tc>
          <w:tcPr>
            <w:tcW w:w="5386" w:type="dxa"/>
            <w:vAlign w:val="center"/>
          </w:tcPr>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①项目采取科学的饲养方式，饲料中添加EM制剂，减少氮的排放量和粪的生产量，减少污染物排放和恶臭气体的产生。</w:t>
            </w:r>
          </w:p>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sz w:val="21"/>
                <w:szCs w:val="21"/>
                <w:highlight w:val="none"/>
                <w:lang w:eastAsia="zh-CN"/>
              </w:rPr>
            </w:pPr>
            <w:r>
              <w:rPr>
                <w:rFonts w:hint="default" w:ascii="Arial" w:hAnsi="Arial" w:eastAsia="宋体" w:cs="Arial"/>
                <w:color w:val="auto"/>
                <w:sz w:val="21"/>
                <w:szCs w:val="21"/>
                <w:highlight w:val="none"/>
              </w:rPr>
              <w:t>②</w:t>
            </w:r>
            <w:r>
              <w:rPr>
                <w:rFonts w:hint="default" w:ascii="Arial" w:hAnsi="Arial" w:eastAsia="宋体" w:cs="Arial"/>
                <w:color w:val="auto"/>
                <w:sz w:val="21"/>
                <w:szCs w:val="21"/>
                <w:highlight w:val="none"/>
                <w:lang w:val="en-US" w:eastAsia="zh-CN"/>
              </w:rPr>
              <w:t>本项目</w:t>
            </w:r>
            <w:r>
              <w:rPr>
                <w:rFonts w:hint="default" w:ascii="Arial" w:hAnsi="Arial" w:eastAsia="宋体" w:cs="Arial"/>
                <w:color w:val="auto"/>
                <w:kern w:val="0"/>
                <w:sz w:val="21"/>
                <w:szCs w:val="21"/>
                <w:highlight w:val="none"/>
              </w:rPr>
              <w:t>定期喷洒除臭剂，可减少臭气的产生</w:t>
            </w:r>
            <w:r>
              <w:rPr>
                <w:rFonts w:hint="default" w:ascii="Arial" w:hAnsi="Arial" w:eastAsia="宋体" w:cs="Arial"/>
                <w:color w:val="auto"/>
                <w:sz w:val="21"/>
                <w:szCs w:val="21"/>
                <w:highlight w:val="none"/>
                <w:lang w:eastAsia="zh-CN"/>
              </w:rPr>
              <w:t>。</w:t>
            </w:r>
          </w:p>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③本项目进入牧场</w:t>
            </w:r>
            <w:r>
              <w:rPr>
                <w:rFonts w:hint="default" w:ascii="Arial" w:hAnsi="Arial" w:eastAsia="宋体" w:cs="Arial"/>
                <w:color w:val="auto"/>
                <w:sz w:val="21"/>
                <w:szCs w:val="21"/>
                <w:highlight w:val="none"/>
                <w:lang w:eastAsia="zh-CN"/>
              </w:rPr>
              <w:t>时需要进行</w:t>
            </w:r>
            <w:r>
              <w:rPr>
                <w:rFonts w:hint="default" w:ascii="Arial" w:hAnsi="Arial" w:eastAsia="宋体" w:cs="Arial"/>
                <w:color w:val="auto"/>
                <w:sz w:val="21"/>
                <w:szCs w:val="21"/>
                <w:highlight w:val="none"/>
              </w:rPr>
              <w:t>消毒，消毒剂主要有</w:t>
            </w:r>
            <w:r>
              <w:rPr>
                <w:rFonts w:hint="default" w:ascii="Arial" w:hAnsi="Arial" w:eastAsia="宋体" w:cs="Arial"/>
                <w:color w:val="auto"/>
                <w:sz w:val="21"/>
                <w:szCs w:val="21"/>
                <w:highlight w:val="none"/>
                <w:lang w:eastAsia="zh-CN"/>
              </w:rPr>
              <w:t>消毒液</w:t>
            </w:r>
            <w:r>
              <w:rPr>
                <w:rFonts w:hint="default" w:ascii="Arial" w:hAnsi="Arial" w:eastAsia="宋体" w:cs="Arial"/>
                <w:color w:val="auto"/>
                <w:sz w:val="21"/>
                <w:szCs w:val="21"/>
                <w:highlight w:val="none"/>
              </w:rPr>
              <w:t>等，不会产生氯代有机物及其它的二次污染物。</w:t>
            </w:r>
          </w:p>
        </w:tc>
        <w:tc>
          <w:tcPr>
            <w:tcW w:w="673"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符合</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101" w:type="dxa"/>
            <w:vMerge w:val="continue"/>
            <w:vAlign w:val="center"/>
          </w:tcPr>
          <w:p>
            <w:pPr>
              <w:pStyle w:val="63"/>
              <w:rPr>
                <w:rFonts w:hint="default" w:ascii="Arial" w:hAnsi="Arial" w:eastAsia="宋体" w:cs="Arial"/>
                <w:color w:val="auto"/>
                <w:sz w:val="21"/>
                <w:szCs w:val="21"/>
                <w:highlight w:val="none"/>
              </w:rPr>
            </w:pPr>
          </w:p>
        </w:tc>
        <w:tc>
          <w:tcPr>
            <w:tcW w:w="992"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病死畜禽尸体的处理和处置</w:t>
            </w:r>
          </w:p>
        </w:tc>
        <w:tc>
          <w:tcPr>
            <w:tcW w:w="6237" w:type="dxa"/>
            <w:vAlign w:val="center"/>
          </w:tcPr>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病死畜禽尸体要及时处理，严禁随意丢弃，严禁出售或作为饲料再利用。</w:t>
            </w:r>
          </w:p>
        </w:tc>
        <w:tc>
          <w:tcPr>
            <w:tcW w:w="5386" w:type="dxa"/>
            <w:vAlign w:val="center"/>
          </w:tcPr>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项目病死畜禽尸体不随意丢弃，不出售或作为饲料再利用，产生后及时处理，交由巴彦淖尔市绿之源生物技术发展有限公司进行无害化处理</w:t>
            </w:r>
            <w:r>
              <w:rPr>
                <w:rFonts w:hint="default" w:ascii="Arial" w:hAnsi="Arial" w:eastAsia="宋体" w:cs="Arial"/>
                <w:color w:val="auto"/>
                <w:sz w:val="21"/>
                <w:szCs w:val="21"/>
                <w:highlight w:val="none"/>
                <w:lang w:eastAsia="zh-CN"/>
              </w:rPr>
              <w:t>。</w:t>
            </w:r>
          </w:p>
        </w:tc>
        <w:tc>
          <w:tcPr>
            <w:tcW w:w="673"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符合</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101" w:type="dxa"/>
            <w:vMerge w:val="continue"/>
            <w:vAlign w:val="center"/>
          </w:tcPr>
          <w:p>
            <w:pPr>
              <w:pStyle w:val="63"/>
              <w:rPr>
                <w:rFonts w:hint="default" w:ascii="Arial" w:hAnsi="Arial" w:eastAsia="宋体" w:cs="Arial"/>
                <w:color w:val="auto"/>
                <w:sz w:val="21"/>
                <w:szCs w:val="21"/>
                <w:highlight w:val="none"/>
              </w:rPr>
            </w:pPr>
          </w:p>
        </w:tc>
        <w:tc>
          <w:tcPr>
            <w:tcW w:w="992"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其他</w:t>
            </w:r>
          </w:p>
        </w:tc>
        <w:tc>
          <w:tcPr>
            <w:tcW w:w="6237" w:type="dxa"/>
            <w:vAlign w:val="center"/>
          </w:tcPr>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养殖场防疫、化验等产生的危险废水和固体废弃物应按国家的有关规定进行处理。</w:t>
            </w:r>
          </w:p>
        </w:tc>
        <w:tc>
          <w:tcPr>
            <w:tcW w:w="5386" w:type="dxa"/>
            <w:vAlign w:val="center"/>
          </w:tcPr>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项目场址内设</w:t>
            </w:r>
            <w:r>
              <w:rPr>
                <w:rFonts w:hint="default" w:ascii="Arial" w:hAnsi="Arial" w:eastAsia="宋体" w:cs="Arial"/>
                <w:color w:val="auto"/>
                <w:sz w:val="21"/>
                <w:szCs w:val="21"/>
                <w:highlight w:val="none"/>
                <w:lang w:eastAsia="zh-CN"/>
              </w:rPr>
              <w:t>有</w:t>
            </w:r>
            <w:r>
              <w:rPr>
                <w:rFonts w:hint="default" w:ascii="Arial" w:hAnsi="Arial" w:eastAsia="宋体" w:cs="Arial"/>
                <w:color w:val="auto"/>
                <w:sz w:val="21"/>
                <w:szCs w:val="21"/>
                <w:highlight w:val="none"/>
              </w:rPr>
              <w:t>危废暂存间，产生的医疗废物暂存后</w:t>
            </w:r>
            <w:r>
              <w:rPr>
                <w:rFonts w:hint="default" w:ascii="Arial" w:hAnsi="Arial" w:eastAsia="宋体" w:cs="Arial"/>
                <w:color w:val="auto"/>
                <w:sz w:val="21"/>
                <w:szCs w:val="21"/>
                <w:highlight w:val="none"/>
                <w:lang w:val="en-US" w:eastAsia="zh-CN"/>
              </w:rPr>
              <w:t>委托</w:t>
            </w:r>
            <w:r>
              <w:rPr>
                <w:rFonts w:hint="default" w:ascii="Arial" w:hAnsi="Arial" w:eastAsia="宋体" w:cs="Arial"/>
                <w:color w:val="auto"/>
                <w:sz w:val="21"/>
                <w:szCs w:val="21"/>
                <w:highlight w:val="none"/>
              </w:rPr>
              <w:t>有资质单位处理，养殖场不单独处理该类固体废物。</w:t>
            </w:r>
          </w:p>
        </w:tc>
        <w:tc>
          <w:tcPr>
            <w:tcW w:w="673"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符合</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093" w:type="dxa"/>
            <w:gridSpan w:val="2"/>
            <w:vMerge w:val="restart"/>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《畜禽规模化养殖场资源化利用设施建设规范（试行）》（农办牧</w:t>
            </w:r>
            <w:r>
              <w:rPr>
                <w:rFonts w:hint="default" w:ascii="Arial" w:hAnsi="Arial" w:eastAsia="宋体" w:cs="Arial"/>
                <w:color w:val="auto"/>
                <w:sz w:val="21"/>
                <w:szCs w:val="21"/>
                <w:highlight w:val="none"/>
                <w:lang w:eastAsia="zh-CN"/>
              </w:rPr>
              <w:t>[</w:t>
            </w:r>
            <w:r>
              <w:rPr>
                <w:rFonts w:hint="default" w:ascii="Arial" w:hAnsi="Arial" w:eastAsia="宋体" w:cs="Arial"/>
                <w:color w:val="auto"/>
                <w:sz w:val="21"/>
                <w:szCs w:val="21"/>
                <w:highlight w:val="none"/>
              </w:rPr>
              <w:t>2018</w:t>
            </w:r>
            <w:r>
              <w:rPr>
                <w:rFonts w:hint="default" w:ascii="Arial" w:hAnsi="Arial" w:eastAsia="宋体" w:cs="Arial"/>
                <w:color w:val="auto"/>
                <w:sz w:val="21"/>
                <w:szCs w:val="21"/>
                <w:highlight w:val="none"/>
                <w:lang w:eastAsia="zh-CN"/>
              </w:rPr>
              <w:t>]</w:t>
            </w:r>
            <w:r>
              <w:rPr>
                <w:rFonts w:hint="default" w:ascii="Arial" w:hAnsi="Arial" w:eastAsia="宋体" w:cs="Arial"/>
                <w:color w:val="auto"/>
                <w:sz w:val="21"/>
                <w:szCs w:val="21"/>
                <w:highlight w:val="none"/>
              </w:rPr>
              <w:t>2号）</w:t>
            </w:r>
          </w:p>
        </w:tc>
        <w:tc>
          <w:tcPr>
            <w:tcW w:w="6237" w:type="dxa"/>
            <w:vAlign w:val="center"/>
          </w:tcPr>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畜禽规模养殖场粪污资源化利用应坚持农牧结合、种养平衡，按照资源化、减量化、无害化的原则，对源头减量、过程控制和末端利用各环节进行全程管理，提高粪污综合利用率和设施装备配套率。</w:t>
            </w:r>
          </w:p>
        </w:tc>
        <w:tc>
          <w:tcPr>
            <w:tcW w:w="5386" w:type="dxa"/>
            <w:vAlign w:val="center"/>
          </w:tcPr>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项目</w:t>
            </w:r>
            <w:r>
              <w:rPr>
                <w:rFonts w:hint="default" w:ascii="Arial" w:hAnsi="Arial" w:eastAsia="宋体" w:cs="Arial"/>
                <w:color w:val="auto"/>
                <w:sz w:val="21"/>
                <w:szCs w:val="21"/>
                <w:highlight w:val="none"/>
                <w:lang w:eastAsia="zh-CN"/>
              </w:rPr>
              <w:t>牛粪便</w:t>
            </w:r>
            <w:r>
              <w:rPr>
                <w:rFonts w:hint="default" w:ascii="Arial" w:hAnsi="Arial" w:eastAsia="宋体" w:cs="Arial"/>
                <w:color w:val="auto"/>
                <w:sz w:val="21"/>
                <w:szCs w:val="21"/>
                <w:highlight w:val="none"/>
              </w:rPr>
              <w:t>经</w:t>
            </w:r>
            <w:r>
              <w:rPr>
                <w:rFonts w:hint="default" w:ascii="Arial" w:hAnsi="Arial" w:eastAsia="宋体" w:cs="Arial"/>
                <w:color w:val="auto"/>
                <w:sz w:val="21"/>
                <w:szCs w:val="21"/>
                <w:highlight w:val="none"/>
                <w:lang w:eastAsia="zh-CN"/>
              </w:rPr>
              <w:t>堆肥场储存并堆肥</w:t>
            </w:r>
            <w:r>
              <w:rPr>
                <w:rFonts w:hint="default" w:ascii="Arial" w:hAnsi="Arial" w:eastAsia="宋体" w:cs="Arial"/>
                <w:color w:val="auto"/>
                <w:sz w:val="21"/>
                <w:szCs w:val="21"/>
                <w:highlight w:val="none"/>
              </w:rPr>
              <w:t>后，作为有机肥还田利用。</w:t>
            </w:r>
          </w:p>
        </w:tc>
        <w:tc>
          <w:tcPr>
            <w:tcW w:w="673"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符合</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093" w:type="dxa"/>
            <w:gridSpan w:val="2"/>
            <w:vMerge w:val="continue"/>
            <w:vAlign w:val="center"/>
          </w:tcPr>
          <w:p>
            <w:pPr>
              <w:pStyle w:val="63"/>
              <w:rPr>
                <w:rFonts w:hint="default" w:ascii="Arial" w:hAnsi="Arial" w:eastAsia="宋体" w:cs="Arial"/>
                <w:color w:val="auto"/>
                <w:sz w:val="21"/>
                <w:szCs w:val="21"/>
                <w:highlight w:val="none"/>
              </w:rPr>
            </w:pPr>
          </w:p>
        </w:tc>
        <w:tc>
          <w:tcPr>
            <w:tcW w:w="6237" w:type="dxa"/>
            <w:vAlign w:val="center"/>
          </w:tcPr>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畜禽规模养殖场应根据养殖污染防治要求，建设与养殖规模相配套的粪污资源化利用设施设备，并确保正常运行。</w:t>
            </w:r>
          </w:p>
        </w:tc>
        <w:tc>
          <w:tcPr>
            <w:tcW w:w="5386" w:type="dxa"/>
            <w:vAlign w:val="center"/>
          </w:tcPr>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项目建设了与养殖规模相配套的粪污资源化利用设施设备，主要是</w:t>
            </w:r>
            <w:r>
              <w:rPr>
                <w:rFonts w:hint="default" w:ascii="Arial" w:hAnsi="Arial" w:eastAsia="宋体" w:cs="Arial"/>
                <w:color w:val="auto"/>
                <w:sz w:val="21"/>
                <w:szCs w:val="21"/>
                <w:highlight w:val="none"/>
                <w:lang w:eastAsia="zh-CN"/>
              </w:rPr>
              <w:t>堆肥场，可</w:t>
            </w:r>
            <w:r>
              <w:rPr>
                <w:rFonts w:hint="default" w:ascii="Arial" w:hAnsi="Arial" w:eastAsia="宋体" w:cs="Arial"/>
                <w:color w:val="auto"/>
                <w:sz w:val="21"/>
                <w:szCs w:val="21"/>
                <w:highlight w:val="none"/>
              </w:rPr>
              <w:t>正常运行。</w:t>
            </w:r>
          </w:p>
        </w:tc>
        <w:tc>
          <w:tcPr>
            <w:tcW w:w="673"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符合</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093" w:type="dxa"/>
            <w:gridSpan w:val="2"/>
            <w:vMerge w:val="continue"/>
            <w:vAlign w:val="center"/>
          </w:tcPr>
          <w:p>
            <w:pPr>
              <w:pStyle w:val="63"/>
              <w:rPr>
                <w:rFonts w:hint="default" w:ascii="Arial" w:hAnsi="Arial" w:eastAsia="宋体" w:cs="Arial"/>
                <w:color w:val="auto"/>
                <w:sz w:val="21"/>
                <w:szCs w:val="21"/>
                <w:highlight w:val="none"/>
              </w:rPr>
            </w:pPr>
          </w:p>
        </w:tc>
        <w:tc>
          <w:tcPr>
            <w:tcW w:w="6237" w:type="dxa"/>
            <w:vAlign w:val="center"/>
          </w:tcPr>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畜禽规模养殖场应建设雨污分离设施，污水宜采用暗沟或管道输送。</w:t>
            </w:r>
          </w:p>
        </w:tc>
        <w:tc>
          <w:tcPr>
            <w:tcW w:w="5386" w:type="dxa"/>
            <w:vAlign w:val="center"/>
          </w:tcPr>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sz w:val="21"/>
                <w:szCs w:val="21"/>
                <w:highlight w:val="none"/>
                <w:lang w:eastAsia="zh-CN"/>
              </w:rPr>
            </w:pPr>
            <w:r>
              <w:rPr>
                <w:rFonts w:hint="default" w:ascii="Arial" w:hAnsi="Arial" w:eastAsia="宋体" w:cs="Arial"/>
                <w:color w:val="auto"/>
                <w:sz w:val="21"/>
                <w:szCs w:val="21"/>
                <w:highlight w:val="none"/>
                <w:lang w:eastAsia="zh-CN"/>
              </w:rPr>
              <w:t>养殖废水主要为牛舍内收集的牛尿，本项目为肉牛养殖场项目，肉牛饮用水量较少，尿液排放量较少，在养殖区（牛舍、运动场）排放的尿液大部分由于当地气候干燥挥发，剩余尿液与粪便完全粘结混合在一起，一起运往堆肥场储存并堆肥，因此，没有尿液排放。</w:t>
            </w:r>
          </w:p>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lang w:eastAsia="zh-CN"/>
              </w:rPr>
              <w:t>养殖区（牛舍、运动场）场地不采取水冲洗方式清理，采用生石灰或者消毒水每周喷洒消毒2~3次，因此，养殖区（牛舍、运动场）不产生冲洗废水</w:t>
            </w:r>
            <w:r>
              <w:rPr>
                <w:rFonts w:hint="eastAsia" w:ascii="Arial" w:hAnsi="Arial" w:cs="Arial"/>
                <w:color w:val="auto"/>
                <w:sz w:val="21"/>
                <w:szCs w:val="21"/>
                <w:highlight w:val="none"/>
                <w:lang w:eastAsia="zh-CN"/>
              </w:rPr>
              <w:t>。</w:t>
            </w:r>
          </w:p>
        </w:tc>
        <w:tc>
          <w:tcPr>
            <w:tcW w:w="673"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符合</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093" w:type="dxa"/>
            <w:gridSpan w:val="2"/>
            <w:vMerge w:val="continue"/>
            <w:vAlign w:val="center"/>
          </w:tcPr>
          <w:p>
            <w:pPr>
              <w:pStyle w:val="63"/>
              <w:rPr>
                <w:rFonts w:hint="default" w:ascii="Arial" w:hAnsi="Arial" w:eastAsia="宋体" w:cs="Arial"/>
                <w:color w:val="auto"/>
                <w:sz w:val="21"/>
                <w:szCs w:val="21"/>
                <w:highlight w:val="none"/>
              </w:rPr>
            </w:pPr>
          </w:p>
        </w:tc>
        <w:tc>
          <w:tcPr>
            <w:tcW w:w="6237" w:type="dxa"/>
            <w:vAlign w:val="center"/>
          </w:tcPr>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畜禽规模养殖场宜采用干清粪工艺。采用水泡粪工艺的，要控制用水量，减少粪污产生总量。鼓励水冲粪工艺改造为干清粪或水泡粪。不同畜种不同清粪工艺最高允许排水量按照GB18596执行。</w:t>
            </w:r>
          </w:p>
        </w:tc>
        <w:tc>
          <w:tcPr>
            <w:tcW w:w="5386" w:type="dxa"/>
            <w:vAlign w:val="center"/>
          </w:tcPr>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项目采用干清粪工艺；</w:t>
            </w:r>
            <w:r>
              <w:rPr>
                <w:rFonts w:hint="default" w:ascii="Arial" w:hAnsi="Arial" w:eastAsia="宋体" w:cs="Arial"/>
                <w:color w:val="auto"/>
                <w:sz w:val="21"/>
                <w:szCs w:val="21"/>
                <w:highlight w:val="none"/>
                <w:lang w:eastAsia="zh-CN"/>
              </w:rPr>
              <w:t>牛粪便</w:t>
            </w:r>
            <w:r>
              <w:rPr>
                <w:rFonts w:hint="default" w:ascii="Arial" w:hAnsi="Arial" w:eastAsia="宋体" w:cs="Arial"/>
                <w:color w:val="auto"/>
                <w:sz w:val="21"/>
                <w:szCs w:val="21"/>
                <w:highlight w:val="none"/>
              </w:rPr>
              <w:t>经</w:t>
            </w:r>
            <w:r>
              <w:rPr>
                <w:rFonts w:hint="default" w:ascii="Arial" w:hAnsi="Arial" w:eastAsia="宋体" w:cs="Arial"/>
                <w:color w:val="auto"/>
                <w:sz w:val="21"/>
                <w:szCs w:val="21"/>
                <w:highlight w:val="none"/>
                <w:lang w:eastAsia="zh-CN"/>
              </w:rPr>
              <w:t>堆肥场储存并堆肥</w:t>
            </w:r>
            <w:r>
              <w:rPr>
                <w:rFonts w:hint="default" w:ascii="Arial" w:hAnsi="Arial" w:eastAsia="宋体" w:cs="Arial"/>
                <w:color w:val="auto"/>
                <w:sz w:val="21"/>
                <w:szCs w:val="21"/>
                <w:highlight w:val="none"/>
              </w:rPr>
              <w:t>后，作为有机肥还田利用。</w:t>
            </w:r>
          </w:p>
        </w:tc>
        <w:tc>
          <w:tcPr>
            <w:tcW w:w="673"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符合</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093" w:type="dxa"/>
            <w:gridSpan w:val="2"/>
            <w:vMerge w:val="continue"/>
            <w:vAlign w:val="center"/>
          </w:tcPr>
          <w:p>
            <w:pPr>
              <w:pStyle w:val="63"/>
              <w:rPr>
                <w:rFonts w:hint="default" w:ascii="Arial" w:hAnsi="Arial" w:eastAsia="宋体" w:cs="Arial"/>
                <w:color w:val="auto"/>
                <w:sz w:val="21"/>
                <w:szCs w:val="21"/>
                <w:highlight w:val="none"/>
              </w:rPr>
            </w:pPr>
          </w:p>
        </w:tc>
        <w:tc>
          <w:tcPr>
            <w:tcW w:w="6237" w:type="dxa"/>
            <w:vAlign w:val="center"/>
          </w:tcPr>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畜禽规模养殖场应及时对粪污进行收集、贮存，粪污暂存池（场）应满足防渗、防雨、防溢流等要求。固体粪便暂存池（场）的设计按照GB/T27622执行。污水暂存池的设计按照GB/T26624执行。</w:t>
            </w:r>
          </w:p>
        </w:tc>
        <w:tc>
          <w:tcPr>
            <w:tcW w:w="5386" w:type="dxa"/>
            <w:vAlign w:val="center"/>
          </w:tcPr>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本项目建设的</w:t>
            </w:r>
            <w:r>
              <w:rPr>
                <w:rFonts w:hint="default" w:ascii="Arial" w:hAnsi="Arial" w:eastAsia="宋体" w:cs="Arial"/>
                <w:color w:val="auto"/>
                <w:sz w:val="21"/>
                <w:szCs w:val="21"/>
                <w:highlight w:val="none"/>
                <w:lang w:eastAsia="zh-CN"/>
              </w:rPr>
              <w:t>堆肥场</w:t>
            </w:r>
            <w:r>
              <w:rPr>
                <w:rFonts w:hint="default" w:ascii="Arial" w:hAnsi="Arial" w:eastAsia="宋体" w:cs="Arial"/>
                <w:color w:val="auto"/>
                <w:sz w:val="21"/>
                <w:szCs w:val="21"/>
                <w:highlight w:val="none"/>
              </w:rPr>
              <w:t>，采用了防雨、防渗、防溢流措施，设计均符合GB/T27622和GB/T26624相关要求。</w:t>
            </w:r>
          </w:p>
        </w:tc>
        <w:tc>
          <w:tcPr>
            <w:tcW w:w="673"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符合</w:t>
            </w:r>
          </w:p>
        </w:tc>
      </w:tr>
    </w:tbl>
    <w:p>
      <w:pPr>
        <w:ind w:firstLine="480"/>
        <w:rPr>
          <w:rFonts w:hint="default" w:ascii="Arial" w:hAnsi="Arial" w:eastAsia="宋体" w:cs="Arial"/>
          <w:color w:val="auto"/>
          <w:highlight w:val="none"/>
        </w:rPr>
      </w:pPr>
      <w:r>
        <w:rPr>
          <w:rFonts w:hint="default" w:ascii="Arial" w:hAnsi="Arial" w:eastAsia="宋体" w:cs="Arial"/>
          <w:color w:val="auto"/>
          <w:highlight w:val="none"/>
        </w:rPr>
        <w:br w:type="page"/>
      </w:r>
    </w:p>
    <w:p>
      <w:pPr>
        <w:pStyle w:val="8"/>
        <w:rPr>
          <w:rFonts w:hint="default" w:ascii="Arial" w:hAnsi="Arial" w:eastAsia="宋体" w:cs="Arial"/>
          <w:color w:val="auto"/>
          <w:highlight w:val="none"/>
        </w:rPr>
      </w:pPr>
      <w:r>
        <w:rPr>
          <w:rFonts w:hint="default" w:ascii="Arial" w:hAnsi="Arial" w:eastAsia="宋体" w:cs="Arial"/>
          <w:color w:val="auto"/>
          <w:highlight w:val="none"/>
        </w:rPr>
        <w:t>表2.7-3    本项目与相关政策的符合性分析</w:t>
      </w:r>
    </w:p>
    <w:tbl>
      <w:tblPr>
        <w:tblStyle w:val="39"/>
        <w:tblW w:w="14389" w:type="dxa"/>
        <w:tblInd w:w="0" w:type="dxa"/>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1100"/>
        <w:gridCol w:w="8081"/>
        <w:gridCol w:w="4393"/>
        <w:gridCol w:w="815"/>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100" w:type="dxa"/>
            <w:vAlign w:val="center"/>
          </w:tcPr>
          <w:p>
            <w:pPr>
              <w:pStyle w:val="63"/>
              <w:rPr>
                <w:rFonts w:hint="default" w:ascii="Arial" w:hAnsi="Arial" w:eastAsia="宋体" w:cs="Arial"/>
                <w:b/>
                <w:bCs/>
                <w:color w:val="auto"/>
                <w:highlight w:val="none"/>
              </w:rPr>
            </w:pPr>
            <w:r>
              <w:rPr>
                <w:rFonts w:hint="default" w:ascii="Arial" w:hAnsi="Arial" w:eastAsia="宋体" w:cs="Arial"/>
                <w:b/>
                <w:bCs/>
                <w:color w:val="auto"/>
                <w:highlight w:val="none"/>
              </w:rPr>
              <w:t>相关政策</w:t>
            </w:r>
          </w:p>
        </w:tc>
        <w:tc>
          <w:tcPr>
            <w:tcW w:w="8081" w:type="dxa"/>
            <w:vAlign w:val="center"/>
          </w:tcPr>
          <w:p>
            <w:pPr>
              <w:pStyle w:val="63"/>
              <w:rPr>
                <w:rFonts w:hint="default" w:ascii="Arial" w:hAnsi="Arial" w:eastAsia="宋体" w:cs="Arial"/>
                <w:b/>
                <w:bCs/>
                <w:color w:val="auto"/>
                <w:highlight w:val="none"/>
              </w:rPr>
            </w:pPr>
            <w:r>
              <w:rPr>
                <w:rFonts w:hint="default" w:ascii="Arial" w:hAnsi="Arial" w:eastAsia="宋体" w:cs="Arial"/>
                <w:b/>
                <w:bCs/>
                <w:color w:val="auto"/>
                <w:highlight w:val="none"/>
              </w:rPr>
              <w:t>相关条款及规定</w:t>
            </w:r>
          </w:p>
        </w:tc>
        <w:tc>
          <w:tcPr>
            <w:tcW w:w="4393" w:type="dxa"/>
            <w:vAlign w:val="center"/>
          </w:tcPr>
          <w:p>
            <w:pPr>
              <w:pStyle w:val="63"/>
              <w:rPr>
                <w:rFonts w:hint="default" w:ascii="Arial" w:hAnsi="Arial" w:eastAsia="宋体" w:cs="Arial"/>
                <w:b/>
                <w:bCs/>
                <w:color w:val="auto"/>
                <w:highlight w:val="none"/>
              </w:rPr>
            </w:pPr>
            <w:r>
              <w:rPr>
                <w:rFonts w:hint="default" w:ascii="Arial" w:hAnsi="Arial" w:eastAsia="宋体" w:cs="Arial"/>
                <w:b/>
                <w:bCs/>
                <w:color w:val="auto"/>
                <w:highlight w:val="none"/>
              </w:rPr>
              <w:t>符合性分析</w:t>
            </w:r>
          </w:p>
        </w:tc>
        <w:tc>
          <w:tcPr>
            <w:tcW w:w="815" w:type="dxa"/>
            <w:vAlign w:val="center"/>
          </w:tcPr>
          <w:p>
            <w:pPr>
              <w:pStyle w:val="63"/>
              <w:rPr>
                <w:rFonts w:hint="default" w:ascii="Arial" w:hAnsi="Arial" w:eastAsia="宋体" w:cs="Arial"/>
                <w:b/>
                <w:bCs/>
                <w:color w:val="auto"/>
                <w:highlight w:val="none"/>
              </w:rPr>
            </w:pPr>
            <w:r>
              <w:rPr>
                <w:rFonts w:hint="default" w:ascii="Arial" w:hAnsi="Arial" w:eastAsia="宋体" w:cs="Arial"/>
                <w:b/>
                <w:bCs/>
                <w:color w:val="auto"/>
                <w:highlight w:val="none"/>
              </w:rPr>
              <w:t>符合</w:t>
            </w:r>
          </w:p>
          <w:p>
            <w:pPr>
              <w:pStyle w:val="63"/>
              <w:rPr>
                <w:rFonts w:hint="default" w:ascii="Arial" w:hAnsi="Arial" w:eastAsia="宋体" w:cs="Arial"/>
                <w:b/>
                <w:bCs/>
                <w:color w:val="auto"/>
                <w:highlight w:val="none"/>
              </w:rPr>
            </w:pPr>
            <w:r>
              <w:rPr>
                <w:rFonts w:hint="default" w:ascii="Arial" w:hAnsi="Arial" w:eastAsia="宋体" w:cs="Arial"/>
                <w:b/>
                <w:bCs/>
                <w:color w:val="auto"/>
                <w:highlight w:val="none"/>
              </w:rPr>
              <w:t>情况</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100" w:type="dxa"/>
            <w:vMerge w:val="restart"/>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《关于做好畜禽规模养殖项目环境影响评价管理工作的通知》（环办环评[2018]31号）</w:t>
            </w:r>
          </w:p>
        </w:tc>
        <w:tc>
          <w:tcPr>
            <w:tcW w:w="8081" w:type="dxa"/>
            <w:vAlign w:val="center"/>
          </w:tcPr>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highlight w:val="none"/>
              </w:rPr>
            </w:pPr>
            <w:r>
              <w:rPr>
                <w:rFonts w:hint="default" w:ascii="Arial" w:hAnsi="Arial" w:eastAsia="宋体" w:cs="Arial"/>
                <w:color w:val="auto"/>
                <w:highlight w:val="none"/>
              </w:rPr>
              <w:t>项目环评应结合环境保护要求优化养殖场区内部布置。畜禽养殖区及畜禽粪污贮存、处理和畜禽尸体无害化处理等产生恶臭影响的设施，应位于养殖场区主导风向的下风向位置，并尽量远离周边环境保护目标。</w:t>
            </w:r>
          </w:p>
        </w:tc>
        <w:tc>
          <w:tcPr>
            <w:tcW w:w="4393" w:type="dxa"/>
            <w:vAlign w:val="center"/>
          </w:tcPr>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highlight w:val="none"/>
              </w:rPr>
            </w:pPr>
            <w:r>
              <w:rPr>
                <w:rFonts w:hint="default" w:ascii="Arial" w:hAnsi="Arial" w:eastAsia="宋体" w:cs="Arial"/>
                <w:color w:val="auto"/>
                <w:kern w:val="0"/>
                <w:highlight w:val="none"/>
                <w:lang w:eastAsia="zh-CN"/>
              </w:rPr>
              <w:t>项目粪污处理设施位于养殖区及生活区的当地20年主导风向的侧风向；堆肥</w:t>
            </w:r>
            <w:r>
              <w:rPr>
                <w:rFonts w:hint="default" w:ascii="Arial" w:hAnsi="Arial" w:eastAsia="宋体" w:cs="Arial"/>
                <w:color w:val="auto"/>
                <w:kern w:val="0"/>
                <w:highlight w:val="none"/>
              </w:rPr>
              <w:t>离最近敏感点</w:t>
            </w:r>
            <w:r>
              <w:rPr>
                <w:rFonts w:hint="default" w:ascii="Arial" w:hAnsi="Arial" w:eastAsia="宋体" w:cs="Arial"/>
                <w:color w:val="auto"/>
                <w:kern w:val="0"/>
                <w:highlight w:val="none"/>
                <w:lang w:val="en-US" w:eastAsia="zh-CN"/>
              </w:rPr>
              <w:t>440</w:t>
            </w:r>
            <w:r>
              <w:rPr>
                <w:rFonts w:hint="default" w:ascii="Arial" w:hAnsi="Arial" w:eastAsia="宋体" w:cs="Arial"/>
                <w:color w:val="auto"/>
                <w:kern w:val="0"/>
                <w:highlight w:val="none"/>
              </w:rPr>
              <w:t>m。</w:t>
            </w:r>
          </w:p>
        </w:tc>
        <w:tc>
          <w:tcPr>
            <w:tcW w:w="815" w:type="dxa"/>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符合</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100" w:type="dxa"/>
            <w:vMerge w:val="continue"/>
            <w:vAlign w:val="center"/>
          </w:tcPr>
          <w:p>
            <w:pPr>
              <w:pStyle w:val="63"/>
              <w:rPr>
                <w:rFonts w:hint="default" w:ascii="Arial" w:hAnsi="Arial" w:eastAsia="宋体" w:cs="Arial"/>
                <w:color w:val="auto"/>
                <w:highlight w:val="none"/>
              </w:rPr>
            </w:pPr>
          </w:p>
        </w:tc>
        <w:tc>
          <w:tcPr>
            <w:tcW w:w="8081" w:type="dxa"/>
            <w:vAlign w:val="center"/>
          </w:tcPr>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highlight w:val="none"/>
              </w:rPr>
            </w:pPr>
            <w:r>
              <w:rPr>
                <w:rFonts w:hint="default" w:ascii="Arial" w:hAnsi="Arial" w:eastAsia="宋体" w:cs="Arial"/>
                <w:color w:val="auto"/>
                <w:highlight w:val="none"/>
              </w:rPr>
              <w:t>鼓励采取干清粪方式，采取水泡粪工艺的应最大限度降低用水量。场区应采取雨污分离措施，防止雨水进入粪污收集系统。</w:t>
            </w:r>
          </w:p>
        </w:tc>
        <w:tc>
          <w:tcPr>
            <w:tcW w:w="4393" w:type="dxa"/>
            <w:vAlign w:val="center"/>
          </w:tcPr>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highlight w:val="none"/>
                <w:lang w:eastAsia="zh-CN"/>
              </w:rPr>
            </w:pPr>
            <w:r>
              <w:rPr>
                <w:rFonts w:hint="default" w:ascii="Arial" w:hAnsi="Arial" w:eastAsia="宋体" w:cs="Arial"/>
                <w:color w:val="auto"/>
                <w:highlight w:val="none"/>
              </w:rPr>
              <w:t>项目采用干清粪工艺</w:t>
            </w:r>
            <w:r>
              <w:rPr>
                <w:rFonts w:hint="default" w:ascii="Arial" w:hAnsi="Arial" w:eastAsia="宋体" w:cs="Arial"/>
                <w:color w:val="auto"/>
                <w:highlight w:val="none"/>
                <w:lang w:eastAsia="zh-CN"/>
              </w:rPr>
              <w:t>；</w:t>
            </w:r>
          </w:p>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highlight w:val="none"/>
              </w:rPr>
            </w:pPr>
            <w:r>
              <w:rPr>
                <w:rFonts w:hint="default" w:ascii="Arial" w:hAnsi="Arial" w:eastAsia="宋体" w:cs="Arial"/>
                <w:color w:val="auto"/>
                <w:sz w:val="21"/>
                <w:szCs w:val="21"/>
                <w:highlight w:val="none"/>
                <w:lang w:eastAsia="zh-CN"/>
              </w:rPr>
              <w:t>堆肥场</w:t>
            </w:r>
            <w:r>
              <w:rPr>
                <w:rFonts w:hint="default" w:ascii="Arial" w:hAnsi="Arial" w:eastAsia="宋体" w:cs="Arial"/>
                <w:color w:val="auto"/>
                <w:sz w:val="21"/>
                <w:szCs w:val="21"/>
                <w:highlight w:val="none"/>
              </w:rPr>
              <w:t>设置挡水墙（坡道）及导流渠</w:t>
            </w:r>
            <w:r>
              <w:rPr>
                <w:rFonts w:hint="default" w:ascii="Arial" w:hAnsi="Arial" w:eastAsia="宋体" w:cs="Arial"/>
                <w:color w:val="auto"/>
                <w:sz w:val="21"/>
                <w:szCs w:val="21"/>
                <w:highlight w:val="none"/>
                <w:lang w:val="en-US" w:eastAsia="zh-CN"/>
              </w:rPr>
              <w:t>，</w:t>
            </w:r>
            <w:r>
              <w:rPr>
                <w:rFonts w:hint="default" w:ascii="Arial" w:hAnsi="Arial" w:eastAsia="宋体" w:cs="Arial"/>
                <w:color w:val="auto"/>
                <w:sz w:val="21"/>
                <w:szCs w:val="21"/>
                <w:highlight w:val="none"/>
              </w:rPr>
              <w:t>可防止降雨(水)的进入</w:t>
            </w:r>
            <w:r>
              <w:rPr>
                <w:rFonts w:hint="default" w:ascii="Arial" w:hAnsi="Arial" w:eastAsia="宋体" w:cs="Arial"/>
                <w:color w:val="auto"/>
                <w:highlight w:val="none"/>
              </w:rPr>
              <w:t>。</w:t>
            </w:r>
          </w:p>
        </w:tc>
        <w:tc>
          <w:tcPr>
            <w:tcW w:w="815" w:type="dxa"/>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符合</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100" w:type="dxa"/>
            <w:vMerge w:val="continue"/>
            <w:vAlign w:val="center"/>
          </w:tcPr>
          <w:p>
            <w:pPr>
              <w:pStyle w:val="63"/>
              <w:rPr>
                <w:rFonts w:hint="default" w:ascii="Arial" w:hAnsi="Arial" w:eastAsia="宋体" w:cs="Arial"/>
                <w:color w:val="auto"/>
                <w:highlight w:val="none"/>
              </w:rPr>
            </w:pPr>
          </w:p>
        </w:tc>
        <w:tc>
          <w:tcPr>
            <w:tcW w:w="8081" w:type="dxa"/>
            <w:vAlign w:val="center"/>
          </w:tcPr>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highlight w:val="none"/>
              </w:rPr>
            </w:pPr>
            <w:r>
              <w:rPr>
                <w:rFonts w:hint="default" w:ascii="Arial" w:hAnsi="Arial" w:eastAsia="宋体" w:cs="Arial"/>
                <w:color w:val="auto"/>
                <w:highlight w:val="none"/>
              </w:rPr>
              <w:t>采取粪污全量收集还田利用、污水肥料化利用、粪便垫料回用、异位发酵床、粪污专业化能源利用等模式处理利用畜禽粪污，促进畜禽规模养殖项目“种养结合”绿色发展。</w:t>
            </w:r>
          </w:p>
        </w:tc>
        <w:tc>
          <w:tcPr>
            <w:tcW w:w="4393" w:type="dxa"/>
            <w:vAlign w:val="center"/>
          </w:tcPr>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highlight w:val="none"/>
              </w:rPr>
            </w:pPr>
            <w:r>
              <w:rPr>
                <w:rFonts w:hint="default" w:ascii="Arial" w:hAnsi="Arial" w:eastAsia="宋体" w:cs="Arial"/>
                <w:color w:val="auto"/>
                <w:sz w:val="21"/>
                <w:szCs w:val="21"/>
                <w:highlight w:val="none"/>
                <w:lang w:eastAsia="zh-CN"/>
              </w:rPr>
              <w:t>项目牛粪便</w:t>
            </w:r>
            <w:r>
              <w:rPr>
                <w:rFonts w:hint="default" w:ascii="Arial" w:hAnsi="Arial" w:eastAsia="宋体" w:cs="Arial"/>
                <w:color w:val="auto"/>
                <w:sz w:val="21"/>
                <w:szCs w:val="21"/>
                <w:highlight w:val="none"/>
              </w:rPr>
              <w:t>经</w:t>
            </w:r>
            <w:r>
              <w:rPr>
                <w:rFonts w:hint="default" w:ascii="Arial" w:hAnsi="Arial" w:eastAsia="宋体" w:cs="Arial"/>
                <w:color w:val="auto"/>
                <w:sz w:val="21"/>
                <w:szCs w:val="21"/>
                <w:highlight w:val="none"/>
                <w:lang w:eastAsia="zh-CN"/>
              </w:rPr>
              <w:t>堆肥场储存并堆肥</w:t>
            </w:r>
            <w:r>
              <w:rPr>
                <w:rFonts w:hint="default" w:ascii="Arial" w:hAnsi="Arial" w:eastAsia="宋体" w:cs="Arial"/>
                <w:color w:val="auto"/>
                <w:sz w:val="21"/>
                <w:szCs w:val="21"/>
                <w:highlight w:val="none"/>
              </w:rPr>
              <w:t>后</w:t>
            </w:r>
            <w:r>
              <w:rPr>
                <w:rFonts w:hint="default" w:ascii="Arial" w:hAnsi="Arial" w:eastAsia="宋体" w:cs="Arial"/>
                <w:color w:val="auto"/>
                <w:sz w:val="21"/>
                <w:szCs w:val="21"/>
                <w:highlight w:val="none"/>
                <w:lang w:eastAsia="zh-CN"/>
              </w:rPr>
              <w:t>，作为有机肥还田利用；</w:t>
            </w:r>
            <w:r>
              <w:rPr>
                <w:rFonts w:hint="default" w:ascii="Arial" w:hAnsi="Arial" w:eastAsia="宋体" w:cs="Arial"/>
                <w:color w:val="auto"/>
                <w:highlight w:val="none"/>
                <w:lang w:bidi="en-US"/>
              </w:rPr>
              <w:t>项目采用“牛—肥—林(田)”的生态养殖工艺，产生的粪污全部还田。</w:t>
            </w:r>
          </w:p>
        </w:tc>
        <w:tc>
          <w:tcPr>
            <w:tcW w:w="815" w:type="dxa"/>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符合</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100" w:type="dxa"/>
            <w:vMerge w:val="continue"/>
            <w:vAlign w:val="center"/>
          </w:tcPr>
          <w:p>
            <w:pPr>
              <w:pStyle w:val="63"/>
              <w:rPr>
                <w:rFonts w:hint="default" w:ascii="Arial" w:hAnsi="Arial" w:eastAsia="宋体" w:cs="Arial"/>
                <w:color w:val="auto"/>
                <w:highlight w:val="none"/>
              </w:rPr>
            </w:pPr>
          </w:p>
        </w:tc>
        <w:tc>
          <w:tcPr>
            <w:tcW w:w="8081" w:type="dxa"/>
            <w:vAlign w:val="center"/>
          </w:tcPr>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highlight w:val="none"/>
              </w:rPr>
            </w:pPr>
            <w:r>
              <w:rPr>
                <w:rFonts w:hint="default" w:ascii="Arial" w:hAnsi="Arial" w:eastAsia="宋体" w:cs="Arial"/>
                <w:color w:val="auto"/>
                <w:highlight w:val="none"/>
              </w:rPr>
              <w:t>畜禽规模养殖项目配套建设沼气工程的，应充分考虑沼气制备及贮存过程中的环境风险，制定环境风险防范措施及应急预案。</w:t>
            </w:r>
          </w:p>
        </w:tc>
        <w:tc>
          <w:tcPr>
            <w:tcW w:w="4393" w:type="dxa"/>
            <w:vAlign w:val="center"/>
          </w:tcPr>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highlight w:val="none"/>
              </w:rPr>
            </w:pPr>
            <w:r>
              <w:rPr>
                <w:rFonts w:hint="default" w:ascii="Arial" w:hAnsi="Arial" w:eastAsia="宋体" w:cs="Arial"/>
                <w:color w:val="auto"/>
                <w:highlight w:val="none"/>
              </w:rPr>
              <w:t>项目未建设沼气工程。</w:t>
            </w:r>
          </w:p>
        </w:tc>
        <w:tc>
          <w:tcPr>
            <w:tcW w:w="815" w:type="dxa"/>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符合</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100" w:type="dxa"/>
            <w:vMerge w:val="continue"/>
            <w:vAlign w:val="center"/>
          </w:tcPr>
          <w:p>
            <w:pPr>
              <w:pStyle w:val="63"/>
              <w:rPr>
                <w:rFonts w:hint="default" w:ascii="Arial" w:hAnsi="Arial" w:eastAsia="宋体" w:cs="Arial"/>
                <w:color w:val="auto"/>
                <w:highlight w:val="none"/>
              </w:rPr>
            </w:pPr>
          </w:p>
        </w:tc>
        <w:tc>
          <w:tcPr>
            <w:tcW w:w="8081" w:type="dxa"/>
            <w:vAlign w:val="center"/>
          </w:tcPr>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highlight w:val="none"/>
              </w:rPr>
            </w:pPr>
            <w:r>
              <w:rPr>
                <w:rFonts w:hint="default" w:ascii="Arial" w:hAnsi="Arial" w:eastAsia="宋体" w:cs="Arial"/>
                <w:color w:val="auto"/>
                <w:highlight w:val="none"/>
              </w:rPr>
              <w:t>依据相关法律法规和技术规范，制定明确的病死畜禽处理、处置方案，及时处理病死畜禽。针对畜禽规模养殖项目的恶臭影响，可采取控制饲养密度、改善舍内通风、及时清粪、采用除臭剂、集中收集处理等措施，确保项目恶臭污染物达标排放。</w:t>
            </w:r>
          </w:p>
        </w:tc>
        <w:tc>
          <w:tcPr>
            <w:tcW w:w="4393" w:type="dxa"/>
            <w:vAlign w:val="center"/>
          </w:tcPr>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highlight w:val="none"/>
              </w:rPr>
            </w:pPr>
            <w:r>
              <w:rPr>
                <w:rFonts w:hint="default" w:ascii="Arial" w:hAnsi="Arial" w:eastAsia="宋体" w:cs="Arial"/>
                <w:color w:val="auto"/>
                <w:kern w:val="0"/>
                <w:highlight w:val="none"/>
              </w:rPr>
              <w:t>项目产生的病死牛尸体交由巴彦淖尔市绿之源生物技术发展有限公司进行无害化处理；养殖场拟采取</w:t>
            </w:r>
            <w:r>
              <w:rPr>
                <w:rFonts w:hint="default" w:ascii="Arial" w:hAnsi="Arial" w:eastAsia="宋体" w:cs="Arial"/>
                <w:color w:val="auto"/>
                <w:highlight w:val="none"/>
              </w:rPr>
              <w:t>控制饲养密度、改善舍内通风、及时清粪、定期喷洒除臭剂、集中收集处理等措施，确保项目恶臭污染物达标排放。</w:t>
            </w:r>
          </w:p>
        </w:tc>
        <w:tc>
          <w:tcPr>
            <w:tcW w:w="815" w:type="dxa"/>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符合</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100" w:type="dxa"/>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《内蒙古自治区畜禽养殖主要污染物减排工程项目建设技术指南（试行）》(2014)</w:t>
            </w:r>
          </w:p>
        </w:tc>
        <w:tc>
          <w:tcPr>
            <w:tcW w:w="8081" w:type="dxa"/>
            <w:vAlign w:val="center"/>
          </w:tcPr>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highlight w:val="none"/>
              </w:rPr>
            </w:pPr>
            <w:r>
              <w:rPr>
                <w:rFonts w:hint="default" w:ascii="Arial" w:hAnsi="Arial" w:eastAsia="宋体" w:cs="Arial"/>
                <w:color w:val="auto"/>
                <w:highlight w:val="none"/>
              </w:rPr>
              <w:t>种养结合原则，养殖产生的污染物全部得到综合利用和土地利用；牧场需要采区雨污分流制度；粪便和污水/尿液土地利用可采用农田利用、林地利用或土地改造利用，但必须保证有足够土地面积消纳，消纳土地面积要求每头</w:t>
            </w:r>
            <w:r>
              <w:rPr>
                <w:rFonts w:hint="default" w:ascii="Arial" w:hAnsi="Arial" w:eastAsia="宋体" w:cs="Arial"/>
                <w:color w:val="auto"/>
                <w:highlight w:val="none"/>
                <w:lang w:eastAsia="zh-CN"/>
              </w:rPr>
              <w:t>肉牛（</w:t>
            </w:r>
            <w:r>
              <w:rPr>
                <w:rFonts w:hint="default" w:ascii="Arial" w:hAnsi="Arial" w:eastAsia="宋体" w:cs="Arial"/>
                <w:color w:val="auto"/>
                <w:highlight w:val="none"/>
                <w:lang w:val="en-US" w:eastAsia="zh-CN"/>
              </w:rPr>
              <w:t>0.5头肉牛</w:t>
            </w:r>
            <w:r>
              <w:rPr>
                <w:rFonts w:hint="default" w:ascii="Arial" w:hAnsi="Arial" w:eastAsia="宋体" w:cs="Arial"/>
                <w:color w:val="auto"/>
                <w:highlight w:val="none"/>
                <w:lang w:eastAsia="zh-CN"/>
              </w:rPr>
              <w:t>）</w:t>
            </w:r>
            <w:r>
              <w:rPr>
                <w:rFonts w:hint="default" w:ascii="Arial" w:hAnsi="Arial" w:eastAsia="宋体" w:cs="Arial"/>
                <w:color w:val="auto"/>
                <w:highlight w:val="none"/>
              </w:rPr>
              <w:t>不少于1.25亩土地；粪便采取干清粪工艺，粪便进行堆肥发酵后土地消纳，粪便堆放场可有使用容积要求每头</w:t>
            </w:r>
            <w:r>
              <w:rPr>
                <w:rFonts w:hint="default" w:ascii="Arial" w:hAnsi="Arial" w:eastAsia="宋体" w:cs="Arial"/>
                <w:color w:val="auto"/>
                <w:highlight w:val="none"/>
                <w:lang w:eastAsia="zh-CN"/>
              </w:rPr>
              <w:t>肉牛（存栏）</w:t>
            </w:r>
            <w:r>
              <w:rPr>
                <w:rFonts w:hint="default" w:ascii="Arial" w:hAnsi="Arial" w:eastAsia="宋体" w:cs="Arial"/>
                <w:color w:val="auto"/>
                <w:highlight w:val="none"/>
              </w:rPr>
              <w:t>不低于0.25m</w:t>
            </w:r>
            <w:r>
              <w:rPr>
                <w:rFonts w:hint="default" w:ascii="Arial" w:hAnsi="Arial" w:eastAsia="宋体" w:cs="Arial"/>
                <w:color w:val="auto"/>
                <w:highlight w:val="none"/>
                <w:vertAlign w:val="superscript"/>
              </w:rPr>
              <w:t>3</w:t>
            </w:r>
            <w:r>
              <w:rPr>
                <w:rFonts w:hint="default" w:ascii="Arial" w:hAnsi="Arial" w:eastAsia="宋体" w:cs="Arial"/>
                <w:color w:val="auto"/>
                <w:highlight w:val="none"/>
                <w:lang w:eastAsia="zh-CN"/>
              </w:rPr>
              <w:t>，每头肉牛（出栏）</w:t>
            </w:r>
            <w:r>
              <w:rPr>
                <w:rFonts w:hint="default" w:ascii="Arial" w:hAnsi="Arial" w:eastAsia="宋体" w:cs="Arial"/>
                <w:color w:val="auto"/>
                <w:highlight w:val="none"/>
              </w:rPr>
              <w:t>不低于0.5m</w:t>
            </w:r>
            <w:r>
              <w:rPr>
                <w:rFonts w:hint="default" w:ascii="Arial" w:hAnsi="Arial" w:eastAsia="宋体" w:cs="Arial"/>
                <w:color w:val="auto"/>
                <w:highlight w:val="none"/>
                <w:vertAlign w:val="superscript"/>
              </w:rPr>
              <w:t>3</w:t>
            </w:r>
            <w:r>
              <w:rPr>
                <w:rFonts w:hint="default" w:ascii="Arial" w:hAnsi="Arial" w:eastAsia="宋体" w:cs="Arial"/>
                <w:color w:val="auto"/>
                <w:highlight w:val="none"/>
              </w:rPr>
              <w:t>。</w:t>
            </w:r>
            <w:r>
              <w:rPr>
                <w:rFonts w:hint="default" w:ascii="Arial" w:hAnsi="Arial" w:eastAsia="宋体" w:cs="Arial"/>
                <w:color w:val="auto"/>
                <w:highlight w:val="none"/>
                <w:lang w:eastAsia="zh-CN"/>
              </w:rPr>
              <w:t>堆肥场</w:t>
            </w:r>
            <w:r>
              <w:rPr>
                <w:rFonts w:hint="default" w:ascii="Arial" w:hAnsi="Arial" w:eastAsia="宋体" w:cs="Arial"/>
                <w:color w:val="auto"/>
                <w:highlight w:val="none"/>
              </w:rPr>
              <w:t>需采取防雨防渗措施”。</w:t>
            </w:r>
          </w:p>
        </w:tc>
        <w:tc>
          <w:tcPr>
            <w:tcW w:w="4393" w:type="dxa"/>
            <w:vAlign w:val="center"/>
          </w:tcPr>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highlight w:val="none"/>
                <w:lang w:eastAsia="zh-CN"/>
              </w:rPr>
            </w:pPr>
            <w:r>
              <w:rPr>
                <w:rFonts w:hint="default" w:ascii="Arial" w:hAnsi="Arial" w:eastAsia="宋体" w:cs="Arial"/>
                <w:color w:val="auto"/>
                <w:sz w:val="21"/>
                <w:szCs w:val="21"/>
                <w:highlight w:val="none"/>
                <w:lang w:eastAsia="zh-CN"/>
              </w:rPr>
              <w:t>项目牛粪便</w:t>
            </w:r>
            <w:r>
              <w:rPr>
                <w:rFonts w:hint="default" w:ascii="Arial" w:hAnsi="Arial" w:eastAsia="宋体" w:cs="Arial"/>
                <w:color w:val="auto"/>
                <w:sz w:val="21"/>
                <w:szCs w:val="21"/>
                <w:highlight w:val="none"/>
              </w:rPr>
              <w:t>经</w:t>
            </w:r>
            <w:r>
              <w:rPr>
                <w:rFonts w:hint="default" w:ascii="Arial" w:hAnsi="Arial" w:eastAsia="宋体" w:cs="Arial"/>
                <w:color w:val="auto"/>
                <w:sz w:val="21"/>
                <w:szCs w:val="21"/>
                <w:highlight w:val="none"/>
                <w:lang w:eastAsia="zh-CN"/>
              </w:rPr>
              <w:t>堆肥场储存并堆肥</w:t>
            </w:r>
            <w:r>
              <w:rPr>
                <w:rFonts w:hint="default" w:ascii="Arial" w:hAnsi="Arial" w:eastAsia="宋体" w:cs="Arial"/>
                <w:color w:val="auto"/>
                <w:sz w:val="21"/>
                <w:szCs w:val="21"/>
                <w:highlight w:val="none"/>
              </w:rPr>
              <w:t>后</w:t>
            </w:r>
            <w:r>
              <w:rPr>
                <w:rFonts w:hint="default" w:ascii="Arial" w:hAnsi="Arial" w:eastAsia="宋体" w:cs="Arial"/>
                <w:color w:val="auto"/>
                <w:sz w:val="21"/>
                <w:szCs w:val="21"/>
                <w:highlight w:val="none"/>
                <w:lang w:eastAsia="zh-CN"/>
              </w:rPr>
              <w:t>，</w:t>
            </w:r>
            <w:r>
              <w:rPr>
                <w:rFonts w:hint="default" w:ascii="Arial" w:hAnsi="Arial" w:eastAsia="宋体" w:cs="Arial"/>
                <w:color w:val="auto"/>
                <w:highlight w:val="none"/>
                <w:lang w:eastAsia="zh-CN"/>
              </w:rPr>
              <w:t>满足《粪便无害化卫生标准》的要求，作为有机肥还田利用。</w:t>
            </w:r>
          </w:p>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highlight w:val="none"/>
                <w:lang w:eastAsia="zh-CN"/>
              </w:rPr>
            </w:pPr>
            <w:r>
              <w:rPr>
                <w:rFonts w:hint="default" w:ascii="Arial" w:hAnsi="Arial" w:eastAsia="宋体" w:cs="Arial"/>
                <w:color w:val="auto"/>
                <w:highlight w:val="none"/>
              </w:rPr>
              <w:t>项目采用干清粪工艺，</w:t>
            </w:r>
            <w:r>
              <w:rPr>
                <w:rFonts w:hint="default" w:ascii="Arial" w:hAnsi="Arial" w:eastAsia="宋体" w:cs="Arial"/>
                <w:color w:val="auto"/>
                <w:highlight w:val="none"/>
                <w:lang w:eastAsia="zh-CN"/>
              </w:rPr>
              <w:t>堆肥场</w:t>
            </w:r>
            <w:r>
              <w:rPr>
                <w:rFonts w:hint="default" w:ascii="Arial" w:hAnsi="Arial" w:eastAsia="宋体" w:cs="Arial"/>
                <w:color w:val="auto"/>
                <w:highlight w:val="none"/>
                <w:lang w:val="en-US" w:eastAsia="zh-CN"/>
              </w:rPr>
              <w:t>容积</w:t>
            </w:r>
            <w:r>
              <w:rPr>
                <w:rFonts w:hint="default" w:ascii="Arial" w:hAnsi="Arial" w:eastAsia="宋体" w:cs="Arial"/>
                <w:color w:val="auto"/>
                <w:highlight w:val="none"/>
              </w:rPr>
              <w:t>为</w:t>
            </w:r>
            <w:r>
              <w:rPr>
                <w:rFonts w:hint="default" w:ascii="Arial" w:hAnsi="Arial" w:eastAsia="宋体" w:cs="Arial"/>
                <w:color w:val="auto"/>
                <w:highlight w:val="none"/>
                <w:lang w:val="en-US" w:eastAsia="zh-CN"/>
              </w:rPr>
              <w:t>6</w:t>
            </w:r>
            <w:r>
              <w:rPr>
                <w:rFonts w:hint="default" w:ascii="Arial" w:hAnsi="Arial" w:eastAsia="宋体" w:cs="Arial"/>
                <w:color w:val="auto"/>
                <w:highlight w:val="none"/>
                <w:lang w:eastAsia="zh-CN"/>
              </w:rPr>
              <w:t>000</w:t>
            </w:r>
            <w:r>
              <w:rPr>
                <w:rFonts w:hint="default" w:ascii="Arial" w:hAnsi="Arial" w:eastAsia="宋体" w:cs="Arial"/>
                <w:color w:val="auto"/>
                <w:highlight w:val="none"/>
              </w:rPr>
              <w:t>m</w:t>
            </w:r>
            <w:r>
              <w:rPr>
                <w:rFonts w:hint="default" w:ascii="Arial" w:hAnsi="Arial" w:eastAsia="宋体" w:cs="Arial"/>
                <w:color w:val="auto"/>
                <w:highlight w:val="none"/>
                <w:vertAlign w:val="superscript"/>
                <w:lang w:val="en-US" w:eastAsia="zh-CN"/>
              </w:rPr>
              <w:t>3</w:t>
            </w:r>
            <w:r>
              <w:rPr>
                <w:rFonts w:hint="default" w:ascii="Arial" w:hAnsi="Arial" w:eastAsia="宋体" w:cs="Arial"/>
                <w:color w:val="auto"/>
                <w:highlight w:val="none"/>
              </w:rPr>
              <w:t>，满足</w:t>
            </w:r>
            <w:r>
              <w:rPr>
                <w:rFonts w:hint="default" w:ascii="Arial" w:hAnsi="Arial" w:eastAsia="宋体" w:cs="Arial"/>
                <w:color w:val="auto"/>
                <w:highlight w:val="none"/>
                <w:lang w:eastAsia="zh-CN"/>
              </w:rPr>
              <w:t>“每头肉牛（出栏）</w:t>
            </w:r>
            <w:r>
              <w:rPr>
                <w:rFonts w:hint="default" w:ascii="Arial" w:hAnsi="Arial" w:eastAsia="宋体" w:cs="Arial"/>
                <w:color w:val="auto"/>
                <w:highlight w:val="none"/>
              </w:rPr>
              <w:t>不低于0.5m</w:t>
            </w:r>
            <w:r>
              <w:rPr>
                <w:rFonts w:hint="default" w:ascii="Arial" w:hAnsi="Arial" w:eastAsia="宋体" w:cs="Arial"/>
                <w:color w:val="auto"/>
                <w:highlight w:val="none"/>
                <w:vertAlign w:val="superscript"/>
              </w:rPr>
              <w:t>3</w:t>
            </w:r>
            <w:r>
              <w:rPr>
                <w:rFonts w:hint="default" w:ascii="Arial" w:hAnsi="Arial" w:eastAsia="宋体" w:cs="Arial"/>
                <w:color w:val="auto"/>
                <w:highlight w:val="none"/>
                <w:lang w:eastAsia="zh-CN"/>
              </w:rPr>
              <w:t>”</w:t>
            </w:r>
            <w:r>
              <w:rPr>
                <w:rFonts w:hint="default" w:ascii="Arial" w:hAnsi="Arial" w:eastAsia="宋体" w:cs="Arial"/>
                <w:color w:val="auto"/>
                <w:highlight w:val="none"/>
              </w:rPr>
              <w:t>要求。</w:t>
            </w:r>
          </w:p>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highlight w:val="none"/>
              </w:rPr>
            </w:pPr>
            <w:r>
              <w:rPr>
                <w:rFonts w:hint="default" w:ascii="Arial" w:hAnsi="Arial" w:eastAsia="宋体" w:cs="Arial"/>
                <w:color w:val="auto"/>
                <w:sz w:val="21"/>
                <w:szCs w:val="21"/>
                <w:highlight w:val="none"/>
                <w:lang w:eastAsia="zh-CN"/>
              </w:rPr>
              <w:t>堆肥场</w:t>
            </w:r>
            <w:r>
              <w:rPr>
                <w:rFonts w:hint="default" w:ascii="Arial" w:hAnsi="Arial" w:eastAsia="宋体" w:cs="Arial"/>
                <w:color w:val="auto"/>
                <w:sz w:val="21"/>
                <w:szCs w:val="21"/>
                <w:highlight w:val="none"/>
              </w:rPr>
              <w:t>设置</w:t>
            </w:r>
            <w:r>
              <w:rPr>
                <w:rFonts w:hint="default" w:ascii="Arial" w:hAnsi="Arial" w:eastAsia="宋体" w:cs="Arial"/>
                <w:color w:val="auto"/>
                <w:sz w:val="21"/>
                <w:szCs w:val="21"/>
                <w:highlight w:val="none"/>
                <w:lang w:val="en-US" w:eastAsia="zh-CN"/>
              </w:rPr>
              <w:t>1m高</w:t>
            </w:r>
            <w:r>
              <w:rPr>
                <w:rFonts w:hint="default" w:ascii="Arial" w:hAnsi="Arial" w:eastAsia="宋体" w:cs="Arial"/>
                <w:color w:val="auto"/>
                <w:sz w:val="21"/>
                <w:szCs w:val="21"/>
                <w:highlight w:val="none"/>
              </w:rPr>
              <w:t>挡墙、截洪沟</w:t>
            </w:r>
            <w:r>
              <w:rPr>
                <w:rFonts w:hint="default" w:ascii="Arial" w:hAnsi="Arial" w:eastAsia="宋体" w:cs="Arial"/>
                <w:color w:val="auto"/>
                <w:sz w:val="21"/>
                <w:szCs w:val="21"/>
                <w:highlight w:val="none"/>
                <w:lang w:eastAsia="zh-CN"/>
              </w:rPr>
              <w:t>，地面</w:t>
            </w:r>
            <w:r>
              <w:rPr>
                <w:rFonts w:hint="default" w:ascii="Arial" w:hAnsi="Arial" w:eastAsia="宋体" w:cs="Arial"/>
                <w:color w:val="auto"/>
                <w:sz w:val="21"/>
                <w:szCs w:val="21"/>
                <w:highlight w:val="none"/>
                <w:lang w:val="en-US" w:eastAsia="zh-CN"/>
              </w:rPr>
              <w:t>选用PE膜+C25防渗混凝土，抗渗等级不小于P6级，</w:t>
            </w:r>
            <w:r>
              <w:rPr>
                <w:rFonts w:hint="default" w:ascii="Arial" w:hAnsi="Arial" w:eastAsia="宋体" w:cs="Arial"/>
                <w:color w:val="auto"/>
                <w:kern w:val="0"/>
                <w:sz w:val="21"/>
                <w:szCs w:val="21"/>
                <w:highlight w:val="none"/>
              </w:rPr>
              <w:t>渗透系数≤10</w:t>
            </w:r>
            <w:r>
              <w:rPr>
                <w:rFonts w:hint="default" w:ascii="Arial" w:hAnsi="Arial" w:eastAsia="宋体" w:cs="Arial"/>
                <w:color w:val="auto"/>
                <w:kern w:val="0"/>
                <w:sz w:val="21"/>
                <w:szCs w:val="21"/>
                <w:highlight w:val="none"/>
                <w:vertAlign w:val="superscript"/>
              </w:rPr>
              <w:t>-</w:t>
            </w:r>
            <w:r>
              <w:rPr>
                <w:rFonts w:hint="default" w:ascii="Arial" w:hAnsi="Arial" w:eastAsia="宋体" w:cs="Arial"/>
                <w:color w:val="auto"/>
                <w:kern w:val="0"/>
                <w:sz w:val="21"/>
                <w:szCs w:val="21"/>
                <w:highlight w:val="none"/>
                <w:vertAlign w:val="superscript"/>
                <w:lang w:val="en-US" w:eastAsia="zh-CN"/>
              </w:rPr>
              <w:t>7</w:t>
            </w:r>
            <w:r>
              <w:rPr>
                <w:rFonts w:hint="default" w:ascii="Arial" w:hAnsi="Arial" w:eastAsia="宋体" w:cs="Arial"/>
                <w:color w:val="auto"/>
                <w:kern w:val="0"/>
                <w:sz w:val="21"/>
                <w:szCs w:val="21"/>
                <w:highlight w:val="none"/>
              </w:rPr>
              <w:t>cm/s</w:t>
            </w:r>
            <w:r>
              <w:rPr>
                <w:rFonts w:hint="default" w:ascii="Arial" w:hAnsi="Arial" w:eastAsia="宋体" w:cs="Arial"/>
                <w:color w:val="auto"/>
                <w:sz w:val="21"/>
                <w:szCs w:val="21"/>
                <w:highlight w:val="none"/>
                <w:lang w:eastAsia="zh-CN"/>
              </w:rPr>
              <w:t>。</w:t>
            </w:r>
          </w:p>
        </w:tc>
        <w:tc>
          <w:tcPr>
            <w:tcW w:w="815" w:type="dxa"/>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符合</w:t>
            </w:r>
          </w:p>
        </w:tc>
      </w:tr>
    </w:tbl>
    <w:p>
      <w:pPr>
        <w:ind w:firstLine="480"/>
        <w:rPr>
          <w:rFonts w:hint="default" w:ascii="Arial" w:hAnsi="Arial" w:eastAsia="宋体" w:cs="Arial"/>
          <w:color w:val="auto"/>
          <w:highlight w:val="none"/>
        </w:rPr>
      </w:pPr>
    </w:p>
    <w:p>
      <w:pPr>
        <w:ind w:firstLine="480"/>
        <w:rPr>
          <w:rFonts w:hint="default" w:ascii="Arial" w:hAnsi="Arial" w:eastAsia="宋体" w:cs="Arial"/>
          <w:color w:val="auto"/>
          <w:highlight w:val="none"/>
        </w:rPr>
      </w:pPr>
      <w:r>
        <w:rPr>
          <w:rFonts w:hint="default" w:ascii="Arial" w:hAnsi="Arial" w:eastAsia="宋体" w:cs="Arial"/>
          <w:color w:val="auto"/>
          <w:highlight w:val="none"/>
        </w:rPr>
        <w:br w:type="page"/>
      </w:r>
    </w:p>
    <w:p>
      <w:pPr>
        <w:pStyle w:val="8"/>
        <w:rPr>
          <w:rFonts w:hint="default" w:ascii="Arial" w:hAnsi="Arial" w:eastAsia="宋体" w:cs="Arial"/>
          <w:color w:val="auto"/>
          <w:highlight w:val="none"/>
        </w:rPr>
      </w:pPr>
      <w:r>
        <w:rPr>
          <w:rFonts w:hint="default" w:ascii="Arial" w:hAnsi="Arial" w:eastAsia="宋体" w:cs="Arial"/>
          <w:color w:val="auto"/>
          <w:highlight w:val="none"/>
        </w:rPr>
        <w:t>表2.7-4    本项目与相关规划、方案的符合性分析</w:t>
      </w:r>
    </w:p>
    <w:tbl>
      <w:tblPr>
        <w:tblStyle w:val="39"/>
        <w:tblW w:w="14389" w:type="dxa"/>
        <w:tblInd w:w="0" w:type="dxa"/>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1790"/>
        <w:gridCol w:w="8613"/>
        <w:gridCol w:w="3128"/>
        <w:gridCol w:w="858"/>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843" w:type="dxa"/>
            <w:vAlign w:val="center"/>
          </w:tcPr>
          <w:p>
            <w:pPr>
              <w:pStyle w:val="63"/>
              <w:rPr>
                <w:rFonts w:hint="default" w:ascii="Arial" w:hAnsi="Arial" w:eastAsia="宋体" w:cs="Arial"/>
                <w:b/>
                <w:bCs/>
                <w:color w:val="auto"/>
                <w:sz w:val="21"/>
                <w:szCs w:val="21"/>
                <w:highlight w:val="none"/>
              </w:rPr>
            </w:pPr>
            <w:r>
              <w:rPr>
                <w:rFonts w:hint="default" w:ascii="Arial" w:hAnsi="Arial" w:eastAsia="宋体" w:cs="Arial"/>
                <w:b/>
                <w:bCs/>
                <w:color w:val="auto"/>
                <w:sz w:val="21"/>
                <w:szCs w:val="21"/>
                <w:highlight w:val="none"/>
              </w:rPr>
              <w:t>相关规划</w:t>
            </w:r>
          </w:p>
        </w:tc>
        <w:tc>
          <w:tcPr>
            <w:tcW w:w="8894" w:type="dxa"/>
            <w:vAlign w:val="center"/>
          </w:tcPr>
          <w:p>
            <w:pPr>
              <w:pStyle w:val="63"/>
              <w:rPr>
                <w:rFonts w:hint="default" w:ascii="Arial" w:hAnsi="Arial" w:eastAsia="宋体" w:cs="Arial"/>
                <w:b/>
                <w:bCs/>
                <w:color w:val="auto"/>
                <w:sz w:val="21"/>
                <w:szCs w:val="21"/>
                <w:highlight w:val="none"/>
              </w:rPr>
            </w:pPr>
            <w:r>
              <w:rPr>
                <w:rFonts w:hint="default" w:ascii="Arial" w:hAnsi="Arial" w:eastAsia="宋体" w:cs="Arial"/>
                <w:b/>
                <w:bCs/>
                <w:color w:val="auto"/>
                <w:sz w:val="21"/>
                <w:szCs w:val="21"/>
                <w:highlight w:val="none"/>
              </w:rPr>
              <w:t>相关条款及规定</w:t>
            </w:r>
          </w:p>
        </w:tc>
        <w:tc>
          <w:tcPr>
            <w:tcW w:w="3225" w:type="dxa"/>
            <w:vAlign w:val="center"/>
          </w:tcPr>
          <w:p>
            <w:pPr>
              <w:pStyle w:val="63"/>
              <w:rPr>
                <w:rFonts w:hint="default" w:ascii="Arial" w:hAnsi="Arial" w:eastAsia="宋体" w:cs="Arial"/>
                <w:b/>
                <w:bCs/>
                <w:color w:val="auto"/>
                <w:sz w:val="21"/>
                <w:szCs w:val="21"/>
                <w:highlight w:val="none"/>
              </w:rPr>
            </w:pPr>
            <w:r>
              <w:rPr>
                <w:rFonts w:hint="default" w:ascii="Arial" w:hAnsi="Arial" w:eastAsia="宋体" w:cs="Arial"/>
                <w:b/>
                <w:bCs/>
                <w:color w:val="auto"/>
                <w:sz w:val="21"/>
                <w:szCs w:val="21"/>
                <w:highlight w:val="none"/>
              </w:rPr>
              <w:t>符合性分析</w:t>
            </w:r>
          </w:p>
        </w:tc>
        <w:tc>
          <w:tcPr>
            <w:tcW w:w="879" w:type="dxa"/>
            <w:vAlign w:val="center"/>
          </w:tcPr>
          <w:p>
            <w:pPr>
              <w:pStyle w:val="63"/>
              <w:rPr>
                <w:rFonts w:hint="default" w:ascii="Arial" w:hAnsi="Arial" w:eastAsia="宋体" w:cs="Arial"/>
                <w:b/>
                <w:bCs/>
                <w:color w:val="auto"/>
                <w:sz w:val="21"/>
                <w:szCs w:val="21"/>
                <w:highlight w:val="none"/>
              </w:rPr>
            </w:pPr>
            <w:r>
              <w:rPr>
                <w:rFonts w:hint="default" w:ascii="Arial" w:hAnsi="Arial" w:eastAsia="宋体" w:cs="Arial"/>
                <w:b/>
                <w:bCs/>
                <w:color w:val="auto"/>
                <w:sz w:val="21"/>
                <w:szCs w:val="21"/>
                <w:highlight w:val="none"/>
              </w:rPr>
              <w:t>符合</w:t>
            </w:r>
          </w:p>
          <w:p>
            <w:pPr>
              <w:pStyle w:val="63"/>
              <w:rPr>
                <w:rFonts w:hint="default" w:ascii="Arial" w:hAnsi="Arial" w:eastAsia="宋体" w:cs="Arial"/>
                <w:b/>
                <w:bCs/>
                <w:color w:val="auto"/>
                <w:sz w:val="21"/>
                <w:szCs w:val="21"/>
                <w:highlight w:val="none"/>
              </w:rPr>
            </w:pPr>
            <w:r>
              <w:rPr>
                <w:rFonts w:hint="default" w:ascii="Arial" w:hAnsi="Arial" w:eastAsia="宋体" w:cs="Arial"/>
                <w:b/>
                <w:bCs/>
                <w:color w:val="auto"/>
                <w:sz w:val="21"/>
                <w:szCs w:val="21"/>
                <w:highlight w:val="none"/>
              </w:rPr>
              <w:t>情况</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843"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《内蒙古自治区农牧业现代化第十三个五年发展规划》</w:t>
            </w:r>
          </w:p>
        </w:tc>
        <w:tc>
          <w:tcPr>
            <w:tcW w:w="8894" w:type="dxa"/>
            <w:vAlign w:val="center"/>
          </w:tcPr>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第三章“推进农牧业现代化 保障农畜产品供给能力”中指出“大力发展现代畜牧业。做优草原畜牧业，做强农区畜牧业，提升标准化饲养水平，着力培育新型畜禽规模养殖经营主体，扶持牧区生态家庭牧场和农区标准化规模养殖场建设，打造草食畜牧业及特色畜禽绿色生产基地”。</w:t>
            </w:r>
          </w:p>
        </w:tc>
        <w:tc>
          <w:tcPr>
            <w:tcW w:w="3225" w:type="dxa"/>
            <w:vAlign w:val="center"/>
          </w:tcPr>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本牧场属于标准化</w:t>
            </w:r>
            <w:r>
              <w:rPr>
                <w:rFonts w:hint="default" w:ascii="Arial" w:hAnsi="Arial" w:eastAsia="宋体" w:cs="Arial"/>
                <w:color w:val="auto"/>
                <w:sz w:val="21"/>
                <w:szCs w:val="21"/>
                <w:highlight w:val="none"/>
                <w:lang w:eastAsia="zh-CN"/>
              </w:rPr>
              <w:t>、</w:t>
            </w:r>
            <w:r>
              <w:rPr>
                <w:rFonts w:hint="default" w:ascii="Arial" w:hAnsi="Arial" w:eastAsia="宋体" w:cs="Arial"/>
                <w:color w:val="auto"/>
                <w:sz w:val="21"/>
                <w:szCs w:val="21"/>
                <w:highlight w:val="none"/>
              </w:rPr>
              <w:t>规模化</w:t>
            </w:r>
            <w:r>
              <w:rPr>
                <w:rFonts w:hint="default" w:ascii="Arial" w:hAnsi="Arial" w:eastAsia="宋体" w:cs="Arial"/>
                <w:color w:val="auto"/>
                <w:sz w:val="21"/>
                <w:szCs w:val="21"/>
                <w:highlight w:val="none"/>
                <w:lang w:eastAsia="zh-CN"/>
              </w:rPr>
              <w:t>肉牛</w:t>
            </w:r>
            <w:r>
              <w:rPr>
                <w:rFonts w:hint="default" w:ascii="Arial" w:hAnsi="Arial" w:eastAsia="宋体" w:cs="Arial"/>
                <w:color w:val="auto"/>
                <w:sz w:val="21"/>
                <w:szCs w:val="21"/>
                <w:highlight w:val="none"/>
              </w:rPr>
              <w:t>养殖场</w:t>
            </w:r>
          </w:p>
        </w:tc>
        <w:tc>
          <w:tcPr>
            <w:tcW w:w="879"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符合</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843"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《内蒙古畜牧业发展“十三五”规划》（2016-2020年）</w:t>
            </w:r>
          </w:p>
        </w:tc>
        <w:tc>
          <w:tcPr>
            <w:tcW w:w="8894" w:type="dxa"/>
            <w:vAlign w:val="center"/>
          </w:tcPr>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五、重点建设工程建设（四）畜牧业转型升级示范工程。加大畜禽养殖优势区域和畜产品主产区的肉牛、肉羊、</w:t>
            </w:r>
            <w:r>
              <w:rPr>
                <w:rFonts w:hint="default" w:ascii="Arial" w:hAnsi="Arial" w:eastAsia="宋体" w:cs="Arial"/>
                <w:color w:val="auto"/>
                <w:sz w:val="21"/>
                <w:szCs w:val="21"/>
                <w:highlight w:val="none"/>
                <w:lang w:eastAsia="zh-CN"/>
              </w:rPr>
              <w:t>肉牛</w:t>
            </w:r>
            <w:r>
              <w:rPr>
                <w:rFonts w:hint="default" w:ascii="Arial" w:hAnsi="Arial" w:eastAsia="宋体" w:cs="Arial"/>
                <w:color w:val="auto"/>
                <w:sz w:val="21"/>
                <w:szCs w:val="21"/>
                <w:highlight w:val="none"/>
              </w:rPr>
              <w:t>、生猪家禽规模养殖场基础设施进行标准化建设力度，重点抓好牧区家庭牧场和农区标准化养殖棚圈、饲草料地、</w:t>
            </w:r>
            <w:r>
              <w:rPr>
                <w:rFonts w:hint="default" w:ascii="Arial" w:hAnsi="Arial" w:eastAsia="宋体" w:cs="Arial"/>
                <w:color w:val="auto"/>
                <w:sz w:val="21"/>
                <w:szCs w:val="21"/>
                <w:highlight w:val="none"/>
                <w:lang w:eastAsia="zh-CN"/>
              </w:rPr>
              <w:t>青贮池</w:t>
            </w:r>
            <w:r>
              <w:rPr>
                <w:rFonts w:hint="default" w:ascii="Arial" w:hAnsi="Arial" w:eastAsia="宋体" w:cs="Arial"/>
                <w:color w:val="auto"/>
                <w:sz w:val="21"/>
                <w:szCs w:val="21"/>
                <w:highlight w:val="none"/>
              </w:rPr>
              <w:t>、饲草饲料棚和加工、饲喂设备设施及粪污处理设施等生产设施设备建设，以此提高优势畜种的规模化程度，推动生产方式转变，提高综合生产能力。规模养殖成为畜牧业绿色发展主体。</w:t>
            </w:r>
          </w:p>
        </w:tc>
        <w:tc>
          <w:tcPr>
            <w:tcW w:w="3225" w:type="dxa"/>
            <w:vAlign w:val="center"/>
          </w:tcPr>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本牧场属于标准化</w:t>
            </w:r>
            <w:r>
              <w:rPr>
                <w:rFonts w:hint="default" w:ascii="Arial" w:hAnsi="Arial" w:eastAsia="宋体" w:cs="Arial"/>
                <w:color w:val="auto"/>
                <w:sz w:val="21"/>
                <w:szCs w:val="21"/>
                <w:highlight w:val="none"/>
                <w:lang w:eastAsia="zh-CN"/>
              </w:rPr>
              <w:t>、</w:t>
            </w:r>
            <w:r>
              <w:rPr>
                <w:rFonts w:hint="default" w:ascii="Arial" w:hAnsi="Arial" w:eastAsia="宋体" w:cs="Arial"/>
                <w:color w:val="auto"/>
                <w:sz w:val="21"/>
                <w:szCs w:val="21"/>
                <w:highlight w:val="none"/>
              </w:rPr>
              <w:t>规模化</w:t>
            </w:r>
            <w:r>
              <w:rPr>
                <w:rFonts w:hint="default" w:ascii="Arial" w:hAnsi="Arial" w:eastAsia="宋体" w:cs="Arial"/>
                <w:color w:val="auto"/>
                <w:sz w:val="21"/>
                <w:szCs w:val="21"/>
                <w:highlight w:val="none"/>
                <w:lang w:eastAsia="zh-CN"/>
              </w:rPr>
              <w:t>肉牛</w:t>
            </w:r>
            <w:r>
              <w:rPr>
                <w:rFonts w:hint="default" w:ascii="Arial" w:hAnsi="Arial" w:eastAsia="宋体" w:cs="Arial"/>
                <w:color w:val="auto"/>
                <w:sz w:val="21"/>
                <w:szCs w:val="21"/>
                <w:highlight w:val="none"/>
              </w:rPr>
              <w:t>养殖场，属于畜牧业绿色发展主体。</w:t>
            </w:r>
          </w:p>
        </w:tc>
        <w:tc>
          <w:tcPr>
            <w:tcW w:w="879"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符合</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843"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内蒙古自治区《畜禽粪污资源化利用工作方案》（2017—2020年）</w:t>
            </w:r>
          </w:p>
        </w:tc>
        <w:tc>
          <w:tcPr>
            <w:tcW w:w="8894" w:type="dxa"/>
            <w:vAlign w:val="center"/>
          </w:tcPr>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根据我区现阶段畜禽养殖现状和资源环境特点，以源头减量、过程控制、末端利用为核心，重点推广经济适用的通用技术模式。一是源头减量。推广使用微生物制剂、酶制剂等饲料添加剂和低氮低磷低矿物质饲料配方，提高饲料转化效率，促进兽药和铜、锌饲料添加剂减量使用，降低养殖业排放。推动生猪、</w:t>
            </w:r>
            <w:r>
              <w:rPr>
                <w:rFonts w:hint="default" w:ascii="Arial" w:hAnsi="Arial" w:eastAsia="宋体" w:cs="Arial"/>
                <w:color w:val="auto"/>
                <w:sz w:val="21"/>
                <w:szCs w:val="21"/>
                <w:highlight w:val="none"/>
                <w:lang w:eastAsia="zh-CN"/>
              </w:rPr>
              <w:t>肉牛</w:t>
            </w:r>
            <w:r>
              <w:rPr>
                <w:rFonts w:hint="default" w:ascii="Arial" w:hAnsi="Arial" w:eastAsia="宋体" w:cs="Arial"/>
                <w:color w:val="auto"/>
                <w:sz w:val="21"/>
                <w:szCs w:val="21"/>
                <w:highlight w:val="none"/>
              </w:rPr>
              <w:t>规模养殖场改水冲粪为干清粪，采用节水型饮水器或饮水分流装置，实行雨污分离、回收污水循环清粪等有效措施，从源头上控制养殖污水产生量。二是过程控制。规模养殖场根据土地承载能力确定适宜养殖规模，建设粪污处理设施，使用堆肥发酵菌剂、粪水处理菌剂和臭气控制菌剂等，加速粪污无害化处理过程，减少氮磷和臭气排放。三是末端利用。肉牛、羊和家禽等以固体粪便为主的规模化养殖场，鼓励进行固体粪便堆肥或建立集中处理中心生产商品有机肥;生猪和</w:t>
            </w:r>
            <w:r>
              <w:rPr>
                <w:rFonts w:hint="default" w:ascii="Arial" w:hAnsi="Arial" w:eastAsia="宋体" w:cs="Arial"/>
                <w:color w:val="auto"/>
                <w:sz w:val="21"/>
                <w:szCs w:val="21"/>
                <w:highlight w:val="none"/>
                <w:lang w:eastAsia="zh-CN"/>
              </w:rPr>
              <w:t>肉牛</w:t>
            </w:r>
            <w:r>
              <w:rPr>
                <w:rFonts w:hint="default" w:ascii="Arial" w:hAnsi="Arial" w:eastAsia="宋体" w:cs="Arial"/>
                <w:color w:val="auto"/>
                <w:sz w:val="21"/>
                <w:szCs w:val="21"/>
                <w:highlight w:val="none"/>
              </w:rPr>
              <w:t>等规模化养殖场鼓励采用粪污全量收集还田利用和“固体粪便堆肥+污水肥料化利用”等技术模式，推广快速低排放的固体粪便堆肥技术和水肥一体化施用技术，促进畜禽粪污就近就地还田利用。我区土地面积大、冬季气温低，环境承载力和土地消纳能力相对较高，在此基础上，东、中、西各区域应因地制宜，根据区域特征、饲养工艺和环境承载力的不同，分别推广以下模式：一是“粪污全量收集还田利用”模式。对于养殖密集区或大型规模养殖场，依托专业化粪污处理利用企业，集中收集并通过氧化塘贮存对粪污进行无害化处理，在作物收割后或播种前利用专业化施肥机械施用到农田，减少化肥施用量。二是“污水肥料化利用”模式。对于有配套农田的规模养殖场，养殖污水通过氧化塘贮存或沼气工程进行无害化处理，在作物收获后或播种前作为底肥施用。三是“粪污专业化能源利用”模式。依托大规模养殖场或第三方粪污处理企业，对一定区域内的粪污进行集中收集，通过大型沼气工程或生物天然气工程，沼气发电上网或提纯生物天然气，沼渣生产有机肥，沼液通过农田利用或浓缩使用。四是“粪便垫料回用”模式。规模</w:t>
            </w:r>
            <w:r>
              <w:rPr>
                <w:rFonts w:hint="default" w:ascii="Arial" w:hAnsi="Arial" w:eastAsia="宋体" w:cs="Arial"/>
                <w:color w:val="auto"/>
                <w:sz w:val="21"/>
                <w:szCs w:val="21"/>
                <w:highlight w:val="none"/>
                <w:lang w:eastAsia="zh-CN"/>
              </w:rPr>
              <w:t>肉牛</w:t>
            </w:r>
            <w:r>
              <w:rPr>
                <w:rFonts w:hint="default" w:ascii="Arial" w:hAnsi="Arial" w:eastAsia="宋体" w:cs="Arial"/>
                <w:color w:val="auto"/>
                <w:sz w:val="21"/>
                <w:szCs w:val="21"/>
                <w:highlight w:val="none"/>
              </w:rPr>
              <w:t>场粪污进行固液分离，固体粪便经过高温快速发酵和杀菌处理后作为</w:t>
            </w:r>
            <w:r>
              <w:rPr>
                <w:rFonts w:hint="default" w:ascii="Arial" w:hAnsi="Arial" w:eastAsia="宋体" w:cs="Arial"/>
                <w:color w:val="auto"/>
                <w:sz w:val="21"/>
                <w:szCs w:val="21"/>
                <w:highlight w:val="none"/>
                <w:lang w:eastAsia="zh-CN"/>
              </w:rPr>
              <w:t>牛床垫料</w:t>
            </w:r>
            <w:r>
              <w:rPr>
                <w:rFonts w:hint="default" w:ascii="Arial" w:hAnsi="Arial" w:eastAsia="宋体" w:cs="Arial"/>
                <w:color w:val="auto"/>
                <w:sz w:val="21"/>
                <w:szCs w:val="21"/>
                <w:highlight w:val="none"/>
              </w:rPr>
              <w:t>，养殖污水进行厌氧、好氧深度处理，达标排放或消毒回用。五是“异位发酵床”模式。粪污通过漏缝地板进入底层或转移到舍外，利用垫料和微生物菌进行发酵分解。采用“公司+农户”模式的家庭农场宜采用舍外发酵床模式，规模生猪养殖场宜采用高架发酵床模式。</w:t>
            </w:r>
          </w:p>
        </w:tc>
        <w:tc>
          <w:tcPr>
            <w:tcW w:w="3225" w:type="dxa"/>
            <w:vAlign w:val="center"/>
          </w:tcPr>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项目采用干清粪工艺，</w:t>
            </w:r>
            <w:r>
              <w:rPr>
                <w:rFonts w:hint="default" w:ascii="Arial" w:hAnsi="Arial" w:eastAsia="宋体" w:cs="Arial"/>
                <w:color w:val="auto"/>
                <w:sz w:val="21"/>
                <w:szCs w:val="21"/>
                <w:highlight w:val="none"/>
                <w:lang w:eastAsia="zh-CN"/>
              </w:rPr>
              <w:t>牛粪便</w:t>
            </w:r>
            <w:r>
              <w:rPr>
                <w:rFonts w:hint="default" w:ascii="Arial" w:hAnsi="Arial" w:eastAsia="宋体" w:cs="Arial"/>
                <w:color w:val="auto"/>
                <w:sz w:val="21"/>
                <w:szCs w:val="21"/>
                <w:highlight w:val="none"/>
              </w:rPr>
              <w:t>经</w:t>
            </w:r>
            <w:r>
              <w:rPr>
                <w:rFonts w:hint="default" w:ascii="Arial" w:hAnsi="Arial" w:eastAsia="宋体" w:cs="Arial"/>
                <w:color w:val="auto"/>
                <w:sz w:val="21"/>
                <w:szCs w:val="21"/>
                <w:highlight w:val="none"/>
                <w:lang w:eastAsia="zh-CN"/>
              </w:rPr>
              <w:t>堆肥场储存并堆肥</w:t>
            </w:r>
            <w:r>
              <w:rPr>
                <w:rFonts w:hint="default" w:ascii="Arial" w:hAnsi="Arial" w:eastAsia="宋体" w:cs="Arial"/>
                <w:color w:val="auto"/>
                <w:sz w:val="21"/>
                <w:szCs w:val="21"/>
                <w:highlight w:val="none"/>
              </w:rPr>
              <w:t>后，作为有机肥还田利用；符合“固体粪便堆肥”，实现粪污全还田。</w:t>
            </w:r>
          </w:p>
        </w:tc>
        <w:tc>
          <w:tcPr>
            <w:tcW w:w="879"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符合</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843"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《种养结合循环农业示范工程建设规划（2017—2020年）》</w:t>
            </w:r>
          </w:p>
        </w:tc>
        <w:tc>
          <w:tcPr>
            <w:tcW w:w="8894" w:type="dxa"/>
            <w:vAlign w:val="center"/>
          </w:tcPr>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以种带养、以养促种”的种养结合循环发展理念，以就地消纳、能量循环、综合利用为主线，以经济、生态和社会效益并重为导向，采取政府支持、企业运营、社会参与、整县推进的运作方式，构建集约化、标准化、组织化、社会化相结合的种养加协调发展模式，探索典型县域种养业废弃物循环利用的综合性整体解决方案，形成县乡村企联动、建管运行结合的长效机制，有效防治农业面源污染，提高农业资源利用效率，推动农业发展方式转变，促进农业可持续发展。</w:t>
            </w:r>
          </w:p>
        </w:tc>
        <w:tc>
          <w:tcPr>
            <w:tcW w:w="3225" w:type="dxa"/>
            <w:vAlign w:val="center"/>
          </w:tcPr>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项目采取种养结合的运营方式，本次以科学有效的方式促进粪污循环利用，</w:t>
            </w:r>
            <w:r>
              <w:rPr>
                <w:rFonts w:hint="default" w:ascii="Arial" w:hAnsi="Arial" w:eastAsia="宋体" w:cs="Arial"/>
                <w:color w:val="auto"/>
                <w:sz w:val="21"/>
                <w:szCs w:val="21"/>
                <w:highlight w:val="none"/>
                <w:lang w:eastAsia="zh-CN"/>
              </w:rPr>
              <w:t>牛粪便</w:t>
            </w:r>
            <w:r>
              <w:rPr>
                <w:rFonts w:hint="default" w:ascii="Arial" w:hAnsi="Arial" w:eastAsia="宋体" w:cs="Arial"/>
                <w:color w:val="auto"/>
                <w:sz w:val="21"/>
                <w:szCs w:val="21"/>
                <w:highlight w:val="none"/>
              </w:rPr>
              <w:t>经</w:t>
            </w:r>
            <w:r>
              <w:rPr>
                <w:rFonts w:hint="default" w:ascii="Arial" w:hAnsi="Arial" w:eastAsia="宋体" w:cs="Arial"/>
                <w:color w:val="auto"/>
                <w:sz w:val="21"/>
                <w:szCs w:val="21"/>
                <w:highlight w:val="none"/>
                <w:lang w:eastAsia="zh-CN"/>
              </w:rPr>
              <w:t>堆肥场</w:t>
            </w:r>
            <w:r>
              <w:rPr>
                <w:rFonts w:hint="default" w:ascii="Arial" w:hAnsi="Arial" w:eastAsia="宋体" w:cs="Arial"/>
                <w:color w:val="auto"/>
                <w:sz w:val="21"/>
                <w:szCs w:val="21"/>
                <w:highlight w:val="none"/>
              </w:rPr>
              <w:t>无害化处理后作为有机肥还田利用，对有效防治农业面源污染、促进农业可持续发展起到积极的作用。</w:t>
            </w:r>
          </w:p>
        </w:tc>
        <w:tc>
          <w:tcPr>
            <w:tcW w:w="879"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符合</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843"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国家生态环境保护“十三五”规划</w:t>
            </w:r>
          </w:p>
        </w:tc>
        <w:tc>
          <w:tcPr>
            <w:tcW w:w="8894" w:type="dxa"/>
            <w:vAlign w:val="center"/>
          </w:tcPr>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大力推进畜禽养殖污染防治。划定禁止建设畜禽规模养殖场（小区）区域，加强分区分类管理，以废弃物资源化利用为途径，整县推进畜禽养殖污染防治。养殖密集区推行粪污集中处理和资源化综合</w:t>
            </w:r>
          </w:p>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利用。2017年底前，各地区依法关闭或搬迁禁养区内的畜禽养殖场（小区）和养殖专业户。大力支持畜禽规模养殖场（小区）标准化改造和建设。实施畜禽养殖废弃物污染治理与资源化利用，开展畜禽规模养殖场（小区）污染综合治理，实现75%以</w:t>
            </w:r>
          </w:p>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上的畜禽养殖场（小区）配套建设固体废物和污水贮存处理设施。</w:t>
            </w:r>
          </w:p>
        </w:tc>
        <w:tc>
          <w:tcPr>
            <w:tcW w:w="3225" w:type="dxa"/>
            <w:vAlign w:val="center"/>
          </w:tcPr>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本项目不在当地划定的禁养区范围内，本项目配套建设粪污处理设施，</w:t>
            </w:r>
            <w:r>
              <w:rPr>
                <w:rFonts w:hint="default" w:ascii="Arial" w:hAnsi="Arial" w:eastAsia="宋体" w:cs="Arial"/>
                <w:color w:val="auto"/>
                <w:sz w:val="21"/>
                <w:szCs w:val="21"/>
                <w:highlight w:val="none"/>
                <w:lang w:eastAsia="zh-CN"/>
              </w:rPr>
              <w:t>牛粪便</w:t>
            </w:r>
            <w:r>
              <w:rPr>
                <w:rFonts w:hint="default" w:ascii="Arial" w:hAnsi="Arial" w:eastAsia="宋体" w:cs="Arial"/>
                <w:color w:val="auto"/>
                <w:sz w:val="21"/>
                <w:szCs w:val="21"/>
                <w:highlight w:val="none"/>
              </w:rPr>
              <w:t>得到合理处置无害化还田。可实现畜禽排泄物100%资源化利用</w:t>
            </w:r>
          </w:p>
        </w:tc>
        <w:tc>
          <w:tcPr>
            <w:tcW w:w="879"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符合</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843"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内蒙古自治区环境保护“十三五”规划</w:t>
            </w:r>
          </w:p>
        </w:tc>
        <w:tc>
          <w:tcPr>
            <w:tcW w:w="8894" w:type="dxa"/>
            <w:vAlign w:val="center"/>
          </w:tcPr>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重点针对规模化畜禽养殖场、养殖小区开展农业源污染减排工作。开展规模化畜禽养殖场专项执法检查，综合防治规模化畜禽养殖场污染，实现畜禽养殖业化学需氧量、氨氮协同治理。调整区域养殖结构和布局，实施禁养区关停，限养区总量控制等措施。持续提升规模化畜禽养殖场清洁生产水平，推行标准化改造，建设符合区域特点、养殖规模和防治要求的粪污贮存、处理、利用设施。贯彻“种养结合”理念，鼓励采取干清粪+完全农业利用模式，</w:t>
            </w:r>
          </w:p>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提高畜禽养殖废弃物资源化利用比例，促进有机肥生产和施用，实现规模化畜禽养殖粪污减量化、无害化、资源化。2016年起，新建、改建、扩建规模化畜禽养殖场（小区）要实施雨污分流、粪便污水资源化利用。到2020年，80%以上的规模化养殖场（小区）配套建设固体废弃物和污水贮存、处理设施，规模化养殖场畜禽粪便综合利用率达85%。</w:t>
            </w:r>
          </w:p>
        </w:tc>
        <w:tc>
          <w:tcPr>
            <w:tcW w:w="3225" w:type="dxa"/>
            <w:vAlign w:val="center"/>
          </w:tcPr>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sz w:val="21"/>
                <w:szCs w:val="21"/>
                <w:highlight w:val="none"/>
                <w:lang w:eastAsia="zh-CN"/>
              </w:rPr>
            </w:pPr>
            <w:r>
              <w:rPr>
                <w:rFonts w:hint="default" w:ascii="Arial" w:hAnsi="Arial" w:eastAsia="宋体" w:cs="Arial"/>
                <w:color w:val="auto"/>
                <w:sz w:val="21"/>
                <w:szCs w:val="21"/>
                <w:highlight w:val="none"/>
              </w:rPr>
              <w:t>本项目属于规模化、标准化</w:t>
            </w:r>
            <w:r>
              <w:rPr>
                <w:rFonts w:hint="default" w:ascii="Arial" w:hAnsi="Arial" w:eastAsia="宋体" w:cs="Arial"/>
                <w:color w:val="auto"/>
                <w:sz w:val="21"/>
                <w:szCs w:val="21"/>
                <w:highlight w:val="none"/>
                <w:lang w:eastAsia="zh-CN"/>
              </w:rPr>
              <w:t>肉牛</w:t>
            </w:r>
            <w:r>
              <w:rPr>
                <w:rFonts w:hint="default" w:ascii="Arial" w:hAnsi="Arial" w:eastAsia="宋体" w:cs="Arial"/>
                <w:color w:val="auto"/>
                <w:sz w:val="21"/>
                <w:szCs w:val="21"/>
                <w:highlight w:val="none"/>
              </w:rPr>
              <w:t>养殖项目，采用干清粪工艺，</w:t>
            </w:r>
            <w:r>
              <w:rPr>
                <w:rFonts w:hint="default" w:ascii="Arial" w:hAnsi="Arial" w:eastAsia="宋体" w:cs="Arial"/>
                <w:color w:val="auto"/>
                <w:sz w:val="21"/>
                <w:szCs w:val="21"/>
                <w:highlight w:val="none"/>
                <w:lang w:eastAsia="zh-CN"/>
              </w:rPr>
              <w:t>牛粪便</w:t>
            </w:r>
            <w:r>
              <w:rPr>
                <w:rFonts w:hint="default" w:ascii="Arial" w:hAnsi="Arial" w:eastAsia="宋体" w:cs="Arial"/>
                <w:color w:val="auto"/>
                <w:sz w:val="21"/>
                <w:szCs w:val="21"/>
                <w:highlight w:val="none"/>
              </w:rPr>
              <w:t>经</w:t>
            </w:r>
            <w:r>
              <w:rPr>
                <w:rFonts w:hint="default" w:ascii="Arial" w:hAnsi="Arial" w:eastAsia="宋体" w:cs="Arial"/>
                <w:color w:val="auto"/>
                <w:sz w:val="21"/>
                <w:szCs w:val="21"/>
                <w:highlight w:val="none"/>
                <w:lang w:eastAsia="zh-CN"/>
              </w:rPr>
              <w:t>堆肥场储存并堆肥</w:t>
            </w:r>
            <w:r>
              <w:rPr>
                <w:rFonts w:hint="default" w:ascii="Arial" w:hAnsi="Arial" w:eastAsia="宋体" w:cs="Arial"/>
                <w:color w:val="auto"/>
                <w:sz w:val="21"/>
                <w:szCs w:val="21"/>
                <w:highlight w:val="none"/>
              </w:rPr>
              <w:t>后，作为有机肥还田利用；均无害化处理还田，符合要求</w:t>
            </w:r>
            <w:r>
              <w:rPr>
                <w:rFonts w:hint="default" w:ascii="Arial" w:hAnsi="Arial" w:eastAsia="宋体" w:cs="Arial"/>
                <w:color w:val="auto"/>
                <w:sz w:val="21"/>
                <w:szCs w:val="21"/>
                <w:highlight w:val="none"/>
                <w:lang w:eastAsia="zh-CN"/>
              </w:rPr>
              <w:t>。</w:t>
            </w:r>
          </w:p>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畜禽粪便综合利用率达100%；本项目按照规范要求实施雨污分流。</w:t>
            </w:r>
          </w:p>
        </w:tc>
        <w:tc>
          <w:tcPr>
            <w:tcW w:w="879"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符合</w:t>
            </w:r>
          </w:p>
        </w:tc>
      </w:tr>
    </w:tbl>
    <w:p>
      <w:pPr>
        <w:ind w:firstLine="480"/>
        <w:rPr>
          <w:rFonts w:hint="default" w:ascii="Arial" w:hAnsi="Arial" w:eastAsia="宋体" w:cs="Arial"/>
          <w:color w:val="auto"/>
          <w:highlight w:val="none"/>
        </w:rPr>
        <w:sectPr>
          <w:pgSz w:w="16838" w:h="11906" w:orient="landscape"/>
          <w:pgMar w:top="1701" w:right="1418" w:bottom="1418" w:left="1247" w:header="851" w:footer="680" w:gutter="0"/>
          <w:pgBorders>
            <w:top w:val="none" w:sz="0" w:space="0"/>
            <w:left w:val="none" w:sz="0" w:space="0"/>
            <w:bottom w:val="none" w:sz="0" w:space="0"/>
            <w:right w:val="none" w:sz="0" w:space="0"/>
          </w:pgBorders>
          <w:pgNumType w:fmt="numberInDash"/>
          <w:cols w:space="425" w:num="1"/>
          <w:docGrid w:linePitch="326" w:charSpace="0"/>
        </w:sectPr>
      </w:pP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根据2016年习近平总书记主持召开中央财经领导小组第十四次会议，首次提出“农村能源革命”，加快推进北方地区畜禽养殖废弃物处理与资源化问题，是关系广大人民群众生活与环境的重大民生工程、民心工程，也是关系农村能源革命，是一项利国利民长远的大好事。要坚持政府支持、企业主体、市场化运作的方针，以沼气和生物天然气为主要处理方向，以就地就近用于农村能源和农用有机肥为主要使用方向，力争在“十三五”时期，基本解决大规模畜禽养殖场粪污处理和资源化问题。</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2017年6月12日，国务院办公厅下发《关于加快推进畜禽养殖废弃物资源化利用的意见》，这是畜牧业史上第一个专门针对粪污处理的指导性文件。《意见》特别强调“保供给和保生态并重”、“生产发展和环境保护协同推进”。2017年9月30日，中共中央办公厅、国务院办公厅印发了《关于创新体制机制推进农业绿色发展的意见》，再次将农业绿色发展摆在生态文明建设全局的突出位置，明确了“秸秆、畜禽粪污、农膜等农业废弃物全利用”。</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综上，本项目属于规模化、标准化</w:t>
      </w:r>
      <w:r>
        <w:rPr>
          <w:rFonts w:hint="default" w:ascii="Arial" w:hAnsi="Arial" w:eastAsia="宋体" w:cs="Arial"/>
          <w:color w:val="auto"/>
          <w:highlight w:val="none"/>
          <w:lang w:eastAsia="zh-CN"/>
        </w:rPr>
        <w:t>肉</w:t>
      </w:r>
      <w:r>
        <w:rPr>
          <w:rFonts w:hint="default" w:ascii="Arial" w:hAnsi="Arial" w:eastAsia="宋体" w:cs="Arial"/>
          <w:color w:val="auto"/>
          <w:highlight w:val="none"/>
        </w:rPr>
        <w:t>牛养殖项目，采用干清粪工艺，</w:t>
      </w:r>
      <w:r>
        <w:rPr>
          <w:rFonts w:hint="default" w:ascii="Arial" w:hAnsi="Arial" w:eastAsia="宋体" w:cs="Arial"/>
          <w:color w:val="auto"/>
          <w:highlight w:val="none"/>
          <w:lang w:eastAsia="zh-CN"/>
        </w:rPr>
        <w:t>牛粪便</w:t>
      </w:r>
      <w:r>
        <w:rPr>
          <w:rFonts w:hint="default" w:ascii="Arial" w:hAnsi="Arial" w:eastAsia="宋体" w:cs="Arial"/>
          <w:color w:val="auto"/>
          <w:highlight w:val="none"/>
        </w:rPr>
        <w:t>经</w:t>
      </w:r>
      <w:r>
        <w:rPr>
          <w:rFonts w:hint="default" w:ascii="Arial" w:hAnsi="Arial" w:eastAsia="宋体" w:cs="Arial"/>
          <w:color w:val="auto"/>
          <w:highlight w:val="none"/>
          <w:lang w:eastAsia="zh-CN"/>
        </w:rPr>
        <w:t>堆肥场储存并堆肥</w:t>
      </w:r>
      <w:r>
        <w:rPr>
          <w:rFonts w:hint="default" w:ascii="Arial" w:hAnsi="Arial" w:eastAsia="宋体" w:cs="Arial"/>
          <w:color w:val="auto"/>
          <w:highlight w:val="none"/>
        </w:rPr>
        <w:t>后，作为有机肥还田利用；均无害化处理还田，畜禽粪便综合利用率达100%；本项目的建设符合相关规划及政策的导向要求。</w:t>
      </w:r>
    </w:p>
    <w:p>
      <w:pPr>
        <w:pStyle w:val="6"/>
        <w:pageBreakBefore w:val="0"/>
        <w:widowControl w:val="0"/>
        <w:kinsoku/>
        <w:wordWrap/>
        <w:overflowPunct/>
        <w:topLinePunct/>
        <w:autoSpaceDE w:val="0"/>
        <w:autoSpaceDN/>
        <w:bidi w:val="0"/>
        <w:adjustRightInd/>
        <w:snapToGrid/>
        <w:textAlignment w:val="auto"/>
        <w:rPr>
          <w:rFonts w:hint="default" w:ascii="Arial" w:hAnsi="Arial" w:eastAsia="宋体" w:cs="Arial"/>
          <w:color w:val="auto"/>
          <w:highlight w:val="none"/>
        </w:rPr>
      </w:pPr>
      <w:bookmarkStart w:id="182" w:name="_Toc6819"/>
      <w:r>
        <w:rPr>
          <w:rFonts w:hint="default" w:ascii="Arial" w:hAnsi="Arial" w:eastAsia="宋体" w:cs="Arial"/>
          <w:color w:val="auto"/>
          <w:highlight w:val="none"/>
        </w:rPr>
        <w:t>2.7.6选址合理性分析</w:t>
      </w:r>
      <w:bookmarkEnd w:id="182"/>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（1）用地符合性分析</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促进规模化畜禽养殖有关用地政策的通知》中明确指出：“规模化畜禽养殖用地的规划布局和选址，应坚持鼓励利用废弃地和荒山荒坡等未利用地、尽可能不占或少占耕地的原则，禁止占用基本农田。各地在土地整理和新农村建设中，可以充分考虑规模化畜禽养殖的需要，预留用地空间，提供用地条件。任何地方不得以新农村建设或整治环境为由禁止或限制规模化畜禽养殖。积极推行标准化规模养殖，合理确定用地标准，节约集约用地。”</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本项目的建设地点为</w:t>
      </w:r>
      <w:r>
        <w:rPr>
          <w:rFonts w:hint="default" w:ascii="Arial" w:hAnsi="Arial" w:eastAsia="宋体" w:cs="Arial"/>
          <w:color w:val="auto"/>
          <w:highlight w:val="none"/>
          <w:lang w:eastAsia="zh-CN"/>
        </w:rPr>
        <w:t>内蒙古自治区巴彦淖尔市五原县天吉泰镇二合永村五社</w:t>
      </w:r>
      <w:r>
        <w:rPr>
          <w:rFonts w:hint="default" w:ascii="Arial" w:hAnsi="Arial" w:eastAsia="宋体" w:cs="Arial"/>
          <w:color w:val="auto"/>
          <w:highlight w:val="none"/>
        </w:rPr>
        <w:t>，项目不占用基本农田</w:t>
      </w:r>
      <w:r>
        <w:rPr>
          <w:rFonts w:hint="default" w:ascii="Arial" w:hAnsi="Arial" w:eastAsia="宋体" w:cs="Arial"/>
          <w:color w:val="auto"/>
          <w:highlight w:val="none"/>
          <w:lang w:eastAsia="zh-CN"/>
        </w:rPr>
        <w:t>、林地等</w:t>
      </w:r>
      <w:r>
        <w:rPr>
          <w:rFonts w:hint="default" w:ascii="Arial" w:hAnsi="Arial" w:eastAsia="宋体" w:cs="Arial"/>
          <w:color w:val="auto"/>
          <w:highlight w:val="none"/>
        </w:rPr>
        <w:t>，本项目用地符合当地的土地利用规划。</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（2）场址选择合理性分析</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sectPr>
          <w:pgSz w:w="11906" w:h="16838"/>
          <w:pgMar w:top="1418" w:right="1304" w:bottom="1191" w:left="1418" w:header="851" w:footer="680" w:gutter="0"/>
          <w:pgBorders>
            <w:top w:val="none" w:sz="0" w:space="0"/>
            <w:left w:val="none" w:sz="0" w:space="0"/>
            <w:bottom w:val="none" w:sz="0" w:space="0"/>
            <w:right w:val="none" w:sz="0" w:space="0"/>
          </w:pgBorders>
          <w:pgNumType w:fmt="numberInDash"/>
          <w:cols w:space="425" w:num="1"/>
          <w:docGrid w:linePitch="326" w:charSpace="0"/>
        </w:sectPr>
      </w:pPr>
      <w:r>
        <w:rPr>
          <w:rFonts w:hint="default" w:ascii="Arial" w:hAnsi="Arial" w:eastAsia="宋体" w:cs="Arial"/>
          <w:color w:val="auto"/>
          <w:highlight w:val="none"/>
        </w:rPr>
        <w:t>项目与《畜禽养殖业污染防治条例》、《畜禽养殖业污染防治技术规范》、《关于做好畜禽规模养殖项目环境影响评价管理工作的通知》等法律法规和行业规范要求中规定符合性分析见下表。</w:t>
      </w:r>
    </w:p>
    <w:p>
      <w:pPr>
        <w:pStyle w:val="8"/>
        <w:rPr>
          <w:rFonts w:hint="default" w:ascii="Arial" w:hAnsi="Arial" w:eastAsia="宋体" w:cs="Arial"/>
          <w:color w:val="auto"/>
          <w:highlight w:val="none"/>
        </w:rPr>
      </w:pPr>
      <w:r>
        <w:rPr>
          <w:rFonts w:hint="default" w:ascii="Arial" w:hAnsi="Arial" w:eastAsia="宋体" w:cs="Arial"/>
          <w:color w:val="auto"/>
          <w:highlight w:val="none"/>
        </w:rPr>
        <w:t>表2.7-</w:t>
      </w:r>
      <w:r>
        <w:rPr>
          <w:rFonts w:hint="default" w:ascii="Arial" w:hAnsi="Arial" w:eastAsia="宋体" w:cs="Arial"/>
          <w:color w:val="auto"/>
          <w:highlight w:val="none"/>
          <w:lang w:val="en-US" w:eastAsia="zh-CN"/>
        </w:rPr>
        <w:t>5</w:t>
      </w:r>
      <w:r>
        <w:rPr>
          <w:rFonts w:hint="default" w:ascii="Arial" w:hAnsi="Arial" w:eastAsia="宋体" w:cs="Arial"/>
          <w:color w:val="auto"/>
          <w:highlight w:val="none"/>
        </w:rPr>
        <w:t xml:space="preserve">   项目选址合理性对照表</w:t>
      </w:r>
    </w:p>
    <w:tbl>
      <w:tblPr>
        <w:tblStyle w:val="39"/>
        <w:tblW w:w="14389" w:type="dxa"/>
        <w:tblInd w:w="0" w:type="dxa"/>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2093"/>
        <w:gridCol w:w="7229"/>
        <w:gridCol w:w="4397"/>
        <w:gridCol w:w="670"/>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2093" w:type="dxa"/>
            <w:vAlign w:val="center"/>
          </w:tcPr>
          <w:p>
            <w:pPr>
              <w:pStyle w:val="63"/>
              <w:rPr>
                <w:rFonts w:hint="default" w:ascii="Arial" w:hAnsi="Arial" w:eastAsia="宋体" w:cs="Arial"/>
                <w:b/>
                <w:bCs/>
                <w:color w:val="auto"/>
                <w:sz w:val="21"/>
                <w:szCs w:val="21"/>
                <w:highlight w:val="none"/>
              </w:rPr>
            </w:pPr>
            <w:r>
              <w:rPr>
                <w:rFonts w:hint="default" w:ascii="Arial" w:hAnsi="Arial" w:eastAsia="宋体" w:cs="Arial"/>
                <w:b/>
                <w:bCs/>
                <w:color w:val="auto"/>
                <w:sz w:val="21"/>
                <w:szCs w:val="21"/>
                <w:highlight w:val="none"/>
              </w:rPr>
              <w:t>名称</w:t>
            </w:r>
          </w:p>
        </w:tc>
        <w:tc>
          <w:tcPr>
            <w:tcW w:w="7229" w:type="dxa"/>
            <w:vAlign w:val="center"/>
          </w:tcPr>
          <w:p>
            <w:pPr>
              <w:pStyle w:val="63"/>
              <w:rPr>
                <w:rFonts w:hint="default" w:ascii="Arial" w:hAnsi="Arial" w:eastAsia="宋体" w:cs="Arial"/>
                <w:b/>
                <w:bCs/>
                <w:color w:val="auto"/>
                <w:sz w:val="21"/>
                <w:szCs w:val="21"/>
                <w:highlight w:val="none"/>
              </w:rPr>
            </w:pPr>
            <w:r>
              <w:rPr>
                <w:rFonts w:hint="default" w:ascii="Arial" w:hAnsi="Arial" w:eastAsia="宋体" w:cs="Arial"/>
                <w:b/>
                <w:bCs/>
                <w:color w:val="auto"/>
                <w:sz w:val="21"/>
                <w:szCs w:val="21"/>
                <w:highlight w:val="none"/>
              </w:rPr>
              <w:t>相关条文</w:t>
            </w:r>
          </w:p>
        </w:tc>
        <w:tc>
          <w:tcPr>
            <w:tcW w:w="4397" w:type="dxa"/>
            <w:vAlign w:val="center"/>
          </w:tcPr>
          <w:p>
            <w:pPr>
              <w:pStyle w:val="63"/>
              <w:rPr>
                <w:rFonts w:hint="default" w:ascii="Arial" w:hAnsi="Arial" w:eastAsia="宋体" w:cs="Arial"/>
                <w:b/>
                <w:bCs/>
                <w:color w:val="auto"/>
                <w:sz w:val="21"/>
                <w:szCs w:val="21"/>
                <w:highlight w:val="none"/>
              </w:rPr>
            </w:pPr>
            <w:r>
              <w:rPr>
                <w:rFonts w:hint="default" w:ascii="Arial" w:hAnsi="Arial" w:eastAsia="宋体" w:cs="Arial"/>
                <w:b/>
                <w:bCs/>
                <w:color w:val="auto"/>
                <w:sz w:val="21"/>
                <w:szCs w:val="21"/>
                <w:highlight w:val="none"/>
              </w:rPr>
              <w:t>项目情况</w:t>
            </w:r>
          </w:p>
        </w:tc>
        <w:tc>
          <w:tcPr>
            <w:tcW w:w="670" w:type="dxa"/>
            <w:vAlign w:val="center"/>
          </w:tcPr>
          <w:p>
            <w:pPr>
              <w:pStyle w:val="63"/>
              <w:rPr>
                <w:rFonts w:hint="default" w:ascii="Arial" w:hAnsi="Arial" w:eastAsia="宋体" w:cs="Arial"/>
                <w:b/>
                <w:bCs/>
                <w:color w:val="auto"/>
                <w:sz w:val="21"/>
                <w:szCs w:val="21"/>
                <w:highlight w:val="none"/>
              </w:rPr>
            </w:pPr>
            <w:r>
              <w:rPr>
                <w:rFonts w:hint="default" w:ascii="Arial" w:hAnsi="Arial" w:eastAsia="宋体" w:cs="Arial"/>
                <w:b/>
                <w:bCs/>
                <w:color w:val="auto"/>
                <w:sz w:val="21"/>
                <w:szCs w:val="21"/>
                <w:highlight w:val="none"/>
              </w:rPr>
              <w:t>符合</w:t>
            </w:r>
          </w:p>
          <w:p>
            <w:pPr>
              <w:pStyle w:val="63"/>
              <w:rPr>
                <w:rFonts w:hint="default" w:ascii="Arial" w:hAnsi="Arial" w:eastAsia="宋体" w:cs="Arial"/>
                <w:b/>
                <w:bCs/>
                <w:color w:val="auto"/>
                <w:sz w:val="21"/>
                <w:szCs w:val="21"/>
                <w:highlight w:val="none"/>
              </w:rPr>
            </w:pPr>
            <w:r>
              <w:rPr>
                <w:rFonts w:hint="default" w:ascii="Arial" w:hAnsi="Arial" w:eastAsia="宋体" w:cs="Arial"/>
                <w:b/>
                <w:bCs/>
                <w:color w:val="auto"/>
                <w:sz w:val="21"/>
                <w:szCs w:val="21"/>
                <w:highlight w:val="none"/>
              </w:rPr>
              <w:t>情况</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2093"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《畜禽规模养殖污染防治条例》（国务院令第643号，2014年1月1日施行）</w:t>
            </w:r>
          </w:p>
        </w:tc>
        <w:tc>
          <w:tcPr>
            <w:tcW w:w="7229" w:type="dxa"/>
            <w:vAlign w:val="center"/>
          </w:tcPr>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第十一条禁止在下列区域内建设畜禽养殖场、养殖小区：</w:t>
            </w:r>
          </w:p>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（一）饮用水水源保护区、风景名胜区；</w:t>
            </w:r>
          </w:p>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（二）自然保护区的核心区和缓冲区；</w:t>
            </w:r>
          </w:p>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（三）城镇居民区、文化教育科学研究区等人口集中区域；</w:t>
            </w:r>
          </w:p>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（四）法律、法规规定的其他禁止养殖区域。</w:t>
            </w:r>
          </w:p>
        </w:tc>
        <w:tc>
          <w:tcPr>
            <w:tcW w:w="4397" w:type="dxa"/>
            <w:vAlign w:val="center"/>
          </w:tcPr>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本项目不在饮用水水源保护区、风景名胜区、自然保护区的核心区和缓冲区，不在城镇居民区、文化教育科学研究区等人口集中区域，不在法律、法规规定的其他禁止养殖区域。</w:t>
            </w:r>
          </w:p>
        </w:tc>
        <w:tc>
          <w:tcPr>
            <w:tcW w:w="670"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符合</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2093"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《畜禽养殖业污染防治技术规范》（HJ/T81-2001）</w:t>
            </w:r>
          </w:p>
        </w:tc>
        <w:tc>
          <w:tcPr>
            <w:tcW w:w="7229" w:type="dxa"/>
            <w:vAlign w:val="center"/>
          </w:tcPr>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3选址要求</w:t>
            </w:r>
          </w:p>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3.1禁止在下列区域内建设畜禽养殖场：</w:t>
            </w:r>
          </w:p>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3.1.1生活饮用水水源保护区、风景名胜区、自然保护区的核心区及缓冲区；</w:t>
            </w:r>
          </w:p>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3.1.2城市和城镇居民区，包括文教科研区、医疗区、商业区、工业区、游览区等人口集中地区；</w:t>
            </w:r>
          </w:p>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3.1.3县级人民政府划定的禁养区域；</w:t>
            </w:r>
          </w:p>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3.1.4国家或地方法律、法规规定需特殊保护的其他区域。</w:t>
            </w:r>
          </w:p>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3.2新建、扩建、改建的畜禽养殖场应避开3.1规定的禁建区域，在禁建区域附近建设的，应设在3.1规定的禁建区域常年主导风向的下风向或侧风向处，场界与禁建区域边界的最小距离不得小于500m。</w:t>
            </w:r>
          </w:p>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5畜禽粪便的贮存</w:t>
            </w:r>
          </w:p>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5.2贮存设施的位置必须远离各种功能地表水体（距离不得小于400m），并应设在其下风向或侧风向处。</w:t>
            </w:r>
          </w:p>
        </w:tc>
        <w:tc>
          <w:tcPr>
            <w:tcW w:w="4397" w:type="dxa"/>
            <w:vAlign w:val="center"/>
          </w:tcPr>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①项目不在生活饮用水水源保护区、风景名胜区、自然保护区的核心区和缓冲区；</w:t>
            </w:r>
          </w:p>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②项目位于农村地区，不在城市和城镇居民区，包括文教科研区、医疗区、商业区、工业区等人口集中地区；</w:t>
            </w:r>
          </w:p>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③项目所在区域无县级人民政府划定的禁养区域；</w:t>
            </w:r>
          </w:p>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④项目所在区域无国家或地方法律、法规规定需特殊保护的其它区域。</w:t>
            </w:r>
          </w:p>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sz w:val="21"/>
                <w:szCs w:val="21"/>
                <w:highlight w:val="none"/>
                <w:lang w:eastAsia="zh-CN"/>
              </w:rPr>
            </w:pPr>
            <w:r>
              <w:rPr>
                <w:rFonts w:hint="default" w:ascii="Arial" w:hAnsi="Arial" w:eastAsia="宋体" w:cs="Arial"/>
                <w:color w:val="auto"/>
                <w:sz w:val="21"/>
                <w:szCs w:val="21"/>
                <w:highlight w:val="none"/>
              </w:rPr>
              <w:t>⑤项目</w:t>
            </w:r>
            <w:r>
              <w:rPr>
                <w:rFonts w:hint="default" w:ascii="Arial" w:hAnsi="Arial" w:eastAsia="宋体" w:cs="Arial"/>
                <w:color w:val="auto"/>
                <w:sz w:val="21"/>
                <w:szCs w:val="21"/>
                <w:highlight w:val="none"/>
                <w:lang w:eastAsia="zh-CN"/>
              </w:rPr>
              <w:t>堆肥场</w:t>
            </w:r>
            <w:r>
              <w:rPr>
                <w:rFonts w:hint="default" w:ascii="Arial" w:hAnsi="Arial" w:eastAsia="宋体" w:cs="Arial"/>
                <w:color w:val="auto"/>
                <w:sz w:val="21"/>
                <w:szCs w:val="21"/>
                <w:highlight w:val="none"/>
              </w:rPr>
              <w:t>距离</w:t>
            </w:r>
            <w:r>
              <w:rPr>
                <w:rFonts w:hint="default" w:ascii="Arial" w:hAnsi="Arial" w:eastAsia="宋体" w:cs="Arial"/>
                <w:color w:val="auto"/>
                <w:sz w:val="21"/>
                <w:szCs w:val="21"/>
                <w:highlight w:val="none"/>
                <w:lang w:eastAsia="zh-CN"/>
              </w:rPr>
              <w:t>东侧五排干</w:t>
            </w:r>
            <w:r>
              <w:rPr>
                <w:rFonts w:hint="default" w:ascii="Arial" w:hAnsi="Arial" w:eastAsia="宋体" w:cs="Arial"/>
                <w:color w:val="auto"/>
                <w:sz w:val="21"/>
                <w:szCs w:val="21"/>
                <w:highlight w:val="none"/>
                <w:lang w:val="en-US" w:eastAsia="zh-CN"/>
              </w:rPr>
              <w:t>420m，并位于养殖区及生活区的当地20年主导风向的侧风向。</w:t>
            </w:r>
          </w:p>
        </w:tc>
        <w:tc>
          <w:tcPr>
            <w:tcW w:w="670"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符合</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2093"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《畜禽场区设计技术规范》（NY/T682-2003）</w:t>
            </w:r>
          </w:p>
        </w:tc>
        <w:tc>
          <w:tcPr>
            <w:tcW w:w="7229" w:type="dxa"/>
            <w:vAlign w:val="center"/>
          </w:tcPr>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4.1场址选择</w:t>
            </w:r>
          </w:p>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4.1.1选择场址应符合本地区农牧业生产发展总体规划、土地利用发展规划、城乡建设发展规划和环境保护规划的要求。</w:t>
            </w:r>
          </w:p>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4.1.2新建场址周围应具备就地无害化处理粪尿、污水的足够场地和排污条件，并通过畜禽场建设环境影响评价。</w:t>
            </w:r>
          </w:p>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4.1.3选择场址应遵守十分珍惜和合理利用土地的原则，不应占用基本农田，尽量利用荒地建场，分期建设时，选址应按总体规划需要次完成，土地随用随征，预留远期工程建设用地。</w:t>
            </w:r>
          </w:p>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4.1.4场址应水源充足，水质应符合NY5027要求，排水通畅，供电可靠，交通便利，地质条件能满足工程建设要求。</w:t>
            </w:r>
          </w:p>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4.1.5以下地区或地段不应建场。</w:t>
            </w:r>
          </w:p>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4.1.1规定的自然保护区、水源保护区、风景旅游区。</w:t>
            </w:r>
          </w:p>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4.1.5.2受洪水或山洪威胁及泥石流、滑坡等自然灾害多发地带。</w:t>
            </w:r>
          </w:p>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4.1.5.3自然环境污染严重的地区。</w:t>
            </w:r>
          </w:p>
        </w:tc>
        <w:tc>
          <w:tcPr>
            <w:tcW w:w="4397" w:type="dxa"/>
            <w:vAlign w:val="center"/>
          </w:tcPr>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sz w:val="21"/>
                <w:szCs w:val="21"/>
                <w:highlight w:val="none"/>
                <w:lang w:eastAsia="zh-CN"/>
              </w:rPr>
            </w:pPr>
            <w:r>
              <w:rPr>
                <w:rFonts w:hint="default" w:ascii="Arial" w:hAnsi="Arial" w:eastAsia="宋体" w:cs="Arial"/>
                <w:color w:val="auto"/>
                <w:sz w:val="21"/>
                <w:szCs w:val="21"/>
                <w:highlight w:val="none"/>
              </w:rPr>
              <w:t>①项目</w:t>
            </w:r>
            <w:r>
              <w:rPr>
                <w:rFonts w:hint="default" w:ascii="Arial" w:hAnsi="Arial" w:eastAsia="宋体" w:cs="Arial"/>
                <w:color w:val="auto"/>
                <w:sz w:val="21"/>
                <w:szCs w:val="21"/>
                <w:highlight w:val="none"/>
                <w:lang w:val="en-US" w:eastAsia="zh-CN"/>
              </w:rPr>
              <w:t>选址</w:t>
            </w:r>
            <w:r>
              <w:rPr>
                <w:rFonts w:hint="default" w:ascii="Arial" w:hAnsi="Arial" w:eastAsia="宋体" w:cs="Arial"/>
                <w:bCs/>
                <w:color w:val="auto"/>
                <w:szCs w:val="21"/>
                <w:highlight w:val="none"/>
                <w:lang w:val="en-US" w:eastAsia="zh-CN"/>
              </w:rPr>
              <w:t>不在五原县畜禽禁（限）区范围内，</w:t>
            </w:r>
            <w:r>
              <w:rPr>
                <w:rFonts w:hint="default" w:ascii="Arial" w:hAnsi="Arial" w:eastAsia="宋体" w:cs="Arial"/>
                <w:color w:val="auto"/>
                <w:sz w:val="21"/>
                <w:szCs w:val="21"/>
                <w:highlight w:val="none"/>
              </w:rPr>
              <w:t>符合</w:t>
            </w:r>
            <w:r>
              <w:rPr>
                <w:rFonts w:hint="default" w:ascii="Arial" w:hAnsi="Arial" w:eastAsia="宋体" w:cs="Arial"/>
                <w:bCs/>
                <w:color w:val="auto"/>
                <w:szCs w:val="21"/>
                <w:highlight w:val="none"/>
                <w:lang w:val="en-US" w:eastAsia="zh-CN"/>
              </w:rPr>
              <w:t>五原县</w:t>
            </w:r>
            <w:r>
              <w:rPr>
                <w:rFonts w:hint="default" w:ascii="Arial" w:hAnsi="Arial" w:eastAsia="宋体" w:cs="Arial"/>
                <w:color w:val="auto"/>
                <w:sz w:val="21"/>
                <w:szCs w:val="21"/>
                <w:highlight w:val="none"/>
              </w:rPr>
              <w:t>农牧业生产发展总体规划</w:t>
            </w:r>
            <w:r>
              <w:rPr>
                <w:rFonts w:hint="default" w:ascii="Arial" w:hAnsi="Arial" w:eastAsia="宋体" w:cs="Arial"/>
                <w:color w:val="auto"/>
                <w:sz w:val="21"/>
                <w:szCs w:val="21"/>
                <w:highlight w:val="none"/>
                <w:lang w:eastAsia="zh-CN"/>
              </w:rPr>
              <w:t>；</w:t>
            </w:r>
            <w:r>
              <w:rPr>
                <w:rFonts w:hint="default" w:ascii="Arial" w:hAnsi="Arial" w:eastAsia="宋体" w:cs="Arial"/>
                <w:color w:val="auto"/>
                <w:sz w:val="21"/>
                <w:szCs w:val="21"/>
                <w:highlight w:val="none"/>
                <w:lang w:val="en-US" w:eastAsia="zh-CN"/>
              </w:rPr>
              <w:t>项目不占用基本农田、林地等，符合</w:t>
            </w:r>
            <w:r>
              <w:rPr>
                <w:rFonts w:hint="default" w:ascii="Arial" w:hAnsi="Arial" w:eastAsia="宋体" w:cs="Arial"/>
                <w:color w:val="auto"/>
                <w:sz w:val="21"/>
                <w:szCs w:val="21"/>
                <w:highlight w:val="none"/>
              </w:rPr>
              <w:t>土地利用发展规划、城乡建设发展规划</w:t>
            </w:r>
            <w:r>
              <w:rPr>
                <w:rFonts w:hint="default" w:ascii="Arial" w:hAnsi="Arial" w:eastAsia="宋体" w:cs="Arial"/>
                <w:color w:val="auto"/>
                <w:sz w:val="21"/>
                <w:szCs w:val="21"/>
                <w:highlight w:val="none"/>
                <w:lang w:eastAsia="zh-CN"/>
              </w:rPr>
              <w:t>；项目畜禽粪便、废水等无害化后还田综合利用，</w:t>
            </w:r>
            <w:r>
              <w:rPr>
                <w:rFonts w:hint="default" w:ascii="Arial" w:hAnsi="Arial" w:eastAsia="宋体" w:cs="Arial"/>
                <w:color w:val="auto"/>
                <w:sz w:val="21"/>
                <w:szCs w:val="21"/>
                <w:highlight w:val="none"/>
                <w:lang w:val="en-US" w:eastAsia="zh-CN"/>
              </w:rPr>
              <w:t>符合</w:t>
            </w:r>
            <w:r>
              <w:rPr>
                <w:rFonts w:hint="default" w:ascii="Arial" w:hAnsi="Arial" w:eastAsia="宋体" w:cs="Arial"/>
                <w:color w:val="auto"/>
                <w:sz w:val="21"/>
                <w:szCs w:val="21"/>
                <w:highlight w:val="none"/>
              </w:rPr>
              <w:t>环境保护规划的要求</w:t>
            </w:r>
            <w:r>
              <w:rPr>
                <w:rFonts w:hint="default" w:ascii="Arial" w:hAnsi="Arial" w:eastAsia="宋体" w:cs="Arial"/>
                <w:color w:val="auto"/>
                <w:sz w:val="21"/>
                <w:szCs w:val="21"/>
                <w:highlight w:val="none"/>
                <w:lang w:eastAsia="zh-CN"/>
              </w:rPr>
              <w:t>。</w:t>
            </w:r>
          </w:p>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②项目场地具备就地无害化处理</w:t>
            </w:r>
            <w:r>
              <w:rPr>
                <w:rFonts w:hint="default" w:ascii="Arial" w:hAnsi="Arial" w:eastAsia="宋体" w:cs="Arial"/>
                <w:color w:val="auto"/>
                <w:sz w:val="21"/>
                <w:szCs w:val="21"/>
                <w:highlight w:val="none"/>
                <w:lang w:eastAsia="zh-CN"/>
              </w:rPr>
              <w:t>牛粪便</w:t>
            </w:r>
            <w:r>
              <w:rPr>
                <w:rFonts w:hint="default" w:ascii="Arial" w:hAnsi="Arial" w:eastAsia="宋体" w:cs="Arial"/>
                <w:color w:val="auto"/>
                <w:sz w:val="21"/>
                <w:szCs w:val="21"/>
                <w:highlight w:val="none"/>
              </w:rPr>
              <w:t>的足够场地和排污条件；</w:t>
            </w:r>
          </w:p>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③项目建设不占用基本农田</w:t>
            </w:r>
            <w:r>
              <w:rPr>
                <w:rFonts w:hint="default" w:ascii="Arial" w:hAnsi="Arial" w:eastAsia="宋体" w:cs="Arial"/>
                <w:color w:val="auto"/>
                <w:sz w:val="21"/>
                <w:szCs w:val="21"/>
                <w:highlight w:val="none"/>
                <w:lang w:val="en-US" w:eastAsia="zh-CN"/>
              </w:rPr>
              <w:t>、林地等</w:t>
            </w:r>
            <w:r>
              <w:rPr>
                <w:rFonts w:hint="default" w:ascii="Arial" w:hAnsi="Arial" w:eastAsia="宋体" w:cs="Arial"/>
                <w:color w:val="auto"/>
                <w:sz w:val="21"/>
                <w:szCs w:val="21"/>
                <w:highlight w:val="none"/>
              </w:rPr>
              <w:t>；</w:t>
            </w:r>
          </w:p>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④项目厂址不在洪水或山洪威胁及泥石流、滑坡等自然灾害多发地带以及自然环境污染严重的地区。</w:t>
            </w:r>
          </w:p>
        </w:tc>
        <w:tc>
          <w:tcPr>
            <w:tcW w:w="670"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符合</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2093"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《畜禽粪便无害化处理技术规范》</w:t>
            </w:r>
          </w:p>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（NY/T1168-2006）</w:t>
            </w:r>
          </w:p>
        </w:tc>
        <w:tc>
          <w:tcPr>
            <w:tcW w:w="7229" w:type="dxa"/>
            <w:vAlign w:val="center"/>
          </w:tcPr>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5处理场地的要求</w:t>
            </w:r>
          </w:p>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5.1新建、扩建和改建畜禽养殖场或养殖小区必须配置畜禽粪便处理设施或畜禽粪便处理场。已建的畜禽场没有设施或处理场的，应及时补上。畜禽养殖场的选址禁止在下列区域内建设畜禽粪便处理场：</w:t>
            </w:r>
          </w:p>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5.1.1生活饮用水水源保护区、风景名胜区、自然保护区的核心区及缓冲区。</w:t>
            </w:r>
          </w:p>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5.1.2城市和城镇居民区，包括文教科研区、医疗区、商业区、工业区游览区等人口集中地区。</w:t>
            </w:r>
          </w:p>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5.1.3县级人民政府依法划定的禁养区域。</w:t>
            </w:r>
          </w:p>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5.1.4国家或地方法律、法规规定需特殊保护的其他区域。</w:t>
            </w:r>
          </w:p>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sz w:val="21"/>
                <w:szCs w:val="21"/>
                <w:highlight w:val="none"/>
                <w:lang w:eastAsia="zh-CN"/>
              </w:rPr>
            </w:pPr>
            <w:r>
              <w:rPr>
                <w:rFonts w:hint="default" w:ascii="Arial" w:hAnsi="Arial" w:eastAsia="宋体" w:cs="Arial"/>
                <w:color w:val="auto"/>
                <w:sz w:val="21"/>
                <w:szCs w:val="21"/>
                <w:highlight w:val="none"/>
              </w:rPr>
              <w:t>5.2在禁建区域附近建设畜禽粪便处理设施和单独建设的畜禽粪便处理处，应设在5.1规定的禁建区域常年主导风向的下风向或侧风向处，场界与禁建区域边界的最小距离不得小于500m</w:t>
            </w:r>
            <w:r>
              <w:rPr>
                <w:rFonts w:hint="default" w:ascii="Arial" w:hAnsi="Arial" w:eastAsia="宋体" w:cs="Arial"/>
                <w:color w:val="auto"/>
                <w:sz w:val="21"/>
                <w:szCs w:val="21"/>
                <w:highlight w:val="none"/>
                <w:lang w:eastAsia="zh-CN"/>
              </w:rPr>
              <w:t>。</w:t>
            </w:r>
          </w:p>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8.2畜禽养殖场、养殖小区或畜禽粪便处理场应分别设置液体和固体废弃物贮存设施，畜禽粪便贮存设施位置必须距离地表水体400m以上。</w:t>
            </w:r>
          </w:p>
        </w:tc>
        <w:tc>
          <w:tcPr>
            <w:tcW w:w="4397" w:type="dxa"/>
            <w:vAlign w:val="center"/>
          </w:tcPr>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①项目采用干清粪工艺，并配套建设</w:t>
            </w:r>
            <w:r>
              <w:rPr>
                <w:rFonts w:hint="default" w:ascii="Arial" w:hAnsi="Arial" w:eastAsia="宋体" w:cs="Arial"/>
                <w:color w:val="auto"/>
                <w:sz w:val="21"/>
                <w:szCs w:val="21"/>
                <w:highlight w:val="none"/>
                <w:lang w:eastAsia="zh-CN"/>
              </w:rPr>
              <w:t>堆肥场</w:t>
            </w:r>
            <w:r>
              <w:rPr>
                <w:rFonts w:hint="default" w:ascii="Arial" w:hAnsi="Arial" w:eastAsia="宋体" w:cs="Arial"/>
                <w:color w:val="auto"/>
                <w:sz w:val="21"/>
                <w:szCs w:val="21"/>
                <w:highlight w:val="none"/>
              </w:rPr>
              <w:t>；</w:t>
            </w:r>
          </w:p>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②项目不在生活饮用水水源保护区、风景名胜区、自然保护区的核心区及缓冲区；</w:t>
            </w:r>
          </w:p>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③项目位于农村地区，不在城市和城镇居民区，包括文教科研区、医疗区、商业区、工业区等人口集中地区；</w:t>
            </w:r>
          </w:p>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④项目不在县级人民政府划定的禁养区域；</w:t>
            </w:r>
          </w:p>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⑤项目所在区域无国家或地方法律、法规规定需特殊保护的其它区域；</w:t>
            </w:r>
          </w:p>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⑥项目畜禽粪便处与禁建区(城市及城镇居民区)的距离均大于500m，符合粪便处理设施与禁建区边界的最小距离不得小于500m的要求；</w:t>
            </w:r>
          </w:p>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⑦项目</w:t>
            </w:r>
            <w:r>
              <w:rPr>
                <w:rFonts w:hint="default" w:ascii="Arial" w:hAnsi="Arial" w:eastAsia="宋体" w:cs="Arial"/>
                <w:color w:val="auto"/>
                <w:sz w:val="21"/>
                <w:szCs w:val="21"/>
                <w:highlight w:val="none"/>
                <w:lang w:eastAsia="zh-CN"/>
              </w:rPr>
              <w:t>堆肥场</w:t>
            </w:r>
            <w:r>
              <w:rPr>
                <w:rFonts w:hint="default" w:ascii="Arial" w:hAnsi="Arial" w:eastAsia="宋体" w:cs="Arial"/>
                <w:color w:val="auto"/>
                <w:sz w:val="21"/>
                <w:szCs w:val="21"/>
                <w:highlight w:val="none"/>
              </w:rPr>
              <w:t>距离</w:t>
            </w:r>
            <w:r>
              <w:rPr>
                <w:rFonts w:hint="default" w:ascii="Arial" w:hAnsi="Arial" w:eastAsia="宋体" w:cs="Arial"/>
                <w:color w:val="auto"/>
                <w:sz w:val="21"/>
                <w:szCs w:val="21"/>
                <w:highlight w:val="none"/>
                <w:lang w:eastAsia="zh-CN"/>
              </w:rPr>
              <w:t>东侧五排干</w:t>
            </w:r>
            <w:r>
              <w:rPr>
                <w:rFonts w:hint="default" w:ascii="Arial" w:hAnsi="Arial" w:eastAsia="宋体" w:cs="Arial"/>
                <w:color w:val="auto"/>
                <w:sz w:val="21"/>
                <w:szCs w:val="21"/>
                <w:highlight w:val="none"/>
                <w:lang w:val="en-US" w:eastAsia="zh-CN"/>
              </w:rPr>
              <w:t>420m。</w:t>
            </w:r>
          </w:p>
        </w:tc>
        <w:tc>
          <w:tcPr>
            <w:tcW w:w="670"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符合</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2093"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《动物防疫条件审查办法》（中华人民共和国农业部，2010年第7号令）</w:t>
            </w:r>
          </w:p>
        </w:tc>
        <w:tc>
          <w:tcPr>
            <w:tcW w:w="7229" w:type="dxa"/>
            <w:vAlign w:val="center"/>
          </w:tcPr>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第五条动物饲养场、养殖小区选址</w:t>
            </w:r>
          </w:p>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应当符合下列条件：</w:t>
            </w:r>
          </w:p>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(一)距离生活饮用水源地、动物屠宰加工场所、动物和动物产品集贸市场500米以上；距离种畜禽场1000米以上；距离动物诊疗场所200米以上:动物饲养场(养殖小区)之间距离不少于500米</w:t>
            </w:r>
          </w:p>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(二)距离动物隔离场所、无害化处理场所3000米以上；</w:t>
            </w:r>
          </w:p>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(三)距离城镇居民区、文化教育科研等人口集中区域及公路、铁路等主要交通干线500米以上。</w:t>
            </w:r>
          </w:p>
        </w:tc>
        <w:tc>
          <w:tcPr>
            <w:tcW w:w="4397" w:type="dxa"/>
            <w:vAlign w:val="center"/>
          </w:tcPr>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①项目所在地没有当地政府划定的水源保护区及保护井，500m范围内无生活饮用水源地。项目所在区域无集贸市场、无种畜禽场；200m范围内无动物诊疗场所、区域无其它动物饲养场。</w:t>
            </w:r>
          </w:p>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②项目3000m范围内无其它动物隔离场所及无害化处理场所。</w:t>
            </w:r>
          </w:p>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③项目周围无城镇居民区、文化教育科研等人口集中区域。项目满足距离公路、铁路等交通干线500m以上的要求。</w:t>
            </w:r>
          </w:p>
        </w:tc>
        <w:tc>
          <w:tcPr>
            <w:tcW w:w="670"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符合</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2093" w:type="dxa"/>
            <w:vAlign w:val="center"/>
          </w:tcPr>
          <w:p>
            <w:pPr>
              <w:pStyle w:val="63"/>
              <w:rPr>
                <w:rFonts w:hint="default" w:ascii="Arial" w:hAnsi="Arial" w:eastAsia="宋体" w:cs="Arial"/>
                <w:color w:val="auto"/>
                <w:sz w:val="21"/>
                <w:szCs w:val="21"/>
                <w:highlight w:val="none"/>
              </w:rPr>
            </w:pPr>
            <w:bookmarkStart w:id="183" w:name="_Hlk48159452"/>
            <w:r>
              <w:rPr>
                <w:rFonts w:hint="default" w:ascii="Arial" w:hAnsi="Arial" w:eastAsia="宋体" w:cs="Arial"/>
                <w:color w:val="auto"/>
                <w:sz w:val="21"/>
                <w:szCs w:val="21"/>
                <w:highlight w:val="none"/>
              </w:rPr>
              <w:t>《关于做好畜禽规模养殖项目环境影响评价管理工作的通知》（环办环评[2018]31号）</w:t>
            </w:r>
            <w:bookmarkEnd w:id="183"/>
          </w:p>
        </w:tc>
        <w:tc>
          <w:tcPr>
            <w:tcW w:w="7229" w:type="dxa"/>
            <w:vAlign w:val="center"/>
          </w:tcPr>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项目环评应充分论证选址的环境合理性，选址应避开当地划定的禁止养殖区域，并与区域主体功能区规划、环境功能区划、土地利用规划、城乡规划、畜牧业发展规划、畜禽养殖污染防治规划等规划相协调。当地未划定禁止养殖区域的，应避开饮用水水源保护区、风景名胜区、自然保护区的核心区和缓冲区、村镇人口集中区域，以及法律、法规规定的禁止养殖区域。</w:t>
            </w:r>
          </w:p>
        </w:tc>
        <w:tc>
          <w:tcPr>
            <w:tcW w:w="4397" w:type="dxa"/>
            <w:vAlign w:val="center"/>
          </w:tcPr>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sz w:val="21"/>
                <w:szCs w:val="21"/>
                <w:highlight w:val="none"/>
              </w:rPr>
            </w:pPr>
            <w:r>
              <w:rPr>
                <w:rFonts w:hint="default" w:ascii="Arial" w:hAnsi="Arial" w:eastAsia="宋体" w:cs="Arial"/>
                <w:color w:val="auto"/>
                <w:kern w:val="0"/>
                <w:sz w:val="21"/>
                <w:szCs w:val="21"/>
                <w:highlight w:val="none"/>
              </w:rPr>
              <w:t>项目建设区域</w:t>
            </w:r>
            <w:r>
              <w:rPr>
                <w:rFonts w:hint="default" w:ascii="Arial" w:hAnsi="Arial" w:eastAsia="宋体" w:cs="Arial"/>
                <w:color w:val="auto"/>
                <w:kern w:val="0"/>
                <w:sz w:val="21"/>
                <w:szCs w:val="21"/>
                <w:highlight w:val="none"/>
                <w:lang w:eastAsia="zh-CN"/>
              </w:rPr>
              <w:t>无</w:t>
            </w:r>
            <w:r>
              <w:rPr>
                <w:rFonts w:hint="default" w:ascii="Arial" w:hAnsi="Arial" w:eastAsia="宋体" w:cs="Arial"/>
                <w:color w:val="auto"/>
                <w:kern w:val="0"/>
                <w:sz w:val="21"/>
                <w:szCs w:val="21"/>
                <w:highlight w:val="none"/>
              </w:rPr>
              <w:t>风景名胜区、世界文化和自然遗产地，也不在饮用水水源保护区以及</w:t>
            </w:r>
            <w:r>
              <w:rPr>
                <w:rFonts w:hint="default" w:ascii="Arial" w:hAnsi="Arial" w:eastAsia="宋体" w:cs="Arial"/>
                <w:color w:val="auto"/>
                <w:sz w:val="21"/>
                <w:szCs w:val="21"/>
                <w:highlight w:val="none"/>
              </w:rPr>
              <w:t>自然保护区</w:t>
            </w:r>
            <w:r>
              <w:rPr>
                <w:rFonts w:hint="default" w:ascii="Arial" w:hAnsi="Arial" w:eastAsia="宋体" w:cs="Arial"/>
                <w:color w:val="auto"/>
                <w:kern w:val="0"/>
                <w:sz w:val="21"/>
                <w:szCs w:val="21"/>
                <w:highlight w:val="none"/>
              </w:rPr>
              <w:t>。本项目位于农村地区，也不在城镇居民区、文化教育科学研究区等人口集中区域，不在</w:t>
            </w:r>
            <w:r>
              <w:rPr>
                <w:rFonts w:hint="default" w:ascii="Arial" w:hAnsi="Arial" w:eastAsia="宋体" w:cs="Arial"/>
                <w:color w:val="auto"/>
                <w:kern w:val="0"/>
                <w:sz w:val="21"/>
                <w:szCs w:val="21"/>
                <w:highlight w:val="none"/>
                <w:lang w:eastAsia="zh-CN"/>
              </w:rPr>
              <w:t>五原县</w:t>
            </w:r>
            <w:r>
              <w:rPr>
                <w:rFonts w:hint="default" w:ascii="Arial" w:hAnsi="Arial" w:eastAsia="宋体" w:cs="Arial"/>
                <w:color w:val="auto"/>
                <w:kern w:val="0"/>
                <w:sz w:val="21"/>
                <w:szCs w:val="21"/>
                <w:highlight w:val="none"/>
              </w:rPr>
              <w:t>禁养区范围内。</w:t>
            </w:r>
          </w:p>
        </w:tc>
        <w:tc>
          <w:tcPr>
            <w:tcW w:w="670"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符合</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2093" w:type="dxa"/>
            <w:vAlign w:val="center"/>
          </w:tcPr>
          <w:p>
            <w:pPr>
              <w:pStyle w:val="63"/>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《关于规模化畜禽养殖场、养殖小区做好环境保护相关工作的通知》（磴口环保局，磴环发</w:t>
            </w:r>
            <w:r>
              <w:rPr>
                <w:rFonts w:hint="default" w:ascii="Arial" w:hAnsi="Arial" w:eastAsia="宋体" w:cs="Arial"/>
                <w:color w:val="auto"/>
                <w:sz w:val="21"/>
                <w:szCs w:val="21"/>
                <w:highlight w:val="none"/>
                <w:lang w:eastAsia="zh-CN"/>
              </w:rPr>
              <w:t>[</w:t>
            </w:r>
            <w:r>
              <w:rPr>
                <w:rFonts w:hint="default" w:ascii="Arial" w:hAnsi="Arial" w:eastAsia="宋体" w:cs="Arial"/>
                <w:color w:val="auto"/>
                <w:sz w:val="21"/>
                <w:szCs w:val="21"/>
                <w:highlight w:val="none"/>
              </w:rPr>
              <w:t>2018</w:t>
            </w:r>
            <w:r>
              <w:rPr>
                <w:rFonts w:hint="default" w:ascii="Arial" w:hAnsi="Arial" w:eastAsia="宋体" w:cs="Arial"/>
                <w:color w:val="auto"/>
                <w:sz w:val="21"/>
                <w:szCs w:val="21"/>
                <w:highlight w:val="none"/>
                <w:lang w:eastAsia="zh-CN"/>
              </w:rPr>
              <w:t>]</w:t>
            </w:r>
            <w:r>
              <w:rPr>
                <w:rFonts w:hint="default" w:ascii="Arial" w:hAnsi="Arial" w:eastAsia="宋体" w:cs="Arial"/>
                <w:color w:val="auto"/>
                <w:sz w:val="21"/>
                <w:szCs w:val="21"/>
                <w:highlight w:val="none"/>
              </w:rPr>
              <w:t>120号）</w:t>
            </w:r>
          </w:p>
        </w:tc>
        <w:tc>
          <w:tcPr>
            <w:tcW w:w="7229" w:type="dxa"/>
            <w:vAlign w:val="center"/>
          </w:tcPr>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1、禁止在饮用水水源保护区，风景名胜区、哈腾套海国家级自然保护区的核心区和缓冲区、城镇居民区、文化教育科学研究区等人口集中区域以及法律、法规规定的其他禁止养殖区域建设畜禽养殖场。</w:t>
            </w:r>
          </w:p>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2、新建、改建、扩建畜禽养殖场、养殖小区，应当进行环境影响评价，经环境保护主管部门批复后，方可投入运营。</w:t>
            </w:r>
          </w:p>
        </w:tc>
        <w:tc>
          <w:tcPr>
            <w:tcW w:w="4397" w:type="dxa"/>
            <w:vAlign w:val="center"/>
          </w:tcPr>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kern w:val="0"/>
                <w:sz w:val="21"/>
                <w:szCs w:val="21"/>
                <w:highlight w:val="none"/>
                <w:lang w:val="en-US" w:eastAsia="zh-CN" w:bidi="ar-SA"/>
              </w:rPr>
            </w:pPr>
            <w:r>
              <w:rPr>
                <w:rFonts w:hint="default" w:ascii="Arial" w:hAnsi="Arial" w:eastAsia="宋体" w:cs="Arial"/>
                <w:color w:val="auto"/>
                <w:kern w:val="0"/>
                <w:sz w:val="21"/>
                <w:szCs w:val="21"/>
                <w:highlight w:val="none"/>
              </w:rPr>
              <w:t>项目建设区域无饮用水水源保护区，风景名胜区、城镇居民区、文化教育科学研究区等人口集中区域以及法律、法规规定的其他禁止养殖区域建设畜禽养殖场；项目堆肥场距离东侧五排干4</w:t>
            </w:r>
            <w:r>
              <w:rPr>
                <w:rFonts w:hint="default" w:ascii="Arial" w:hAnsi="Arial" w:eastAsia="宋体" w:cs="Arial"/>
                <w:color w:val="auto"/>
                <w:kern w:val="0"/>
                <w:sz w:val="21"/>
                <w:szCs w:val="21"/>
                <w:highlight w:val="none"/>
                <w:lang w:val="en-US" w:eastAsia="zh-CN"/>
              </w:rPr>
              <w:t>2</w:t>
            </w:r>
            <w:r>
              <w:rPr>
                <w:rFonts w:hint="default" w:ascii="Arial" w:hAnsi="Arial" w:eastAsia="宋体" w:cs="Arial"/>
                <w:color w:val="auto"/>
                <w:kern w:val="0"/>
                <w:sz w:val="21"/>
                <w:szCs w:val="21"/>
                <w:highlight w:val="none"/>
              </w:rPr>
              <w:t>0m</w:t>
            </w:r>
            <w:r>
              <w:rPr>
                <w:rFonts w:hint="default" w:ascii="Arial" w:hAnsi="Arial" w:eastAsia="宋体" w:cs="Arial"/>
                <w:color w:val="auto"/>
                <w:kern w:val="0"/>
                <w:sz w:val="21"/>
                <w:szCs w:val="21"/>
                <w:highlight w:val="none"/>
                <w:lang w:eastAsia="zh-CN"/>
              </w:rPr>
              <w:t>；本项目</w:t>
            </w:r>
            <w:r>
              <w:rPr>
                <w:rFonts w:hint="default" w:ascii="Arial" w:hAnsi="Arial" w:eastAsia="宋体" w:cs="Arial"/>
                <w:color w:val="auto"/>
                <w:kern w:val="0"/>
                <w:sz w:val="21"/>
                <w:szCs w:val="21"/>
                <w:highlight w:val="none"/>
              </w:rPr>
              <w:t>不在</w:t>
            </w:r>
            <w:r>
              <w:rPr>
                <w:rFonts w:hint="default" w:ascii="Arial" w:hAnsi="Arial" w:eastAsia="宋体" w:cs="Arial"/>
                <w:color w:val="auto"/>
                <w:kern w:val="0"/>
                <w:sz w:val="21"/>
                <w:szCs w:val="21"/>
                <w:highlight w:val="none"/>
                <w:lang w:eastAsia="zh-CN"/>
              </w:rPr>
              <w:t>五原县</w:t>
            </w:r>
            <w:r>
              <w:rPr>
                <w:rFonts w:hint="default" w:ascii="Arial" w:hAnsi="Arial" w:eastAsia="宋体" w:cs="Arial"/>
                <w:color w:val="auto"/>
                <w:kern w:val="0"/>
                <w:sz w:val="21"/>
                <w:szCs w:val="21"/>
                <w:highlight w:val="none"/>
              </w:rPr>
              <w:t>禁养区范围内；本项目</w:t>
            </w:r>
            <w:r>
              <w:rPr>
                <w:rFonts w:hint="default" w:ascii="Arial" w:hAnsi="Arial" w:eastAsia="宋体" w:cs="Arial"/>
                <w:color w:val="auto"/>
                <w:kern w:val="0"/>
                <w:sz w:val="21"/>
                <w:szCs w:val="21"/>
                <w:highlight w:val="none"/>
                <w:lang w:eastAsia="zh-CN"/>
              </w:rPr>
              <w:t>应在取得生态环境局批复后，方可开始建设</w:t>
            </w:r>
            <w:r>
              <w:rPr>
                <w:rFonts w:hint="default" w:ascii="Arial" w:hAnsi="Arial" w:eastAsia="宋体" w:cs="Arial"/>
                <w:color w:val="auto"/>
                <w:kern w:val="0"/>
                <w:sz w:val="21"/>
                <w:szCs w:val="21"/>
                <w:highlight w:val="none"/>
              </w:rPr>
              <w:t>。</w:t>
            </w:r>
          </w:p>
        </w:tc>
        <w:tc>
          <w:tcPr>
            <w:tcW w:w="670" w:type="dxa"/>
            <w:vAlign w:val="center"/>
          </w:tcPr>
          <w:p>
            <w:pPr>
              <w:pStyle w:val="63"/>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符合</w:t>
            </w:r>
          </w:p>
        </w:tc>
      </w:tr>
    </w:tbl>
    <w:p>
      <w:pPr>
        <w:ind w:firstLine="480"/>
        <w:rPr>
          <w:rFonts w:hint="default" w:ascii="Arial" w:hAnsi="Arial" w:eastAsia="宋体" w:cs="Arial"/>
          <w:color w:val="auto"/>
          <w:highlight w:val="none"/>
        </w:rPr>
        <w:sectPr>
          <w:pgSz w:w="16838" w:h="11906" w:orient="landscape"/>
          <w:pgMar w:top="1701" w:right="1418" w:bottom="1418" w:left="1247" w:header="851" w:footer="680" w:gutter="0"/>
          <w:pgBorders>
            <w:top w:val="none" w:sz="0" w:space="0"/>
            <w:left w:val="none" w:sz="0" w:space="0"/>
            <w:bottom w:val="none" w:sz="0" w:space="0"/>
            <w:right w:val="none" w:sz="0" w:space="0"/>
          </w:pgBorders>
          <w:pgNumType w:fmt="numberInDash"/>
          <w:cols w:space="425" w:num="1"/>
          <w:docGrid w:linePitch="326" w:charSpace="0"/>
        </w:sectPr>
      </w:pPr>
      <w:bookmarkStart w:id="184" w:name="_Toc19560908"/>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综上，本项目选址符合相关法律、法规及相关行业规范要求，项目选址合理。</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（3）其他相关符合性分析</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本项目各产污环节污染物排放在采取评价中提出的防治措施后对环境影响在可接受范围内，在各项环保措施得以落实、杜绝事故排放的情况下，项目排放的各种污染物满足达标排放和总量控制的要求，预测结果表明，工程建成后不会对当地大气、地表水、地下水、声环境、生态环境带来明显危害，项目对环境的影响可以接受。</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公众参与调查结果表明，未收到反对项目建设的意见。综上，本项目在严格执行环评规定的各项措施并确保其正常稳定运行且在严格管理的情况下，项目场址从环境角度分析是可行的。</w:t>
      </w:r>
    </w:p>
    <w:bookmarkEnd w:id="184"/>
    <w:p>
      <w:pPr>
        <w:pStyle w:val="5"/>
        <w:pageBreakBefore w:val="0"/>
        <w:widowControl w:val="0"/>
        <w:kinsoku/>
        <w:wordWrap/>
        <w:overflowPunct/>
        <w:topLinePunct/>
        <w:autoSpaceDE w:val="0"/>
        <w:autoSpaceDN/>
        <w:bidi w:val="0"/>
        <w:adjustRightInd/>
        <w:snapToGrid/>
        <w:textAlignment w:val="auto"/>
        <w:rPr>
          <w:rFonts w:hint="default" w:ascii="Arial" w:hAnsi="Arial" w:eastAsia="宋体" w:cs="Arial"/>
          <w:color w:val="auto"/>
          <w:highlight w:val="none"/>
        </w:rPr>
      </w:pPr>
      <w:bookmarkStart w:id="185" w:name="_Toc19953"/>
      <w:r>
        <w:rPr>
          <w:rFonts w:hint="default" w:ascii="Arial" w:hAnsi="Arial" w:eastAsia="宋体" w:cs="Arial"/>
          <w:color w:val="auto"/>
          <w:highlight w:val="none"/>
        </w:rPr>
        <w:t>2.8环境功能区符合性分析</w:t>
      </w:r>
      <w:bookmarkEnd w:id="185"/>
    </w:p>
    <w:p>
      <w:pPr>
        <w:pStyle w:val="6"/>
        <w:pageBreakBefore w:val="0"/>
        <w:widowControl w:val="0"/>
        <w:kinsoku/>
        <w:wordWrap/>
        <w:overflowPunct/>
        <w:topLinePunct/>
        <w:autoSpaceDE w:val="0"/>
        <w:autoSpaceDN/>
        <w:bidi w:val="0"/>
        <w:adjustRightInd/>
        <w:snapToGrid/>
        <w:textAlignment w:val="auto"/>
        <w:rPr>
          <w:rFonts w:hint="default" w:ascii="Arial" w:hAnsi="Arial" w:eastAsia="宋体" w:cs="Arial"/>
          <w:color w:val="auto"/>
          <w:highlight w:val="none"/>
        </w:rPr>
      </w:pPr>
      <w:bookmarkStart w:id="186" w:name="_Toc15865"/>
      <w:r>
        <w:rPr>
          <w:rFonts w:hint="default" w:ascii="Arial" w:hAnsi="Arial" w:eastAsia="宋体" w:cs="Arial"/>
          <w:color w:val="auto"/>
          <w:highlight w:val="none"/>
        </w:rPr>
        <w:t>2.8.1环境容量</w:t>
      </w:r>
      <w:bookmarkEnd w:id="186"/>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项目所在区域环境空气为二类功能区，执行《环境空气质量标准》（GB3095-2012）二级标准；区域声环境为2类功能区域，执行《声环境质量标准》（GB3096-2008）2类标准；区域地下水质为Ⅲ类，执行《地下水质量标准》（GB/T14848-2017）Ⅲ类标准。本项目所在区域空气环境质量、地表水环境质量、地下水及声环境质量良好，有一定的环境容量。</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本项目建成后，废气污染物可达标排放，对环境空气影响较小。项目无废水和固废直接排放，各噪声源通过采取降噪措施和距离衰减，厂界噪声可满足相应标准要求。根据环境影响预测评价，本项目正常生产时所排放的污染物经治理达标后，对周围环境不会产生明显影响，环境质量基本维持现有水平。不会加大对环境的不利影响，环境可以接受。</w:t>
      </w:r>
    </w:p>
    <w:p>
      <w:pPr>
        <w:pStyle w:val="6"/>
        <w:pageBreakBefore w:val="0"/>
        <w:widowControl w:val="0"/>
        <w:kinsoku/>
        <w:wordWrap/>
        <w:overflowPunct/>
        <w:topLinePunct/>
        <w:autoSpaceDE w:val="0"/>
        <w:autoSpaceDN/>
        <w:bidi w:val="0"/>
        <w:adjustRightInd/>
        <w:snapToGrid/>
        <w:textAlignment w:val="auto"/>
        <w:rPr>
          <w:rFonts w:hint="default" w:ascii="Arial" w:hAnsi="Arial" w:eastAsia="宋体" w:cs="Arial"/>
          <w:color w:val="auto"/>
          <w:highlight w:val="none"/>
        </w:rPr>
      </w:pPr>
      <w:bookmarkStart w:id="187" w:name="_Toc28919"/>
      <w:r>
        <w:rPr>
          <w:rFonts w:hint="default" w:ascii="Arial" w:hAnsi="Arial" w:eastAsia="宋体" w:cs="Arial"/>
          <w:color w:val="auto"/>
          <w:highlight w:val="none"/>
        </w:rPr>
        <w:t>2.8.2周边环境情况</w:t>
      </w:r>
      <w:bookmarkEnd w:id="187"/>
    </w:p>
    <w:p>
      <w:pPr>
        <w:pStyle w:val="7"/>
        <w:pageBreakBefore w:val="0"/>
        <w:widowControl w:val="0"/>
        <w:kinsoku/>
        <w:wordWrap/>
        <w:overflowPunct/>
        <w:topLinePunct/>
        <w:autoSpaceDE w:val="0"/>
        <w:autoSpaceDN/>
        <w:bidi w:val="0"/>
        <w:adjustRightInd/>
        <w:snapToGrid/>
        <w:textAlignment w:val="auto"/>
        <w:rPr>
          <w:rFonts w:hint="default" w:ascii="Arial" w:hAnsi="Arial" w:eastAsia="宋体" w:cs="Arial"/>
          <w:color w:val="auto"/>
          <w:highlight w:val="none"/>
        </w:rPr>
      </w:pPr>
      <w:r>
        <w:rPr>
          <w:rFonts w:hint="default" w:ascii="Arial" w:hAnsi="Arial" w:eastAsia="宋体" w:cs="Arial"/>
          <w:color w:val="auto"/>
          <w:highlight w:val="none"/>
        </w:rPr>
        <w:t>2.8.2.1项目周围环境</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本项目拟建厂址位于</w:t>
      </w:r>
      <w:r>
        <w:rPr>
          <w:rFonts w:hint="default" w:ascii="Arial" w:hAnsi="Arial" w:eastAsia="宋体" w:cs="Arial"/>
          <w:color w:val="auto"/>
          <w:highlight w:val="none"/>
          <w:lang w:eastAsia="zh-CN"/>
        </w:rPr>
        <w:t>内蒙古自治区巴彦淖尔市五原县天吉泰镇二合永村五社</w:t>
      </w:r>
      <w:r>
        <w:rPr>
          <w:rFonts w:hint="default" w:ascii="Arial" w:hAnsi="Arial" w:eastAsia="宋体" w:cs="Arial"/>
          <w:color w:val="auto"/>
          <w:highlight w:val="none"/>
        </w:rPr>
        <w:t>，未在国家法律、法规、行政规章及规划确定或旗县级以上人民政府批准的饮用水水源保护区、自然保护区、风景名胜区、生态功能保护区等需要特殊保护的地区范围内。</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综上，周边无工业企业，对周边环境无特殊要求，因此，与项目不存在相互制约。</w:t>
      </w:r>
    </w:p>
    <w:p>
      <w:pPr>
        <w:pStyle w:val="7"/>
        <w:pageBreakBefore w:val="0"/>
        <w:widowControl w:val="0"/>
        <w:kinsoku/>
        <w:wordWrap/>
        <w:overflowPunct/>
        <w:topLinePunct/>
        <w:autoSpaceDE w:val="0"/>
        <w:autoSpaceDN/>
        <w:bidi w:val="0"/>
        <w:adjustRightInd/>
        <w:snapToGrid/>
        <w:textAlignment w:val="auto"/>
        <w:rPr>
          <w:rFonts w:hint="default" w:ascii="Arial" w:hAnsi="Arial" w:eastAsia="宋体" w:cs="Arial"/>
          <w:color w:val="auto"/>
          <w:highlight w:val="none"/>
        </w:rPr>
      </w:pPr>
      <w:r>
        <w:rPr>
          <w:rFonts w:hint="default" w:ascii="Arial" w:hAnsi="Arial" w:eastAsia="宋体" w:cs="Arial"/>
          <w:color w:val="auto"/>
          <w:highlight w:val="none"/>
        </w:rPr>
        <w:t>2.8.2.2项目周边敏感点</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厂址周围无名胜古迹、自然保护区及重要文物保护单位，</w:t>
      </w:r>
      <w:r>
        <w:rPr>
          <w:rFonts w:hint="default" w:ascii="Arial" w:hAnsi="Arial" w:eastAsia="宋体" w:cs="Arial"/>
          <w:color w:val="auto"/>
          <w:highlight w:val="none"/>
          <w:lang w:val="en-US" w:eastAsia="zh-CN"/>
        </w:rPr>
        <w:t>1.0</w:t>
      </w:r>
      <w:r>
        <w:rPr>
          <w:rFonts w:hint="default" w:ascii="Arial" w:hAnsi="Arial" w:eastAsia="宋体" w:cs="Arial"/>
          <w:color w:val="auto"/>
          <w:highlight w:val="none"/>
        </w:rPr>
        <w:t>km范围内无学校、医院等环境敏感目标。</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对照《内蒙古自治区主体功能区规划》（内政发</w:t>
      </w:r>
      <w:r>
        <w:rPr>
          <w:rFonts w:hint="default" w:ascii="Arial" w:hAnsi="Arial" w:eastAsia="宋体" w:cs="Arial"/>
          <w:color w:val="auto"/>
          <w:highlight w:val="none"/>
          <w:lang w:eastAsia="zh-CN"/>
        </w:rPr>
        <w:t>[</w:t>
      </w:r>
      <w:r>
        <w:rPr>
          <w:rFonts w:hint="default" w:ascii="Arial" w:hAnsi="Arial" w:eastAsia="宋体" w:cs="Arial"/>
          <w:color w:val="auto"/>
          <w:highlight w:val="none"/>
        </w:rPr>
        <w:t>2012</w:t>
      </w:r>
      <w:r>
        <w:rPr>
          <w:rFonts w:hint="default" w:ascii="Arial" w:hAnsi="Arial" w:eastAsia="宋体" w:cs="Arial"/>
          <w:color w:val="auto"/>
          <w:highlight w:val="none"/>
          <w:lang w:eastAsia="zh-CN"/>
        </w:rPr>
        <w:t>]</w:t>
      </w:r>
      <w:r>
        <w:rPr>
          <w:rFonts w:hint="default" w:ascii="Arial" w:hAnsi="Arial" w:eastAsia="宋体" w:cs="Arial"/>
          <w:color w:val="auto"/>
          <w:highlight w:val="none"/>
        </w:rPr>
        <w:t>85号，2012.7.27）及《内蒙古自治区人民政府关于自治区主体功能区规划的实施意见》（内政发</w:t>
      </w:r>
      <w:r>
        <w:rPr>
          <w:rFonts w:hint="default" w:ascii="Arial" w:hAnsi="Arial" w:eastAsia="宋体" w:cs="Arial"/>
          <w:color w:val="auto"/>
          <w:highlight w:val="none"/>
          <w:lang w:eastAsia="zh-CN"/>
        </w:rPr>
        <w:t>[</w:t>
      </w:r>
      <w:r>
        <w:rPr>
          <w:rFonts w:hint="default" w:ascii="Arial" w:hAnsi="Arial" w:eastAsia="宋体" w:cs="Arial"/>
          <w:color w:val="auto"/>
          <w:highlight w:val="none"/>
        </w:rPr>
        <w:t>2015</w:t>
      </w:r>
      <w:r>
        <w:rPr>
          <w:rFonts w:hint="default" w:ascii="Arial" w:hAnsi="Arial" w:eastAsia="宋体" w:cs="Arial"/>
          <w:color w:val="auto"/>
          <w:highlight w:val="none"/>
          <w:lang w:eastAsia="zh-CN"/>
        </w:rPr>
        <w:t>]</w:t>
      </w:r>
      <w:r>
        <w:rPr>
          <w:rFonts w:hint="default" w:ascii="Arial" w:hAnsi="Arial" w:eastAsia="宋体" w:cs="Arial"/>
          <w:color w:val="auto"/>
          <w:highlight w:val="none"/>
        </w:rPr>
        <w:t>18号，2015.1.29）及《内蒙古自治区限制开发区域限制类和禁止类产业指导目录（2016年本）》，项目所在地位于</w:t>
      </w:r>
      <w:r>
        <w:rPr>
          <w:rFonts w:hint="default" w:ascii="Arial" w:hAnsi="Arial" w:eastAsia="宋体" w:cs="Arial"/>
          <w:color w:val="auto"/>
          <w:highlight w:val="none"/>
          <w:lang w:eastAsia="zh-CN"/>
        </w:rPr>
        <w:t>五原县</w:t>
      </w:r>
      <w:r>
        <w:rPr>
          <w:rFonts w:hint="default" w:ascii="Arial" w:hAnsi="Arial" w:eastAsia="宋体" w:cs="Arial"/>
          <w:color w:val="auto"/>
          <w:highlight w:val="none"/>
        </w:rPr>
        <w:t>，不属于农产品主产区及重点生态功能区（阴山北麓草原生态功能区），属于自治区重点开发区，因此</w:t>
      </w:r>
      <w:r>
        <w:rPr>
          <w:rFonts w:hint="default" w:ascii="Arial" w:hAnsi="Arial" w:eastAsia="宋体" w:cs="Arial"/>
          <w:color w:val="auto"/>
          <w:highlight w:val="none"/>
          <w:lang w:eastAsia="zh-CN"/>
        </w:rPr>
        <w:t>，本</w:t>
      </w:r>
      <w:r>
        <w:rPr>
          <w:rFonts w:hint="default" w:ascii="Arial" w:hAnsi="Arial" w:eastAsia="宋体" w:cs="Arial"/>
          <w:color w:val="auto"/>
          <w:highlight w:val="none"/>
        </w:rPr>
        <w:t>项目不属于自治区限制开发区域限制类和禁止类产业。</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lang w:eastAsia="zh-CN"/>
        </w:rPr>
      </w:pPr>
      <w:r>
        <w:rPr>
          <w:rFonts w:hint="default" w:ascii="Arial" w:hAnsi="Arial" w:eastAsia="宋体" w:cs="Arial"/>
          <w:color w:val="auto"/>
          <w:highlight w:val="none"/>
        </w:rPr>
        <w:t>综上所述，项目选址合理</w:t>
      </w:r>
      <w:r>
        <w:rPr>
          <w:rFonts w:hint="default" w:ascii="Arial" w:hAnsi="Arial" w:eastAsia="宋体" w:cs="Arial"/>
          <w:color w:val="auto"/>
          <w:highlight w:val="none"/>
          <w:lang w:eastAsia="zh-CN"/>
        </w:rPr>
        <w:t>。</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lang w:eastAsia="zh-CN"/>
        </w:rPr>
      </w:pPr>
    </w:p>
    <w:p>
      <w:pPr>
        <w:ind w:firstLine="480"/>
        <w:rPr>
          <w:rFonts w:hint="default" w:ascii="Arial" w:hAnsi="Arial" w:eastAsia="宋体" w:cs="Arial"/>
          <w:color w:val="auto"/>
          <w:highlight w:val="none"/>
        </w:rPr>
      </w:pPr>
    </w:p>
    <w:p>
      <w:pPr>
        <w:ind w:firstLine="480"/>
        <w:rPr>
          <w:rFonts w:hint="default" w:ascii="Arial" w:hAnsi="Arial" w:eastAsia="宋体" w:cs="Arial"/>
          <w:color w:val="auto"/>
          <w:highlight w:val="none"/>
        </w:rPr>
        <w:sectPr>
          <w:pgSz w:w="11906" w:h="16838"/>
          <w:pgMar w:top="1418" w:right="1418" w:bottom="1247" w:left="1701" w:header="851" w:footer="680" w:gutter="0"/>
          <w:pgBorders>
            <w:top w:val="none" w:sz="0" w:space="0"/>
            <w:left w:val="none" w:sz="0" w:space="0"/>
            <w:bottom w:val="none" w:sz="0" w:space="0"/>
            <w:right w:val="none" w:sz="0" w:space="0"/>
          </w:pgBorders>
          <w:pgNumType w:fmt="numberInDash"/>
          <w:cols w:space="425" w:num="1"/>
          <w:docGrid w:linePitch="326" w:charSpace="0"/>
        </w:sectPr>
      </w:pPr>
    </w:p>
    <w:p>
      <w:pPr>
        <w:pStyle w:val="4"/>
        <w:rPr>
          <w:rFonts w:hint="default" w:ascii="Arial" w:hAnsi="Arial" w:eastAsia="宋体" w:cs="Arial"/>
          <w:color w:val="auto"/>
          <w:highlight w:val="none"/>
        </w:rPr>
      </w:pPr>
      <w:bookmarkStart w:id="188" w:name="_Toc11244"/>
      <w:r>
        <w:rPr>
          <w:rFonts w:hint="default" w:ascii="Arial" w:hAnsi="Arial" w:eastAsia="宋体" w:cs="Arial"/>
          <w:color w:val="auto"/>
          <w:highlight w:val="none"/>
        </w:rPr>
        <w:t>3工程分析</w:t>
      </w:r>
      <w:bookmarkEnd w:id="188"/>
    </w:p>
    <w:p>
      <w:pPr>
        <w:pStyle w:val="5"/>
        <w:rPr>
          <w:rFonts w:hint="default" w:ascii="Arial" w:hAnsi="Arial" w:eastAsia="宋体" w:cs="Arial"/>
          <w:color w:val="auto"/>
          <w:highlight w:val="none"/>
        </w:rPr>
      </w:pPr>
      <w:bookmarkStart w:id="189" w:name="_Toc10159"/>
      <w:r>
        <w:rPr>
          <w:rFonts w:hint="default" w:ascii="Arial" w:hAnsi="Arial" w:eastAsia="宋体" w:cs="Arial"/>
          <w:color w:val="auto"/>
          <w:highlight w:val="none"/>
        </w:rPr>
        <w:t>3.1项目基本情况</w:t>
      </w:r>
      <w:bookmarkEnd w:id="189"/>
    </w:p>
    <w:p>
      <w:pPr>
        <w:pStyle w:val="6"/>
        <w:rPr>
          <w:rFonts w:hint="default" w:ascii="Arial" w:hAnsi="Arial" w:eastAsia="宋体" w:cs="Arial"/>
          <w:color w:val="auto"/>
          <w:highlight w:val="none"/>
        </w:rPr>
      </w:pPr>
      <w:bookmarkStart w:id="190" w:name="_Toc18206"/>
      <w:bookmarkStart w:id="191" w:name="_Toc420051509"/>
      <w:bookmarkStart w:id="192" w:name="_Toc416447544"/>
      <w:bookmarkStart w:id="193" w:name="_Toc344087173"/>
      <w:bookmarkStart w:id="194" w:name="_Toc30001"/>
      <w:r>
        <w:rPr>
          <w:rFonts w:hint="default" w:ascii="Arial" w:hAnsi="Arial" w:eastAsia="宋体" w:cs="Arial"/>
          <w:color w:val="auto"/>
          <w:highlight w:val="none"/>
        </w:rPr>
        <w:t>3.1.1</w:t>
      </w:r>
      <w:bookmarkEnd w:id="190"/>
      <w:bookmarkEnd w:id="191"/>
      <w:bookmarkEnd w:id="192"/>
      <w:bookmarkEnd w:id="193"/>
      <w:r>
        <w:rPr>
          <w:rFonts w:hint="default" w:ascii="Arial" w:hAnsi="Arial" w:eastAsia="宋体" w:cs="Arial"/>
          <w:color w:val="auto"/>
          <w:highlight w:val="none"/>
        </w:rPr>
        <w:t>项目基本概况</w:t>
      </w:r>
      <w:bookmarkEnd w:id="194"/>
    </w:p>
    <w:p>
      <w:pPr>
        <w:ind w:firstLine="480"/>
        <w:rPr>
          <w:rFonts w:hint="default" w:ascii="Arial" w:hAnsi="Arial" w:eastAsia="宋体" w:cs="Arial"/>
          <w:color w:val="auto"/>
          <w:highlight w:val="none"/>
        </w:rPr>
      </w:pPr>
      <w:r>
        <w:rPr>
          <w:rFonts w:hint="default" w:ascii="Arial" w:hAnsi="Arial" w:eastAsia="宋体" w:cs="Arial"/>
          <w:color w:val="auto"/>
          <w:highlight w:val="none"/>
        </w:rPr>
        <w:t>项目基本情况见表3.1-1。</w:t>
      </w:r>
    </w:p>
    <w:p>
      <w:pPr>
        <w:pStyle w:val="8"/>
        <w:rPr>
          <w:rFonts w:hint="default" w:ascii="Arial" w:hAnsi="Arial" w:eastAsia="宋体" w:cs="Arial"/>
          <w:color w:val="auto"/>
          <w:highlight w:val="none"/>
        </w:rPr>
      </w:pPr>
      <w:r>
        <w:rPr>
          <w:rFonts w:hint="default" w:ascii="Arial" w:hAnsi="Arial" w:eastAsia="宋体" w:cs="Arial"/>
          <w:color w:val="auto"/>
          <w:highlight w:val="none"/>
        </w:rPr>
        <w:t>表3.1-1    项目基本情况表</w:t>
      </w:r>
    </w:p>
    <w:tbl>
      <w:tblPr>
        <w:tblStyle w:val="39"/>
        <w:tblW w:w="9003"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462"/>
        <w:gridCol w:w="7541"/>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2" w:type="dxa"/>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项目名称</w:t>
            </w:r>
          </w:p>
        </w:tc>
        <w:tc>
          <w:tcPr>
            <w:tcW w:w="7541" w:type="dxa"/>
            <w:vAlign w:val="center"/>
          </w:tcPr>
          <w:p>
            <w:pPr>
              <w:pStyle w:val="63"/>
              <w:rPr>
                <w:rFonts w:hint="default" w:ascii="Arial" w:hAnsi="Arial" w:eastAsia="宋体" w:cs="Arial"/>
                <w:color w:val="auto"/>
                <w:highlight w:val="none"/>
                <w:lang w:eastAsia="zh-CN"/>
              </w:rPr>
            </w:pPr>
            <w:r>
              <w:rPr>
                <w:rFonts w:hint="default" w:ascii="Arial" w:hAnsi="Arial" w:eastAsia="宋体" w:cs="Arial"/>
                <w:color w:val="auto"/>
                <w:highlight w:val="none"/>
                <w:lang w:eastAsia="zh-CN"/>
              </w:rPr>
              <w:t>五原县天吉泰镇宏腾肉牛养殖示范基地建设项目</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2" w:type="dxa"/>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建设单位</w:t>
            </w:r>
          </w:p>
        </w:tc>
        <w:tc>
          <w:tcPr>
            <w:tcW w:w="7541" w:type="dxa"/>
            <w:vAlign w:val="center"/>
          </w:tcPr>
          <w:p>
            <w:pPr>
              <w:pStyle w:val="63"/>
              <w:rPr>
                <w:rFonts w:hint="default" w:ascii="Arial" w:hAnsi="Arial" w:eastAsia="宋体" w:cs="Arial"/>
                <w:color w:val="auto"/>
                <w:highlight w:val="none"/>
                <w:lang w:eastAsia="zh-CN"/>
              </w:rPr>
            </w:pPr>
            <w:r>
              <w:rPr>
                <w:rFonts w:hint="default" w:ascii="Arial" w:hAnsi="Arial" w:eastAsia="宋体" w:cs="Arial"/>
                <w:color w:val="auto"/>
                <w:highlight w:val="none"/>
                <w:lang w:eastAsia="zh-CN"/>
              </w:rPr>
              <w:t>五原县天吉泰镇宏腾养殖专业合作社</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2" w:type="dxa"/>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建设性质</w:t>
            </w:r>
          </w:p>
        </w:tc>
        <w:tc>
          <w:tcPr>
            <w:tcW w:w="7541" w:type="dxa"/>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新建</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2" w:type="dxa"/>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建设地点</w:t>
            </w:r>
          </w:p>
        </w:tc>
        <w:tc>
          <w:tcPr>
            <w:tcW w:w="7541" w:type="dxa"/>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lang w:eastAsia="zh-CN"/>
              </w:rPr>
              <w:t>内蒙古自治区巴彦淖尔市五原县天吉泰镇二合永村五社</w:t>
            </w:r>
          </w:p>
          <w:p>
            <w:pPr>
              <w:pStyle w:val="63"/>
              <w:rPr>
                <w:rFonts w:hint="default" w:ascii="Arial" w:hAnsi="Arial" w:eastAsia="宋体" w:cs="Arial"/>
                <w:color w:val="auto"/>
                <w:highlight w:val="none"/>
                <w:lang w:val="en-US" w:eastAsia="zh-CN"/>
              </w:rPr>
            </w:pPr>
            <w:r>
              <w:rPr>
                <w:rFonts w:hint="default" w:ascii="Arial" w:hAnsi="Arial" w:eastAsia="宋体" w:cs="Arial"/>
                <w:color w:val="auto"/>
                <w:highlight w:val="none"/>
                <w:lang w:val="en-US" w:eastAsia="zh-CN"/>
              </w:rPr>
              <w:t>场区中心坐标N40°56'12.479"、E107°40'46.267"</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2" w:type="dxa"/>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占地面积</w:t>
            </w:r>
          </w:p>
        </w:tc>
        <w:tc>
          <w:tcPr>
            <w:tcW w:w="7541" w:type="dxa"/>
            <w:vAlign w:val="center"/>
          </w:tcPr>
          <w:p>
            <w:pPr>
              <w:pStyle w:val="63"/>
              <w:rPr>
                <w:rFonts w:hint="default" w:ascii="Arial" w:hAnsi="Arial" w:eastAsia="宋体" w:cs="Arial"/>
                <w:color w:val="auto"/>
                <w:highlight w:val="none"/>
                <w:lang w:val="en-US" w:eastAsia="zh-CN"/>
              </w:rPr>
            </w:pPr>
            <w:r>
              <w:rPr>
                <w:rFonts w:hint="default" w:ascii="Arial" w:hAnsi="Arial" w:eastAsia="宋体" w:cs="Arial"/>
                <w:color w:val="auto"/>
                <w:highlight w:val="none"/>
                <w:lang w:eastAsia="zh-CN"/>
              </w:rPr>
              <w:t>216200</w:t>
            </w:r>
            <w:r>
              <w:rPr>
                <w:rFonts w:hint="default" w:ascii="Arial" w:hAnsi="Arial" w:eastAsia="宋体" w:cs="Arial"/>
                <w:color w:val="auto"/>
                <w:highlight w:val="none"/>
                <w:lang w:val="en-US" w:eastAsia="zh-CN"/>
              </w:rPr>
              <w:t>m</w:t>
            </w:r>
            <w:r>
              <w:rPr>
                <w:rFonts w:hint="default" w:ascii="Arial" w:hAnsi="Arial" w:eastAsia="宋体" w:cs="Arial"/>
                <w:color w:val="auto"/>
                <w:highlight w:val="none"/>
                <w:vertAlign w:val="superscript"/>
                <w:lang w:val="en-US" w:eastAsia="zh-CN"/>
              </w:rPr>
              <w:t>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2" w:type="dxa"/>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工程投资</w:t>
            </w:r>
          </w:p>
        </w:tc>
        <w:tc>
          <w:tcPr>
            <w:tcW w:w="7541" w:type="dxa"/>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总投资</w:t>
            </w:r>
            <w:r>
              <w:rPr>
                <w:rFonts w:hint="default" w:ascii="Arial" w:hAnsi="Arial" w:eastAsia="宋体" w:cs="Arial"/>
                <w:color w:val="auto"/>
                <w:highlight w:val="none"/>
                <w:lang w:val="en-US" w:eastAsia="zh-CN"/>
              </w:rPr>
              <w:t>5000万元</w:t>
            </w:r>
            <w:r>
              <w:rPr>
                <w:rFonts w:hint="default" w:ascii="Arial" w:hAnsi="Arial" w:eastAsia="宋体" w:cs="Arial"/>
                <w:color w:val="auto"/>
                <w:highlight w:val="none"/>
              </w:rPr>
              <w:t>，环保投资193.1万元，占总投资比例为3.86%</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2" w:type="dxa"/>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项目规模</w:t>
            </w:r>
          </w:p>
        </w:tc>
        <w:tc>
          <w:tcPr>
            <w:tcW w:w="7541" w:type="dxa"/>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存栏肉牛</w:t>
            </w:r>
            <w:r>
              <w:rPr>
                <w:rFonts w:hint="default" w:ascii="Arial" w:hAnsi="Arial" w:eastAsia="宋体" w:cs="Arial"/>
                <w:color w:val="auto"/>
                <w:highlight w:val="none"/>
                <w:lang w:val="en-US" w:eastAsia="zh-CN"/>
              </w:rPr>
              <w:t>10</w:t>
            </w:r>
            <w:r>
              <w:rPr>
                <w:rFonts w:hint="default" w:ascii="Arial" w:hAnsi="Arial" w:eastAsia="宋体" w:cs="Arial"/>
                <w:color w:val="auto"/>
                <w:highlight w:val="none"/>
              </w:rPr>
              <w:t>000头，出栏</w:t>
            </w:r>
            <w:r>
              <w:rPr>
                <w:rFonts w:hint="default" w:ascii="Arial" w:hAnsi="Arial" w:eastAsia="宋体" w:cs="Arial"/>
                <w:color w:val="auto"/>
                <w:highlight w:val="none"/>
                <w:lang w:val="en-US" w:eastAsia="zh-CN"/>
              </w:rPr>
              <w:t>5</w:t>
            </w:r>
            <w:r>
              <w:rPr>
                <w:rFonts w:hint="default" w:ascii="Arial" w:hAnsi="Arial" w:eastAsia="宋体" w:cs="Arial"/>
                <w:color w:val="auto"/>
                <w:highlight w:val="none"/>
              </w:rPr>
              <w:t>000头肉牛</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2" w:type="dxa"/>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行业类别</w:t>
            </w:r>
          </w:p>
        </w:tc>
        <w:tc>
          <w:tcPr>
            <w:tcW w:w="7541" w:type="dxa"/>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A0313 牛的饲养</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2" w:type="dxa"/>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劳动定员</w:t>
            </w:r>
          </w:p>
        </w:tc>
        <w:tc>
          <w:tcPr>
            <w:tcW w:w="7541" w:type="dxa"/>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劳动定员</w:t>
            </w:r>
            <w:r>
              <w:rPr>
                <w:rFonts w:hint="default" w:ascii="Arial" w:hAnsi="Arial" w:eastAsia="宋体" w:cs="Arial"/>
                <w:color w:val="auto"/>
                <w:highlight w:val="none"/>
                <w:lang w:val="en-US" w:eastAsia="zh-CN"/>
              </w:rPr>
              <w:t>30</w:t>
            </w:r>
            <w:r>
              <w:rPr>
                <w:rFonts w:hint="default" w:ascii="Arial" w:hAnsi="Arial" w:eastAsia="宋体" w:cs="Arial"/>
                <w:color w:val="auto"/>
                <w:highlight w:val="none"/>
              </w:rPr>
              <w:t>人</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62" w:type="dxa"/>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工作制度</w:t>
            </w:r>
          </w:p>
        </w:tc>
        <w:tc>
          <w:tcPr>
            <w:tcW w:w="7541" w:type="dxa"/>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全年有效生产天数为365天，实行</w:t>
            </w:r>
            <w:r>
              <w:rPr>
                <w:rFonts w:hint="default" w:ascii="Arial" w:hAnsi="Arial" w:eastAsia="宋体" w:cs="Arial"/>
                <w:color w:val="auto"/>
                <w:highlight w:val="none"/>
                <w:lang w:eastAsia="zh-CN"/>
              </w:rPr>
              <w:t>两</w:t>
            </w:r>
            <w:r>
              <w:rPr>
                <w:rFonts w:hint="default" w:ascii="Arial" w:hAnsi="Arial" w:eastAsia="宋体" w:cs="Arial"/>
                <w:color w:val="auto"/>
                <w:highlight w:val="none"/>
              </w:rPr>
              <w:t>班制，每班</w:t>
            </w:r>
            <w:r>
              <w:rPr>
                <w:rFonts w:hint="default" w:ascii="Arial" w:hAnsi="Arial" w:eastAsia="宋体" w:cs="Arial"/>
                <w:color w:val="auto"/>
                <w:highlight w:val="none"/>
                <w:lang w:val="en-US" w:eastAsia="zh-CN"/>
              </w:rPr>
              <w:t>12</w:t>
            </w:r>
            <w:r>
              <w:rPr>
                <w:rFonts w:hint="default" w:ascii="Arial" w:hAnsi="Arial" w:eastAsia="宋体" w:cs="Arial"/>
                <w:color w:val="auto"/>
                <w:highlight w:val="none"/>
              </w:rPr>
              <w:t>小时工作制度；</w:t>
            </w:r>
          </w:p>
        </w:tc>
      </w:tr>
    </w:tbl>
    <w:p>
      <w:pPr>
        <w:keepNext w:val="0"/>
        <w:keepLines w:val="0"/>
        <w:pageBreakBefore w:val="0"/>
        <w:widowControl w:val="0"/>
        <w:kinsoku/>
        <w:wordWrap/>
        <w:overflowPunct/>
        <w:autoSpaceDN/>
        <w:bidi w:val="0"/>
        <w:adjustRightInd/>
        <w:snapToGrid/>
        <w:spacing w:line="480" w:lineRule="exact"/>
        <w:ind w:firstLine="480"/>
        <w:textAlignment w:val="auto"/>
        <w:rPr>
          <w:rFonts w:hint="default" w:ascii="Arial" w:hAnsi="Arial" w:eastAsia="宋体" w:cs="Arial"/>
          <w:color w:val="auto"/>
          <w:szCs w:val="24"/>
          <w:highlight w:val="none"/>
        </w:rPr>
      </w:pPr>
      <w:r>
        <w:rPr>
          <w:rFonts w:hint="default" w:ascii="Arial" w:hAnsi="Arial" w:eastAsia="宋体" w:cs="Arial"/>
          <w:color w:val="auto"/>
          <w:highlight w:val="none"/>
        </w:rPr>
        <w:t>建设地点：</w:t>
      </w:r>
      <w:r>
        <w:rPr>
          <w:rFonts w:hint="default" w:ascii="Arial" w:hAnsi="Arial" w:eastAsia="宋体" w:cs="Arial"/>
          <w:color w:val="auto"/>
          <w:highlight w:val="none"/>
          <w:lang w:eastAsia="zh-CN"/>
        </w:rPr>
        <w:t>内蒙古自治区巴彦淖尔市五原县天吉泰镇二合永村五社</w:t>
      </w:r>
      <w:r>
        <w:rPr>
          <w:rFonts w:hint="default" w:ascii="Arial" w:hAnsi="Arial" w:eastAsia="宋体" w:cs="Arial"/>
          <w:color w:val="auto"/>
          <w:highlight w:val="none"/>
        </w:rPr>
        <w:t>，</w:t>
      </w:r>
      <w:r>
        <w:rPr>
          <w:rFonts w:hint="default" w:ascii="Arial" w:hAnsi="Arial" w:eastAsia="宋体" w:cs="Arial"/>
          <w:color w:val="auto"/>
          <w:highlight w:val="none"/>
          <w:lang w:val="en-US" w:eastAsia="zh-CN"/>
        </w:rPr>
        <w:t>本项目占地面积</w:t>
      </w:r>
      <w:r>
        <w:rPr>
          <w:rFonts w:hint="default" w:ascii="Arial" w:hAnsi="Arial" w:eastAsia="宋体" w:cs="Arial"/>
          <w:color w:val="auto"/>
          <w:highlight w:val="none"/>
        </w:rPr>
        <w:t>为</w:t>
      </w:r>
      <w:r>
        <w:rPr>
          <w:rFonts w:hint="default" w:ascii="Arial" w:hAnsi="Arial" w:eastAsia="宋体" w:cs="Arial"/>
          <w:color w:val="auto"/>
          <w:highlight w:val="none"/>
          <w:lang w:eastAsia="zh-CN"/>
        </w:rPr>
        <w:t>216200</w:t>
      </w:r>
      <w:r>
        <w:rPr>
          <w:rFonts w:hint="default" w:ascii="Arial" w:hAnsi="Arial" w:eastAsia="宋体" w:cs="Arial"/>
          <w:color w:val="auto"/>
          <w:highlight w:val="none"/>
          <w:lang w:val="en-US" w:eastAsia="zh-CN"/>
        </w:rPr>
        <w:t>m</w:t>
      </w:r>
      <w:r>
        <w:rPr>
          <w:rFonts w:hint="default" w:ascii="Arial" w:hAnsi="Arial" w:eastAsia="宋体" w:cs="Arial"/>
          <w:color w:val="auto"/>
          <w:highlight w:val="none"/>
          <w:vertAlign w:val="superscript"/>
          <w:lang w:val="en-US" w:eastAsia="zh-CN"/>
        </w:rPr>
        <w:t>2</w:t>
      </w:r>
      <w:r>
        <w:rPr>
          <w:rFonts w:hint="default" w:ascii="Arial" w:hAnsi="Arial" w:eastAsia="宋体" w:cs="Arial"/>
          <w:color w:val="auto"/>
          <w:highlight w:val="none"/>
        </w:rPr>
        <w:t>，场区中心坐标N</w:t>
      </w:r>
      <w:r>
        <w:rPr>
          <w:rFonts w:hint="default" w:ascii="Arial" w:hAnsi="Arial" w:eastAsia="宋体" w:cs="Arial"/>
          <w:color w:val="auto"/>
          <w:highlight w:val="none"/>
          <w:lang w:eastAsia="zh-CN"/>
        </w:rPr>
        <w:t>40°5</w:t>
      </w:r>
      <w:r>
        <w:rPr>
          <w:rFonts w:hint="default" w:ascii="Arial" w:hAnsi="Arial" w:eastAsia="宋体" w:cs="Arial"/>
          <w:color w:val="auto"/>
          <w:highlight w:val="none"/>
          <w:lang w:val="en-US" w:eastAsia="zh-CN"/>
        </w:rPr>
        <w:t>6</w:t>
      </w:r>
      <w:r>
        <w:rPr>
          <w:rFonts w:hint="default" w:ascii="Arial" w:hAnsi="Arial" w:eastAsia="宋体" w:cs="Arial"/>
          <w:color w:val="auto"/>
          <w:highlight w:val="none"/>
          <w:lang w:eastAsia="zh-CN"/>
        </w:rPr>
        <w:t>'1</w:t>
      </w:r>
      <w:r>
        <w:rPr>
          <w:rFonts w:hint="default" w:ascii="Arial" w:hAnsi="Arial" w:eastAsia="宋体" w:cs="Arial"/>
          <w:color w:val="auto"/>
          <w:highlight w:val="none"/>
          <w:lang w:val="en-US" w:eastAsia="zh-CN"/>
        </w:rPr>
        <w:t>2.479</w:t>
      </w:r>
      <w:r>
        <w:rPr>
          <w:rFonts w:hint="default" w:ascii="Arial" w:hAnsi="Arial" w:eastAsia="宋体" w:cs="Arial"/>
          <w:color w:val="auto"/>
          <w:highlight w:val="none"/>
          <w:lang w:eastAsia="zh-CN"/>
        </w:rPr>
        <w:t>"</w:t>
      </w:r>
      <w:r>
        <w:rPr>
          <w:rFonts w:hint="default" w:ascii="Arial" w:hAnsi="Arial" w:eastAsia="宋体" w:cs="Arial"/>
          <w:color w:val="auto"/>
          <w:highlight w:val="none"/>
        </w:rPr>
        <w:t>、E</w:t>
      </w:r>
      <w:r>
        <w:rPr>
          <w:rFonts w:hint="default" w:ascii="Arial" w:hAnsi="Arial" w:eastAsia="宋体" w:cs="Arial"/>
          <w:color w:val="auto"/>
          <w:highlight w:val="none"/>
          <w:lang w:eastAsia="zh-CN"/>
        </w:rPr>
        <w:t>10</w:t>
      </w:r>
      <w:r>
        <w:rPr>
          <w:rFonts w:hint="default" w:ascii="Arial" w:hAnsi="Arial" w:eastAsia="宋体" w:cs="Arial"/>
          <w:color w:val="auto"/>
          <w:highlight w:val="none"/>
          <w:lang w:val="en-US" w:eastAsia="zh-CN"/>
        </w:rPr>
        <w:t>7</w:t>
      </w:r>
      <w:r>
        <w:rPr>
          <w:rFonts w:hint="default" w:ascii="Arial" w:hAnsi="Arial" w:eastAsia="宋体" w:cs="Arial"/>
          <w:color w:val="auto"/>
          <w:highlight w:val="none"/>
          <w:lang w:eastAsia="zh-CN"/>
        </w:rPr>
        <w:t>°</w:t>
      </w:r>
      <w:r>
        <w:rPr>
          <w:rFonts w:hint="default" w:ascii="Arial" w:hAnsi="Arial" w:eastAsia="宋体" w:cs="Arial"/>
          <w:color w:val="auto"/>
          <w:highlight w:val="none"/>
          <w:lang w:val="en-US" w:eastAsia="zh-CN"/>
        </w:rPr>
        <w:t>40</w:t>
      </w:r>
      <w:r>
        <w:rPr>
          <w:rFonts w:hint="default" w:ascii="Arial" w:hAnsi="Arial" w:eastAsia="宋体" w:cs="Arial"/>
          <w:color w:val="auto"/>
          <w:highlight w:val="none"/>
          <w:lang w:eastAsia="zh-CN"/>
        </w:rPr>
        <w:t>'</w:t>
      </w:r>
      <w:r>
        <w:rPr>
          <w:rFonts w:hint="default" w:ascii="Arial" w:hAnsi="Arial" w:eastAsia="宋体" w:cs="Arial"/>
          <w:color w:val="auto"/>
          <w:highlight w:val="none"/>
          <w:lang w:val="en-US" w:eastAsia="zh-CN"/>
        </w:rPr>
        <w:t>46.267</w:t>
      </w:r>
      <w:r>
        <w:rPr>
          <w:rFonts w:hint="default" w:ascii="Arial" w:hAnsi="Arial" w:eastAsia="宋体" w:cs="Arial"/>
          <w:color w:val="auto"/>
          <w:highlight w:val="none"/>
          <w:lang w:eastAsia="zh-CN"/>
        </w:rPr>
        <w:t>"</w:t>
      </w:r>
      <w:r>
        <w:rPr>
          <w:rFonts w:hint="default" w:ascii="Arial" w:hAnsi="Arial" w:eastAsia="宋体" w:cs="Arial"/>
          <w:color w:val="auto"/>
          <w:szCs w:val="24"/>
          <w:highlight w:val="none"/>
        </w:rPr>
        <w:t>。</w:t>
      </w:r>
    </w:p>
    <w:p>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Arial" w:hAnsi="Arial" w:eastAsia="宋体" w:cs="Arial"/>
          <w:b/>
          <w:bCs/>
          <w:color w:val="auto"/>
          <w:sz w:val="24"/>
          <w:szCs w:val="24"/>
          <w:highlight w:val="none"/>
          <w:lang w:val="en-US" w:eastAsia="zh-CN"/>
        </w:rPr>
      </w:pPr>
      <w:r>
        <w:rPr>
          <w:rFonts w:hint="default" w:ascii="Arial" w:hAnsi="Arial" w:eastAsia="宋体" w:cs="Arial"/>
          <w:b/>
          <w:bCs/>
          <w:color w:val="auto"/>
          <w:sz w:val="24"/>
          <w:szCs w:val="24"/>
          <w:highlight w:val="none"/>
          <w:lang w:val="en-US" w:eastAsia="zh-CN"/>
        </w:rPr>
        <w:t xml:space="preserve">表3.1-2    界址点坐标表 </w:t>
      </w:r>
    </w:p>
    <w:tbl>
      <w:tblPr>
        <w:tblStyle w:val="39"/>
        <w:tblW w:w="8998"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996"/>
        <w:gridCol w:w="2998"/>
        <w:gridCol w:w="3004"/>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96" w:type="dxa"/>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kern w:val="2"/>
                <w:sz w:val="21"/>
                <w:szCs w:val="22"/>
                <w:highlight w:val="none"/>
                <w:lang w:val="en-US" w:eastAsia="zh-CN" w:bidi="ar-SA"/>
              </w:rPr>
              <w:t>点号</w:t>
            </w:r>
          </w:p>
        </w:tc>
        <w:tc>
          <w:tcPr>
            <w:tcW w:w="2998" w:type="dxa"/>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kern w:val="2"/>
                <w:sz w:val="21"/>
                <w:szCs w:val="22"/>
                <w:highlight w:val="none"/>
                <w:lang w:val="en-US" w:eastAsia="zh-CN" w:bidi="ar-SA"/>
              </w:rPr>
              <w:t>X</w:t>
            </w:r>
          </w:p>
        </w:tc>
        <w:tc>
          <w:tcPr>
            <w:tcW w:w="3004" w:type="dxa"/>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kern w:val="2"/>
                <w:sz w:val="21"/>
                <w:szCs w:val="22"/>
                <w:highlight w:val="none"/>
                <w:lang w:val="en-US" w:eastAsia="zh-CN" w:bidi="ar-SA"/>
              </w:rPr>
              <w:t>Y</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96" w:type="dxa"/>
            <w:vAlign w:val="center"/>
          </w:tcPr>
          <w:p>
            <w:pPr>
              <w:keepNext w:val="0"/>
              <w:keepLines w:val="0"/>
              <w:pageBreakBefore w:val="0"/>
              <w:widowControl/>
              <w:suppressLineNumbers w:val="0"/>
              <w:kinsoku/>
              <w:wordWrap/>
              <w:overflowPunct/>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kern w:val="2"/>
                <w:sz w:val="21"/>
                <w:szCs w:val="22"/>
                <w:highlight w:val="none"/>
                <w:lang w:val="en-US" w:eastAsia="zh-CN" w:bidi="ar-SA"/>
              </w:rPr>
              <w:t>J1</w:t>
            </w:r>
          </w:p>
        </w:tc>
        <w:tc>
          <w:tcPr>
            <w:tcW w:w="2998" w:type="dxa"/>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kern w:val="2"/>
                <w:sz w:val="21"/>
                <w:szCs w:val="22"/>
                <w:highlight w:val="none"/>
                <w:lang w:val="en-US" w:eastAsia="zh-CN" w:bidi="ar-SA"/>
              </w:rPr>
              <w:t>4533564.332</w:t>
            </w:r>
          </w:p>
        </w:tc>
        <w:tc>
          <w:tcPr>
            <w:tcW w:w="3004" w:type="dxa"/>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kern w:val="2"/>
                <w:sz w:val="21"/>
                <w:szCs w:val="22"/>
                <w:highlight w:val="none"/>
                <w:lang w:val="en-US" w:eastAsia="zh-CN" w:bidi="ar-SA"/>
              </w:rPr>
              <w:t>36472615.992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96" w:type="dxa"/>
            <w:vAlign w:val="center"/>
          </w:tcPr>
          <w:p>
            <w:pPr>
              <w:keepNext w:val="0"/>
              <w:keepLines w:val="0"/>
              <w:pageBreakBefore w:val="0"/>
              <w:widowControl/>
              <w:suppressLineNumbers w:val="0"/>
              <w:kinsoku/>
              <w:wordWrap/>
              <w:overflowPunct/>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kern w:val="2"/>
                <w:sz w:val="21"/>
                <w:szCs w:val="22"/>
                <w:highlight w:val="none"/>
                <w:lang w:val="en-US" w:eastAsia="zh-CN" w:bidi="ar-SA"/>
              </w:rPr>
              <w:t>J2</w:t>
            </w:r>
          </w:p>
        </w:tc>
        <w:tc>
          <w:tcPr>
            <w:tcW w:w="2998" w:type="dxa"/>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kern w:val="2"/>
                <w:sz w:val="21"/>
                <w:szCs w:val="22"/>
                <w:highlight w:val="none"/>
                <w:lang w:val="en-US" w:eastAsia="zh-CN" w:bidi="ar-SA"/>
              </w:rPr>
              <w:t>4533628.377</w:t>
            </w:r>
          </w:p>
        </w:tc>
        <w:tc>
          <w:tcPr>
            <w:tcW w:w="3004" w:type="dxa"/>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kern w:val="2"/>
                <w:sz w:val="21"/>
                <w:szCs w:val="22"/>
                <w:highlight w:val="none"/>
                <w:lang w:val="en-US" w:eastAsia="zh-CN" w:bidi="ar-SA"/>
              </w:rPr>
              <w:t>36472752.452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96" w:type="dxa"/>
            <w:vAlign w:val="center"/>
          </w:tcPr>
          <w:p>
            <w:pPr>
              <w:keepNext w:val="0"/>
              <w:keepLines w:val="0"/>
              <w:pageBreakBefore w:val="0"/>
              <w:widowControl/>
              <w:suppressLineNumbers w:val="0"/>
              <w:kinsoku/>
              <w:wordWrap/>
              <w:overflowPunct/>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kern w:val="2"/>
                <w:sz w:val="21"/>
                <w:szCs w:val="22"/>
                <w:highlight w:val="none"/>
                <w:lang w:val="en-US" w:eastAsia="zh-CN" w:bidi="ar-SA"/>
              </w:rPr>
              <w:t>J3</w:t>
            </w:r>
          </w:p>
        </w:tc>
        <w:tc>
          <w:tcPr>
            <w:tcW w:w="2998" w:type="dxa"/>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kern w:val="2"/>
                <w:sz w:val="21"/>
                <w:szCs w:val="22"/>
                <w:highlight w:val="none"/>
                <w:lang w:val="en-US" w:eastAsia="zh-CN" w:bidi="ar-SA"/>
              </w:rPr>
              <w:t>4533786.191</w:t>
            </w:r>
          </w:p>
        </w:tc>
        <w:tc>
          <w:tcPr>
            <w:tcW w:w="3004" w:type="dxa"/>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kern w:val="2"/>
                <w:sz w:val="21"/>
                <w:szCs w:val="22"/>
                <w:highlight w:val="none"/>
                <w:lang w:val="en-US" w:eastAsia="zh-CN" w:bidi="ar-SA"/>
              </w:rPr>
              <w:t>36472855.756</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96" w:type="dxa"/>
            <w:vAlign w:val="center"/>
          </w:tcPr>
          <w:p>
            <w:pPr>
              <w:keepNext w:val="0"/>
              <w:keepLines w:val="0"/>
              <w:pageBreakBefore w:val="0"/>
              <w:widowControl/>
              <w:suppressLineNumbers w:val="0"/>
              <w:kinsoku/>
              <w:wordWrap/>
              <w:overflowPunct/>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kern w:val="2"/>
                <w:sz w:val="21"/>
                <w:szCs w:val="22"/>
                <w:highlight w:val="none"/>
                <w:lang w:val="en-US" w:eastAsia="zh-CN" w:bidi="ar-SA"/>
              </w:rPr>
              <w:t>J4</w:t>
            </w:r>
          </w:p>
        </w:tc>
        <w:tc>
          <w:tcPr>
            <w:tcW w:w="2998" w:type="dxa"/>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kern w:val="2"/>
                <w:sz w:val="21"/>
                <w:szCs w:val="22"/>
                <w:highlight w:val="none"/>
                <w:lang w:val="en-US" w:eastAsia="zh-CN" w:bidi="ar-SA"/>
              </w:rPr>
              <w:t>4533753.953</w:t>
            </w:r>
          </w:p>
        </w:tc>
        <w:tc>
          <w:tcPr>
            <w:tcW w:w="3004" w:type="dxa"/>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kern w:val="2"/>
                <w:sz w:val="21"/>
                <w:szCs w:val="22"/>
                <w:highlight w:val="none"/>
                <w:lang w:val="en-US" w:eastAsia="zh-CN" w:bidi="ar-SA"/>
              </w:rPr>
              <w:t>36472875.295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96" w:type="dxa"/>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kern w:val="2"/>
                <w:sz w:val="21"/>
                <w:szCs w:val="22"/>
                <w:highlight w:val="none"/>
                <w:lang w:val="en-US" w:eastAsia="zh-CN" w:bidi="ar-SA"/>
              </w:rPr>
              <w:t>J5</w:t>
            </w:r>
          </w:p>
        </w:tc>
        <w:tc>
          <w:tcPr>
            <w:tcW w:w="2998" w:type="dxa"/>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kern w:val="2"/>
                <w:sz w:val="21"/>
                <w:szCs w:val="22"/>
                <w:highlight w:val="none"/>
                <w:lang w:val="en-US" w:eastAsia="zh-CN" w:bidi="ar-SA"/>
              </w:rPr>
              <w:t>4533869.515</w:t>
            </w:r>
          </w:p>
        </w:tc>
        <w:tc>
          <w:tcPr>
            <w:tcW w:w="3004" w:type="dxa"/>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kern w:val="2"/>
                <w:sz w:val="21"/>
                <w:szCs w:val="22"/>
                <w:highlight w:val="none"/>
                <w:lang w:val="en-US" w:eastAsia="zh-CN" w:bidi="ar-SA"/>
              </w:rPr>
              <w:t>36473129.926</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96" w:type="dxa"/>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kern w:val="2"/>
                <w:sz w:val="21"/>
                <w:szCs w:val="22"/>
                <w:highlight w:val="none"/>
                <w:lang w:val="en-US" w:eastAsia="zh-CN" w:bidi="ar-SA"/>
              </w:rPr>
              <w:t>J6</w:t>
            </w:r>
          </w:p>
        </w:tc>
        <w:tc>
          <w:tcPr>
            <w:tcW w:w="2998" w:type="dxa"/>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kern w:val="2"/>
                <w:sz w:val="21"/>
                <w:szCs w:val="22"/>
                <w:highlight w:val="none"/>
                <w:lang w:val="en-US" w:eastAsia="zh-CN" w:bidi="ar-SA"/>
              </w:rPr>
              <w:t>4533878.962</w:t>
            </w:r>
          </w:p>
        </w:tc>
        <w:tc>
          <w:tcPr>
            <w:tcW w:w="3004" w:type="dxa"/>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kern w:val="2"/>
                <w:sz w:val="21"/>
                <w:szCs w:val="22"/>
                <w:highlight w:val="none"/>
                <w:lang w:val="en-US" w:eastAsia="zh-CN" w:bidi="ar-SA"/>
              </w:rPr>
              <w:t>36473295.278</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96" w:type="dxa"/>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kern w:val="2"/>
                <w:sz w:val="21"/>
                <w:szCs w:val="22"/>
                <w:highlight w:val="none"/>
                <w:lang w:val="en-US" w:eastAsia="zh-CN" w:bidi="ar-SA"/>
              </w:rPr>
              <w:t>J7</w:t>
            </w:r>
          </w:p>
        </w:tc>
        <w:tc>
          <w:tcPr>
            <w:tcW w:w="2998" w:type="dxa"/>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kern w:val="2"/>
                <w:sz w:val="21"/>
                <w:szCs w:val="22"/>
                <w:highlight w:val="none"/>
                <w:lang w:val="en-US" w:eastAsia="zh-CN" w:bidi="ar-SA"/>
              </w:rPr>
              <w:t>4533737.459</w:t>
            </w:r>
          </w:p>
        </w:tc>
        <w:tc>
          <w:tcPr>
            <w:tcW w:w="3004" w:type="dxa"/>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kern w:val="2"/>
                <w:sz w:val="21"/>
                <w:szCs w:val="22"/>
                <w:highlight w:val="none"/>
                <w:lang w:val="en-US" w:eastAsia="zh-CN" w:bidi="ar-SA"/>
              </w:rPr>
              <w:t>36473245.509</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96" w:type="dxa"/>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kern w:val="2"/>
                <w:sz w:val="21"/>
                <w:szCs w:val="22"/>
                <w:highlight w:val="none"/>
                <w:lang w:val="en-US" w:eastAsia="zh-CN" w:bidi="ar-SA"/>
              </w:rPr>
              <w:t>J8</w:t>
            </w:r>
          </w:p>
        </w:tc>
        <w:tc>
          <w:tcPr>
            <w:tcW w:w="2998" w:type="dxa"/>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kern w:val="2"/>
                <w:sz w:val="21"/>
                <w:szCs w:val="22"/>
                <w:highlight w:val="none"/>
                <w:lang w:val="en-US" w:eastAsia="zh-CN" w:bidi="ar-SA"/>
              </w:rPr>
              <w:t>4533595.957</w:t>
            </w:r>
          </w:p>
        </w:tc>
        <w:tc>
          <w:tcPr>
            <w:tcW w:w="3004" w:type="dxa"/>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kern w:val="2"/>
                <w:sz w:val="21"/>
                <w:szCs w:val="22"/>
                <w:highlight w:val="none"/>
                <w:lang w:val="en-US" w:eastAsia="zh-CN" w:bidi="ar-SA"/>
              </w:rPr>
              <w:t>36473195.740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96" w:type="dxa"/>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kern w:val="2"/>
                <w:sz w:val="21"/>
                <w:szCs w:val="22"/>
                <w:highlight w:val="none"/>
                <w:lang w:val="en-US" w:eastAsia="zh-CN" w:bidi="ar-SA"/>
              </w:rPr>
              <w:t>J9</w:t>
            </w:r>
          </w:p>
        </w:tc>
        <w:tc>
          <w:tcPr>
            <w:tcW w:w="2998" w:type="dxa"/>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kern w:val="2"/>
                <w:sz w:val="21"/>
                <w:szCs w:val="22"/>
                <w:highlight w:val="none"/>
                <w:lang w:val="en-US" w:eastAsia="zh-CN" w:bidi="ar-SA"/>
              </w:rPr>
              <w:t>4533454.454</w:t>
            </w:r>
          </w:p>
        </w:tc>
        <w:tc>
          <w:tcPr>
            <w:tcW w:w="3004" w:type="dxa"/>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kern w:val="2"/>
                <w:sz w:val="21"/>
                <w:szCs w:val="22"/>
                <w:highlight w:val="none"/>
                <w:lang w:val="en-US" w:eastAsia="zh-CN" w:bidi="ar-SA"/>
              </w:rPr>
              <w:t>36473145.971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96" w:type="dxa"/>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kern w:val="2"/>
                <w:sz w:val="21"/>
                <w:szCs w:val="22"/>
                <w:highlight w:val="none"/>
                <w:lang w:val="en-US" w:eastAsia="zh-CN" w:bidi="ar-SA"/>
              </w:rPr>
              <w:t>J10</w:t>
            </w:r>
          </w:p>
        </w:tc>
        <w:tc>
          <w:tcPr>
            <w:tcW w:w="2998" w:type="dxa"/>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kern w:val="2"/>
                <w:sz w:val="21"/>
                <w:szCs w:val="22"/>
                <w:highlight w:val="none"/>
                <w:lang w:val="en-US" w:eastAsia="zh-CN" w:bidi="ar-SA"/>
              </w:rPr>
              <w:t>4533312.951</w:t>
            </w:r>
          </w:p>
        </w:tc>
        <w:tc>
          <w:tcPr>
            <w:tcW w:w="3004" w:type="dxa"/>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kern w:val="2"/>
                <w:sz w:val="21"/>
                <w:szCs w:val="22"/>
                <w:highlight w:val="none"/>
                <w:lang w:val="en-US" w:eastAsia="zh-CN" w:bidi="ar-SA"/>
              </w:rPr>
              <w:t>36473096.202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96" w:type="dxa"/>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kern w:val="2"/>
                <w:sz w:val="21"/>
                <w:szCs w:val="22"/>
                <w:highlight w:val="none"/>
                <w:lang w:val="en-US" w:eastAsia="zh-CN" w:bidi="ar-SA"/>
              </w:rPr>
              <w:t>J11</w:t>
            </w:r>
          </w:p>
        </w:tc>
        <w:tc>
          <w:tcPr>
            <w:tcW w:w="2998" w:type="dxa"/>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kern w:val="2"/>
                <w:sz w:val="21"/>
                <w:szCs w:val="22"/>
                <w:highlight w:val="none"/>
                <w:lang w:val="en-US" w:eastAsia="zh-CN" w:bidi="ar-SA"/>
              </w:rPr>
              <w:t>4533239.813</w:t>
            </w:r>
          </w:p>
        </w:tc>
        <w:tc>
          <w:tcPr>
            <w:tcW w:w="3004" w:type="dxa"/>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kern w:val="2"/>
                <w:sz w:val="21"/>
                <w:szCs w:val="22"/>
                <w:highlight w:val="none"/>
                <w:lang w:val="en-US" w:eastAsia="zh-CN" w:bidi="ar-SA"/>
              </w:rPr>
              <w:t>36473070.478</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96" w:type="dxa"/>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kern w:val="2"/>
                <w:sz w:val="21"/>
                <w:szCs w:val="22"/>
                <w:highlight w:val="none"/>
                <w:lang w:val="en-US" w:eastAsia="zh-CN" w:bidi="ar-SA"/>
              </w:rPr>
              <w:t>J12</w:t>
            </w:r>
          </w:p>
        </w:tc>
        <w:tc>
          <w:tcPr>
            <w:tcW w:w="2998" w:type="dxa"/>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kern w:val="2"/>
                <w:sz w:val="21"/>
                <w:szCs w:val="22"/>
                <w:highlight w:val="none"/>
                <w:lang w:val="en-US" w:eastAsia="zh-CN" w:bidi="ar-SA"/>
              </w:rPr>
              <w:t>4533210.131</w:t>
            </w:r>
          </w:p>
        </w:tc>
        <w:tc>
          <w:tcPr>
            <w:tcW w:w="3004" w:type="dxa"/>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kern w:val="2"/>
                <w:sz w:val="21"/>
                <w:szCs w:val="22"/>
                <w:highlight w:val="none"/>
                <w:lang w:val="en-US" w:eastAsia="zh-CN" w:bidi="ar-SA"/>
              </w:rPr>
              <w:t>36472985.482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96" w:type="dxa"/>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kern w:val="2"/>
                <w:sz w:val="21"/>
                <w:szCs w:val="22"/>
                <w:highlight w:val="none"/>
                <w:lang w:val="en-US" w:eastAsia="zh-CN" w:bidi="ar-SA"/>
              </w:rPr>
              <w:t>J13</w:t>
            </w:r>
          </w:p>
        </w:tc>
        <w:tc>
          <w:tcPr>
            <w:tcW w:w="2998" w:type="dxa"/>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kern w:val="2"/>
                <w:sz w:val="21"/>
                <w:szCs w:val="22"/>
                <w:highlight w:val="none"/>
                <w:lang w:val="en-US" w:eastAsia="zh-CN" w:bidi="ar-SA"/>
              </w:rPr>
              <w:t>4533358.319</w:t>
            </w:r>
          </w:p>
        </w:tc>
        <w:tc>
          <w:tcPr>
            <w:tcW w:w="3004" w:type="dxa"/>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kern w:val="2"/>
                <w:sz w:val="21"/>
                <w:szCs w:val="22"/>
                <w:highlight w:val="none"/>
                <w:lang w:val="en-US" w:eastAsia="zh-CN" w:bidi="ar-SA"/>
              </w:rPr>
              <w:t>36472962.235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96" w:type="dxa"/>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kern w:val="2"/>
                <w:sz w:val="21"/>
                <w:szCs w:val="22"/>
                <w:highlight w:val="none"/>
                <w:lang w:val="en-US" w:eastAsia="zh-CN" w:bidi="ar-SA"/>
              </w:rPr>
              <w:t>J14</w:t>
            </w:r>
          </w:p>
        </w:tc>
        <w:tc>
          <w:tcPr>
            <w:tcW w:w="2998" w:type="dxa"/>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kern w:val="2"/>
                <w:sz w:val="21"/>
                <w:szCs w:val="22"/>
                <w:highlight w:val="none"/>
                <w:lang w:val="en-US" w:eastAsia="zh-CN" w:bidi="ar-SA"/>
              </w:rPr>
              <w:t>4533408.331</w:t>
            </w:r>
          </w:p>
        </w:tc>
        <w:tc>
          <w:tcPr>
            <w:tcW w:w="3004" w:type="dxa"/>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kern w:val="2"/>
                <w:sz w:val="21"/>
                <w:szCs w:val="22"/>
                <w:highlight w:val="none"/>
                <w:lang w:val="en-US" w:eastAsia="zh-CN" w:bidi="ar-SA"/>
              </w:rPr>
              <w:t>36472954.390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96" w:type="dxa"/>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kern w:val="2"/>
                <w:sz w:val="21"/>
                <w:szCs w:val="22"/>
                <w:highlight w:val="none"/>
                <w:lang w:val="en-US" w:eastAsia="zh-CN" w:bidi="ar-SA"/>
              </w:rPr>
              <w:t>J15</w:t>
            </w:r>
          </w:p>
        </w:tc>
        <w:tc>
          <w:tcPr>
            <w:tcW w:w="2998" w:type="dxa"/>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kern w:val="2"/>
                <w:sz w:val="21"/>
                <w:szCs w:val="22"/>
                <w:highlight w:val="none"/>
                <w:lang w:val="en-US" w:eastAsia="zh-CN" w:bidi="ar-SA"/>
              </w:rPr>
              <w:t>4533410.696</w:t>
            </w:r>
          </w:p>
        </w:tc>
        <w:tc>
          <w:tcPr>
            <w:tcW w:w="3004" w:type="dxa"/>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kern w:val="2"/>
                <w:sz w:val="21"/>
                <w:szCs w:val="22"/>
                <w:highlight w:val="none"/>
                <w:lang w:val="en-US" w:eastAsia="zh-CN" w:bidi="ar-SA"/>
              </w:rPr>
              <w:t>36472876.621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96" w:type="dxa"/>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kern w:val="2"/>
                <w:sz w:val="21"/>
                <w:szCs w:val="22"/>
                <w:highlight w:val="none"/>
                <w:lang w:val="en-US" w:eastAsia="zh-CN" w:bidi="ar-SA"/>
              </w:rPr>
              <w:t>J16</w:t>
            </w:r>
          </w:p>
        </w:tc>
        <w:tc>
          <w:tcPr>
            <w:tcW w:w="2998" w:type="dxa"/>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kern w:val="2"/>
                <w:sz w:val="21"/>
                <w:szCs w:val="22"/>
                <w:highlight w:val="none"/>
                <w:lang w:val="en-US" w:eastAsia="zh-CN" w:bidi="ar-SA"/>
              </w:rPr>
              <w:t>4533441.065</w:t>
            </w:r>
          </w:p>
        </w:tc>
        <w:tc>
          <w:tcPr>
            <w:tcW w:w="3004" w:type="dxa"/>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kern w:val="2"/>
                <w:sz w:val="21"/>
                <w:szCs w:val="22"/>
                <w:highlight w:val="none"/>
                <w:lang w:val="en-US" w:eastAsia="zh-CN" w:bidi="ar-SA"/>
              </w:rPr>
              <w:t>36472870.065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96" w:type="dxa"/>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kern w:val="2"/>
                <w:sz w:val="21"/>
                <w:szCs w:val="22"/>
                <w:highlight w:val="none"/>
                <w:lang w:val="en-US" w:eastAsia="zh-CN" w:bidi="ar-SA"/>
              </w:rPr>
              <w:t>J17</w:t>
            </w:r>
          </w:p>
        </w:tc>
        <w:tc>
          <w:tcPr>
            <w:tcW w:w="2998" w:type="dxa"/>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kern w:val="2"/>
                <w:sz w:val="21"/>
                <w:szCs w:val="22"/>
                <w:highlight w:val="none"/>
                <w:lang w:val="en-US" w:eastAsia="zh-CN" w:bidi="ar-SA"/>
              </w:rPr>
              <w:t>4533421.242</w:t>
            </w:r>
          </w:p>
        </w:tc>
        <w:tc>
          <w:tcPr>
            <w:tcW w:w="3004" w:type="dxa"/>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kern w:val="2"/>
                <w:sz w:val="21"/>
                <w:szCs w:val="22"/>
                <w:highlight w:val="none"/>
                <w:lang w:val="en-US" w:eastAsia="zh-CN" w:bidi="ar-SA"/>
              </w:rPr>
              <w:t>36472785.326</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96" w:type="dxa"/>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kern w:val="2"/>
                <w:sz w:val="21"/>
                <w:szCs w:val="22"/>
                <w:highlight w:val="none"/>
                <w:lang w:val="en-US" w:eastAsia="zh-CN" w:bidi="ar-SA"/>
              </w:rPr>
              <w:t>J18</w:t>
            </w:r>
          </w:p>
        </w:tc>
        <w:tc>
          <w:tcPr>
            <w:tcW w:w="2998" w:type="dxa"/>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kern w:val="2"/>
                <w:sz w:val="21"/>
                <w:szCs w:val="22"/>
                <w:highlight w:val="none"/>
                <w:lang w:val="en-US" w:eastAsia="zh-CN" w:bidi="ar-SA"/>
              </w:rPr>
              <w:t>4533420.545</w:t>
            </w:r>
          </w:p>
        </w:tc>
        <w:tc>
          <w:tcPr>
            <w:tcW w:w="3004" w:type="dxa"/>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kern w:val="2"/>
                <w:sz w:val="21"/>
                <w:szCs w:val="22"/>
                <w:highlight w:val="none"/>
                <w:lang w:val="en-US" w:eastAsia="zh-CN" w:bidi="ar-SA"/>
              </w:rPr>
              <w:t>36472782.269</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96" w:type="dxa"/>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kern w:val="2"/>
                <w:sz w:val="21"/>
                <w:szCs w:val="22"/>
                <w:highlight w:val="none"/>
                <w:lang w:val="en-US" w:eastAsia="zh-CN" w:bidi="ar-SA"/>
              </w:rPr>
              <w:t>J19</w:t>
            </w:r>
          </w:p>
        </w:tc>
        <w:tc>
          <w:tcPr>
            <w:tcW w:w="2998" w:type="dxa"/>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kern w:val="2"/>
                <w:sz w:val="21"/>
                <w:szCs w:val="22"/>
                <w:highlight w:val="none"/>
                <w:lang w:val="en-US" w:eastAsia="zh-CN" w:bidi="ar-SA"/>
              </w:rPr>
              <w:t>4533434.520</w:t>
            </w:r>
          </w:p>
        </w:tc>
        <w:tc>
          <w:tcPr>
            <w:tcW w:w="3004" w:type="dxa"/>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kern w:val="2"/>
                <w:sz w:val="21"/>
                <w:szCs w:val="22"/>
                <w:highlight w:val="none"/>
                <w:lang w:val="en-US" w:eastAsia="zh-CN" w:bidi="ar-SA"/>
              </w:rPr>
              <w:t>36472778.966</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96" w:type="dxa"/>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kern w:val="2"/>
                <w:sz w:val="21"/>
                <w:szCs w:val="22"/>
                <w:highlight w:val="none"/>
                <w:lang w:val="en-US" w:eastAsia="zh-CN" w:bidi="ar-SA"/>
              </w:rPr>
              <w:t>J20</w:t>
            </w:r>
          </w:p>
        </w:tc>
        <w:tc>
          <w:tcPr>
            <w:tcW w:w="2998" w:type="dxa"/>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kern w:val="2"/>
                <w:sz w:val="21"/>
                <w:szCs w:val="22"/>
                <w:highlight w:val="none"/>
                <w:lang w:val="en-US" w:eastAsia="zh-CN" w:bidi="ar-SA"/>
              </w:rPr>
              <w:t>4533460.637</w:t>
            </w:r>
          </w:p>
        </w:tc>
        <w:tc>
          <w:tcPr>
            <w:tcW w:w="3004" w:type="dxa"/>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kern w:val="2"/>
                <w:sz w:val="21"/>
                <w:szCs w:val="22"/>
                <w:highlight w:val="none"/>
                <w:lang w:val="en-US" w:eastAsia="zh-CN" w:bidi="ar-SA"/>
              </w:rPr>
              <w:t>36472771.994</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96" w:type="dxa"/>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kern w:val="2"/>
                <w:sz w:val="21"/>
                <w:szCs w:val="22"/>
                <w:highlight w:val="none"/>
                <w:lang w:val="en-US" w:eastAsia="zh-CN" w:bidi="ar-SA"/>
              </w:rPr>
              <w:t>J21</w:t>
            </w:r>
          </w:p>
        </w:tc>
        <w:tc>
          <w:tcPr>
            <w:tcW w:w="2998" w:type="dxa"/>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kern w:val="2"/>
                <w:sz w:val="21"/>
                <w:szCs w:val="22"/>
                <w:highlight w:val="none"/>
                <w:lang w:val="en-US" w:eastAsia="zh-CN" w:bidi="ar-SA"/>
              </w:rPr>
              <w:t>4533456.303</w:t>
            </w:r>
          </w:p>
        </w:tc>
        <w:tc>
          <w:tcPr>
            <w:tcW w:w="3004" w:type="dxa"/>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kern w:val="2"/>
                <w:sz w:val="21"/>
                <w:szCs w:val="22"/>
                <w:highlight w:val="none"/>
                <w:lang w:val="en-US" w:eastAsia="zh-CN" w:bidi="ar-SA"/>
              </w:rPr>
              <w:t>36472749.725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96" w:type="dxa"/>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kern w:val="2"/>
                <w:sz w:val="21"/>
                <w:szCs w:val="22"/>
                <w:highlight w:val="none"/>
                <w:lang w:val="en-US" w:eastAsia="zh-CN" w:bidi="ar-SA"/>
              </w:rPr>
              <w:t>J22</w:t>
            </w:r>
          </w:p>
        </w:tc>
        <w:tc>
          <w:tcPr>
            <w:tcW w:w="2998" w:type="dxa"/>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kern w:val="2"/>
                <w:sz w:val="21"/>
                <w:szCs w:val="22"/>
                <w:highlight w:val="none"/>
                <w:lang w:val="en-US" w:eastAsia="zh-CN" w:bidi="ar-SA"/>
              </w:rPr>
              <w:t>4533455.430</w:t>
            </w:r>
          </w:p>
        </w:tc>
        <w:tc>
          <w:tcPr>
            <w:tcW w:w="3004" w:type="dxa"/>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kern w:val="2"/>
                <w:sz w:val="21"/>
                <w:szCs w:val="22"/>
                <w:highlight w:val="none"/>
                <w:lang w:val="en-US" w:eastAsia="zh-CN" w:bidi="ar-SA"/>
              </w:rPr>
              <w:t>36472744.410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96" w:type="dxa"/>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kern w:val="2"/>
                <w:sz w:val="21"/>
                <w:szCs w:val="22"/>
                <w:highlight w:val="none"/>
                <w:lang w:val="en-US" w:eastAsia="zh-CN" w:bidi="ar-SA"/>
              </w:rPr>
              <w:t>J23</w:t>
            </w:r>
          </w:p>
        </w:tc>
        <w:tc>
          <w:tcPr>
            <w:tcW w:w="2998" w:type="dxa"/>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kern w:val="2"/>
                <w:sz w:val="21"/>
                <w:szCs w:val="22"/>
                <w:highlight w:val="none"/>
                <w:lang w:val="en-US" w:eastAsia="zh-CN" w:bidi="ar-SA"/>
              </w:rPr>
              <w:t>4533454.796</w:t>
            </w:r>
          </w:p>
        </w:tc>
        <w:tc>
          <w:tcPr>
            <w:tcW w:w="3004" w:type="dxa"/>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kern w:val="2"/>
                <w:sz w:val="21"/>
                <w:szCs w:val="22"/>
                <w:highlight w:val="none"/>
                <w:lang w:val="en-US" w:eastAsia="zh-CN" w:bidi="ar-SA"/>
              </w:rPr>
              <w:t>36472739.334</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96" w:type="dxa"/>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kern w:val="2"/>
                <w:sz w:val="21"/>
                <w:szCs w:val="22"/>
                <w:highlight w:val="none"/>
                <w:lang w:val="en-US" w:eastAsia="zh-CN" w:bidi="ar-SA"/>
              </w:rPr>
              <w:t>J24</w:t>
            </w:r>
          </w:p>
        </w:tc>
        <w:tc>
          <w:tcPr>
            <w:tcW w:w="2998" w:type="dxa"/>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kern w:val="2"/>
                <w:sz w:val="21"/>
                <w:szCs w:val="22"/>
                <w:highlight w:val="none"/>
                <w:lang w:val="en-US" w:eastAsia="zh-CN" w:bidi="ar-SA"/>
              </w:rPr>
              <w:t>4533452.653</w:t>
            </w:r>
          </w:p>
        </w:tc>
        <w:tc>
          <w:tcPr>
            <w:tcW w:w="3004" w:type="dxa"/>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kern w:val="2"/>
                <w:sz w:val="21"/>
                <w:szCs w:val="22"/>
                <w:highlight w:val="none"/>
                <w:lang w:val="en-US" w:eastAsia="zh-CN" w:bidi="ar-SA"/>
              </w:rPr>
              <w:t>36472710.453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96" w:type="dxa"/>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kern w:val="2"/>
                <w:sz w:val="21"/>
                <w:szCs w:val="22"/>
                <w:highlight w:val="none"/>
                <w:lang w:val="en-US" w:eastAsia="zh-CN" w:bidi="ar-SA"/>
              </w:rPr>
              <w:t>J25</w:t>
            </w:r>
          </w:p>
        </w:tc>
        <w:tc>
          <w:tcPr>
            <w:tcW w:w="2998" w:type="dxa"/>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kern w:val="2"/>
                <w:sz w:val="21"/>
                <w:szCs w:val="22"/>
                <w:highlight w:val="none"/>
                <w:lang w:val="en-US" w:eastAsia="zh-CN" w:bidi="ar-SA"/>
              </w:rPr>
              <w:t>4533452.811</w:t>
            </w:r>
          </w:p>
        </w:tc>
        <w:tc>
          <w:tcPr>
            <w:tcW w:w="3004" w:type="dxa"/>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kern w:val="2"/>
                <w:sz w:val="21"/>
                <w:szCs w:val="22"/>
                <w:highlight w:val="none"/>
                <w:lang w:val="en-US" w:eastAsia="zh-CN" w:bidi="ar-SA"/>
              </w:rPr>
              <w:t>36472708.715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96" w:type="dxa"/>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kern w:val="2"/>
                <w:sz w:val="21"/>
                <w:szCs w:val="22"/>
                <w:highlight w:val="none"/>
                <w:lang w:val="en-US" w:eastAsia="zh-CN" w:bidi="ar-SA"/>
              </w:rPr>
              <w:t>J26</w:t>
            </w:r>
          </w:p>
        </w:tc>
        <w:tc>
          <w:tcPr>
            <w:tcW w:w="2998" w:type="dxa"/>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kern w:val="2"/>
                <w:sz w:val="21"/>
                <w:szCs w:val="22"/>
                <w:highlight w:val="none"/>
                <w:lang w:val="en-US" w:eastAsia="zh-CN" w:bidi="ar-SA"/>
              </w:rPr>
              <w:t>4533453.128</w:t>
            </w:r>
          </w:p>
        </w:tc>
        <w:tc>
          <w:tcPr>
            <w:tcW w:w="3004" w:type="dxa"/>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kern w:val="2"/>
                <w:sz w:val="21"/>
                <w:szCs w:val="22"/>
                <w:highlight w:val="none"/>
                <w:lang w:val="en-US" w:eastAsia="zh-CN" w:bidi="ar-SA"/>
              </w:rPr>
              <w:t>36472705.547</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96" w:type="dxa"/>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kern w:val="2"/>
                <w:sz w:val="21"/>
                <w:szCs w:val="22"/>
                <w:highlight w:val="none"/>
                <w:lang w:val="en-US" w:eastAsia="zh-CN" w:bidi="ar-SA"/>
              </w:rPr>
              <w:t>J27</w:t>
            </w:r>
          </w:p>
        </w:tc>
        <w:tc>
          <w:tcPr>
            <w:tcW w:w="2998" w:type="dxa"/>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kern w:val="2"/>
                <w:sz w:val="21"/>
                <w:szCs w:val="22"/>
                <w:highlight w:val="none"/>
                <w:lang w:val="en-US" w:eastAsia="zh-CN" w:bidi="ar-SA"/>
              </w:rPr>
              <w:t>4533454.078</w:t>
            </w:r>
          </w:p>
        </w:tc>
        <w:tc>
          <w:tcPr>
            <w:tcW w:w="3004" w:type="dxa"/>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kern w:val="2"/>
                <w:sz w:val="21"/>
                <w:szCs w:val="22"/>
                <w:highlight w:val="none"/>
                <w:lang w:val="en-US" w:eastAsia="zh-CN" w:bidi="ar-SA"/>
              </w:rPr>
              <w:t>36472701.589</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96" w:type="dxa"/>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kern w:val="2"/>
                <w:sz w:val="21"/>
                <w:szCs w:val="22"/>
                <w:highlight w:val="none"/>
                <w:lang w:val="en-US" w:eastAsia="zh-CN" w:bidi="ar-SA"/>
              </w:rPr>
              <w:t>J28</w:t>
            </w:r>
          </w:p>
        </w:tc>
        <w:tc>
          <w:tcPr>
            <w:tcW w:w="2998" w:type="dxa"/>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kern w:val="2"/>
                <w:sz w:val="21"/>
                <w:szCs w:val="22"/>
                <w:highlight w:val="none"/>
                <w:lang w:val="en-US" w:eastAsia="zh-CN" w:bidi="ar-SA"/>
              </w:rPr>
              <w:t>4533455.504</w:t>
            </w:r>
          </w:p>
        </w:tc>
        <w:tc>
          <w:tcPr>
            <w:tcW w:w="3004" w:type="dxa"/>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kern w:val="2"/>
                <w:sz w:val="21"/>
                <w:szCs w:val="22"/>
                <w:highlight w:val="none"/>
                <w:lang w:val="en-US" w:eastAsia="zh-CN" w:bidi="ar-SA"/>
              </w:rPr>
              <w:t>36472697.153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96" w:type="dxa"/>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kern w:val="2"/>
                <w:sz w:val="21"/>
                <w:szCs w:val="22"/>
                <w:highlight w:val="none"/>
                <w:lang w:val="en-US" w:eastAsia="zh-CN" w:bidi="ar-SA"/>
              </w:rPr>
              <w:t>J29</w:t>
            </w:r>
          </w:p>
        </w:tc>
        <w:tc>
          <w:tcPr>
            <w:tcW w:w="2998" w:type="dxa"/>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kern w:val="2"/>
                <w:sz w:val="21"/>
                <w:szCs w:val="22"/>
                <w:highlight w:val="none"/>
                <w:lang w:val="en-US" w:eastAsia="zh-CN" w:bidi="ar-SA"/>
              </w:rPr>
              <w:t>4533462.742</w:t>
            </w:r>
          </w:p>
        </w:tc>
        <w:tc>
          <w:tcPr>
            <w:tcW w:w="3004" w:type="dxa"/>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kern w:val="2"/>
                <w:sz w:val="21"/>
                <w:szCs w:val="22"/>
                <w:highlight w:val="none"/>
                <w:lang w:val="en-US" w:eastAsia="zh-CN" w:bidi="ar-SA"/>
              </w:rPr>
              <w:t>36472681.192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96" w:type="dxa"/>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kern w:val="2"/>
                <w:sz w:val="21"/>
                <w:szCs w:val="22"/>
                <w:highlight w:val="none"/>
                <w:lang w:val="en-US" w:eastAsia="zh-CN" w:bidi="ar-SA"/>
              </w:rPr>
              <w:t>J30</w:t>
            </w:r>
          </w:p>
        </w:tc>
        <w:tc>
          <w:tcPr>
            <w:tcW w:w="2998" w:type="dxa"/>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kern w:val="2"/>
                <w:sz w:val="21"/>
                <w:szCs w:val="22"/>
                <w:highlight w:val="none"/>
                <w:lang w:val="en-US" w:eastAsia="zh-CN" w:bidi="ar-SA"/>
              </w:rPr>
              <w:t>4533467.485</w:t>
            </w:r>
          </w:p>
        </w:tc>
        <w:tc>
          <w:tcPr>
            <w:tcW w:w="3004" w:type="dxa"/>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kern w:val="2"/>
                <w:sz w:val="21"/>
                <w:szCs w:val="22"/>
                <w:highlight w:val="none"/>
                <w:lang w:val="en-US" w:eastAsia="zh-CN" w:bidi="ar-SA"/>
              </w:rPr>
              <w:t>36472670.730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96" w:type="dxa"/>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kern w:val="2"/>
                <w:sz w:val="21"/>
                <w:szCs w:val="22"/>
                <w:highlight w:val="none"/>
                <w:lang w:val="en-US" w:eastAsia="zh-CN" w:bidi="ar-SA"/>
              </w:rPr>
              <w:t>J31</w:t>
            </w:r>
          </w:p>
        </w:tc>
        <w:tc>
          <w:tcPr>
            <w:tcW w:w="2998" w:type="dxa"/>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kern w:val="2"/>
                <w:sz w:val="21"/>
                <w:szCs w:val="22"/>
                <w:highlight w:val="none"/>
                <w:lang w:val="en-US" w:eastAsia="zh-CN" w:bidi="ar-SA"/>
              </w:rPr>
              <w:t>4533475.100</w:t>
            </w:r>
          </w:p>
        </w:tc>
        <w:tc>
          <w:tcPr>
            <w:tcW w:w="3004" w:type="dxa"/>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kern w:val="2"/>
                <w:sz w:val="21"/>
                <w:szCs w:val="22"/>
                <w:highlight w:val="none"/>
                <w:lang w:val="en-US" w:eastAsia="zh-CN" w:bidi="ar-SA"/>
              </w:rPr>
              <w:t>36472657.404</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96" w:type="dxa"/>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kern w:val="2"/>
                <w:sz w:val="21"/>
                <w:szCs w:val="22"/>
                <w:highlight w:val="none"/>
                <w:lang w:val="en-US" w:eastAsia="zh-CN" w:bidi="ar-SA"/>
              </w:rPr>
              <w:t>J32</w:t>
            </w:r>
          </w:p>
        </w:tc>
        <w:tc>
          <w:tcPr>
            <w:tcW w:w="2998" w:type="dxa"/>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kern w:val="2"/>
                <w:sz w:val="21"/>
                <w:szCs w:val="22"/>
                <w:highlight w:val="none"/>
                <w:lang w:val="en-US" w:eastAsia="zh-CN" w:bidi="ar-SA"/>
              </w:rPr>
              <w:t>4533478.903</w:t>
            </w:r>
          </w:p>
        </w:tc>
        <w:tc>
          <w:tcPr>
            <w:tcW w:w="3004" w:type="dxa"/>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kern w:val="2"/>
                <w:sz w:val="21"/>
                <w:szCs w:val="22"/>
                <w:highlight w:val="none"/>
                <w:lang w:val="en-US" w:eastAsia="zh-CN" w:bidi="ar-SA"/>
              </w:rPr>
              <w:t>36472652.175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96" w:type="dxa"/>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kern w:val="2"/>
                <w:sz w:val="21"/>
                <w:szCs w:val="22"/>
                <w:highlight w:val="none"/>
                <w:lang w:val="en-US" w:eastAsia="zh-CN" w:bidi="ar-SA"/>
              </w:rPr>
              <w:t>J33</w:t>
            </w:r>
          </w:p>
        </w:tc>
        <w:tc>
          <w:tcPr>
            <w:tcW w:w="2998" w:type="dxa"/>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kern w:val="2"/>
                <w:sz w:val="21"/>
                <w:szCs w:val="22"/>
                <w:highlight w:val="none"/>
                <w:lang w:val="en-US" w:eastAsia="zh-CN" w:bidi="ar-SA"/>
              </w:rPr>
              <w:t>4533485.649</w:t>
            </w:r>
          </w:p>
        </w:tc>
        <w:tc>
          <w:tcPr>
            <w:tcW w:w="3004" w:type="dxa"/>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kern w:val="2"/>
                <w:sz w:val="21"/>
                <w:szCs w:val="22"/>
                <w:highlight w:val="none"/>
                <w:lang w:val="en-US" w:eastAsia="zh-CN" w:bidi="ar-SA"/>
              </w:rPr>
              <w:t>36472645.112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96" w:type="dxa"/>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kern w:val="2"/>
                <w:sz w:val="21"/>
                <w:szCs w:val="22"/>
                <w:highlight w:val="none"/>
                <w:lang w:val="en-US" w:eastAsia="zh-CN" w:bidi="ar-SA"/>
              </w:rPr>
              <w:t>J34</w:t>
            </w:r>
          </w:p>
        </w:tc>
        <w:tc>
          <w:tcPr>
            <w:tcW w:w="2998" w:type="dxa"/>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kern w:val="2"/>
                <w:sz w:val="21"/>
                <w:szCs w:val="22"/>
                <w:highlight w:val="none"/>
                <w:lang w:val="en-US" w:eastAsia="zh-CN" w:bidi="ar-SA"/>
              </w:rPr>
              <w:t>4533488.906</w:t>
            </w:r>
          </w:p>
        </w:tc>
        <w:tc>
          <w:tcPr>
            <w:tcW w:w="3004" w:type="dxa"/>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kern w:val="2"/>
                <w:sz w:val="21"/>
                <w:szCs w:val="22"/>
                <w:highlight w:val="none"/>
                <w:lang w:val="en-US" w:eastAsia="zh-CN" w:bidi="ar-SA"/>
              </w:rPr>
              <w:t>36472640.901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96" w:type="dxa"/>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kern w:val="2"/>
                <w:sz w:val="21"/>
                <w:szCs w:val="22"/>
                <w:highlight w:val="none"/>
                <w:lang w:val="en-US" w:eastAsia="zh-CN" w:bidi="ar-SA"/>
              </w:rPr>
              <w:t>J35</w:t>
            </w:r>
          </w:p>
        </w:tc>
        <w:tc>
          <w:tcPr>
            <w:tcW w:w="2998" w:type="dxa"/>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kern w:val="2"/>
                <w:sz w:val="21"/>
                <w:szCs w:val="22"/>
                <w:highlight w:val="none"/>
                <w:lang w:val="en-US" w:eastAsia="zh-CN" w:bidi="ar-SA"/>
              </w:rPr>
              <w:t>4533498.863</w:t>
            </w:r>
          </w:p>
        </w:tc>
        <w:tc>
          <w:tcPr>
            <w:tcW w:w="3004" w:type="dxa"/>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kern w:val="2"/>
                <w:sz w:val="21"/>
                <w:szCs w:val="22"/>
                <w:highlight w:val="none"/>
                <w:lang w:val="en-US" w:eastAsia="zh-CN" w:bidi="ar-SA"/>
              </w:rPr>
              <w:t>36472628.187</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96" w:type="dxa"/>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kern w:val="2"/>
                <w:sz w:val="21"/>
                <w:szCs w:val="22"/>
                <w:highlight w:val="none"/>
                <w:lang w:val="en-US" w:eastAsia="zh-CN" w:bidi="ar-SA"/>
              </w:rPr>
              <w:t>J36</w:t>
            </w:r>
          </w:p>
        </w:tc>
        <w:tc>
          <w:tcPr>
            <w:tcW w:w="2998" w:type="dxa"/>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kern w:val="2"/>
                <w:sz w:val="21"/>
                <w:szCs w:val="22"/>
                <w:highlight w:val="none"/>
                <w:lang w:val="en-US" w:eastAsia="zh-CN" w:bidi="ar-SA"/>
              </w:rPr>
              <w:t>4533507.189</w:t>
            </w:r>
          </w:p>
        </w:tc>
        <w:tc>
          <w:tcPr>
            <w:tcW w:w="3004" w:type="dxa"/>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kern w:val="2"/>
                <w:sz w:val="21"/>
                <w:szCs w:val="22"/>
                <w:highlight w:val="none"/>
                <w:lang w:val="en-US" w:eastAsia="zh-CN" w:bidi="ar-SA"/>
              </w:rPr>
              <w:t>36472627.060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996" w:type="dxa"/>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kern w:val="2"/>
                <w:sz w:val="21"/>
                <w:szCs w:val="22"/>
                <w:highlight w:val="none"/>
                <w:lang w:val="en-US" w:eastAsia="zh-CN" w:bidi="ar-SA"/>
              </w:rPr>
              <w:t>J37</w:t>
            </w:r>
          </w:p>
        </w:tc>
        <w:tc>
          <w:tcPr>
            <w:tcW w:w="2998" w:type="dxa"/>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kern w:val="2"/>
                <w:sz w:val="21"/>
                <w:szCs w:val="22"/>
                <w:highlight w:val="none"/>
                <w:lang w:val="en-US" w:eastAsia="zh-CN" w:bidi="ar-SA"/>
              </w:rPr>
              <w:t>4533527.650</w:t>
            </w:r>
          </w:p>
        </w:tc>
        <w:tc>
          <w:tcPr>
            <w:tcW w:w="3004" w:type="dxa"/>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kern w:val="2"/>
                <w:sz w:val="21"/>
                <w:szCs w:val="22"/>
                <w:highlight w:val="none"/>
                <w:lang w:val="en-US" w:eastAsia="zh-CN" w:bidi="ar-SA"/>
              </w:rPr>
              <w:t>36472615.078</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998" w:type="dxa"/>
            <w:gridSpan w:val="3"/>
            <w:vAlign w:val="center"/>
          </w:tcPr>
          <w:p>
            <w:pPr>
              <w:pStyle w:val="63"/>
              <w:keepNext w:val="0"/>
              <w:keepLines w:val="0"/>
              <w:pageBreakBefore w:val="0"/>
              <w:widowControl w:val="0"/>
              <w:kinsoku/>
              <w:wordWrap/>
              <w:overflowPunct/>
              <w:autoSpaceDN/>
              <w:bidi w:val="0"/>
              <w:adjustRightInd/>
              <w:snapToGrid/>
              <w:spacing w:line="360" w:lineRule="exact"/>
              <w:ind w:firstLine="0" w:firstLineChars="0"/>
              <w:rPr>
                <w:rFonts w:hint="default" w:ascii="Arial" w:hAnsi="Arial" w:eastAsia="宋体" w:cs="Arial"/>
                <w:color w:val="auto"/>
                <w:highlight w:val="none"/>
              </w:rPr>
            </w:pPr>
            <w:r>
              <w:rPr>
                <w:rFonts w:hint="default" w:ascii="Arial" w:hAnsi="Arial" w:eastAsia="宋体" w:cs="Arial"/>
                <w:b w:val="0"/>
                <w:bCs w:val="0"/>
                <w:color w:val="auto"/>
                <w:sz w:val="21"/>
                <w:szCs w:val="21"/>
                <w:highlight w:val="none"/>
                <w:vertAlign w:val="baseline"/>
                <w:lang w:val="en-US" w:eastAsia="zh-CN"/>
              </w:rPr>
              <w:t>注：大地2000坐标系</w:t>
            </w:r>
          </w:p>
        </w:tc>
      </w:tr>
    </w:tbl>
    <w:p>
      <w:pPr>
        <w:ind w:firstLine="480"/>
        <w:rPr>
          <w:rFonts w:hint="default" w:ascii="Arial" w:hAnsi="Arial" w:eastAsia="宋体" w:cs="Arial"/>
          <w:color w:val="auto"/>
          <w:szCs w:val="24"/>
          <w:highlight w:val="none"/>
          <w:lang w:eastAsia="zh-CN"/>
        </w:rPr>
      </w:pPr>
      <w:r>
        <w:rPr>
          <w:rFonts w:hint="default" w:ascii="Arial" w:hAnsi="Arial" w:eastAsia="宋体" w:cs="Arial"/>
          <w:color w:val="auto"/>
          <w:highlight w:val="none"/>
        </w:rPr>
        <w:t>项目用地性质</w:t>
      </w:r>
      <w:r>
        <w:rPr>
          <w:rFonts w:hint="default" w:ascii="Arial" w:hAnsi="Arial" w:eastAsia="宋体" w:cs="Arial"/>
          <w:color w:val="auto"/>
          <w:highlight w:val="none"/>
          <w:lang w:eastAsia="zh-CN"/>
        </w:rPr>
        <w:t>：天然牧草地。</w:t>
      </w:r>
    </w:p>
    <w:p>
      <w:pPr>
        <w:ind w:firstLine="480"/>
        <w:rPr>
          <w:rFonts w:hint="default" w:ascii="Arial" w:hAnsi="Arial" w:eastAsia="宋体" w:cs="Arial"/>
          <w:color w:val="auto"/>
          <w:szCs w:val="24"/>
          <w:highlight w:val="none"/>
          <w:lang w:eastAsia="zh-CN"/>
        </w:rPr>
      </w:pPr>
      <w:r>
        <w:rPr>
          <w:rFonts w:hint="default" w:ascii="Arial" w:hAnsi="Arial" w:eastAsia="宋体" w:cs="Arial"/>
          <w:color w:val="auto"/>
          <w:szCs w:val="24"/>
          <w:highlight w:val="none"/>
        </w:rPr>
        <w:t>项目厂址四邻关系为：</w:t>
      </w:r>
      <w:r>
        <w:rPr>
          <w:rFonts w:hint="default" w:ascii="Arial" w:hAnsi="Arial" w:eastAsia="宋体" w:cs="Arial"/>
          <w:color w:val="auto"/>
          <w:highlight w:val="none"/>
        </w:rPr>
        <w:t>项目东</w:t>
      </w:r>
      <w:r>
        <w:rPr>
          <w:rFonts w:hint="default" w:ascii="Arial" w:hAnsi="Arial" w:eastAsia="宋体" w:cs="Arial"/>
          <w:color w:val="auto"/>
          <w:highlight w:val="none"/>
          <w:lang w:eastAsia="zh-CN"/>
        </w:rPr>
        <w:t>侧为五排干，</w:t>
      </w:r>
      <w:r>
        <w:rPr>
          <w:rFonts w:hint="default" w:ascii="Arial" w:hAnsi="Arial" w:eastAsia="宋体" w:cs="Arial"/>
          <w:color w:val="auto"/>
          <w:highlight w:val="none"/>
        </w:rPr>
        <w:t>南</w:t>
      </w:r>
      <w:r>
        <w:rPr>
          <w:rFonts w:hint="default" w:ascii="Arial" w:hAnsi="Arial" w:eastAsia="宋体" w:cs="Arial"/>
          <w:color w:val="auto"/>
          <w:highlight w:val="none"/>
          <w:lang w:eastAsia="zh-CN"/>
        </w:rPr>
        <w:t>侧、</w:t>
      </w:r>
      <w:r>
        <w:rPr>
          <w:rFonts w:hint="default" w:ascii="Arial" w:hAnsi="Arial" w:eastAsia="宋体" w:cs="Arial"/>
          <w:color w:val="auto"/>
          <w:highlight w:val="none"/>
        </w:rPr>
        <w:t>西</w:t>
      </w:r>
      <w:r>
        <w:rPr>
          <w:rFonts w:hint="default" w:ascii="Arial" w:hAnsi="Arial" w:eastAsia="宋体" w:cs="Arial"/>
          <w:color w:val="auto"/>
          <w:highlight w:val="none"/>
          <w:lang w:eastAsia="zh-CN"/>
        </w:rPr>
        <w:t>侧和</w:t>
      </w:r>
      <w:r>
        <w:rPr>
          <w:rFonts w:hint="default" w:ascii="Arial" w:hAnsi="Arial" w:eastAsia="宋体" w:cs="Arial"/>
          <w:color w:val="auto"/>
          <w:highlight w:val="none"/>
        </w:rPr>
        <w:t>北</w:t>
      </w:r>
      <w:r>
        <w:rPr>
          <w:rFonts w:hint="default" w:ascii="Arial" w:hAnsi="Arial" w:eastAsia="宋体" w:cs="Arial"/>
          <w:color w:val="auto"/>
          <w:highlight w:val="none"/>
          <w:lang w:eastAsia="zh-CN"/>
        </w:rPr>
        <w:t>侧</w:t>
      </w:r>
      <w:r>
        <w:rPr>
          <w:rFonts w:hint="default" w:ascii="Arial" w:hAnsi="Arial" w:eastAsia="宋体" w:cs="Arial"/>
          <w:color w:val="auto"/>
          <w:highlight w:val="none"/>
        </w:rPr>
        <w:t>均为</w:t>
      </w:r>
      <w:r>
        <w:rPr>
          <w:rFonts w:hint="default" w:ascii="Arial" w:hAnsi="Arial" w:eastAsia="宋体" w:cs="Arial"/>
          <w:color w:val="auto"/>
          <w:highlight w:val="none"/>
          <w:lang w:eastAsia="zh-CN"/>
        </w:rPr>
        <w:t>旱地，西南侧为林地</w:t>
      </w:r>
      <w:r>
        <w:rPr>
          <w:rFonts w:hint="default" w:ascii="Arial" w:hAnsi="Arial" w:eastAsia="宋体" w:cs="Arial"/>
          <w:color w:val="auto"/>
          <w:highlight w:val="none"/>
        </w:rPr>
        <w:t>。</w:t>
      </w:r>
      <w:r>
        <w:rPr>
          <w:rFonts w:hint="default" w:ascii="Arial" w:hAnsi="Arial" w:eastAsia="宋体" w:cs="Arial"/>
          <w:color w:val="auto"/>
          <w:highlight w:val="none"/>
          <w:lang w:val="en-US" w:eastAsia="zh-CN"/>
        </w:rPr>
        <w:t>项目</w:t>
      </w:r>
      <w:r>
        <w:rPr>
          <w:rFonts w:hint="default" w:ascii="Arial" w:hAnsi="Arial" w:eastAsia="宋体" w:cs="Arial"/>
          <w:color w:val="auto"/>
          <w:highlight w:val="none"/>
        </w:rPr>
        <w:t>地理位置</w:t>
      </w:r>
      <w:r>
        <w:rPr>
          <w:rFonts w:hint="default" w:ascii="Arial" w:hAnsi="Arial" w:eastAsia="宋体" w:cs="Arial"/>
          <w:color w:val="auto"/>
          <w:highlight w:val="none"/>
          <w:lang w:eastAsia="zh-CN"/>
        </w:rPr>
        <w:t>见</w:t>
      </w:r>
      <w:r>
        <w:rPr>
          <w:rFonts w:hint="default" w:ascii="Arial" w:hAnsi="Arial" w:eastAsia="宋体" w:cs="Arial"/>
          <w:color w:val="auto"/>
          <w:highlight w:val="none"/>
        </w:rPr>
        <w:t>图3.1-1，</w:t>
      </w:r>
      <w:r>
        <w:rPr>
          <w:rFonts w:hint="default" w:ascii="Arial" w:hAnsi="Arial" w:eastAsia="宋体" w:cs="Arial"/>
          <w:color w:val="auto"/>
          <w:szCs w:val="24"/>
          <w:highlight w:val="none"/>
        </w:rPr>
        <w:t>项目四邻关系</w:t>
      </w:r>
      <w:r>
        <w:rPr>
          <w:rFonts w:hint="default" w:ascii="Arial" w:hAnsi="Arial" w:eastAsia="宋体" w:cs="Arial"/>
          <w:color w:val="auto"/>
          <w:highlight w:val="none"/>
          <w:lang w:eastAsia="zh-CN"/>
        </w:rPr>
        <w:t>见</w:t>
      </w:r>
      <w:r>
        <w:rPr>
          <w:rFonts w:hint="default" w:ascii="Arial" w:hAnsi="Arial" w:eastAsia="宋体" w:cs="Arial"/>
          <w:color w:val="auto"/>
          <w:szCs w:val="24"/>
          <w:highlight w:val="none"/>
        </w:rPr>
        <w:t>图3.1-2</w:t>
      </w:r>
      <w:r>
        <w:rPr>
          <w:rFonts w:hint="default" w:ascii="Arial" w:hAnsi="Arial" w:eastAsia="宋体" w:cs="Arial"/>
          <w:color w:val="auto"/>
          <w:szCs w:val="24"/>
          <w:highlight w:val="none"/>
          <w:lang w:eastAsia="zh-CN"/>
        </w:rPr>
        <w:t>。</w:t>
      </w:r>
    </w:p>
    <w:p>
      <w:pPr>
        <w:ind w:firstLine="480"/>
        <w:rPr>
          <w:rFonts w:hint="default" w:ascii="Arial" w:hAnsi="Arial" w:eastAsia="宋体" w:cs="Arial"/>
          <w:color w:val="auto"/>
          <w:szCs w:val="24"/>
          <w:highlight w:val="none"/>
          <w:lang w:eastAsia="zh-CN"/>
        </w:rPr>
      </w:pPr>
    </w:p>
    <w:p>
      <w:pPr>
        <w:ind w:firstLine="480"/>
        <w:rPr>
          <w:rFonts w:hint="default" w:ascii="Arial" w:hAnsi="Arial" w:eastAsia="宋体" w:cs="Arial"/>
          <w:color w:val="auto"/>
          <w:szCs w:val="24"/>
          <w:highlight w:val="none"/>
          <w:lang w:eastAsia="zh-CN"/>
        </w:rPr>
      </w:pPr>
    </w:p>
    <w:p>
      <w:pPr>
        <w:ind w:firstLine="480"/>
        <w:rPr>
          <w:rFonts w:hint="default" w:ascii="Arial" w:hAnsi="Arial" w:eastAsia="宋体" w:cs="Arial"/>
          <w:color w:val="auto"/>
          <w:szCs w:val="24"/>
          <w:highlight w:val="none"/>
          <w:lang w:eastAsia="zh-CN"/>
        </w:rPr>
        <w:sectPr>
          <w:pgSz w:w="11906" w:h="16838"/>
          <w:pgMar w:top="1418" w:right="1418" w:bottom="1247" w:left="1701" w:header="851" w:footer="680" w:gutter="0"/>
          <w:pgBorders>
            <w:top w:val="none" w:sz="0" w:space="0"/>
            <w:left w:val="none" w:sz="0" w:space="0"/>
            <w:bottom w:val="none" w:sz="0" w:space="0"/>
            <w:right w:val="none" w:sz="0" w:space="0"/>
          </w:pgBorders>
          <w:pgNumType w:fmt="numberInDash"/>
          <w:cols w:space="425" w:num="1"/>
          <w:docGrid w:linePitch="326" w:charSpace="0"/>
        </w:sectPr>
      </w:pPr>
    </w:p>
    <w:p>
      <w:pPr>
        <w:bidi w:val="0"/>
        <w:rPr>
          <w:rFonts w:hint="default" w:ascii="Arial" w:hAnsi="Arial" w:eastAsia="宋体" w:cs="Arial"/>
          <w:color w:val="auto"/>
          <w:lang w:eastAsia="zh-CN"/>
        </w:rPr>
      </w:pPr>
      <w:r>
        <w:rPr>
          <w:rFonts w:hint="default" w:ascii="Arial" w:hAnsi="Arial" w:eastAsia="宋体" w:cs="Arial"/>
          <w:color w:val="auto"/>
        </w:rPr>
        <w:drawing>
          <wp:anchor distT="0" distB="0" distL="0" distR="0" simplePos="0" relativeHeight="251729920" behindDoc="0" locked="0" layoutInCell="1" allowOverlap="1">
            <wp:simplePos x="0" y="0"/>
            <wp:positionH relativeFrom="column">
              <wp:posOffset>868045</wp:posOffset>
            </wp:positionH>
            <wp:positionV relativeFrom="paragraph">
              <wp:posOffset>-27940</wp:posOffset>
            </wp:positionV>
            <wp:extent cx="7430770" cy="5255895"/>
            <wp:effectExtent l="0" t="0" r="17780" b="1905"/>
            <wp:wrapNone/>
            <wp:docPr id="90" name="图片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90"/>
                    <pic:cNvPicPr>
                      <a:picLocks noChangeAspect="1" noChangeArrowheads="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7430770" cy="5255895"/>
                    </a:xfrm>
                    <a:prstGeom prst="rect">
                      <a:avLst/>
                    </a:prstGeom>
                    <a:noFill/>
                    <a:ln>
                      <a:noFill/>
                    </a:ln>
                  </pic:spPr>
                </pic:pic>
              </a:graphicData>
            </a:graphic>
          </wp:anchor>
        </w:drawing>
      </w:r>
    </w:p>
    <w:p>
      <w:pPr>
        <w:bidi w:val="0"/>
        <w:rPr>
          <w:rFonts w:hint="default" w:ascii="Arial" w:hAnsi="Arial" w:eastAsia="宋体" w:cs="Arial"/>
          <w:color w:val="auto"/>
          <w:lang w:eastAsia="zh-CN"/>
        </w:rPr>
      </w:pPr>
    </w:p>
    <w:p>
      <w:pPr>
        <w:bidi w:val="0"/>
        <w:rPr>
          <w:rFonts w:hint="default" w:ascii="Arial" w:hAnsi="Arial" w:eastAsia="宋体" w:cs="Arial"/>
          <w:color w:val="auto"/>
          <w:lang w:eastAsia="zh-CN"/>
        </w:rPr>
      </w:pPr>
    </w:p>
    <w:p>
      <w:pPr>
        <w:bidi w:val="0"/>
        <w:rPr>
          <w:rFonts w:hint="default" w:ascii="Arial" w:hAnsi="Arial" w:eastAsia="宋体" w:cs="Arial"/>
          <w:color w:val="auto"/>
          <w:lang w:eastAsia="zh-CN"/>
        </w:rPr>
      </w:pPr>
    </w:p>
    <w:p>
      <w:pPr>
        <w:bidi w:val="0"/>
        <w:rPr>
          <w:rFonts w:hint="default" w:ascii="Arial" w:hAnsi="Arial" w:eastAsia="宋体" w:cs="Arial"/>
          <w:color w:val="auto"/>
          <w:lang w:eastAsia="zh-CN"/>
        </w:rPr>
      </w:pPr>
    </w:p>
    <w:p>
      <w:pPr>
        <w:bidi w:val="0"/>
        <w:rPr>
          <w:rFonts w:hint="default" w:ascii="Arial" w:hAnsi="Arial" w:eastAsia="宋体" w:cs="Arial"/>
          <w:color w:val="auto"/>
          <w:lang w:eastAsia="zh-CN"/>
        </w:rPr>
      </w:pPr>
    </w:p>
    <w:p>
      <w:pPr>
        <w:bidi w:val="0"/>
        <w:rPr>
          <w:rFonts w:hint="default" w:ascii="Arial" w:hAnsi="Arial" w:eastAsia="宋体" w:cs="Arial"/>
          <w:color w:val="auto"/>
        </w:rPr>
      </w:pPr>
    </w:p>
    <w:p>
      <w:pPr>
        <w:bidi w:val="0"/>
        <w:rPr>
          <w:rFonts w:hint="default" w:ascii="Arial" w:hAnsi="Arial" w:eastAsia="宋体" w:cs="Arial"/>
          <w:color w:val="auto"/>
        </w:rPr>
      </w:pPr>
    </w:p>
    <w:p>
      <w:pPr>
        <w:bidi w:val="0"/>
        <w:rPr>
          <w:rFonts w:hint="default" w:ascii="Arial" w:hAnsi="Arial" w:eastAsia="宋体" w:cs="Arial"/>
          <w:color w:val="auto"/>
        </w:rPr>
      </w:pPr>
    </w:p>
    <w:p>
      <w:pPr>
        <w:bidi w:val="0"/>
        <w:rPr>
          <w:rFonts w:hint="default" w:ascii="Arial" w:hAnsi="Arial" w:eastAsia="宋体" w:cs="Arial"/>
          <w:color w:val="auto"/>
        </w:rPr>
      </w:pPr>
      <w:r>
        <w:rPr>
          <w:rFonts w:hint="default" w:ascii="Arial" w:hAnsi="Arial" w:eastAsia="宋体" w:cs="Arial"/>
          <w:color w:val="auto"/>
        </w:rPr>
        <mc:AlternateContent>
          <mc:Choice Requires="wps">
            <w:drawing>
              <wp:anchor distT="0" distB="0" distL="114300" distR="114300" simplePos="0" relativeHeight="251731968" behindDoc="0" locked="0" layoutInCell="1" allowOverlap="1">
                <wp:simplePos x="0" y="0"/>
                <wp:positionH relativeFrom="column">
                  <wp:posOffset>1322705</wp:posOffset>
                </wp:positionH>
                <wp:positionV relativeFrom="paragraph">
                  <wp:posOffset>7620</wp:posOffset>
                </wp:positionV>
                <wp:extent cx="842645" cy="301625"/>
                <wp:effectExtent l="4445" t="5080" r="10160" b="207645"/>
                <wp:wrapNone/>
                <wp:docPr id="92" name="自选图形 353"/>
                <wp:cNvGraphicFramePr/>
                <a:graphic xmlns:a="http://schemas.openxmlformats.org/drawingml/2006/main">
                  <a:graphicData uri="http://schemas.microsoft.com/office/word/2010/wordprocessingShape">
                    <wps:wsp>
                      <wps:cNvSpPr/>
                      <wps:spPr>
                        <a:xfrm>
                          <a:off x="0" y="0"/>
                          <a:ext cx="842645" cy="301625"/>
                        </a:xfrm>
                        <a:prstGeom prst="wedgeRectCallout">
                          <a:avLst>
                            <a:gd name="adj1" fmla="val 14129"/>
                            <a:gd name="adj2" fmla="val 114000"/>
                          </a:avLst>
                        </a:prstGeom>
                        <a:noFill/>
                        <a:ln w="9525" cap="flat" cmpd="sng">
                          <a:solidFill>
                            <a:srgbClr val="000000"/>
                          </a:solidFill>
                          <a:prstDash val="solid"/>
                          <a:miter/>
                          <a:headEnd type="none" w="med" len="med"/>
                          <a:tailEnd type="none" w="med" len="med"/>
                        </a:ln>
                      </wps:spPr>
                      <wps:txbx>
                        <w:txbxContent>
                          <w:p>
                            <w:pPr>
                              <w:spacing w:line="240" w:lineRule="auto"/>
                              <w:ind w:firstLine="0" w:firstLineChars="0"/>
                              <w:jc w:val="center"/>
                            </w:pPr>
                            <w:r>
                              <w:rPr>
                                <w:rFonts w:hint="eastAsia"/>
                              </w:rPr>
                              <w:t>本项目</w:t>
                            </w:r>
                          </w:p>
                        </w:txbxContent>
                      </wps:txbx>
                      <wps:bodyPr upright="1"/>
                    </wps:wsp>
                  </a:graphicData>
                </a:graphic>
              </wp:anchor>
            </w:drawing>
          </mc:Choice>
          <mc:Fallback>
            <w:pict>
              <v:shape id="自选图形 353" o:spid="_x0000_s1026" o:spt="61" type="#_x0000_t61" style="position:absolute;left:0pt;margin-left:104.15pt;margin-top:0.6pt;height:23.75pt;width:66.35pt;z-index:251731968;mso-width-relative:page;mso-height-relative:page;" filled="f" stroked="t" coordsize="21600,21600" o:gfxdata="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pJVdztYAAAAIAQAADwAAAAAAAAABACAAAAAiAAAAZHJzL2Rvd25yZXYu&#10;eG1sUEsBAhQAFAAAAAgAh07iQL0SOBg2AgAAZgQAAA4AAAAAAAAAAQAgAAAAJQEAAGRycy9lMm9E&#10;b2MueG1sUEsFBgAAAAAGAAYAWQEAAM0FAAAAAA==&#10;" adj="13852,35424">
                <v:fill on="f" focussize="0,0"/>
                <v:stroke color="#000000" joinstyle="miter"/>
                <v:imagedata o:title=""/>
                <o:lock v:ext="edit" aspectratio="f"/>
                <v:textbox>
                  <w:txbxContent>
                    <w:p>
                      <w:pPr>
                        <w:spacing w:line="240" w:lineRule="auto"/>
                        <w:ind w:firstLine="0" w:firstLineChars="0"/>
                        <w:jc w:val="center"/>
                      </w:pPr>
                      <w:r>
                        <w:rPr>
                          <w:rFonts w:hint="eastAsia"/>
                        </w:rPr>
                        <w:t>本项目</w:t>
                      </w:r>
                    </w:p>
                  </w:txbxContent>
                </v:textbox>
              </v:shape>
            </w:pict>
          </mc:Fallback>
        </mc:AlternateContent>
      </w:r>
    </w:p>
    <w:p>
      <w:pPr>
        <w:bidi w:val="0"/>
        <w:rPr>
          <w:rFonts w:hint="default" w:ascii="Arial" w:hAnsi="Arial" w:eastAsia="宋体" w:cs="Arial"/>
          <w:color w:val="auto"/>
        </w:rPr>
      </w:pPr>
      <w:r>
        <w:rPr>
          <w:rFonts w:hint="default" w:ascii="Arial" w:hAnsi="Arial" w:eastAsia="宋体" w:cs="Arial"/>
          <w:color w:val="auto"/>
          <w:sz w:val="24"/>
        </w:rPr>
        <mc:AlternateContent>
          <mc:Choice Requires="wps">
            <w:drawing>
              <wp:anchor distT="0" distB="0" distL="114300" distR="114300" simplePos="0" relativeHeight="251732992" behindDoc="0" locked="0" layoutInCell="1" allowOverlap="1">
                <wp:simplePos x="0" y="0"/>
                <wp:positionH relativeFrom="column">
                  <wp:posOffset>1800225</wp:posOffset>
                </wp:positionH>
                <wp:positionV relativeFrom="paragraph">
                  <wp:posOffset>187325</wp:posOffset>
                </wp:positionV>
                <wp:extent cx="75565" cy="75565"/>
                <wp:effectExtent l="9525" t="9525" r="10160" b="10160"/>
                <wp:wrapNone/>
                <wp:docPr id="93" name="矩形 354"/>
                <wp:cNvGraphicFramePr/>
                <a:graphic xmlns:a="http://schemas.openxmlformats.org/drawingml/2006/main">
                  <a:graphicData uri="http://schemas.microsoft.com/office/word/2010/wordprocessingShape">
                    <wps:wsp>
                      <wps:cNvSpPr/>
                      <wps:spPr>
                        <a:xfrm>
                          <a:off x="0" y="0"/>
                          <a:ext cx="75565" cy="75565"/>
                        </a:xfrm>
                        <a:prstGeom prst="rect">
                          <a:avLst/>
                        </a:prstGeom>
                        <a:solidFill>
                          <a:srgbClr val="000000"/>
                        </a:solidFill>
                        <a:ln w="19050" cap="flat" cmpd="sng">
                          <a:solidFill>
                            <a:srgbClr val="FF0000"/>
                          </a:solidFill>
                          <a:prstDash val="solid"/>
                          <a:miter/>
                          <a:headEnd type="none" w="med" len="med"/>
                          <a:tailEnd type="none" w="med" len="med"/>
                        </a:ln>
                      </wps:spPr>
                      <wps:txbx>
                        <w:txbxContent>
                          <w:p/>
                        </w:txbxContent>
                      </wps:txbx>
                      <wps:bodyPr upright="1"/>
                    </wps:wsp>
                  </a:graphicData>
                </a:graphic>
              </wp:anchor>
            </w:drawing>
          </mc:Choice>
          <mc:Fallback>
            <w:pict>
              <v:rect id="矩形 354" o:spid="_x0000_s1026" o:spt="1" style="position:absolute;left:0pt;margin-left:141.75pt;margin-top:14.75pt;height:5.95pt;width:5.95pt;z-index:251732992;mso-width-relative:page;mso-height-relative:page;" fillcolor="#000000" filled="t" stroked="t" coordsize="21600,21600" o:gfxdata="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CgNRVw2QAAAAkBAAAPAAAAAAAAAAEAIAAAACIAAABkcnMv&#10;ZG93bnJldi54bWxQSwECFAAUAAAACACHTuJAIbcbSwICAAAqBAAADgAAAAAAAAABACAAAAAoAQAA&#10;ZHJzL2Uyb0RvYy54bWxQSwUGAAAAAAYABgBZAQAAnAUAAAAA&#10;">
                <v:fill on="t" focussize="0,0"/>
                <v:stroke weight="1.5pt" color="#FF0000" joinstyle="miter"/>
                <v:imagedata o:title=""/>
                <o:lock v:ext="edit" aspectratio="f"/>
                <v:textbox>
                  <w:txbxContent>
                    <w:p/>
                  </w:txbxContent>
                </v:textbox>
              </v:rect>
            </w:pict>
          </mc:Fallback>
        </mc:AlternateContent>
      </w:r>
    </w:p>
    <w:p>
      <w:pPr>
        <w:bidi w:val="0"/>
        <w:rPr>
          <w:rFonts w:hint="default" w:ascii="Arial" w:hAnsi="Arial" w:eastAsia="宋体" w:cs="Arial"/>
          <w:color w:val="auto"/>
        </w:rPr>
      </w:pPr>
    </w:p>
    <w:p>
      <w:pPr>
        <w:bidi w:val="0"/>
        <w:rPr>
          <w:rFonts w:hint="default" w:ascii="Arial" w:hAnsi="Arial" w:eastAsia="宋体" w:cs="Arial"/>
          <w:color w:val="auto"/>
        </w:rPr>
      </w:pPr>
    </w:p>
    <w:p>
      <w:pPr>
        <w:bidi w:val="0"/>
        <w:rPr>
          <w:rFonts w:hint="default" w:ascii="Arial" w:hAnsi="Arial" w:eastAsia="宋体" w:cs="Arial"/>
          <w:color w:val="auto"/>
        </w:rPr>
      </w:pPr>
    </w:p>
    <w:p>
      <w:pPr>
        <w:bidi w:val="0"/>
        <w:rPr>
          <w:rFonts w:hint="default" w:ascii="Arial" w:hAnsi="Arial" w:eastAsia="宋体" w:cs="Arial"/>
          <w:color w:val="auto"/>
        </w:rPr>
      </w:pPr>
    </w:p>
    <w:p>
      <w:pPr>
        <w:bidi w:val="0"/>
        <w:rPr>
          <w:rFonts w:hint="default" w:ascii="Arial" w:hAnsi="Arial" w:eastAsia="宋体" w:cs="Arial"/>
          <w:color w:val="auto"/>
        </w:rPr>
      </w:pPr>
    </w:p>
    <w:p>
      <w:pPr>
        <w:bidi w:val="0"/>
        <w:rPr>
          <w:rFonts w:hint="default" w:ascii="Arial" w:hAnsi="Arial" w:eastAsia="宋体" w:cs="Arial"/>
          <w:color w:val="auto"/>
        </w:rPr>
      </w:pPr>
    </w:p>
    <w:p>
      <w:pPr>
        <w:bidi w:val="0"/>
        <w:jc w:val="center"/>
        <w:rPr>
          <w:rFonts w:hint="default" w:ascii="Arial" w:hAnsi="Arial" w:eastAsia="宋体" w:cs="Arial"/>
          <w:b/>
          <w:bCs/>
          <w:color w:val="auto"/>
        </w:rPr>
      </w:pPr>
      <w:r>
        <w:rPr>
          <w:rFonts w:hint="default" w:ascii="Arial" w:hAnsi="Arial" w:eastAsia="宋体" w:cs="Arial"/>
          <w:b/>
          <w:bCs/>
          <w:color w:val="auto"/>
        </w:rPr>
        <mc:AlternateContent>
          <mc:Choice Requires="wps">
            <w:drawing>
              <wp:anchor distT="0" distB="0" distL="114300" distR="114300" simplePos="0" relativeHeight="251730944" behindDoc="0" locked="0" layoutInCell="1" allowOverlap="1">
                <wp:simplePos x="0" y="0"/>
                <wp:positionH relativeFrom="column">
                  <wp:posOffset>4523740</wp:posOffset>
                </wp:positionH>
                <wp:positionV relativeFrom="paragraph">
                  <wp:posOffset>-4666615</wp:posOffset>
                </wp:positionV>
                <wp:extent cx="36195" cy="36195"/>
                <wp:effectExtent l="4445" t="4445" r="16510" b="16510"/>
                <wp:wrapNone/>
                <wp:docPr id="91" name="椭圆 351"/>
                <wp:cNvGraphicFramePr/>
                <a:graphic xmlns:a="http://schemas.openxmlformats.org/drawingml/2006/main">
                  <a:graphicData uri="http://schemas.microsoft.com/office/word/2010/wordprocessingShape">
                    <wps:wsp>
                      <wps:cNvSpPr/>
                      <wps:spPr>
                        <a:xfrm>
                          <a:off x="0" y="0"/>
                          <a:ext cx="36195" cy="36195"/>
                        </a:xfrm>
                        <a:prstGeom prst="ellipse">
                          <a:avLst/>
                        </a:prstGeom>
                        <a:solidFill>
                          <a:srgbClr val="00B050"/>
                        </a:solidFill>
                        <a:ln w="9525" cap="flat" cmpd="sng">
                          <a:solidFill>
                            <a:srgbClr val="00B050"/>
                          </a:solidFill>
                          <a:prstDash val="solid"/>
                          <a:headEnd type="none" w="med" len="med"/>
                          <a:tailEnd type="none" w="med" len="med"/>
                        </a:ln>
                      </wps:spPr>
                      <wps:txbx>
                        <w:txbxContent>
                          <w:p/>
                        </w:txbxContent>
                      </wps:txbx>
                      <wps:bodyPr upright="1"/>
                    </wps:wsp>
                  </a:graphicData>
                </a:graphic>
              </wp:anchor>
            </w:drawing>
          </mc:Choice>
          <mc:Fallback>
            <w:pict>
              <v:shape id="椭圆 351" o:spid="_x0000_s1026" o:spt="3" type="#_x0000_t3" style="position:absolute;left:0pt;margin-left:356.2pt;margin-top:-367.45pt;height:2.85pt;width:2.85pt;z-index:251730944;mso-width-relative:page;mso-height-relative:page;" fillcolor="#00B050" filled="t" stroked="t" coordsize="21600,21600" o:gfxdata="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DmOHaXaAAAADQEAAA8AAAAAAAAAAQAgAAAAIgAAAGRycy9kb3ducmV2Lnht&#10;bFBLAQIUABQAAAAIAIdO4kAbwKsu9wEAACIEAAAOAAAAAAAAAAEAIAAAACkBAABkcnMvZTJvRG9j&#10;LnhtbFBLBQYAAAAABgAGAFkBAACSBQAAAAA=&#10;">
                <v:fill on="t" focussize="0,0"/>
                <v:stroke color="#00B050" joinstyle="round"/>
                <v:imagedata o:title=""/>
                <o:lock v:ext="edit" aspectratio="f"/>
                <v:textbox>
                  <w:txbxContent>
                    <w:p/>
                  </w:txbxContent>
                </v:textbox>
              </v:shape>
            </w:pict>
          </mc:Fallback>
        </mc:AlternateContent>
      </w:r>
      <w:r>
        <w:rPr>
          <w:rFonts w:hint="default" w:ascii="Arial" w:hAnsi="Arial" w:eastAsia="宋体" w:cs="Arial"/>
          <w:b/>
          <w:bCs/>
          <w:color w:val="auto"/>
        </w:rPr>
        <w:t>图3.1-1    项目地理位置图</w:t>
      </w:r>
    </w:p>
    <w:p>
      <w:pPr>
        <w:bidi w:val="0"/>
        <w:rPr>
          <w:rFonts w:hint="default" w:ascii="Arial" w:hAnsi="Arial" w:eastAsia="宋体" w:cs="Arial"/>
          <w:color w:val="auto"/>
          <w:lang w:eastAsia="zh-CN"/>
        </w:rPr>
      </w:pPr>
      <w:r>
        <w:rPr>
          <w:rFonts w:hint="default" w:ascii="Arial" w:hAnsi="Arial" w:eastAsia="宋体" w:cs="Arial"/>
          <w:color w:val="auto"/>
          <w:sz w:val="24"/>
        </w:rPr>
        <mc:AlternateContent>
          <mc:Choice Requires="wps">
            <w:drawing>
              <wp:anchor distT="0" distB="0" distL="114300" distR="114300" simplePos="0" relativeHeight="251740160" behindDoc="0" locked="0" layoutInCell="1" allowOverlap="1">
                <wp:simplePos x="0" y="0"/>
                <wp:positionH relativeFrom="column">
                  <wp:posOffset>4598035</wp:posOffset>
                </wp:positionH>
                <wp:positionV relativeFrom="paragraph">
                  <wp:posOffset>24130</wp:posOffset>
                </wp:positionV>
                <wp:extent cx="2181860" cy="5022215"/>
                <wp:effectExtent l="26035" t="11430" r="40005" b="14605"/>
                <wp:wrapNone/>
                <wp:docPr id="117" name="直接连接符 117"/>
                <wp:cNvGraphicFramePr/>
                <a:graphic xmlns:a="http://schemas.openxmlformats.org/drawingml/2006/main">
                  <a:graphicData uri="http://schemas.microsoft.com/office/word/2010/wordprocessingShape">
                    <wps:wsp>
                      <wps:cNvCnPr/>
                      <wps:spPr>
                        <a:xfrm flipH="1">
                          <a:off x="5389880" y="1104265"/>
                          <a:ext cx="2181860" cy="5022215"/>
                        </a:xfrm>
                        <a:prstGeom prst="line">
                          <a:avLst/>
                        </a:prstGeom>
                        <a:ln w="57150">
                          <a:solidFill>
                            <a:srgbClr val="00B0F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flip:x;margin-left:362.05pt;margin-top:1.9pt;height:395.45pt;width:171.8pt;z-index:251740160;mso-width-relative:page;mso-height-relative:page;" filled="f" stroked="t" coordsize="21600,21600" o:gfxdata="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DXgIQH2QAAAAoBAAAPAAAAAAAAAAEAIAAAACIAAABkcnMvZG93bnJldi54bWxQ&#10;SwECFAAUAAAACACHTuJAl6Xy4/YBAAC7AwAADgAAAAAAAAABACAAAAAoAQAAZHJzL2Uyb0RvYy54&#10;bWxQSwUGAAAAAAYABgBZAQAAkAUAAAAA&#10;">
                <v:fill on="f" focussize="0,0"/>
                <v:stroke weight="4.5pt" color="#00B0F0 [3204]" joinstyle="round"/>
                <v:imagedata o:title=""/>
                <o:lock v:ext="edit" aspectratio="f"/>
              </v:line>
            </w:pict>
          </mc:Fallback>
        </mc:AlternateContent>
      </w:r>
      <w:r>
        <w:rPr>
          <w:rFonts w:hint="default" w:ascii="Arial" w:hAnsi="Arial" w:eastAsia="宋体" w:cs="Arial"/>
          <w:color w:val="auto"/>
          <w:lang w:eastAsia="zh-CN"/>
        </w:rPr>
        <w:drawing>
          <wp:anchor distT="0" distB="0" distL="114300" distR="114300" simplePos="0" relativeHeight="251734016" behindDoc="0" locked="0" layoutInCell="1" allowOverlap="1">
            <wp:simplePos x="0" y="0"/>
            <wp:positionH relativeFrom="column">
              <wp:posOffset>1064895</wp:posOffset>
            </wp:positionH>
            <wp:positionV relativeFrom="paragraph">
              <wp:posOffset>8255</wp:posOffset>
            </wp:positionV>
            <wp:extent cx="6939280" cy="5255895"/>
            <wp:effectExtent l="0" t="0" r="13970" b="1905"/>
            <wp:wrapNone/>
            <wp:docPr id="95" name="图片 95" descr="屏幕截图22333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95" descr="屏幕截图22333212"/>
                    <pic:cNvPicPr>
                      <a:picLocks noChangeAspect="1"/>
                    </pic:cNvPicPr>
                  </pic:nvPicPr>
                  <pic:blipFill>
                    <a:blip r:embed="rId17"/>
                    <a:stretch>
                      <a:fillRect/>
                    </a:stretch>
                  </pic:blipFill>
                  <pic:spPr>
                    <a:xfrm>
                      <a:off x="0" y="0"/>
                      <a:ext cx="6939280" cy="5255895"/>
                    </a:xfrm>
                    <a:prstGeom prst="rect">
                      <a:avLst/>
                    </a:prstGeom>
                  </pic:spPr>
                </pic:pic>
              </a:graphicData>
            </a:graphic>
          </wp:anchor>
        </w:drawing>
      </w:r>
    </w:p>
    <w:p>
      <w:pPr>
        <w:bidi w:val="0"/>
        <w:rPr>
          <w:rFonts w:hint="default" w:ascii="Arial" w:hAnsi="Arial" w:eastAsia="宋体" w:cs="Arial"/>
          <w:color w:val="auto"/>
        </w:rPr>
      </w:pPr>
    </w:p>
    <w:p>
      <w:pPr>
        <w:bidi w:val="0"/>
        <w:rPr>
          <w:rFonts w:hint="default" w:ascii="Arial" w:hAnsi="Arial" w:eastAsia="宋体" w:cs="Arial"/>
          <w:color w:val="auto"/>
        </w:rPr>
      </w:pPr>
      <w:r>
        <w:rPr>
          <w:rFonts w:hint="default" w:ascii="Arial" w:hAnsi="Arial" w:eastAsia="宋体" w:cs="Arial"/>
          <w:color w:val="auto"/>
          <w:sz w:val="32"/>
        </w:rPr>
        <mc:AlternateContent>
          <mc:Choice Requires="wps">
            <w:drawing>
              <wp:anchor distT="0" distB="0" distL="114300" distR="114300" simplePos="0" relativeHeight="251735040" behindDoc="0" locked="0" layoutInCell="1" allowOverlap="1">
                <wp:simplePos x="0" y="0"/>
                <wp:positionH relativeFrom="column">
                  <wp:posOffset>4408170</wp:posOffset>
                </wp:positionH>
                <wp:positionV relativeFrom="paragraph">
                  <wp:posOffset>292100</wp:posOffset>
                </wp:positionV>
                <wp:extent cx="884555" cy="325755"/>
                <wp:effectExtent l="0" t="0" r="0" b="0"/>
                <wp:wrapNone/>
                <wp:docPr id="96" name="矩形 96"/>
                <wp:cNvGraphicFramePr/>
                <a:graphic xmlns:a="http://schemas.openxmlformats.org/drawingml/2006/main">
                  <a:graphicData uri="http://schemas.microsoft.com/office/word/2010/wordprocessingShape">
                    <wps:wsp>
                      <wps:cNvSpPr/>
                      <wps:spPr>
                        <a:xfrm>
                          <a:off x="0" y="0"/>
                          <a:ext cx="884555" cy="32575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pPr>
                              <w:keepNext w:val="0"/>
                              <w:keepLines w:val="0"/>
                              <w:pageBreakBefore w:val="0"/>
                              <w:widowControl w:val="0"/>
                              <w:kinsoku/>
                              <w:wordWrap/>
                              <w:overflowPunct/>
                              <w:topLinePunct/>
                              <w:autoSpaceDE w:val="0"/>
                              <w:autoSpaceDN/>
                              <w:bidi w:val="0"/>
                              <w:adjustRightInd/>
                              <w:snapToGrid/>
                              <w:spacing w:line="240" w:lineRule="auto"/>
                              <w:ind w:firstLine="0" w:firstLineChars="0"/>
                              <w:jc w:val="center"/>
                              <w:textAlignment w:val="auto"/>
                              <w:rPr>
                                <w:b/>
                                <w:bCs/>
                                <w:color w:val="FFFF00"/>
                                <w:sz w:val="24"/>
                                <w:szCs w:val="24"/>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pPr>
                            <w:r>
                              <w:rPr>
                                <w:rFonts w:hint="eastAsia" w:cs="Times New Roman"/>
                                <w:b/>
                                <w:bCs/>
                                <w:color w:val="FFFF00"/>
                                <w:sz w:val="24"/>
                                <w:szCs w:val="24"/>
                                <w:highlight w:val="none"/>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t>旱地</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47.1pt;margin-top:23pt;height:25.65pt;width:69.65pt;z-index:251735040;v-text-anchor:middle;mso-width-relative:page;mso-height-relative:page;" filled="f" stroked="f" coordsize="21600,21600" o:gfxdata="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DlCvoh2QAAAAkB&#10;AAAPAAAAAAAAAAEAIAAAACIAAABkcnMvZG93bnJldi54bWxQSwECFAAUAAAACACHTuJA4dht6FMC&#10;AACXBAAADgAAAAAAAAABACAAAAAoAQAAZHJzL2Uyb0RvYy54bWxQSwUGAAAAAAYABgBZAQAA7QUA&#10;AAAA&#10;">
                <v:fill on="f" focussize="0,0"/>
                <v:stroke on="f" weight="2pt"/>
                <v:imagedata o:title=""/>
                <o:lock v:ext="edit" aspectratio="f"/>
                <v:textbox>
                  <w:txbxContent>
                    <w:p>
                      <w:pPr>
                        <w:keepNext w:val="0"/>
                        <w:keepLines w:val="0"/>
                        <w:pageBreakBefore w:val="0"/>
                        <w:widowControl w:val="0"/>
                        <w:kinsoku/>
                        <w:wordWrap/>
                        <w:overflowPunct/>
                        <w:topLinePunct/>
                        <w:autoSpaceDE w:val="0"/>
                        <w:autoSpaceDN/>
                        <w:bidi w:val="0"/>
                        <w:adjustRightInd/>
                        <w:snapToGrid/>
                        <w:spacing w:line="240" w:lineRule="auto"/>
                        <w:ind w:firstLine="0" w:firstLineChars="0"/>
                        <w:jc w:val="center"/>
                        <w:textAlignment w:val="auto"/>
                        <w:rPr>
                          <w:b/>
                          <w:bCs/>
                          <w:color w:val="FFFF00"/>
                          <w:sz w:val="24"/>
                          <w:szCs w:val="24"/>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pPr>
                      <w:r>
                        <w:rPr>
                          <w:rFonts w:hint="eastAsia" w:cs="Times New Roman"/>
                          <w:b/>
                          <w:bCs/>
                          <w:color w:val="FFFF00"/>
                          <w:sz w:val="24"/>
                          <w:szCs w:val="24"/>
                          <w:highlight w:val="none"/>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t>旱地</w:t>
                      </w:r>
                    </w:p>
                  </w:txbxContent>
                </v:textbox>
              </v:rect>
            </w:pict>
          </mc:Fallback>
        </mc:AlternateContent>
      </w:r>
    </w:p>
    <w:p>
      <w:pPr>
        <w:bidi w:val="0"/>
        <w:rPr>
          <w:rFonts w:hint="default" w:ascii="Arial" w:hAnsi="Arial" w:eastAsia="宋体" w:cs="Arial"/>
          <w:color w:val="auto"/>
        </w:rPr>
      </w:pPr>
    </w:p>
    <w:p>
      <w:pPr>
        <w:bidi w:val="0"/>
        <w:rPr>
          <w:rFonts w:hint="default" w:ascii="Arial" w:hAnsi="Arial" w:eastAsia="宋体" w:cs="Arial"/>
          <w:color w:val="auto"/>
        </w:rPr>
      </w:pPr>
    </w:p>
    <w:p>
      <w:pPr>
        <w:bidi w:val="0"/>
        <w:rPr>
          <w:rFonts w:hint="default" w:ascii="Arial" w:hAnsi="Arial" w:eastAsia="宋体" w:cs="Arial"/>
          <w:color w:val="auto"/>
        </w:rPr>
      </w:pPr>
      <w:r>
        <w:rPr>
          <w:rFonts w:hint="default" w:ascii="Arial" w:hAnsi="Arial" w:eastAsia="宋体" w:cs="Arial"/>
          <w:color w:val="auto"/>
          <w:sz w:val="32"/>
        </w:rPr>
        <mc:AlternateContent>
          <mc:Choice Requires="wps">
            <w:drawing>
              <wp:anchor distT="0" distB="0" distL="114300" distR="114300" simplePos="0" relativeHeight="251737088" behindDoc="0" locked="0" layoutInCell="1" allowOverlap="1">
                <wp:simplePos x="0" y="0"/>
                <wp:positionH relativeFrom="column">
                  <wp:posOffset>2690495</wp:posOffset>
                </wp:positionH>
                <wp:positionV relativeFrom="paragraph">
                  <wp:posOffset>257810</wp:posOffset>
                </wp:positionV>
                <wp:extent cx="884555" cy="325755"/>
                <wp:effectExtent l="0" t="0" r="0" b="0"/>
                <wp:wrapNone/>
                <wp:docPr id="104" name="矩形 104"/>
                <wp:cNvGraphicFramePr/>
                <a:graphic xmlns:a="http://schemas.openxmlformats.org/drawingml/2006/main">
                  <a:graphicData uri="http://schemas.microsoft.com/office/word/2010/wordprocessingShape">
                    <wps:wsp>
                      <wps:cNvSpPr/>
                      <wps:spPr>
                        <a:xfrm>
                          <a:off x="0" y="0"/>
                          <a:ext cx="884555" cy="32575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pPr>
                              <w:keepNext w:val="0"/>
                              <w:keepLines w:val="0"/>
                              <w:pageBreakBefore w:val="0"/>
                              <w:widowControl w:val="0"/>
                              <w:kinsoku/>
                              <w:wordWrap/>
                              <w:overflowPunct/>
                              <w:topLinePunct/>
                              <w:autoSpaceDE w:val="0"/>
                              <w:autoSpaceDN/>
                              <w:bidi w:val="0"/>
                              <w:adjustRightInd/>
                              <w:snapToGrid/>
                              <w:spacing w:line="240" w:lineRule="auto"/>
                              <w:ind w:firstLine="0" w:firstLineChars="0"/>
                              <w:jc w:val="center"/>
                              <w:textAlignment w:val="auto"/>
                              <w:rPr>
                                <w:b/>
                                <w:bCs/>
                                <w:color w:val="FFFF00"/>
                                <w:sz w:val="24"/>
                                <w:szCs w:val="24"/>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pPr>
                            <w:r>
                              <w:rPr>
                                <w:rFonts w:hint="eastAsia" w:cs="Times New Roman"/>
                                <w:b/>
                                <w:bCs/>
                                <w:color w:val="FFFF00"/>
                                <w:sz w:val="24"/>
                                <w:szCs w:val="24"/>
                                <w:highlight w:val="none"/>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t>旱地</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11.85pt;margin-top:20.3pt;height:25.65pt;width:69.65pt;z-index:251737088;v-text-anchor:middle;mso-width-relative:page;mso-height-relative:page;" filled="f" stroked="f" coordsize="21600,21600" o:gfxdata="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BJ2XEv2QAAAAkB&#10;AAAPAAAAAAAAAAEAIAAAACIAAABkcnMvZG93bnJldi54bWxQSwECFAAUAAAACACHTuJANIDJF1MC&#10;AACZBAAADgAAAAAAAAABACAAAAAoAQAAZHJzL2Uyb0RvYy54bWxQSwUGAAAAAAYABgBZAQAA7QUA&#10;AAAA&#10;">
                <v:fill on="f" focussize="0,0"/>
                <v:stroke on="f" weight="2pt"/>
                <v:imagedata o:title=""/>
                <o:lock v:ext="edit" aspectratio="f"/>
                <v:textbox>
                  <w:txbxContent>
                    <w:p>
                      <w:pPr>
                        <w:keepNext w:val="0"/>
                        <w:keepLines w:val="0"/>
                        <w:pageBreakBefore w:val="0"/>
                        <w:widowControl w:val="0"/>
                        <w:kinsoku/>
                        <w:wordWrap/>
                        <w:overflowPunct/>
                        <w:topLinePunct/>
                        <w:autoSpaceDE w:val="0"/>
                        <w:autoSpaceDN/>
                        <w:bidi w:val="0"/>
                        <w:adjustRightInd/>
                        <w:snapToGrid/>
                        <w:spacing w:line="240" w:lineRule="auto"/>
                        <w:ind w:firstLine="0" w:firstLineChars="0"/>
                        <w:jc w:val="center"/>
                        <w:textAlignment w:val="auto"/>
                        <w:rPr>
                          <w:b/>
                          <w:bCs/>
                          <w:color w:val="FFFF00"/>
                          <w:sz w:val="24"/>
                          <w:szCs w:val="24"/>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pPr>
                      <w:r>
                        <w:rPr>
                          <w:rFonts w:hint="eastAsia" w:cs="Times New Roman"/>
                          <w:b/>
                          <w:bCs/>
                          <w:color w:val="FFFF00"/>
                          <w:sz w:val="24"/>
                          <w:szCs w:val="24"/>
                          <w:highlight w:val="none"/>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t>旱地</w:t>
                      </w:r>
                    </w:p>
                  </w:txbxContent>
                </v:textbox>
              </v:rect>
            </w:pict>
          </mc:Fallback>
        </mc:AlternateContent>
      </w:r>
    </w:p>
    <w:p>
      <w:pPr>
        <w:bidi w:val="0"/>
        <w:rPr>
          <w:rFonts w:hint="default" w:ascii="Arial" w:hAnsi="Arial" w:eastAsia="宋体" w:cs="Arial"/>
          <w:color w:val="auto"/>
        </w:rPr>
      </w:pPr>
    </w:p>
    <w:p>
      <w:pPr>
        <w:bidi w:val="0"/>
        <w:rPr>
          <w:rFonts w:hint="default" w:ascii="Arial" w:hAnsi="Arial" w:eastAsia="宋体" w:cs="Arial"/>
          <w:color w:val="auto"/>
        </w:rPr>
      </w:pPr>
      <w:r>
        <w:rPr>
          <w:rFonts w:hint="default" w:ascii="Arial" w:hAnsi="Arial" w:eastAsia="宋体" w:cs="Arial"/>
          <w:color w:val="auto"/>
          <w:sz w:val="32"/>
        </w:rPr>
        <mc:AlternateContent>
          <mc:Choice Requires="wps">
            <w:drawing>
              <wp:anchor distT="0" distB="0" distL="114300" distR="114300" simplePos="0" relativeHeight="251736064" behindDoc="0" locked="0" layoutInCell="1" allowOverlap="1">
                <wp:simplePos x="0" y="0"/>
                <wp:positionH relativeFrom="column">
                  <wp:posOffset>4223385</wp:posOffset>
                </wp:positionH>
                <wp:positionV relativeFrom="paragraph">
                  <wp:posOffset>3175</wp:posOffset>
                </wp:positionV>
                <wp:extent cx="1135380" cy="325755"/>
                <wp:effectExtent l="0" t="0" r="0" b="0"/>
                <wp:wrapNone/>
                <wp:docPr id="101" name="矩形 101"/>
                <wp:cNvGraphicFramePr/>
                <a:graphic xmlns:a="http://schemas.openxmlformats.org/drawingml/2006/main">
                  <a:graphicData uri="http://schemas.microsoft.com/office/word/2010/wordprocessingShape">
                    <wps:wsp>
                      <wps:cNvSpPr/>
                      <wps:spPr>
                        <a:xfrm>
                          <a:off x="0" y="0"/>
                          <a:ext cx="1135380" cy="32575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pPr>
                              <w:keepNext w:val="0"/>
                              <w:keepLines w:val="0"/>
                              <w:pageBreakBefore w:val="0"/>
                              <w:widowControl w:val="0"/>
                              <w:kinsoku/>
                              <w:wordWrap/>
                              <w:overflowPunct/>
                              <w:topLinePunct/>
                              <w:autoSpaceDE w:val="0"/>
                              <w:autoSpaceDN/>
                              <w:bidi w:val="0"/>
                              <w:adjustRightInd/>
                              <w:snapToGrid/>
                              <w:spacing w:line="240" w:lineRule="auto"/>
                              <w:ind w:firstLine="0" w:firstLineChars="0"/>
                              <w:jc w:val="center"/>
                              <w:textAlignment w:val="auto"/>
                              <w:rPr>
                                <w:b/>
                                <w:bCs/>
                                <w:color w:val="FF0000"/>
                                <w:sz w:val="24"/>
                                <w:szCs w:val="24"/>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pPr>
                            <w:r>
                              <w:rPr>
                                <w:rFonts w:hint="eastAsia" w:cs="Times New Roman"/>
                                <w:b/>
                                <w:bCs/>
                                <w:color w:val="FF0000"/>
                                <w:sz w:val="24"/>
                                <w:szCs w:val="24"/>
                                <w:highlight w:val="none"/>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t>本项目场区</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32.55pt;margin-top:0.25pt;height:25.65pt;width:89.4pt;z-index:251736064;v-text-anchor:middle;mso-width-relative:page;mso-height-relative:page;" filled="f" stroked="f" coordsize="21600,21600" o:gfxdata="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">
                <v:fill on="f" focussize="0,0"/>
                <v:stroke on="f" weight="2pt"/>
                <v:imagedata o:title=""/>
                <o:lock v:ext="edit" aspectratio="f"/>
                <v:textbox>
                  <w:txbxContent>
                    <w:p>
                      <w:pPr>
                        <w:keepNext w:val="0"/>
                        <w:keepLines w:val="0"/>
                        <w:pageBreakBefore w:val="0"/>
                        <w:widowControl w:val="0"/>
                        <w:kinsoku/>
                        <w:wordWrap/>
                        <w:overflowPunct/>
                        <w:topLinePunct/>
                        <w:autoSpaceDE w:val="0"/>
                        <w:autoSpaceDN/>
                        <w:bidi w:val="0"/>
                        <w:adjustRightInd/>
                        <w:snapToGrid/>
                        <w:spacing w:line="240" w:lineRule="auto"/>
                        <w:ind w:firstLine="0" w:firstLineChars="0"/>
                        <w:jc w:val="center"/>
                        <w:textAlignment w:val="auto"/>
                        <w:rPr>
                          <w:b/>
                          <w:bCs/>
                          <w:color w:val="FF0000"/>
                          <w:sz w:val="24"/>
                          <w:szCs w:val="24"/>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pPr>
                      <w:r>
                        <w:rPr>
                          <w:rFonts w:hint="eastAsia" w:cs="Times New Roman"/>
                          <w:b/>
                          <w:bCs/>
                          <w:color w:val="FF0000"/>
                          <w:sz w:val="24"/>
                          <w:szCs w:val="24"/>
                          <w:highlight w:val="none"/>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t>本项目场区</w:t>
                      </w:r>
                    </w:p>
                  </w:txbxContent>
                </v:textbox>
              </v:rect>
            </w:pict>
          </mc:Fallback>
        </mc:AlternateContent>
      </w:r>
    </w:p>
    <w:p>
      <w:pPr>
        <w:bidi w:val="0"/>
        <w:jc w:val="center"/>
        <w:rPr>
          <w:rFonts w:hint="default" w:ascii="Arial" w:hAnsi="Arial" w:eastAsia="宋体" w:cs="Arial"/>
          <w:b/>
          <w:bCs/>
          <w:color w:val="auto"/>
        </w:rPr>
      </w:pPr>
    </w:p>
    <w:p>
      <w:pPr>
        <w:bidi w:val="0"/>
        <w:jc w:val="center"/>
        <w:rPr>
          <w:rFonts w:hint="default" w:ascii="Arial" w:hAnsi="Arial" w:eastAsia="宋体" w:cs="Arial"/>
          <w:b/>
          <w:bCs/>
          <w:color w:val="auto"/>
        </w:rPr>
      </w:pPr>
      <w:r>
        <w:rPr>
          <w:rFonts w:hint="default" w:ascii="Arial" w:hAnsi="Arial" w:eastAsia="宋体" w:cs="Arial"/>
          <w:color w:val="auto"/>
          <w:sz w:val="32"/>
        </w:rPr>
        <mc:AlternateContent>
          <mc:Choice Requires="wps">
            <w:drawing>
              <wp:anchor distT="0" distB="0" distL="114300" distR="114300" simplePos="0" relativeHeight="251738112" behindDoc="0" locked="0" layoutInCell="1" allowOverlap="1">
                <wp:simplePos x="0" y="0"/>
                <wp:positionH relativeFrom="column">
                  <wp:posOffset>2954020</wp:posOffset>
                </wp:positionH>
                <wp:positionV relativeFrom="paragraph">
                  <wp:posOffset>88900</wp:posOffset>
                </wp:positionV>
                <wp:extent cx="884555" cy="325755"/>
                <wp:effectExtent l="0" t="0" r="0" b="0"/>
                <wp:wrapNone/>
                <wp:docPr id="116" name="矩形 116"/>
                <wp:cNvGraphicFramePr/>
                <a:graphic xmlns:a="http://schemas.openxmlformats.org/drawingml/2006/main">
                  <a:graphicData uri="http://schemas.microsoft.com/office/word/2010/wordprocessingShape">
                    <wps:wsp>
                      <wps:cNvSpPr/>
                      <wps:spPr>
                        <a:xfrm>
                          <a:off x="0" y="0"/>
                          <a:ext cx="884555" cy="32575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pPr>
                              <w:keepNext w:val="0"/>
                              <w:keepLines w:val="0"/>
                              <w:pageBreakBefore w:val="0"/>
                              <w:widowControl w:val="0"/>
                              <w:kinsoku/>
                              <w:wordWrap/>
                              <w:overflowPunct/>
                              <w:topLinePunct/>
                              <w:autoSpaceDE w:val="0"/>
                              <w:autoSpaceDN/>
                              <w:bidi w:val="0"/>
                              <w:adjustRightInd/>
                              <w:snapToGrid/>
                              <w:spacing w:line="240" w:lineRule="auto"/>
                              <w:ind w:firstLine="0" w:firstLineChars="0"/>
                              <w:jc w:val="center"/>
                              <w:textAlignment w:val="auto"/>
                              <w:rPr>
                                <w:b/>
                                <w:bCs/>
                                <w:color w:val="FFFF00"/>
                                <w:sz w:val="24"/>
                                <w:szCs w:val="24"/>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pPr>
                            <w:r>
                              <w:rPr>
                                <w:rFonts w:hint="eastAsia" w:cs="Times New Roman"/>
                                <w:b/>
                                <w:bCs/>
                                <w:color w:val="FFFF00"/>
                                <w:sz w:val="24"/>
                                <w:szCs w:val="24"/>
                                <w:highlight w:val="none"/>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t>林地</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32.6pt;margin-top:7pt;height:25.65pt;width:69.65pt;z-index:251738112;v-text-anchor:middle;mso-width-relative:page;mso-height-relative:page;" filled="f" stroked="f" coordsize="21600,21600" o:gfxdata="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Ls9eibXAAAACQEA&#10;AA8AAAAAAAAAAQAgAAAAIgAAAGRycy9kb3ducmV2LnhtbFBLAQIUABQAAAAIAIdO4kDxNKjGVAIA&#10;AJkEAAAOAAAAAAAAAAEAIAAAACYBAABkcnMvZTJvRG9jLnhtbFBLBQYAAAAABgAGAFkBAADsBQAA&#10;AAA=&#10;">
                <v:fill on="f" focussize="0,0"/>
                <v:stroke on="f" weight="2pt"/>
                <v:imagedata o:title=""/>
                <o:lock v:ext="edit" aspectratio="f"/>
                <v:textbox>
                  <w:txbxContent>
                    <w:p>
                      <w:pPr>
                        <w:keepNext w:val="0"/>
                        <w:keepLines w:val="0"/>
                        <w:pageBreakBefore w:val="0"/>
                        <w:widowControl w:val="0"/>
                        <w:kinsoku/>
                        <w:wordWrap/>
                        <w:overflowPunct/>
                        <w:topLinePunct/>
                        <w:autoSpaceDE w:val="0"/>
                        <w:autoSpaceDN/>
                        <w:bidi w:val="0"/>
                        <w:adjustRightInd/>
                        <w:snapToGrid/>
                        <w:spacing w:line="240" w:lineRule="auto"/>
                        <w:ind w:firstLine="0" w:firstLineChars="0"/>
                        <w:jc w:val="center"/>
                        <w:textAlignment w:val="auto"/>
                        <w:rPr>
                          <w:b/>
                          <w:bCs/>
                          <w:color w:val="FFFF00"/>
                          <w:sz w:val="24"/>
                          <w:szCs w:val="24"/>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pPr>
                      <w:r>
                        <w:rPr>
                          <w:rFonts w:hint="eastAsia" w:cs="Times New Roman"/>
                          <w:b/>
                          <w:bCs/>
                          <w:color w:val="FFFF00"/>
                          <w:sz w:val="24"/>
                          <w:szCs w:val="24"/>
                          <w:highlight w:val="none"/>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t>林地</w:t>
                      </w:r>
                    </w:p>
                  </w:txbxContent>
                </v:textbox>
              </v:rect>
            </w:pict>
          </mc:Fallback>
        </mc:AlternateContent>
      </w:r>
    </w:p>
    <w:p>
      <w:pPr>
        <w:bidi w:val="0"/>
        <w:jc w:val="center"/>
        <w:rPr>
          <w:rFonts w:hint="default" w:ascii="Arial" w:hAnsi="Arial" w:eastAsia="宋体" w:cs="Arial"/>
          <w:b/>
          <w:bCs/>
          <w:color w:val="auto"/>
        </w:rPr>
      </w:pPr>
    </w:p>
    <w:p>
      <w:pPr>
        <w:bidi w:val="0"/>
        <w:jc w:val="center"/>
        <w:rPr>
          <w:rFonts w:hint="default" w:ascii="Arial" w:hAnsi="Arial" w:eastAsia="宋体" w:cs="Arial"/>
          <w:b/>
          <w:bCs/>
          <w:color w:val="auto"/>
        </w:rPr>
      </w:pPr>
      <w:r>
        <w:rPr>
          <w:rFonts w:hint="default" w:ascii="Arial" w:hAnsi="Arial" w:eastAsia="宋体" w:cs="Arial"/>
          <w:color w:val="auto"/>
          <w:sz w:val="32"/>
        </w:rPr>
        <mc:AlternateContent>
          <mc:Choice Requires="wps">
            <w:drawing>
              <wp:anchor distT="0" distB="0" distL="114300" distR="114300" simplePos="0" relativeHeight="251739136" behindDoc="0" locked="0" layoutInCell="1" allowOverlap="1">
                <wp:simplePos x="0" y="0"/>
                <wp:positionH relativeFrom="column">
                  <wp:posOffset>3786505</wp:posOffset>
                </wp:positionH>
                <wp:positionV relativeFrom="paragraph">
                  <wp:posOffset>10795</wp:posOffset>
                </wp:positionV>
                <wp:extent cx="884555" cy="325755"/>
                <wp:effectExtent l="0" t="0" r="0" b="0"/>
                <wp:wrapNone/>
                <wp:docPr id="114" name="矩形 114"/>
                <wp:cNvGraphicFramePr/>
                <a:graphic xmlns:a="http://schemas.openxmlformats.org/drawingml/2006/main">
                  <a:graphicData uri="http://schemas.microsoft.com/office/word/2010/wordprocessingShape">
                    <wps:wsp>
                      <wps:cNvSpPr/>
                      <wps:spPr>
                        <a:xfrm>
                          <a:off x="0" y="0"/>
                          <a:ext cx="884555" cy="32575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pPr>
                              <w:keepNext w:val="0"/>
                              <w:keepLines w:val="0"/>
                              <w:pageBreakBefore w:val="0"/>
                              <w:widowControl w:val="0"/>
                              <w:kinsoku/>
                              <w:wordWrap/>
                              <w:overflowPunct/>
                              <w:topLinePunct/>
                              <w:autoSpaceDE w:val="0"/>
                              <w:autoSpaceDN/>
                              <w:bidi w:val="0"/>
                              <w:adjustRightInd/>
                              <w:snapToGrid/>
                              <w:spacing w:line="240" w:lineRule="auto"/>
                              <w:ind w:firstLine="0" w:firstLineChars="0"/>
                              <w:jc w:val="center"/>
                              <w:textAlignment w:val="auto"/>
                              <w:rPr>
                                <w:b/>
                                <w:bCs/>
                                <w:color w:val="FFFF00"/>
                                <w:sz w:val="24"/>
                                <w:szCs w:val="24"/>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pPr>
                            <w:r>
                              <w:rPr>
                                <w:rFonts w:hint="eastAsia" w:cs="Times New Roman"/>
                                <w:b/>
                                <w:bCs/>
                                <w:color w:val="FFFF00"/>
                                <w:sz w:val="24"/>
                                <w:szCs w:val="24"/>
                                <w:highlight w:val="none"/>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t>旱地</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98.15pt;margin-top:0.85pt;height:25.65pt;width:69.65pt;z-index:251739136;v-text-anchor:middle;mso-width-relative:page;mso-height-relative:page;" filled="f" stroked="f" coordsize="21600,21600" o:gfxdata="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">
                <v:fill on="f" focussize="0,0"/>
                <v:stroke on="f" weight="2pt"/>
                <v:imagedata o:title=""/>
                <o:lock v:ext="edit" aspectratio="f"/>
                <v:textbox>
                  <w:txbxContent>
                    <w:p>
                      <w:pPr>
                        <w:keepNext w:val="0"/>
                        <w:keepLines w:val="0"/>
                        <w:pageBreakBefore w:val="0"/>
                        <w:widowControl w:val="0"/>
                        <w:kinsoku/>
                        <w:wordWrap/>
                        <w:overflowPunct/>
                        <w:topLinePunct/>
                        <w:autoSpaceDE w:val="0"/>
                        <w:autoSpaceDN/>
                        <w:bidi w:val="0"/>
                        <w:adjustRightInd/>
                        <w:snapToGrid/>
                        <w:spacing w:line="240" w:lineRule="auto"/>
                        <w:ind w:firstLine="0" w:firstLineChars="0"/>
                        <w:jc w:val="center"/>
                        <w:textAlignment w:val="auto"/>
                        <w:rPr>
                          <w:b/>
                          <w:bCs/>
                          <w:color w:val="FFFF00"/>
                          <w:sz w:val="24"/>
                          <w:szCs w:val="24"/>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pPr>
                      <w:r>
                        <w:rPr>
                          <w:rFonts w:hint="eastAsia" w:cs="Times New Roman"/>
                          <w:b/>
                          <w:bCs/>
                          <w:color w:val="FFFF00"/>
                          <w:sz w:val="24"/>
                          <w:szCs w:val="24"/>
                          <w:highlight w:val="none"/>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t>旱地</w:t>
                      </w:r>
                    </w:p>
                  </w:txbxContent>
                </v:textbox>
              </v:rect>
            </w:pict>
          </mc:Fallback>
        </mc:AlternateContent>
      </w:r>
    </w:p>
    <w:p>
      <w:pPr>
        <w:bidi w:val="0"/>
        <w:jc w:val="center"/>
        <w:rPr>
          <w:rFonts w:hint="default" w:ascii="Arial" w:hAnsi="Arial" w:eastAsia="宋体" w:cs="Arial"/>
          <w:b/>
          <w:bCs/>
          <w:color w:val="auto"/>
        </w:rPr>
      </w:pPr>
      <w:r>
        <w:rPr>
          <w:rFonts w:hint="default" w:ascii="Arial" w:hAnsi="Arial" w:eastAsia="宋体" w:cs="Arial"/>
          <w:color w:val="auto"/>
          <w:sz w:val="32"/>
        </w:rPr>
        <mc:AlternateContent>
          <mc:Choice Requires="wps">
            <w:drawing>
              <wp:anchor distT="0" distB="0" distL="114300" distR="114300" simplePos="0" relativeHeight="251741184" behindDoc="0" locked="0" layoutInCell="1" allowOverlap="1">
                <wp:simplePos x="0" y="0"/>
                <wp:positionH relativeFrom="column">
                  <wp:posOffset>4646930</wp:posOffset>
                </wp:positionH>
                <wp:positionV relativeFrom="paragraph">
                  <wp:posOffset>107315</wp:posOffset>
                </wp:positionV>
                <wp:extent cx="884555" cy="325755"/>
                <wp:effectExtent l="0" t="0" r="0" b="0"/>
                <wp:wrapNone/>
                <wp:docPr id="118" name="矩形 118"/>
                <wp:cNvGraphicFramePr/>
                <a:graphic xmlns:a="http://schemas.openxmlformats.org/drawingml/2006/main">
                  <a:graphicData uri="http://schemas.microsoft.com/office/word/2010/wordprocessingShape">
                    <wps:wsp>
                      <wps:cNvSpPr/>
                      <wps:spPr>
                        <a:xfrm>
                          <a:off x="0" y="0"/>
                          <a:ext cx="884555" cy="32575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pPr>
                              <w:keepNext w:val="0"/>
                              <w:keepLines w:val="0"/>
                              <w:pageBreakBefore w:val="0"/>
                              <w:widowControl w:val="0"/>
                              <w:kinsoku/>
                              <w:wordWrap/>
                              <w:overflowPunct/>
                              <w:topLinePunct/>
                              <w:autoSpaceDE w:val="0"/>
                              <w:autoSpaceDN/>
                              <w:bidi w:val="0"/>
                              <w:adjustRightInd/>
                              <w:snapToGrid/>
                              <w:spacing w:line="240" w:lineRule="auto"/>
                              <w:ind w:firstLine="0" w:firstLineChars="0"/>
                              <w:jc w:val="center"/>
                              <w:textAlignment w:val="auto"/>
                              <w:rPr>
                                <w:b/>
                                <w:bCs/>
                                <w:color w:val="FFFF00"/>
                                <w:sz w:val="24"/>
                                <w:szCs w:val="24"/>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pPr>
                            <w:r>
                              <w:rPr>
                                <w:rFonts w:hint="eastAsia" w:cs="Times New Roman"/>
                                <w:b/>
                                <w:bCs/>
                                <w:color w:val="FFFF00"/>
                                <w:sz w:val="24"/>
                                <w:szCs w:val="24"/>
                                <w:highlight w:val="none"/>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t>五排干</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65.9pt;margin-top:8.45pt;height:25.65pt;width:69.65pt;z-index:251741184;v-text-anchor:middle;mso-width-relative:page;mso-height-relative:page;" filled="f" stroked="f" coordsize="21600,21600" o:gfxdata="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H05R4DYAAAACQEA&#10;AA8AAAAAAAAAAQAgAAAAIgAAAGRycy9kb3ducmV2LnhtbFBLAQIUABQAAAAIAIdO4kBFuMkWUwIA&#10;AJkEAAAOAAAAAAAAAAEAIAAAACcBAABkcnMvZTJvRG9jLnhtbFBLBQYAAAAABgAGAFkBAADsBQAA&#10;AAA=&#10;">
                <v:fill on="f" focussize="0,0"/>
                <v:stroke on="f" weight="2pt"/>
                <v:imagedata o:title=""/>
                <o:lock v:ext="edit" aspectratio="f"/>
                <v:textbox>
                  <w:txbxContent>
                    <w:p>
                      <w:pPr>
                        <w:keepNext w:val="0"/>
                        <w:keepLines w:val="0"/>
                        <w:pageBreakBefore w:val="0"/>
                        <w:widowControl w:val="0"/>
                        <w:kinsoku/>
                        <w:wordWrap/>
                        <w:overflowPunct/>
                        <w:topLinePunct/>
                        <w:autoSpaceDE w:val="0"/>
                        <w:autoSpaceDN/>
                        <w:bidi w:val="0"/>
                        <w:adjustRightInd/>
                        <w:snapToGrid/>
                        <w:spacing w:line="240" w:lineRule="auto"/>
                        <w:ind w:firstLine="0" w:firstLineChars="0"/>
                        <w:jc w:val="center"/>
                        <w:textAlignment w:val="auto"/>
                        <w:rPr>
                          <w:b/>
                          <w:bCs/>
                          <w:color w:val="FFFF00"/>
                          <w:sz w:val="24"/>
                          <w:szCs w:val="24"/>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pPr>
                      <w:r>
                        <w:rPr>
                          <w:rFonts w:hint="eastAsia" w:cs="Times New Roman"/>
                          <w:b/>
                          <w:bCs/>
                          <w:color w:val="FFFF00"/>
                          <w:sz w:val="24"/>
                          <w:szCs w:val="24"/>
                          <w:highlight w:val="none"/>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t>五排干</w:t>
                      </w:r>
                    </w:p>
                  </w:txbxContent>
                </v:textbox>
              </v:rect>
            </w:pict>
          </mc:Fallback>
        </mc:AlternateContent>
      </w:r>
    </w:p>
    <w:p>
      <w:pPr>
        <w:bidi w:val="0"/>
        <w:jc w:val="center"/>
        <w:rPr>
          <w:rFonts w:hint="default" w:ascii="Arial" w:hAnsi="Arial" w:eastAsia="宋体" w:cs="Arial"/>
          <w:b/>
          <w:bCs/>
          <w:color w:val="auto"/>
        </w:rPr>
      </w:pPr>
    </w:p>
    <w:p>
      <w:pPr>
        <w:bidi w:val="0"/>
        <w:jc w:val="center"/>
        <w:rPr>
          <w:rFonts w:hint="default" w:ascii="Arial" w:hAnsi="Arial" w:eastAsia="宋体" w:cs="Arial"/>
          <w:b/>
          <w:bCs/>
          <w:color w:val="auto"/>
        </w:rPr>
      </w:pPr>
    </w:p>
    <w:p>
      <w:pPr>
        <w:bidi w:val="0"/>
        <w:jc w:val="center"/>
        <w:rPr>
          <w:rFonts w:hint="default" w:ascii="Arial" w:hAnsi="Arial" w:eastAsia="宋体" w:cs="Arial"/>
          <w:b/>
          <w:bCs/>
          <w:color w:val="auto"/>
        </w:rPr>
      </w:pPr>
    </w:p>
    <w:p>
      <w:pPr>
        <w:bidi w:val="0"/>
        <w:jc w:val="center"/>
        <w:rPr>
          <w:rFonts w:hint="default" w:ascii="Arial" w:hAnsi="Arial" w:eastAsia="宋体" w:cs="Arial"/>
          <w:b/>
          <w:bCs/>
          <w:color w:val="auto"/>
        </w:rPr>
      </w:pPr>
    </w:p>
    <w:p>
      <w:pPr>
        <w:bidi w:val="0"/>
        <w:jc w:val="center"/>
        <w:rPr>
          <w:rFonts w:hint="default" w:ascii="Arial" w:hAnsi="Arial" w:eastAsia="宋体" w:cs="Arial"/>
          <w:b/>
          <w:bCs/>
          <w:color w:val="auto"/>
        </w:rPr>
      </w:pPr>
      <w:r>
        <w:rPr>
          <w:rFonts w:hint="default" w:ascii="Arial" w:hAnsi="Arial" w:eastAsia="宋体" w:cs="Arial"/>
          <w:b/>
          <w:bCs/>
          <w:color w:val="auto"/>
        </w:rPr>
        <w:t>图3.1-</w:t>
      </w:r>
      <w:r>
        <w:rPr>
          <w:rFonts w:hint="default" w:ascii="Arial" w:hAnsi="Arial" w:eastAsia="宋体" w:cs="Arial"/>
          <w:b/>
          <w:bCs/>
          <w:color w:val="auto"/>
          <w:lang w:val="en-US" w:eastAsia="zh-CN"/>
        </w:rPr>
        <w:t>2</w:t>
      </w:r>
      <w:r>
        <w:rPr>
          <w:rFonts w:hint="default" w:ascii="Arial" w:hAnsi="Arial" w:eastAsia="宋体" w:cs="Arial"/>
          <w:b/>
          <w:bCs/>
          <w:color w:val="auto"/>
        </w:rPr>
        <w:t xml:space="preserve">    项目四邻关系图</w:t>
      </w:r>
    </w:p>
    <w:p>
      <w:pPr>
        <w:pStyle w:val="22"/>
        <w:ind w:left="0" w:leftChars="0" w:firstLine="0" w:firstLineChars="0"/>
        <w:rPr>
          <w:rFonts w:hint="default" w:ascii="Arial" w:hAnsi="Arial" w:eastAsia="宋体" w:cs="Arial"/>
          <w:color w:val="auto"/>
          <w:szCs w:val="24"/>
          <w:highlight w:val="none"/>
        </w:rPr>
        <w:sectPr>
          <w:pgSz w:w="16838" w:h="11906" w:orient="landscape"/>
          <w:pgMar w:top="1701" w:right="1418" w:bottom="1418" w:left="1247" w:header="851" w:footer="680" w:gutter="0"/>
          <w:pgBorders>
            <w:top w:val="none" w:sz="0" w:space="0"/>
            <w:left w:val="none" w:sz="0" w:space="0"/>
            <w:bottom w:val="none" w:sz="0" w:space="0"/>
            <w:right w:val="none" w:sz="0" w:space="0"/>
          </w:pgBorders>
          <w:pgNumType w:fmt="numberInDash"/>
          <w:cols w:space="425" w:num="1"/>
          <w:docGrid w:linePitch="326" w:charSpace="0"/>
        </w:sectPr>
      </w:pPr>
    </w:p>
    <w:p>
      <w:pPr>
        <w:pStyle w:val="6"/>
        <w:rPr>
          <w:rFonts w:hint="default" w:ascii="Arial" w:hAnsi="Arial" w:eastAsia="宋体" w:cs="Arial"/>
          <w:color w:val="auto"/>
          <w:highlight w:val="none"/>
        </w:rPr>
      </w:pPr>
      <w:bookmarkStart w:id="195" w:name="_Toc494206284"/>
      <w:bookmarkStart w:id="196" w:name="_Toc512871542"/>
      <w:bookmarkStart w:id="197" w:name="_Toc13885"/>
      <w:r>
        <w:rPr>
          <w:rFonts w:hint="default" w:ascii="Arial" w:hAnsi="Arial" w:eastAsia="宋体" w:cs="Arial"/>
          <w:color w:val="auto"/>
          <w:highlight w:val="none"/>
        </w:rPr>
        <w:t>3.1.2项目组成</w:t>
      </w:r>
      <w:bookmarkEnd w:id="195"/>
      <w:r>
        <w:rPr>
          <w:rFonts w:hint="default" w:ascii="Arial" w:hAnsi="Arial" w:eastAsia="宋体" w:cs="Arial"/>
          <w:color w:val="auto"/>
          <w:highlight w:val="none"/>
        </w:rPr>
        <w:t>及建设内容</w:t>
      </w:r>
      <w:bookmarkEnd w:id="196"/>
      <w:bookmarkEnd w:id="197"/>
    </w:p>
    <w:p>
      <w:pPr>
        <w:ind w:firstLine="480"/>
        <w:rPr>
          <w:rFonts w:hint="default" w:ascii="Arial" w:hAnsi="Arial" w:eastAsia="宋体" w:cs="Arial"/>
          <w:color w:val="auto"/>
          <w:highlight w:val="none"/>
        </w:rPr>
      </w:pPr>
      <w:r>
        <w:rPr>
          <w:rFonts w:hint="default" w:ascii="Arial" w:hAnsi="Arial" w:eastAsia="宋体" w:cs="Arial"/>
          <w:color w:val="auto"/>
          <w:highlight w:val="none"/>
        </w:rPr>
        <w:t>本项目为</w:t>
      </w:r>
      <w:r>
        <w:rPr>
          <w:rFonts w:hint="default" w:ascii="Arial" w:hAnsi="Arial" w:eastAsia="宋体" w:cs="Arial"/>
          <w:color w:val="auto"/>
          <w:highlight w:val="none"/>
          <w:lang w:eastAsia="zh-CN"/>
        </w:rPr>
        <w:t>规模化肉牛养殖项目</w:t>
      </w:r>
      <w:r>
        <w:rPr>
          <w:rFonts w:hint="default" w:ascii="Arial" w:hAnsi="Arial" w:eastAsia="宋体" w:cs="Arial"/>
          <w:color w:val="auto"/>
          <w:highlight w:val="none"/>
        </w:rPr>
        <w:t>，建设内容主要</w:t>
      </w:r>
      <w:r>
        <w:rPr>
          <w:rFonts w:hint="default" w:ascii="Arial" w:hAnsi="Arial" w:eastAsia="宋体" w:cs="Arial"/>
          <w:color w:val="auto"/>
          <w:highlight w:val="none"/>
          <w:lang w:eastAsia="zh-CN"/>
        </w:rPr>
        <w:t>为</w:t>
      </w:r>
      <w:r>
        <w:rPr>
          <w:rFonts w:hint="default" w:ascii="Arial" w:hAnsi="Arial" w:eastAsia="宋体" w:cs="Arial"/>
          <w:color w:val="auto"/>
          <w:highlight w:val="none"/>
        </w:rPr>
        <w:t>牛舍、</w:t>
      </w:r>
      <w:r>
        <w:rPr>
          <w:rFonts w:hint="default" w:ascii="Arial" w:hAnsi="Arial" w:eastAsia="宋体" w:cs="Arial"/>
          <w:color w:val="auto"/>
          <w:highlight w:val="none"/>
          <w:lang w:val="en-US" w:eastAsia="zh-CN"/>
        </w:rPr>
        <w:t>饲草料库房、青贮池、办公室、宿舍</w:t>
      </w:r>
      <w:r>
        <w:rPr>
          <w:rFonts w:hint="default" w:ascii="Arial" w:hAnsi="Arial" w:eastAsia="宋体" w:cs="Arial"/>
          <w:color w:val="auto"/>
          <w:highlight w:val="none"/>
        </w:rPr>
        <w:t>等，并配套建设</w:t>
      </w:r>
      <w:r>
        <w:rPr>
          <w:rFonts w:hint="default" w:ascii="Arial" w:hAnsi="Arial" w:eastAsia="宋体" w:cs="Arial"/>
          <w:color w:val="auto"/>
          <w:highlight w:val="none"/>
          <w:lang w:eastAsia="zh-CN"/>
        </w:rPr>
        <w:t>堆肥场</w:t>
      </w:r>
      <w:r>
        <w:rPr>
          <w:rFonts w:hint="default" w:ascii="Arial" w:hAnsi="Arial" w:eastAsia="宋体" w:cs="Arial"/>
          <w:color w:val="auto"/>
          <w:highlight w:val="none"/>
        </w:rPr>
        <w:t>等环保工程，项目组成见表3.1-</w:t>
      </w:r>
      <w:r>
        <w:rPr>
          <w:rFonts w:hint="default" w:ascii="Arial" w:hAnsi="Arial" w:eastAsia="宋体" w:cs="Arial"/>
          <w:color w:val="auto"/>
          <w:highlight w:val="none"/>
          <w:lang w:val="en-US" w:eastAsia="zh-CN"/>
        </w:rPr>
        <w:t>3</w:t>
      </w:r>
      <w:r>
        <w:rPr>
          <w:rFonts w:hint="default" w:ascii="Arial" w:hAnsi="Arial" w:eastAsia="宋体" w:cs="Arial"/>
          <w:color w:val="auto"/>
          <w:highlight w:val="none"/>
        </w:rPr>
        <w:t>。</w:t>
      </w:r>
    </w:p>
    <w:p>
      <w:pPr>
        <w:pStyle w:val="8"/>
        <w:rPr>
          <w:rFonts w:hint="default" w:ascii="Arial" w:hAnsi="Arial" w:eastAsia="宋体" w:cs="Arial"/>
          <w:color w:val="auto"/>
          <w:highlight w:val="none"/>
        </w:rPr>
      </w:pPr>
      <w:r>
        <w:rPr>
          <w:rFonts w:hint="default" w:ascii="Arial" w:hAnsi="Arial" w:eastAsia="宋体" w:cs="Arial"/>
          <w:color w:val="auto"/>
          <w:highlight w:val="none"/>
        </w:rPr>
        <w:t>表3.1-</w:t>
      </w:r>
      <w:r>
        <w:rPr>
          <w:rFonts w:hint="default" w:ascii="Arial" w:hAnsi="Arial" w:eastAsia="宋体" w:cs="Arial"/>
          <w:color w:val="auto"/>
          <w:highlight w:val="none"/>
          <w:lang w:val="en-US" w:eastAsia="zh-CN"/>
        </w:rPr>
        <w:t>3</w:t>
      </w:r>
      <w:r>
        <w:rPr>
          <w:rFonts w:hint="default" w:ascii="Arial" w:hAnsi="Arial" w:eastAsia="宋体" w:cs="Arial"/>
          <w:color w:val="auto"/>
          <w:highlight w:val="none"/>
        </w:rPr>
        <w:t xml:space="preserve">    项目组成及建设内容一览表</w:t>
      </w:r>
    </w:p>
    <w:tbl>
      <w:tblPr>
        <w:tblStyle w:val="39"/>
        <w:tblW w:w="9003" w:type="dxa"/>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1071"/>
        <w:gridCol w:w="1071"/>
        <w:gridCol w:w="1071"/>
        <w:gridCol w:w="3386"/>
        <w:gridCol w:w="2404"/>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071"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类别</w:t>
            </w:r>
          </w:p>
        </w:tc>
        <w:tc>
          <w:tcPr>
            <w:tcW w:w="2142" w:type="dxa"/>
            <w:gridSpan w:val="2"/>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项目名称</w:t>
            </w:r>
          </w:p>
        </w:tc>
        <w:tc>
          <w:tcPr>
            <w:tcW w:w="5790" w:type="dxa"/>
            <w:gridSpan w:val="2"/>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建设内容</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071"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主体工程</w:t>
            </w:r>
          </w:p>
        </w:tc>
        <w:tc>
          <w:tcPr>
            <w:tcW w:w="2142" w:type="dxa"/>
            <w:gridSpan w:val="2"/>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contextualSpacing/>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highlight w:val="none"/>
                <w:lang w:val="en-US" w:eastAsia="zh-CN" w:bidi="ar-SA"/>
              </w:rPr>
              <w:t>养殖区</w:t>
            </w:r>
          </w:p>
        </w:tc>
        <w:tc>
          <w:tcPr>
            <w:tcW w:w="5790" w:type="dxa"/>
            <w:gridSpan w:val="2"/>
            <w:vAlign w:val="center"/>
          </w:tcPr>
          <w:p>
            <w:pPr>
              <w:keepNext w:val="0"/>
              <w:keepLines w:val="0"/>
              <w:pageBreakBefore w:val="0"/>
              <w:widowControl w:val="0"/>
              <w:kinsoku/>
              <w:wordWrap/>
              <w:overflowPunct/>
              <w:topLinePunct w:val="0"/>
              <w:autoSpaceDE/>
              <w:autoSpaceDN/>
              <w:bidi w:val="0"/>
              <w:adjustRightInd/>
              <w:snapToGrid/>
              <w:spacing w:line="360" w:lineRule="exact"/>
              <w:ind w:firstLine="420" w:firstLineChars="200"/>
              <w:contextualSpacing/>
              <w:jc w:val="left"/>
              <w:textAlignment w:val="auto"/>
              <w:rPr>
                <w:rFonts w:hint="default" w:ascii="Arial" w:hAnsi="Arial" w:eastAsia="宋体" w:cs="Arial"/>
                <w:color w:val="auto"/>
                <w:sz w:val="21"/>
                <w:szCs w:val="21"/>
                <w:highlight w:val="yellow"/>
                <w:lang w:eastAsia="zh-CN"/>
              </w:rPr>
            </w:pPr>
            <w:r>
              <w:rPr>
                <w:rFonts w:hint="default" w:ascii="Arial" w:hAnsi="Arial" w:eastAsia="宋体" w:cs="Arial"/>
                <w:color w:val="auto"/>
                <w:sz w:val="21"/>
                <w:szCs w:val="21"/>
                <w:lang w:eastAsia="zh-CN"/>
              </w:rPr>
              <w:t>共建设</w:t>
            </w:r>
            <w:r>
              <w:rPr>
                <w:rFonts w:hint="default" w:ascii="Arial" w:hAnsi="Arial" w:eastAsia="宋体" w:cs="Arial"/>
                <w:color w:val="auto"/>
                <w:sz w:val="21"/>
                <w:szCs w:val="21"/>
                <w:lang w:val="en-US" w:eastAsia="zh-CN"/>
              </w:rPr>
              <w:t>8个标准化单元区，每个单元区建设5座牛舍，每座牛舍建筑面积均为5000m</w:t>
            </w:r>
            <w:r>
              <w:rPr>
                <w:rFonts w:hint="default" w:ascii="Arial" w:hAnsi="Arial" w:eastAsia="宋体" w:cs="Arial"/>
                <w:color w:val="auto"/>
                <w:sz w:val="21"/>
                <w:szCs w:val="21"/>
                <w:vertAlign w:val="superscript"/>
                <w:lang w:val="en-US" w:eastAsia="zh-CN"/>
              </w:rPr>
              <w:t>2</w:t>
            </w:r>
            <w:r>
              <w:rPr>
                <w:rFonts w:hint="default" w:ascii="Arial" w:hAnsi="Arial" w:eastAsia="宋体" w:cs="Arial"/>
                <w:color w:val="auto"/>
                <w:sz w:val="21"/>
                <w:szCs w:val="21"/>
                <w:lang w:val="en-US" w:eastAsia="zh-CN"/>
              </w:rPr>
              <w:t>，</w:t>
            </w:r>
            <w:r>
              <w:rPr>
                <w:rFonts w:hint="default" w:ascii="Arial" w:hAnsi="Arial" w:eastAsia="宋体" w:cs="Arial"/>
                <w:color w:val="auto"/>
                <w:sz w:val="21"/>
                <w:szCs w:val="21"/>
              </w:rPr>
              <w:t>采用混凝土独立基础，</w:t>
            </w:r>
            <w:r>
              <w:rPr>
                <w:rFonts w:hint="default" w:ascii="Arial" w:hAnsi="Arial" w:eastAsia="宋体" w:cs="Arial"/>
                <w:color w:val="auto"/>
                <w:sz w:val="21"/>
                <w:szCs w:val="21"/>
                <w:lang w:val="en-US" w:eastAsia="zh-CN"/>
              </w:rPr>
              <w:t>钢结构</w:t>
            </w:r>
            <w:r>
              <w:rPr>
                <w:rFonts w:hint="default" w:ascii="Arial" w:hAnsi="Arial" w:eastAsia="宋体" w:cs="Arial"/>
                <w:color w:val="auto"/>
                <w:sz w:val="21"/>
                <w:szCs w:val="21"/>
              </w:rPr>
              <w:t>。高4.5</w:t>
            </w:r>
            <w:r>
              <w:rPr>
                <w:rFonts w:hint="default" w:ascii="Arial" w:hAnsi="Arial" w:eastAsia="宋体" w:cs="Arial"/>
                <w:color w:val="auto"/>
                <w:sz w:val="21"/>
                <w:szCs w:val="21"/>
                <w:lang w:val="en-US" w:eastAsia="zh-CN"/>
              </w:rPr>
              <w:t>~</w:t>
            </w:r>
            <w:r>
              <w:rPr>
                <w:rFonts w:hint="default" w:ascii="Arial" w:hAnsi="Arial" w:eastAsia="宋体" w:cs="Arial"/>
                <w:color w:val="auto"/>
                <w:sz w:val="21"/>
                <w:szCs w:val="21"/>
              </w:rPr>
              <w:t>5m</w:t>
            </w:r>
            <w:r>
              <w:rPr>
                <w:rFonts w:hint="default" w:ascii="Arial" w:hAnsi="Arial" w:eastAsia="宋体" w:cs="Arial"/>
                <w:color w:val="auto"/>
                <w:sz w:val="21"/>
                <w:szCs w:val="21"/>
                <w:lang w:eastAsia="zh-CN"/>
              </w:rPr>
              <w:t>，</w:t>
            </w:r>
            <w:r>
              <w:rPr>
                <w:rFonts w:hint="default" w:ascii="Arial" w:hAnsi="Arial" w:eastAsia="宋体" w:cs="Arial"/>
                <w:color w:val="auto"/>
                <w:sz w:val="21"/>
                <w:szCs w:val="21"/>
              </w:rPr>
              <w:t>屋檐居地面2.8</w:t>
            </w:r>
            <w:r>
              <w:rPr>
                <w:rFonts w:hint="default" w:ascii="Arial" w:hAnsi="Arial" w:eastAsia="宋体" w:cs="Arial"/>
                <w:color w:val="auto"/>
                <w:sz w:val="21"/>
                <w:szCs w:val="21"/>
                <w:lang w:val="en-US" w:eastAsia="zh-CN"/>
              </w:rPr>
              <w:t>~</w:t>
            </w:r>
            <w:r>
              <w:rPr>
                <w:rFonts w:hint="default" w:ascii="Arial" w:hAnsi="Arial" w:eastAsia="宋体" w:cs="Arial"/>
                <w:color w:val="auto"/>
                <w:sz w:val="21"/>
                <w:szCs w:val="21"/>
              </w:rPr>
              <w:t>3.3m</w:t>
            </w:r>
            <w:r>
              <w:rPr>
                <w:rFonts w:hint="default" w:ascii="Arial" w:hAnsi="Arial" w:eastAsia="宋体" w:cs="Arial"/>
                <w:color w:val="auto"/>
                <w:sz w:val="21"/>
                <w:szCs w:val="21"/>
                <w:lang w:eastAsia="zh-CN"/>
              </w:rPr>
              <w:t>，</w:t>
            </w:r>
            <w:r>
              <w:rPr>
                <w:rFonts w:hint="default" w:ascii="Arial" w:hAnsi="Arial" w:eastAsia="宋体" w:cs="Arial"/>
                <w:color w:val="auto"/>
                <w:sz w:val="21"/>
                <w:szCs w:val="21"/>
                <w:highlight w:val="none"/>
                <w:lang w:val="en-US" w:eastAsia="zh-CN"/>
              </w:rPr>
              <w:t>牛舍内地面采用混凝土地面</w:t>
            </w:r>
            <w:r>
              <w:rPr>
                <w:rFonts w:hint="default" w:ascii="Arial" w:hAnsi="Arial" w:eastAsia="宋体" w:cs="Arial"/>
                <w:color w:val="auto"/>
                <w:sz w:val="21"/>
                <w:szCs w:val="21"/>
                <w:highlight w:val="none"/>
                <w:lang w:eastAsia="zh-CN"/>
              </w:rPr>
              <w:t>。</w:t>
            </w:r>
          </w:p>
          <w:p>
            <w:pPr>
              <w:keepNext w:val="0"/>
              <w:keepLines w:val="0"/>
              <w:pageBreakBefore w:val="0"/>
              <w:widowControl w:val="0"/>
              <w:kinsoku/>
              <w:wordWrap/>
              <w:overflowPunct/>
              <w:topLinePunct w:val="0"/>
              <w:autoSpaceDE/>
              <w:autoSpaceDN/>
              <w:bidi w:val="0"/>
              <w:adjustRightInd/>
              <w:snapToGrid/>
              <w:spacing w:line="360" w:lineRule="exact"/>
              <w:ind w:firstLine="420" w:firstLineChars="200"/>
              <w:contextualSpacing/>
              <w:jc w:val="left"/>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同时配套建设25个运动场，占地总面积为240000m</w:t>
            </w:r>
            <w:r>
              <w:rPr>
                <w:rFonts w:hint="default" w:ascii="Arial" w:hAnsi="Arial" w:eastAsia="宋体" w:cs="Arial"/>
                <w:color w:val="auto"/>
                <w:sz w:val="21"/>
                <w:szCs w:val="21"/>
                <w:vertAlign w:val="superscript"/>
                <w:lang w:val="en-US" w:eastAsia="zh-CN"/>
              </w:rPr>
              <w:t>2</w:t>
            </w:r>
            <w:r>
              <w:rPr>
                <w:rFonts w:hint="default" w:ascii="Arial" w:hAnsi="Arial" w:eastAsia="宋体" w:cs="Arial"/>
                <w:color w:val="auto"/>
                <w:sz w:val="21"/>
                <w:szCs w:val="21"/>
                <w:lang w:eastAsia="zh-CN"/>
              </w:rPr>
              <w:t>，</w:t>
            </w:r>
            <w:r>
              <w:rPr>
                <w:rFonts w:hint="default" w:ascii="Arial" w:hAnsi="Arial" w:eastAsia="宋体" w:cs="Arial"/>
                <w:color w:val="auto"/>
                <w:sz w:val="21"/>
                <w:szCs w:val="21"/>
                <w:lang w:val="en-US" w:eastAsia="zh-CN"/>
              </w:rPr>
              <w:t>运动场</w:t>
            </w:r>
            <w:r>
              <w:rPr>
                <w:rFonts w:hint="default" w:ascii="Arial" w:hAnsi="Arial" w:eastAsia="宋体" w:cs="Arial"/>
                <w:color w:val="auto"/>
                <w:kern w:val="2"/>
                <w:sz w:val="21"/>
                <w:szCs w:val="21"/>
                <w:highlight w:val="none"/>
                <w:vertAlign w:val="baseline"/>
                <w:lang w:val="en-US" w:eastAsia="zh-CN"/>
              </w:rPr>
              <w:t>位于每栋牛舍之间（南侧），</w:t>
            </w:r>
            <w:r>
              <w:rPr>
                <w:rFonts w:hint="default" w:ascii="Arial" w:hAnsi="Arial" w:eastAsia="宋体" w:cs="Arial"/>
                <w:color w:val="auto"/>
                <w:kern w:val="2"/>
                <w:sz w:val="21"/>
                <w:szCs w:val="21"/>
                <w:highlight w:val="none"/>
                <w:vertAlign w:val="baseline"/>
                <w:lang w:eastAsia="zh-CN"/>
              </w:rPr>
              <w:t>均为露天场地，四周设置钢结构围栏，</w:t>
            </w:r>
            <w:r>
              <w:rPr>
                <w:rFonts w:hint="default" w:ascii="Arial" w:hAnsi="Arial" w:eastAsia="宋体" w:cs="Arial"/>
                <w:color w:val="auto"/>
                <w:kern w:val="2"/>
                <w:sz w:val="21"/>
                <w:szCs w:val="21"/>
                <w:highlight w:val="none"/>
                <w:vertAlign w:val="baseline"/>
                <w:lang w:val="en-US" w:eastAsia="zh-CN"/>
              </w:rPr>
              <w:t>运动场采用素地面</w:t>
            </w:r>
            <w:r>
              <w:rPr>
                <w:rFonts w:hint="default" w:ascii="Arial" w:hAnsi="Arial" w:eastAsia="宋体" w:cs="Arial"/>
                <w:color w:val="auto"/>
                <w:kern w:val="2"/>
                <w:sz w:val="21"/>
                <w:szCs w:val="21"/>
                <w:highlight w:val="none"/>
              </w:rPr>
              <w:t>。</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071" w:type="dxa"/>
            <w:vMerge w:val="restart"/>
            <w:tcBorders>
              <w:top w:val="single" w:color="auto" w:sz="4" w:space="0"/>
            </w:tcBorders>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辅助</w:t>
            </w:r>
          </w:p>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工程</w:t>
            </w:r>
          </w:p>
        </w:tc>
        <w:tc>
          <w:tcPr>
            <w:tcW w:w="2142" w:type="dxa"/>
            <w:gridSpan w:val="2"/>
            <w:tcBorders>
              <w:top w:val="single" w:color="auto" w:sz="4" w:space="0"/>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contextualSpacing/>
              <w:jc w:val="center"/>
              <w:rPr>
                <w:rFonts w:hint="default" w:ascii="Arial" w:hAnsi="Arial" w:eastAsia="宋体" w:cs="Arial"/>
                <w:color w:val="auto"/>
                <w:kern w:val="0"/>
                <w:sz w:val="21"/>
                <w:szCs w:val="21"/>
                <w:lang w:val="en-US" w:eastAsia="zh-CN" w:bidi="ar-SA"/>
              </w:rPr>
            </w:pPr>
            <w:r>
              <w:rPr>
                <w:rFonts w:hint="default" w:ascii="Arial" w:hAnsi="Arial" w:eastAsia="宋体" w:cs="Arial"/>
                <w:color w:val="auto"/>
                <w:kern w:val="0"/>
                <w:sz w:val="21"/>
                <w:szCs w:val="21"/>
                <w:lang w:val="en-US" w:eastAsia="zh-CN"/>
              </w:rPr>
              <w:t>青贮池</w:t>
            </w:r>
          </w:p>
        </w:tc>
        <w:tc>
          <w:tcPr>
            <w:tcW w:w="5790" w:type="dxa"/>
            <w:gridSpan w:val="2"/>
            <w:vAlign w:val="center"/>
          </w:tcPr>
          <w:p>
            <w:pPr>
              <w:keepNext w:val="0"/>
              <w:keepLines w:val="0"/>
              <w:pageBreakBefore w:val="0"/>
              <w:widowControl w:val="0"/>
              <w:kinsoku/>
              <w:wordWrap/>
              <w:overflowPunct/>
              <w:topLinePunct w:val="0"/>
              <w:autoSpaceDE/>
              <w:autoSpaceDN/>
              <w:bidi w:val="0"/>
              <w:adjustRightInd/>
              <w:snapToGrid/>
              <w:spacing w:line="360" w:lineRule="exact"/>
              <w:ind w:firstLine="420" w:firstLineChars="200"/>
              <w:contextualSpacing/>
              <w:jc w:val="left"/>
              <w:textAlignment w:val="auto"/>
              <w:rPr>
                <w:rFonts w:hint="default" w:ascii="Arial" w:hAnsi="Arial" w:eastAsia="宋体" w:cs="Arial"/>
                <w:color w:val="auto"/>
                <w:kern w:val="2"/>
                <w:sz w:val="21"/>
                <w:szCs w:val="21"/>
                <w:highlight w:val="none"/>
                <w:vertAlign w:val="baseline"/>
                <w:lang w:val="en-US" w:eastAsia="zh-CN" w:bidi="ar-SA"/>
              </w:rPr>
            </w:pPr>
            <w:r>
              <w:rPr>
                <w:rFonts w:hint="default" w:ascii="Arial" w:hAnsi="Arial" w:eastAsia="宋体" w:cs="Arial"/>
                <w:color w:val="auto"/>
                <w:sz w:val="21"/>
                <w:szCs w:val="21"/>
                <w:lang w:eastAsia="zh-CN"/>
              </w:rPr>
              <w:t>位于厂区中部，每个</w:t>
            </w:r>
            <w:r>
              <w:rPr>
                <w:rFonts w:hint="default" w:ascii="Arial" w:hAnsi="Arial" w:eastAsia="宋体" w:cs="Arial"/>
                <w:color w:val="auto"/>
                <w:sz w:val="21"/>
                <w:szCs w:val="21"/>
                <w:lang w:val="en-US" w:eastAsia="zh-CN"/>
              </w:rPr>
              <w:t>标准化单元区设置1座青贮池，</w:t>
            </w:r>
            <w:r>
              <w:rPr>
                <w:rFonts w:hint="default" w:ascii="Arial" w:hAnsi="Arial" w:eastAsia="宋体" w:cs="Arial"/>
                <w:color w:val="auto"/>
                <w:kern w:val="0"/>
                <w:sz w:val="21"/>
                <w:szCs w:val="21"/>
                <w:lang w:val="en-US" w:eastAsia="zh-CN"/>
              </w:rPr>
              <w:t>每座容积为750</w:t>
            </w:r>
            <w:r>
              <w:rPr>
                <w:rFonts w:hint="default" w:ascii="Arial" w:hAnsi="Arial" w:eastAsia="宋体" w:cs="Arial"/>
                <w:color w:val="auto"/>
                <w:sz w:val="21"/>
                <w:szCs w:val="21"/>
                <w:lang w:val="en-US" w:eastAsia="zh-CN"/>
              </w:rPr>
              <w:t>m</w:t>
            </w:r>
            <w:r>
              <w:rPr>
                <w:rFonts w:hint="default" w:ascii="Arial" w:hAnsi="Arial" w:eastAsia="宋体" w:cs="Arial"/>
                <w:color w:val="auto"/>
                <w:sz w:val="21"/>
                <w:szCs w:val="21"/>
                <w:vertAlign w:val="superscript"/>
                <w:lang w:val="en-US" w:eastAsia="zh-CN"/>
              </w:rPr>
              <w:t>3</w:t>
            </w:r>
            <w:r>
              <w:rPr>
                <w:rFonts w:hint="default" w:ascii="Arial" w:hAnsi="Arial" w:eastAsia="宋体" w:cs="Arial"/>
                <w:color w:val="auto"/>
                <w:sz w:val="21"/>
                <w:szCs w:val="21"/>
                <w:lang w:val="en-US" w:eastAsia="zh-CN"/>
              </w:rPr>
              <w:t>，</w:t>
            </w:r>
            <w:r>
              <w:rPr>
                <w:rFonts w:hint="default" w:ascii="Arial" w:hAnsi="Arial" w:eastAsia="宋体" w:cs="Arial"/>
                <w:color w:val="auto"/>
                <w:sz w:val="21"/>
                <w:szCs w:val="21"/>
                <w:lang w:eastAsia="zh-CN"/>
              </w:rPr>
              <w:t>共设置</w:t>
            </w:r>
            <w:r>
              <w:rPr>
                <w:rFonts w:hint="default" w:ascii="Arial" w:hAnsi="Arial" w:eastAsia="宋体" w:cs="Arial"/>
                <w:color w:val="auto"/>
                <w:sz w:val="21"/>
                <w:szCs w:val="21"/>
                <w:lang w:val="en-US" w:eastAsia="zh-CN"/>
              </w:rPr>
              <w:t>8座青贮池，可满足实际生产过程中的需求，采用混凝土独立基础，型钢立柱及轻型钢屋架结构，</w:t>
            </w:r>
            <w:r>
              <w:rPr>
                <w:rFonts w:hint="default" w:ascii="Arial" w:hAnsi="Arial" w:eastAsia="宋体" w:cs="Arial"/>
                <w:color w:val="auto"/>
                <w:sz w:val="21"/>
                <w:szCs w:val="21"/>
                <w:lang w:val="zh-CN"/>
              </w:rPr>
              <w:t>水泥混凝土地面。</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071" w:type="dxa"/>
            <w:vMerge w:val="continue"/>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rPr>
            </w:pPr>
          </w:p>
        </w:tc>
        <w:tc>
          <w:tcPr>
            <w:tcW w:w="2142" w:type="dxa"/>
            <w:gridSpan w:val="2"/>
            <w:tcBorders>
              <w:top w:val="single" w:color="auto" w:sz="4" w:space="0"/>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contextualSpacing/>
              <w:jc w:val="center"/>
              <w:rPr>
                <w:rFonts w:hint="default" w:ascii="Arial" w:hAnsi="Arial" w:eastAsia="宋体" w:cs="Arial"/>
                <w:color w:val="auto"/>
                <w:kern w:val="0"/>
                <w:sz w:val="21"/>
                <w:szCs w:val="21"/>
                <w:lang w:val="en-US" w:eastAsia="zh-CN" w:bidi="ar-SA"/>
              </w:rPr>
            </w:pPr>
            <w:r>
              <w:rPr>
                <w:rFonts w:hint="default" w:ascii="Arial" w:hAnsi="Arial" w:eastAsia="宋体" w:cs="Arial"/>
                <w:color w:val="auto"/>
                <w:kern w:val="0"/>
                <w:sz w:val="21"/>
                <w:szCs w:val="21"/>
                <w:lang w:val="en-US" w:eastAsia="zh-CN"/>
              </w:rPr>
              <w:t>饲草料库房</w:t>
            </w:r>
          </w:p>
        </w:tc>
        <w:tc>
          <w:tcPr>
            <w:tcW w:w="5790" w:type="dxa"/>
            <w:gridSpan w:val="2"/>
            <w:vAlign w:val="center"/>
          </w:tcPr>
          <w:p>
            <w:pPr>
              <w:keepNext w:val="0"/>
              <w:keepLines w:val="0"/>
              <w:pageBreakBefore w:val="0"/>
              <w:numPr>
                <w:ilvl w:val="0"/>
                <w:numId w:val="0"/>
              </w:numPr>
              <w:kinsoku/>
              <w:wordWrap/>
              <w:overflowPunct/>
              <w:autoSpaceDN/>
              <w:bidi w:val="0"/>
              <w:adjustRightInd/>
              <w:snapToGrid/>
              <w:spacing w:line="360" w:lineRule="exact"/>
              <w:ind w:left="0" w:leftChars="0" w:firstLine="420" w:firstLineChars="200"/>
              <w:jc w:val="left"/>
              <w:rPr>
                <w:rFonts w:hint="default" w:ascii="Arial" w:hAnsi="Arial" w:eastAsia="宋体" w:cs="Arial"/>
                <w:b w:val="0"/>
                <w:bCs w:val="0"/>
                <w:color w:val="auto"/>
                <w:kern w:val="2"/>
                <w:sz w:val="21"/>
                <w:szCs w:val="21"/>
                <w:vertAlign w:val="baseline"/>
                <w:lang w:val="en-US" w:eastAsia="zh-CN" w:bidi="ar-SA"/>
              </w:rPr>
            </w:pPr>
            <w:r>
              <w:rPr>
                <w:rFonts w:hint="default" w:ascii="Arial" w:hAnsi="Arial" w:eastAsia="宋体" w:cs="Arial"/>
                <w:color w:val="auto"/>
                <w:sz w:val="21"/>
                <w:szCs w:val="21"/>
                <w:lang w:eastAsia="zh-CN"/>
              </w:rPr>
              <w:t>位于厂区中部，每个</w:t>
            </w:r>
            <w:r>
              <w:rPr>
                <w:rFonts w:hint="default" w:ascii="Arial" w:hAnsi="Arial" w:eastAsia="宋体" w:cs="Arial"/>
                <w:color w:val="auto"/>
                <w:sz w:val="21"/>
                <w:szCs w:val="21"/>
                <w:lang w:val="en-US" w:eastAsia="zh-CN"/>
              </w:rPr>
              <w:t>标准化单元区设置1座</w:t>
            </w:r>
            <w:r>
              <w:rPr>
                <w:rFonts w:hint="default" w:ascii="Arial" w:hAnsi="Arial" w:eastAsia="宋体" w:cs="Arial"/>
                <w:color w:val="auto"/>
                <w:kern w:val="0"/>
                <w:sz w:val="21"/>
                <w:szCs w:val="21"/>
                <w:lang w:val="en-US" w:eastAsia="zh-CN"/>
              </w:rPr>
              <w:t>饲草料库房</w:t>
            </w:r>
            <w:r>
              <w:rPr>
                <w:rFonts w:hint="default" w:ascii="Arial" w:hAnsi="Arial" w:eastAsia="宋体" w:cs="Arial"/>
                <w:color w:val="auto"/>
                <w:sz w:val="21"/>
                <w:szCs w:val="21"/>
                <w:lang w:val="en-US" w:eastAsia="zh-CN"/>
              </w:rPr>
              <w:t>，</w:t>
            </w:r>
            <w:r>
              <w:rPr>
                <w:rFonts w:hint="default" w:ascii="Arial" w:hAnsi="Arial" w:eastAsia="宋体" w:cs="Arial"/>
                <w:color w:val="auto"/>
                <w:kern w:val="0"/>
                <w:sz w:val="21"/>
                <w:szCs w:val="21"/>
                <w:lang w:val="en-US" w:eastAsia="zh-CN"/>
              </w:rPr>
              <w:t>每座占地面积为1000</w:t>
            </w:r>
            <w:r>
              <w:rPr>
                <w:rFonts w:hint="default" w:ascii="Arial" w:hAnsi="Arial" w:eastAsia="宋体" w:cs="Arial"/>
                <w:color w:val="auto"/>
                <w:sz w:val="21"/>
                <w:szCs w:val="21"/>
                <w:lang w:val="en-US" w:eastAsia="zh-CN"/>
              </w:rPr>
              <w:t>m</w:t>
            </w:r>
            <w:r>
              <w:rPr>
                <w:rFonts w:hint="default" w:ascii="Arial" w:hAnsi="Arial" w:eastAsia="宋体" w:cs="Arial"/>
                <w:color w:val="auto"/>
                <w:sz w:val="21"/>
                <w:szCs w:val="21"/>
                <w:vertAlign w:val="superscript"/>
                <w:lang w:val="en-US" w:eastAsia="zh-CN"/>
              </w:rPr>
              <w:t>2</w:t>
            </w:r>
            <w:r>
              <w:rPr>
                <w:rFonts w:hint="default" w:ascii="Arial" w:hAnsi="Arial" w:eastAsia="宋体" w:cs="Arial"/>
                <w:b w:val="0"/>
                <w:bCs w:val="0"/>
                <w:color w:val="auto"/>
                <w:kern w:val="2"/>
                <w:sz w:val="21"/>
                <w:szCs w:val="21"/>
                <w:vertAlign w:val="baseline"/>
                <w:lang w:val="en-US" w:eastAsia="zh-CN" w:bidi="ar-SA"/>
              </w:rPr>
              <w:t>，</w:t>
            </w:r>
            <w:r>
              <w:rPr>
                <w:rFonts w:hint="default" w:ascii="Arial" w:hAnsi="Arial" w:eastAsia="宋体" w:cs="Arial"/>
                <w:color w:val="auto"/>
                <w:sz w:val="21"/>
                <w:szCs w:val="21"/>
                <w:lang w:eastAsia="zh-CN"/>
              </w:rPr>
              <w:t>共设置</w:t>
            </w:r>
            <w:r>
              <w:rPr>
                <w:rFonts w:hint="default" w:ascii="Arial" w:hAnsi="Arial" w:eastAsia="宋体" w:cs="Arial"/>
                <w:color w:val="auto"/>
                <w:sz w:val="21"/>
                <w:szCs w:val="21"/>
                <w:lang w:val="en-US" w:eastAsia="zh-CN"/>
              </w:rPr>
              <w:t>8座</w:t>
            </w:r>
            <w:r>
              <w:rPr>
                <w:rFonts w:hint="default" w:ascii="Arial" w:hAnsi="Arial" w:eastAsia="宋体" w:cs="Arial"/>
                <w:color w:val="auto"/>
                <w:kern w:val="0"/>
                <w:sz w:val="21"/>
                <w:szCs w:val="21"/>
                <w:lang w:val="en-US" w:eastAsia="zh-CN"/>
              </w:rPr>
              <w:t>饲草料库房，</w:t>
            </w:r>
            <w:r>
              <w:rPr>
                <w:rFonts w:hint="default" w:ascii="Arial" w:hAnsi="Arial" w:eastAsia="宋体" w:cs="Arial"/>
                <w:b w:val="0"/>
                <w:bCs w:val="0"/>
                <w:color w:val="auto"/>
                <w:kern w:val="2"/>
                <w:sz w:val="21"/>
                <w:szCs w:val="21"/>
                <w:vertAlign w:val="baseline"/>
                <w:lang w:val="en-US" w:eastAsia="zh-CN" w:bidi="ar-SA"/>
              </w:rPr>
              <w:t>彩钢结构，用于饲料的搅拌，各设置1台TMR</w:t>
            </w:r>
            <w:r>
              <w:rPr>
                <w:rFonts w:hint="default" w:ascii="Arial" w:hAnsi="Arial" w:eastAsia="宋体" w:cs="Arial"/>
                <w:color w:val="auto"/>
                <w:kern w:val="0"/>
                <w:sz w:val="21"/>
                <w:szCs w:val="21"/>
              </w:rPr>
              <w:t>日粮搅拌机</w:t>
            </w:r>
            <w:r>
              <w:rPr>
                <w:rFonts w:hint="default" w:ascii="Arial" w:hAnsi="Arial" w:eastAsia="宋体" w:cs="Arial"/>
                <w:color w:val="auto"/>
                <w:kern w:val="0"/>
                <w:sz w:val="21"/>
                <w:szCs w:val="21"/>
                <w:lang w:eastAsia="zh-CN"/>
              </w:rPr>
              <w:t>。</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071" w:type="dxa"/>
            <w:vMerge w:val="continue"/>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rPr>
            </w:pPr>
          </w:p>
        </w:tc>
        <w:tc>
          <w:tcPr>
            <w:tcW w:w="2142" w:type="dxa"/>
            <w:gridSpan w:val="2"/>
            <w:tcBorders>
              <w:top w:val="single" w:color="auto" w:sz="4" w:space="0"/>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contextualSpacing/>
              <w:jc w:val="center"/>
              <w:rPr>
                <w:rFonts w:hint="default" w:ascii="Arial" w:hAnsi="Arial" w:eastAsia="宋体" w:cs="Arial"/>
                <w:color w:val="auto"/>
                <w:kern w:val="0"/>
                <w:sz w:val="21"/>
                <w:szCs w:val="21"/>
                <w:highlight w:val="none"/>
                <w:lang w:val="en-US" w:eastAsia="zh-CN" w:bidi="ar-SA"/>
              </w:rPr>
            </w:pPr>
            <w:r>
              <w:rPr>
                <w:rFonts w:hint="default" w:ascii="Arial" w:hAnsi="Arial" w:eastAsia="宋体" w:cs="Arial"/>
                <w:color w:val="auto"/>
                <w:kern w:val="0"/>
                <w:sz w:val="21"/>
                <w:szCs w:val="21"/>
                <w:highlight w:val="none"/>
                <w:lang w:val="en-US" w:eastAsia="zh-CN"/>
              </w:rPr>
              <w:t>堆肥场</w:t>
            </w:r>
          </w:p>
        </w:tc>
        <w:tc>
          <w:tcPr>
            <w:tcW w:w="5790" w:type="dxa"/>
            <w:gridSpan w:val="2"/>
            <w:vAlign w:val="center"/>
          </w:tcPr>
          <w:p>
            <w:pPr>
              <w:keepNext w:val="0"/>
              <w:keepLines w:val="0"/>
              <w:pageBreakBefore w:val="0"/>
              <w:widowControl w:val="0"/>
              <w:kinsoku/>
              <w:wordWrap/>
              <w:overflowPunct/>
              <w:topLinePunct w:val="0"/>
              <w:autoSpaceDE/>
              <w:autoSpaceDN/>
              <w:bidi w:val="0"/>
              <w:adjustRightInd/>
              <w:snapToGrid/>
              <w:spacing w:line="360" w:lineRule="exact"/>
              <w:ind w:firstLine="420" w:firstLineChars="200"/>
              <w:contextualSpacing/>
              <w:jc w:val="left"/>
              <w:textAlignment w:val="auto"/>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lang w:val="en-US" w:eastAsia="zh-CN"/>
              </w:rPr>
              <w:t>建设1</w:t>
            </w:r>
            <w:r>
              <w:rPr>
                <w:rFonts w:hint="default" w:ascii="Arial" w:hAnsi="Arial" w:eastAsia="宋体" w:cs="Arial"/>
                <w:color w:val="auto"/>
                <w:sz w:val="21"/>
                <w:szCs w:val="21"/>
                <w:highlight w:val="none"/>
              </w:rPr>
              <w:t>座</w:t>
            </w:r>
            <w:r>
              <w:rPr>
                <w:rFonts w:hint="default" w:ascii="Arial" w:hAnsi="Arial" w:eastAsia="宋体" w:cs="Arial"/>
                <w:color w:val="auto"/>
                <w:sz w:val="21"/>
                <w:szCs w:val="21"/>
                <w:highlight w:val="none"/>
                <w:vertAlign w:val="baseline"/>
                <w:lang w:eastAsia="zh-CN"/>
              </w:rPr>
              <w:t>堆肥场，位于厂区西侧</w:t>
            </w:r>
            <w:r>
              <w:rPr>
                <w:rFonts w:hint="default" w:ascii="Arial" w:hAnsi="Arial" w:eastAsia="宋体" w:cs="Arial"/>
                <w:color w:val="auto"/>
                <w:sz w:val="21"/>
                <w:szCs w:val="21"/>
                <w:highlight w:val="none"/>
              </w:rPr>
              <w:t>，</w:t>
            </w:r>
            <w:r>
              <w:rPr>
                <w:rFonts w:hint="default" w:ascii="Arial" w:hAnsi="Arial" w:eastAsia="宋体" w:cs="Arial"/>
                <w:color w:val="auto"/>
                <w:sz w:val="21"/>
                <w:szCs w:val="21"/>
                <w:highlight w:val="none"/>
                <w:lang w:val="en-US" w:eastAsia="zh-CN"/>
              </w:rPr>
              <w:t>屋顶设置防雨设施，采用彩钢顶棚，建筑面积1500m</w:t>
            </w:r>
            <w:r>
              <w:rPr>
                <w:rFonts w:hint="default" w:ascii="Arial" w:hAnsi="Arial" w:eastAsia="宋体" w:cs="Arial"/>
                <w:color w:val="auto"/>
                <w:sz w:val="21"/>
                <w:szCs w:val="21"/>
                <w:highlight w:val="none"/>
                <w:vertAlign w:val="superscript"/>
                <w:lang w:val="en-US" w:eastAsia="zh-CN"/>
              </w:rPr>
              <w:t>2</w:t>
            </w:r>
            <w:r>
              <w:rPr>
                <w:rFonts w:hint="default" w:ascii="Arial" w:hAnsi="Arial" w:eastAsia="宋体" w:cs="Arial"/>
                <w:color w:val="auto"/>
                <w:sz w:val="21"/>
                <w:szCs w:val="21"/>
                <w:highlight w:val="none"/>
                <w:lang w:val="en-US" w:eastAsia="zh-CN"/>
              </w:rPr>
              <w:t>，容积为6000m</w:t>
            </w:r>
            <w:r>
              <w:rPr>
                <w:rFonts w:hint="default" w:ascii="Arial" w:hAnsi="Arial" w:eastAsia="宋体" w:cs="Arial"/>
                <w:color w:val="auto"/>
                <w:sz w:val="21"/>
                <w:szCs w:val="21"/>
                <w:highlight w:val="none"/>
                <w:vertAlign w:val="superscript"/>
                <w:lang w:val="en-US" w:eastAsia="zh-CN"/>
              </w:rPr>
              <w:t>3</w:t>
            </w:r>
            <w:r>
              <w:rPr>
                <w:rFonts w:hint="default" w:ascii="Arial" w:hAnsi="Arial" w:eastAsia="宋体" w:cs="Arial"/>
                <w:color w:val="auto"/>
                <w:sz w:val="21"/>
                <w:szCs w:val="21"/>
                <w:highlight w:val="none"/>
                <w:lang w:val="en-US" w:eastAsia="zh-CN"/>
              </w:rPr>
              <w:t>，</w:t>
            </w:r>
            <w:r>
              <w:rPr>
                <w:rFonts w:hint="default" w:ascii="Arial" w:hAnsi="Arial" w:eastAsia="宋体" w:cs="Arial"/>
                <w:color w:val="auto"/>
                <w:sz w:val="21"/>
                <w:szCs w:val="21"/>
                <w:highlight w:val="none"/>
              </w:rPr>
              <w:t>用于</w:t>
            </w:r>
            <w:r>
              <w:rPr>
                <w:rFonts w:hint="default" w:ascii="Arial" w:hAnsi="Arial" w:eastAsia="宋体" w:cs="Arial"/>
                <w:color w:val="auto"/>
                <w:sz w:val="21"/>
                <w:szCs w:val="21"/>
                <w:highlight w:val="none"/>
                <w:lang w:eastAsia="zh-CN"/>
              </w:rPr>
              <w:t>牛粪便</w:t>
            </w:r>
            <w:r>
              <w:rPr>
                <w:rFonts w:hint="default" w:ascii="Arial" w:hAnsi="Arial" w:eastAsia="宋体" w:cs="Arial"/>
                <w:color w:val="auto"/>
                <w:sz w:val="21"/>
                <w:szCs w:val="21"/>
                <w:highlight w:val="none"/>
                <w:lang w:val="en-US" w:eastAsia="zh-CN"/>
              </w:rPr>
              <w:t>发酵堆肥</w:t>
            </w:r>
            <w:r>
              <w:rPr>
                <w:rFonts w:hint="default" w:ascii="Arial" w:hAnsi="Arial" w:eastAsia="宋体" w:cs="Arial"/>
                <w:color w:val="auto"/>
                <w:sz w:val="21"/>
                <w:szCs w:val="21"/>
                <w:highlight w:val="none"/>
              </w:rPr>
              <w:t>。</w:t>
            </w:r>
          </w:p>
          <w:p>
            <w:pPr>
              <w:keepNext w:val="0"/>
              <w:keepLines w:val="0"/>
              <w:pageBreakBefore w:val="0"/>
              <w:widowControl w:val="0"/>
              <w:kinsoku/>
              <w:wordWrap/>
              <w:overflowPunct/>
              <w:topLinePunct w:val="0"/>
              <w:autoSpaceDE/>
              <w:autoSpaceDN/>
              <w:bidi w:val="0"/>
              <w:adjustRightInd/>
              <w:snapToGrid/>
              <w:spacing w:line="360" w:lineRule="exact"/>
              <w:ind w:firstLine="420" w:firstLineChars="200"/>
              <w:contextualSpacing/>
              <w:jc w:val="left"/>
              <w:textAlignment w:val="auto"/>
              <w:rPr>
                <w:rFonts w:hint="default" w:ascii="Arial" w:hAnsi="Arial" w:eastAsia="宋体" w:cs="Arial"/>
                <w:color w:val="auto"/>
                <w:kern w:val="2"/>
                <w:sz w:val="21"/>
                <w:szCs w:val="21"/>
                <w:highlight w:val="none"/>
                <w:vertAlign w:val="baseline"/>
                <w:lang w:val="en-US" w:eastAsia="zh-CN" w:bidi="ar-SA"/>
              </w:rPr>
            </w:pPr>
            <w:r>
              <w:rPr>
                <w:rFonts w:hint="default" w:ascii="Arial" w:hAnsi="Arial" w:eastAsia="宋体" w:cs="Arial"/>
                <w:color w:val="auto"/>
                <w:sz w:val="21"/>
                <w:szCs w:val="21"/>
                <w:highlight w:val="none"/>
                <w:lang w:val="en-US" w:eastAsia="zh-CN"/>
              </w:rPr>
              <w:t>堆肥场进行防渗，</w:t>
            </w:r>
            <w:r>
              <w:rPr>
                <w:rFonts w:hint="default" w:ascii="Arial" w:hAnsi="Arial" w:eastAsia="宋体" w:cs="Arial"/>
                <w:color w:val="auto"/>
                <w:sz w:val="21"/>
                <w:szCs w:val="21"/>
                <w:highlight w:val="none"/>
              </w:rPr>
              <w:t>渗透系数小于等于1.0×10</w:t>
            </w:r>
            <w:r>
              <w:rPr>
                <w:rFonts w:hint="default" w:ascii="Arial" w:hAnsi="Arial" w:eastAsia="宋体" w:cs="Arial"/>
                <w:color w:val="auto"/>
                <w:sz w:val="21"/>
                <w:szCs w:val="21"/>
                <w:highlight w:val="none"/>
                <w:vertAlign w:val="superscript"/>
              </w:rPr>
              <w:t>-</w:t>
            </w:r>
            <w:r>
              <w:rPr>
                <w:rFonts w:hint="default" w:ascii="Arial" w:hAnsi="Arial" w:eastAsia="宋体" w:cs="Arial"/>
                <w:color w:val="auto"/>
                <w:sz w:val="21"/>
                <w:szCs w:val="21"/>
                <w:highlight w:val="none"/>
                <w:vertAlign w:val="superscript"/>
                <w:lang w:val="en-US" w:eastAsia="zh-CN"/>
              </w:rPr>
              <w:t>7</w:t>
            </w:r>
            <w:r>
              <w:rPr>
                <w:rFonts w:hint="default" w:ascii="Arial" w:hAnsi="Arial" w:eastAsia="宋体" w:cs="Arial"/>
                <w:color w:val="auto"/>
                <w:sz w:val="21"/>
                <w:szCs w:val="21"/>
                <w:highlight w:val="none"/>
              </w:rPr>
              <w:t>m/s</w:t>
            </w:r>
            <w:r>
              <w:rPr>
                <w:rFonts w:hint="default" w:ascii="Arial" w:hAnsi="Arial" w:eastAsia="宋体" w:cs="Arial"/>
                <w:color w:val="auto"/>
                <w:sz w:val="21"/>
                <w:szCs w:val="21"/>
                <w:highlight w:val="none"/>
                <w:lang w:eastAsia="zh-CN"/>
              </w:rPr>
              <w:t>，</w:t>
            </w:r>
            <w:r>
              <w:rPr>
                <w:rFonts w:hint="default" w:ascii="Arial" w:hAnsi="Arial" w:eastAsia="宋体" w:cs="Arial"/>
                <w:color w:val="auto"/>
                <w:sz w:val="21"/>
                <w:szCs w:val="21"/>
                <w:highlight w:val="none"/>
                <w:lang w:val="en-US" w:eastAsia="zh-CN"/>
              </w:rPr>
              <w:t>防渗材料选用厚度不小于1.5mm的人工合成材料高密度聚乙烯膜或经压实、人工改良后，厚度不小于0.75m粘土</w:t>
            </w:r>
            <w:r>
              <w:rPr>
                <w:rFonts w:hint="default" w:ascii="Arial" w:hAnsi="Arial" w:eastAsia="宋体" w:cs="Arial"/>
                <w:color w:val="auto"/>
                <w:sz w:val="21"/>
                <w:szCs w:val="21"/>
                <w:highlight w:val="none"/>
              </w:rPr>
              <w:t>。</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071" w:type="dxa"/>
            <w:vMerge w:val="continue"/>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rPr>
            </w:pPr>
          </w:p>
        </w:tc>
        <w:tc>
          <w:tcPr>
            <w:tcW w:w="2142" w:type="dxa"/>
            <w:gridSpan w:val="2"/>
            <w:tcBorders>
              <w:top w:val="single" w:color="auto" w:sz="4" w:space="0"/>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highlight w:val="none"/>
              </w:rPr>
              <w:t>消毒室</w:t>
            </w:r>
          </w:p>
        </w:tc>
        <w:tc>
          <w:tcPr>
            <w:tcW w:w="5790" w:type="dxa"/>
            <w:gridSpan w:val="2"/>
            <w:vAlign w:val="center"/>
          </w:tcPr>
          <w:p>
            <w:pPr>
              <w:keepNext w:val="0"/>
              <w:keepLines w:val="0"/>
              <w:pageBreakBefore w:val="0"/>
              <w:widowControl/>
              <w:kinsoku/>
              <w:wordWrap/>
              <w:overflowPunct/>
              <w:topLinePunct w:val="0"/>
              <w:autoSpaceDE/>
              <w:autoSpaceDN/>
              <w:bidi w:val="0"/>
              <w:adjustRightInd/>
              <w:snapToGrid/>
              <w:spacing w:line="360" w:lineRule="exact"/>
              <w:ind w:firstLine="420" w:firstLineChars="200"/>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eastAsia="zh-CN"/>
              </w:rPr>
              <w:t>厂区门口设一间消毒间</w:t>
            </w:r>
            <w:r>
              <w:rPr>
                <w:rFonts w:hint="default" w:ascii="Arial" w:hAnsi="Arial" w:eastAsia="宋体" w:cs="Arial"/>
                <w:color w:val="auto"/>
                <w:sz w:val="21"/>
                <w:szCs w:val="21"/>
              </w:rPr>
              <w:t>，1层砖混结构，场内消毒使用</w:t>
            </w:r>
            <w:r>
              <w:rPr>
                <w:rFonts w:hint="default" w:ascii="Arial" w:hAnsi="Arial" w:eastAsia="宋体" w:cs="Arial"/>
                <w:color w:val="auto"/>
                <w:sz w:val="21"/>
                <w:szCs w:val="21"/>
                <w:lang w:val="en-US" w:eastAsia="zh-CN"/>
              </w:rPr>
              <w:t>消毒液消毒</w:t>
            </w:r>
            <w:r>
              <w:rPr>
                <w:rFonts w:hint="default" w:ascii="Arial" w:hAnsi="Arial" w:eastAsia="宋体" w:cs="Arial"/>
                <w:color w:val="auto"/>
                <w:sz w:val="21"/>
                <w:szCs w:val="21"/>
                <w:lang w:eastAsia="zh-CN"/>
              </w:rPr>
              <w:t>。</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071" w:type="dxa"/>
            <w:vMerge w:val="continue"/>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rPr>
            </w:pPr>
          </w:p>
        </w:tc>
        <w:tc>
          <w:tcPr>
            <w:tcW w:w="2142" w:type="dxa"/>
            <w:gridSpan w:val="2"/>
            <w:tcBorders>
              <w:top w:val="single" w:color="auto" w:sz="4" w:space="0"/>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兽医室</w:t>
            </w:r>
          </w:p>
        </w:tc>
        <w:tc>
          <w:tcPr>
            <w:tcW w:w="5790" w:type="dxa"/>
            <w:gridSpan w:val="2"/>
            <w:vAlign w:val="center"/>
          </w:tcPr>
          <w:p>
            <w:pPr>
              <w:keepNext w:val="0"/>
              <w:keepLines w:val="0"/>
              <w:pageBreakBefore w:val="0"/>
              <w:widowControl/>
              <w:kinsoku/>
              <w:wordWrap/>
              <w:overflowPunct/>
              <w:topLinePunct w:val="0"/>
              <w:autoSpaceDE/>
              <w:autoSpaceDN/>
              <w:bidi w:val="0"/>
              <w:adjustRightInd/>
              <w:snapToGrid/>
              <w:spacing w:line="360" w:lineRule="exact"/>
              <w:ind w:firstLine="420" w:firstLineChars="200"/>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负责场内牛病诊治、预防接种、</w:t>
            </w:r>
            <w:r>
              <w:rPr>
                <w:rFonts w:hint="default" w:ascii="Arial" w:hAnsi="Arial" w:eastAsia="宋体" w:cs="Arial"/>
                <w:color w:val="auto"/>
                <w:sz w:val="21"/>
                <w:szCs w:val="21"/>
                <w:lang w:eastAsia="zh-CN"/>
              </w:rPr>
              <w:t>肉牛配种</w:t>
            </w:r>
            <w:r>
              <w:rPr>
                <w:rFonts w:hint="default" w:ascii="Arial" w:hAnsi="Arial" w:eastAsia="宋体" w:cs="Arial"/>
                <w:color w:val="auto"/>
                <w:sz w:val="21"/>
                <w:szCs w:val="21"/>
              </w:rPr>
              <w:t>、修蹄等，1层砖混结构</w:t>
            </w:r>
            <w:r>
              <w:rPr>
                <w:rFonts w:hint="default" w:ascii="Arial" w:hAnsi="Arial" w:eastAsia="宋体" w:cs="Arial"/>
                <w:color w:val="auto"/>
                <w:sz w:val="21"/>
                <w:szCs w:val="21"/>
                <w:lang w:eastAsia="zh-CN"/>
              </w:rPr>
              <w:t>。</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071" w:type="dxa"/>
            <w:vMerge w:val="continue"/>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rPr>
            </w:pPr>
          </w:p>
        </w:tc>
        <w:tc>
          <w:tcPr>
            <w:tcW w:w="2142" w:type="dxa"/>
            <w:gridSpan w:val="2"/>
            <w:tcBorders>
              <w:bottom w:val="single" w:color="auto" w:sz="4" w:space="0"/>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办公宿舍区</w:t>
            </w:r>
          </w:p>
        </w:tc>
        <w:tc>
          <w:tcPr>
            <w:tcW w:w="5790" w:type="dxa"/>
            <w:gridSpan w:val="2"/>
            <w:tcBorders>
              <w:bottom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firstLine="420" w:firstLineChars="200"/>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eastAsia="zh-CN"/>
              </w:rPr>
              <w:t>位于厂区中部，</w:t>
            </w:r>
            <w:r>
              <w:rPr>
                <w:rFonts w:hint="default" w:ascii="Arial" w:hAnsi="Arial" w:eastAsia="宋体" w:cs="Arial"/>
                <w:color w:val="auto"/>
                <w:sz w:val="21"/>
                <w:szCs w:val="21"/>
              </w:rPr>
              <w:t>总建筑面积为</w:t>
            </w:r>
            <w:r>
              <w:rPr>
                <w:rFonts w:hint="default" w:ascii="Arial" w:hAnsi="Arial" w:eastAsia="宋体" w:cs="Arial"/>
                <w:color w:val="auto"/>
                <w:sz w:val="21"/>
                <w:szCs w:val="21"/>
                <w:lang w:val="en-US" w:eastAsia="zh-CN"/>
              </w:rPr>
              <w:t>1200</w:t>
            </w:r>
            <w:r>
              <w:rPr>
                <w:rFonts w:hint="default" w:ascii="Arial" w:hAnsi="Arial" w:eastAsia="宋体" w:cs="Arial"/>
                <w:color w:val="auto"/>
                <w:sz w:val="21"/>
                <w:szCs w:val="21"/>
              </w:rPr>
              <w:t>m</w:t>
            </w:r>
            <w:r>
              <w:rPr>
                <w:rFonts w:hint="default" w:ascii="Arial" w:hAnsi="Arial" w:eastAsia="宋体" w:cs="Arial"/>
                <w:color w:val="auto"/>
                <w:sz w:val="21"/>
                <w:szCs w:val="21"/>
                <w:vertAlign w:val="superscript"/>
              </w:rPr>
              <w:t>2</w:t>
            </w:r>
            <w:r>
              <w:rPr>
                <w:rFonts w:hint="default" w:ascii="Arial" w:hAnsi="Arial" w:eastAsia="宋体" w:cs="Arial"/>
                <w:color w:val="auto"/>
                <w:sz w:val="21"/>
                <w:szCs w:val="21"/>
              </w:rPr>
              <w:t>，砖混结构</w:t>
            </w:r>
            <w:r>
              <w:rPr>
                <w:rFonts w:hint="default" w:ascii="Arial" w:hAnsi="Arial" w:eastAsia="宋体" w:cs="Arial"/>
                <w:color w:val="auto"/>
                <w:sz w:val="21"/>
                <w:szCs w:val="21"/>
                <w:lang w:eastAsia="zh-CN"/>
              </w:rPr>
              <w:t>。</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071" w:type="dxa"/>
            <w:vMerge w:val="restart"/>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公用</w:t>
            </w:r>
          </w:p>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工程</w:t>
            </w:r>
          </w:p>
        </w:tc>
        <w:tc>
          <w:tcPr>
            <w:tcW w:w="2142" w:type="dxa"/>
            <w:gridSpan w:val="2"/>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供水</w:t>
            </w:r>
          </w:p>
        </w:tc>
        <w:tc>
          <w:tcPr>
            <w:tcW w:w="5790" w:type="dxa"/>
            <w:gridSpan w:val="2"/>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420" w:firstLineChars="200"/>
              <w:jc w:val="left"/>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项目用水由场区内深水井供给。</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071" w:type="dxa"/>
            <w:vMerge w:val="continue"/>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rPr>
            </w:pPr>
          </w:p>
        </w:tc>
        <w:tc>
          <w:tcPr>
            <w:tcW w:w="2142" w:type="dxa"/>
            <w:gridSpan w:val="2"/>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供电</w:t>
            </w:r>
          </w:p>
        </w:tc>
        <w:tc>
          <w:tcPr>
            <w:tcW w:w="5790" w:type="dxa"/>
            <w:gridSpan w:val="2"/>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420" w:firstLineChars="200"/>
              <w:jc w:val="left"/>
              <w:textAlignment w:val="center"/>
              <w:rPr>
                <w:rFonts w:hint="default" w:ascii="Arial" w:hAnsi="Arial" w:eastAsia="宋体" w:cs="Arial"/>
                <w:color w:val="auto"/>
                <w:sz w:val="21"/>
                <w:szCs w:val="21"/>
                <w:highlight w:val="none"/>
                <w:lang w:eastAsia="zh-CN"/>
              </w:rPr>
            </w:pPr>
            <w:r>
              <w:rPr>
                <w:rFonts w:hint="default" w:ascii="Arial" w:hAnsi="Arial" w:eastAsia="宋体" w:cs="Arial"/>
                <w:color w:val="auto"/>
                <w:sz w:val="21"/>
                <w:szCs w:val="21"/>
                <w:highlight w:val="none"/>
              </w:rPr>
              <w:t>当地供电网络提供电源</w:t>
            </w:r>
            <w:r>
              <w:rPr>
                <w:rFonts w:hint="default" w:ascii="Arial" w:hAnsi="Arial" w:eastAsia="宋体" w:cs="Arial"/>
                <w:color w:val="auto"/>
                <w:kern w:val="0"/>
                <w:sz w:val="21"/>
                <w:szCs w:val="21"/>
                <w:highlight w:val="none"/>
              </w:rPr>
              <w:t>，在厂区内设变配电室1座</w:t>
            </w:r>
            <w:r>
              <w:rPr>
                <w:rFonts w:hint="default" w:ascii="Arial" w:hAnsi="Arial" w:eastAsia="宋体" w:cs="Arial"/>
                <w:color w:val="auto"/>
                <w:kern w:val="0"/>
                <w:sz w:val="21"/>
                <w:szCs w:val="21"/>
                <w:highlight w:val="none"/>
                <w:lang w:eastAsia="zh-CN"/>
              </w:rPr>
              <w:t>。</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071" w:type="dxa"/>
            <w:vMerge w:val="continue"/>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rPr>
            </w:pPr>
          </w:p>
        </w:tc>
        <w:tc>
          <w:tcPr>
            <w:tcW w:w="2142" w:type="dxa"/>
            <w:gridSpan w:val="2"/>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供暖</w:t>
            </w:r>
          </w:p>
        </w:tc>
        <w:tc>
          <w:tcPr>
            <w:tcW w:w="5790" w:type="dxa"/>
            <w:gridSpan w:val="2"/>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420" w:firstLineChars="200"/>
              <w:jc w:val="left"/>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lang w:eastAsia="zh-CN"/>
              </w:rPr>
              <w:t>办公区采用空气能采暖设备供暖</w:t>
            </w:r>
            <w:r>
              <w:rPr>
                <w:rFonts w:hint="default" w:ascii="Arial" w:hAnsi="Arial" w:eastAsia="宋体" w:cs="Arial"/>
                <w:color w:val="auto"/>
                <w:sz w:val="21"/>
                <w:szCs w:val="21"/>
                <w:highlight w:val="none"/>
              </w:rPr>
              <w:t>。</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071" w:type="dxa"/>
            <w:vMerge w:val="continue"/>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rPr>
            </w:pPr>
          </w:p>
        </w:tc>
        <w:tc>
          <w:tcPr>
            <w:tcW w:w="2142" w:type="dxa"/>
            <w:gridSpan w:val="2"/>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排水</w:t>
            </w:r>
          </w:p>
        </w:tc>
        <w:tc>
          <w:tcPr>
            <w:tcW w:w="5790" w:type="dxa"/>
            <w:gridSpan w:val="2"/>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420" w:firstLineChars="200"/>
              <w:jc w:val="left"/>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项目生活污水经化粪池暂存处理后，定期</w:t>
            </w:r>
            <w:r>
              <w:rPr>
                <w:rFonts w:hint="default" w:ascii="Arial" w:hAnsi="Arial" w:eastAsia="宋体" w:cs="Arial"/>
                <w:color w:val="auto"/>
                <w:sz w:val="21"/>
                <w:szCs w:val="21"/>
                <w:highlight w:val="none"/>
                <w:lang w:eastAsia="zh-CN"/>
              </w:rPr>
              <w:t>清掏</w:t>
            </w:r>
            <w:r>
              <w:rPr>
                <w:rFonts w:hint="default" w:ascii="Arial" w:hAnsi="Arial" w:eastAsia="宋体" w:cs="Arial"/>
                <w:color w:val="auto"/>
                <w:sz w:val="21"/>
                <w:szCs w:val="21"/>
                <w:highlight w:val="none"/>
              </w:rPr>
              <w:t>。</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071" w:type="dxa"/>
            <w:vMerge w:val="restart"/>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环保</w:t>
            </w:r>
          </w:p>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工程</w:t>
            </w:r>
          </w:p>
        </w:tc>
        <w:tc>
          <w:tcPr>
            <w:tcW w:w="1071" w:type="dxa"/>
            <w:vMerge w:val="restart"/>
            <w:tcBorders>
              <w:right w:val="single" w:color="auto" w:sz="4" w:space="0"/>
            </w:tcBorders>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废气</w:t>
            </w:r>
          </w:p>
        </w:tc>
        <w:tc>
          <w:tcPr>
            <w:tcW w:w="1071" w:type="dxa"/>
            <w:vMerge w:val="restart"/>
            <w:tcBorders>
              <w:left w:val="single" w:color="auto" w:sz="4" w:space="0"/>
            </w:tcBorders>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恶臭污染物</w:t>
            </w:r>
          </w:p>
        </w:tc>
        <w:tc>
          <w:tcPr>
            <w:tcW w:w="5790" w:type="dxa"/>
            <w:gridSpan w:val="2"/>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420" w:firstLineChars="200"/>
              <w:jc w:val="left"/>
              <w:textAlignment w:val="center"/>
              <w:rPr>
                <w:rFonts w:hint="default" w:ascii="Arial" w:hAnsi="Arial" w:eastAsia="宋体" w:cs="Arial"/>
                <w:color w:val="auto"/>
                <w:sz w:val="21"/>
                <w:szCs w:val="21"/>
                <w:highlight w:val="none"/>
              </w:rPr>
            </w:pPr>
            <w:r>
              <w:rPr>
                <w:rFonts w:hint="default" w:ascii="Arial" w:hAnsi="Arial" w:eastAsia="宋体" w:cs="Arial"/>
                <w:bCs/>
                <w:color w:val="auto"/>
                <w:sz w:val="21"/>
                <w:szCs w:val="21"/>
                <w:highlight w:val="none"/>
                <w:lang w:eastAsia="zh-CN"/>
              </w:rPr>
              <w:t>养殖区：</w:t>
            </w:r>
            <w:r>
              <w:rPr>
                <w:rFonts w:hint="default" w:ascii="Arial" w:hAnsi="Arial" w:eastAsia="宋体" w:cs="Arial"/>
                <w:bCs/>
                <w:color w:val="auto"/>
                <w:sz w:val="21"/>
                <w:szCs w:val="21"/>
                <w:highlight w:val="none"/>
              </w:rPr>
              <w:t>通过日粮设计，</w:t>
            </w:r>
            <w:r>
              <w:rPr>
                <w:rFonts w:hint="default" w:ascii="Arial" w:hAnsi="Arial" w:eastAsia="宋体" w:cs="Arial"/>
                <w:color w:val="auto"/>
                <w:sz w:val="21"/>
                <w:szCs w:val="21"/>
                <w:highlight w:val="none"/>
              </w:rPr>
              <w:t>饲料添加EM复合微生物制剂，</w:t>
            </w:r>
            <w:r>
              <w:rPr>
                <w:rFonts w:hint="default" w:ascii="Arial" w:hAnsi="Arial" w:eastAsia="宋体" w:cs="Arial"/>
                <w:color w:val="auto"/>
                <w:kern w:val="0"/>
                <w:sz w:val="21"/>
                <w:szCs w:val="21"/>
                <w:highlight w:val="none"/>
              </w:rPr>
              <w:t>牛舍采用及时清理粪尿，加强牛舍通风（除冬季封闭保暖外，均为敞开式通风）</w:t>
            </w:r>
            <w:r>
              <w:rPr>
                <w:rFonts w:hint="default" w:ascii="Arial" w:hAnsi="Arial" w:eastAsia="宋体" w:cs="Arial"/>
                <w:color w:val="auto"/>
                <w:sz w:val="21"/>
                <w:szCs w:val="21"/>
                <w:highlight w:val="none"/>
              </w:rPr>
              <w:t>。</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071" w:type="dxa"/>
            <w:vMerge w:val="continue"/>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left"/>
              <w:textAlignment w:val="center"/>
              <w:rPr>
                <w:rFonts w:hint="default" w:ascii="Arial" w:hAnsi="Arial" w:eastAsia="宋体" w:cs="Arial"/>
                <w:color w:val="auto"/>
                <w:sz w:val="21"/>
                <w:szCs w:val="21"/>
                <w:highlight w:val="none"/>
              </w:rPr>
            </w:pPr>
          </w:p>
        </w:tc>
        <w:tc>
          <w:tcPr>
            <w:tcW w:w="1071" w:type="dxa"/>
            <w:vMerge w:val="continue"/>
            <w:tcBorders>
              <w:right w:val="single" w:color="auto" w:sz="4" w:space="0"/>
            </w:tcBorders>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left"/>
              <w:textAlignment w:val="center"/>
              <w:rPr>
                <w:rFonts w:hint="default" w:ascii="Arial" w:hAnsi="Arial" w:eastAsia="宋体" w:cs="Arial"/>
                <w:color w:val="auto"/>
                <w:sz w:val="21"/>
                <w:szCs w:val="21"/>
                <w:highlight w:val="none"/>
              </w:rPr>
            </w:pPr>
          </w:p>
        </w:tc>
        <w:tc>
          <w:tcPr>
            <w:tcW w:w="1071" w:type="dxa"/>
            <w:vMerge w:val="continue"/>
            <w:tcBorders>
              <w:left w:val="single" w:color="auto" w:sz="4" w:space="0"/>
            </w:tcBorders>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left"/>
              <w:textAlignment w:val="center"/>
              <w:rPr>
                <w:rFonts w:hint="default" w:ascii="Arial" w:hAnsi="Arial" w:eastAsia="宋体" w:cs="Arial"/>
                <w:color w:val="auto"/>
                <w:sz w:val="21"/>
                <w:szCs w:val="21"/>
                <w:highlight w:val="none"/>
              </w:rPr>
            </w:pPr>
          </w:p>
        </w:tc>
        <w:tc>
          <w:tcPr>
            <w:tcW w:w="5790" w:type="dxa"/>
            <w:gridSpan w:val="2"/>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420" w:firstLineChars="200"/>
              <w:jc w:val="left"/>
              <w:textAlignment w:val="center"/>
              <w:rPr>
                <w:rFonts w:hint="default" w:ascii="Arial" w:hAnsi="Arial" w:eastAsia="宋体" w:cs="Arial"/>
                <w:color w:val="auto"/>
                <w:sz w:val="21"/>
                <w:szCs w:val="21"/>
                <w:highlight w:val="none"/>
                <w:lang w:eastAsia="zh-CN"/>
              </w:rPr>
            </w:pPr>
            <w:r>
              <w:rPr>
                <w:rFonts w:hint="default" w:ascii="Arial" w:hAnsi="Arial" w:eastAsia="宋体" w:cs="Arial"/>
                <w:color w:val="auto"/>
                <w:sz w:val="21"/>
                <w:szCs w:val="21"/>
                <w:highlight w:val="none"/>
                <w:lang w:eastAsia="zh-CN"/>
              </w:rPr>
              <w:t>堆肥场：牛粪便</w:t>
            </w:r>
            <w:r>
              <w:rPr>
                <w:rFonts w:hint="default" w:ascii="Arial" w:hAnsi="Arial" w:eastAsia="宋体" w:cs="Arial"/>
                <w:color w:val="auto"/>
                <w:sz w:val="21"/>
                <w:szCs w:val="21"/>
                <w:highlight w:val="none"/>
                <w:lang w:val="en-US" w:eastAsia="zh-CN"/>
              </w:rPr>
              <w:t>清运至</w:t>
            </w:r>
            <w:r>
              <w:rPr>
                <w:rFonts w:hint="default" w:ascii="Arial" w:hAnsi="Arial" w:eastAsia="宋体" w:cs="Arial"/>
                <w:color w:val="auto"/>
                <w:sz w:val="21"/>
                <w:szCs w:val="21"/>
                <w:highlight w:val="none"/>
                <w:lang w:eastAsia="zh-CN"/>
              </w:rPr>
              <w:t>堆肥场储存并堆肥，</w:t>
            </w:r>
            <w:r>
              <w:rPr>
                <w:rFonts w:hint="default" w:ascii="Arial" w:hAnsi="Arial" w:eastAsia="宋体" w:cs="Arial"/>
                <w:color w:val="auto"/>
                <w:sz w:val="21"/>
                <w:szCs w:val="21"/>
                <w:highlight w:val="none"/>
                <w:lang w:val="en-US" w:eastAsia="zh-CN"/>
              </w:rPr>
              <w:t>采取</w:t>
            </w:r>
            <w:r>
              <w:rPr>
                <w:rFonts w:hint="default" w:ascii="Arial" w:hAnsi="Arial" w:eastAsia="宋体" w:cs="Arial"/>
                <w:color w:val="auto"/>
                <w:kern w:val="0"/>
                <w:sz w:val="21"/>
                <w:szCs w:val="21"/>
                <w:highlight w:val="none"/>
              </w:rPr>
              <w:t>定期喷洒</w:t>
            </w:r>
            <w:r>
              <w:rPr>
                <w:rFonts w:hint="default" w:ascii="Arial" w:hAnsi="Arial" w:eastAsia="宋体" w:cs="Arial"/>
                <w:color w:val="auto"/>
                <w:sz w:val="21"/>
                <w:szCs w:val="21"/>
                <w:highlight w:val="none"/>
              </w:rPr>
              <w:t>减少氨释放和保氮的复合菌剂</w:t>
            </w:r>
            <w:r>
              <w:rPr>
                <w:rFonts w:hint="default" w:ascii="Arial" w:hAnsi="Arial" w:eastAsia="宋体" w:cs="Arial"/>
                <w:color w:val="auto"/>
                <w:sz w:val="21"/>
                <w:szCs w:val="21"/>
                <w:highlight w:val="none"/>
                <w:lang w:eastAsia="zh-CN"/>
              </w:rPr>
              <w:t>，</w:t>
            </w:r>
            <w:r>
              <w:rPr>
                <w:rFonts w:hint="default" w:ascii="Arial" w:hAnsi="Arial" w:eastAsia="宋体" w:cs="Arial"/>
                <w:color w:val="auto"/>
                <w:sz w:val="21"/>
                <w:szCs w:val="21"/>
                <w:highlight w:val="none"/>
              </w:rPr>
              <w:t>同时场区内加强绿化</w:t>
            </w:r>
            <w:r>
              <w:rPr>
                <w:rFonts w:hint="default" w:ascii="Arial" w:hAnsi="Arial" w:eastAsia="宋体" w:cs="Arial"/>
                <w:color w:val="auto"/>
                <w:sz w:val="21"/>
                <w:szCs w:val="21"/>
                <w:highlight w:val="none"/>
                <w:lang w:eastAsia="zh-CN"/>
              </w:rPr>
              <w:t>，</w:t>
            </w:r>
            <w:r>
              <w:rPr>
                <w:rFonts w:hint="default" w:ascii="Arial" w:hAnsi="Arial" w:eastAsia="宋体" w:cs="Arial"/>
                <w:color w:val="auto"/>
                <w:kern w:val="0"/>
                <w:sz w:val="21"/>
                <w:szCs w:val="21"/>
                <w:highlight w:val="none"/>
              </w:rPr>
              <w:t>可减少臭气的产生</w:t>
            </w:r>
            <w:r>
              <w:rPr>
                <w:rFonts w:hint="default" w:ascii="Arial" w:hAnsi="Arial" w:eastAsia="宋体" w:cs="Arial"/>
                <w:color w:val="auto"/>
                <w:sz w:val="21"/>
                <w:szCs w:val="21"/>
                <w:highlight w:val="none"/>
              </w:rPr>
              <w:t>。</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071" w:type="dxa"/>
            <w:vMerge w:val="continue"/>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rPr>
            </w:pPr>
          </w:p>
        </w:tc>
        <w:tc>
          <w:tcPr>
            <w:tcW w:w="1071" w:type="dxa"/>
            <w:vMerge w:val="continue"/>
            <w:tcBorders>
              <w:right w:val="single" w:color="auto" w:sz="4" w:space="0"/>
            </w:tcBorders>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rPr>
            </w:pPr>
          </w:p>
        </w:tc>
        <w:tc>
          <w:tcPr>
            <w:tcW w:w="1071" w:type="dxa"/>
            <w:tcBorders>
              <w:left w:val="single" w:color="auto" w:sz="4" w:space="0"/>
            </w:tcBorders>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饲料搅拌</w:t>
            </w:r>
          </w:p>
        </w:tc>
        <w:tc>
          <w:tcPr>
            <w:tcW w:w="5790" w:type="dxa"/>
            <w:gridSpan w:val="2"/>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420" w:firstLineChars="200"/>
              <w:jc w:val="left"/>
              <w:textAlignment w:val="center"/>
              <w:rPr>
                <w:rFonts w:hint="default" w:ascii="Arial" w:hAnsi="Arial" w:eastAsia="宋体" w:cs="Arial"/>
                <w:bCs/>
                <w:color w:val="auto"/>
                <w:sz w:val="21"/>
                <w:szCs w:val="21"/>
                <w:highlight w:val="none"/>
              </w:rPr>
            </w:pPr>
            <w:r>
              <w:rPr>
                <w:rFonts w:hint="default" w:ascii="Arial" w:hAnsi="Arial" w:eastAsia="宋体" w:cs="Arial"/>
                <w:bCs/>
                <w:color w:val="auto"/>
                <w:sz w:val="21"/>
                <w:szCs w:val="21"/>
                <w:highlight w:val="none"/>
              </w:rPr>
              <w:t>TMR日粮搅拌机</w:t>
            </w:r>
            <w:r>
              <w:rPr>
                <w:rFonts w:hint="default" w:ascii="Arial" w:hAnsi="Arial" w:eastAsia="宋体" w:cs="Arial"/>
                <w:bCs/>
                <w:color w:val="auto"/>
                <w:sz w:val="21"/>
                <w:szCs w:val="21"/>
                <w:highlight w:val="none"/>
                <w:lang w:val="en-US" w:eastAsia="zh-CN"/>
              </w:rPr>
              <w:t>位于</w:t>
            </w:r>
            <w:r>
              <w:rPr>
                <w:rFonts w:hint="default" w:ascii="Arial" w:hAnsi="Arial" w:eastAsia="宋体" w:cs="Arial"/>
                <w:bCs/>
                <w:color w:val="auto"/>
                <w:sz w:val="21"/>
                <w:szCs w:val="21"/>
                <w:highlight w:val="none"/>
              </w:rPr>
              <w:t>全封闭</w:t>
            </w:r>
            <w:r>
              <w:rPr>
                <w:rFonts w:hint="default" w:ascii="Arial" w:hAnsi="Arial" w:eastAsia="宋体" w:cs="Arial"/>
                <w:bCs/>
                <w:color w:val="auto"/>
                <w:sz w:val="21"/>
                <w:szCs w:val="21"/>
                <w:highlight w:val="none"/>
                <w:lang w:eastAsia="zh-CN"/>
              </w:rPr>
              <w:t>饲草料库房</w:t>
            </w:r>
            <w:r>
              <w:rPr>
                <w:rFonts w:hint="default" w:ascii="Arial" w:hAnsi="Arial" w:eastAsia="宋体" w:cs="Arial"/>
                <w:bCs/>
                <w:color w:val="auto"/>
                <w:sz w:val="21"/>
                <w:szCs w:val="21"/>
                <w:highlight w:val="none"/>
                <w:lang w:val="en-US" w:eastAsia="zh-CN"/>
              </w:rPr>
              <w:t>内</w:t>
            </w:r>
            <w:r>
              <w:rPr>
                <w:rFonts w:hint="default" w:ascii="Arial" w:hAnsi="Arial" w:eastAsia="宋体" w:cs="Arial"/>
                <w:bCs/>
                <w:color w:val="auto"/>
                <w:sz w:val="21"/>
                <w:szCs w:val="21"/>
                <w:highlight w:val="none"/>
              </w:rPr>
              <w:t>，</w:t>
            </w:r>
            <w:r>
              <w:rPr>
                <w:rFonts w:hint="default" w:ascii="Arial" w:hAnsi="Arial" w:eastAsia="宋体" w:cs="Arial"/>
                <w:bCs/>
                <w:color w:val="auto"/>
                <w:sz w:val="21"/>
                <w:szCs w:val="21"/>
                <w:highlight w:val="none"/>
                <w:lang w:eastAsia="zh-CN"/>
              </w:rPr>
              <w:t>外购已破碎的干草</w:t>
            </w:r>
            <w:r>
              <w:rPr>
                <w:rFonts w:hint="default" w:ascii="Arial" w:hAnsi="Arial" w:eastAsia="宋体" w:cs="Arial"/>
                <w:bCs/>
                <w:color w:val="auto"/>
                <w:sz w:val="21"/>
                <w:szCs w:val="21"/>
                <w:highlight w:val="none"/>
              </w:rPr>
              <w:t>、</w:t>
            </w:r>
            <w:r>
              <w:rPr>
                <w:rFonts w:hint="default" w:ascii="Arial" w:hAnsi="Arial" w:eastAsia="宋体" w:cs="Arial"/>
                <w:bCs/>
                <w:color w:val="auto"/>
                <w:sz w:val="21"/>
                <w:szCs w:val="21"/>
                <w:highlight w:val="none"/>
                <w:lang w:eastAsia="zh-CN"/>
              </w:rPr>
              <w:t>饲料、青贮</w:t>
            </w:r>
            <w:r>
              <w:rPr>
                <w:rFonts w:hint="default" w:ascii="Arial" w:hAnsi="Arial" w:eastAsia="宋体" w:cs="Arial"/>
                <w:bCs/>
                <w:color w:val="auto"/>
                <w:sz w:val="21"/>
                <w:szCs w:val="21"/>
                <w:highlight w:val="none"/>
              </w:rPr>
              <w:t>等原料，搅拌的过程</w:t>
            </w:r>
            <w:r>
              <w:rPr>
                <w:rFonts w:hint="default" w:ascii="Arial" w:hAnsi="Arial" w:eastAsia="宋体" w:cs="Arial"/>
                <w:bCs/>
                <w:color w:val="auto"/>
                <w:sz w:val="21"/>
                <w:szCs w:val="21"/>
                <w:highlight w:val="none"/>
                <w:lang w:val="en-US" w:eastAsia="zh-CN"/>
              </w:rPr>
              <w:t>加入定量水，搅拌</w:t>
            </w:r>
            <w:r>
              <w:rPr>
                <w:rFonts w:hint="default" w:ascii="Arial" w:hAnsi="Arial" w:eastAsia="宋体" w:cs="Arial"/>
                <w:bCs/>
                <w:color w:val="auto"/>
                <w:sz w:val="21"/>
                <w:szCs w:val="21"/>
                <w:highlight w:val="none"/>
              </w:rPr>
              <w:t>过程中产生的颗粒物在封闭车间内沉降</w:t>
            </w:r>
            <w:r>
              <w:rPr>
                <w:rFonts w:hint="default" w:ascii="Arial" w:hAnsi="Arial" w:eastAsia="宋体" w:cs="Arial"/>
                <w:color w:val="auto"/>
                <w:sz w:val="21"/>
                <w:szCs w:val="21"/>
                <w:highlight w:val="none"/>
              </w:rPr>
              <w:t>。</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071" w:type="dxa"/>
            <w:vMerge w:val="continue"/>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rPr>
            </w:pPr>
          </w:p>
        </w:tc>
        <w:tc>
          <w:tcPr>
            <w:tcW w:w="1071" w:type="dxa"/>
            <w:vMerge w:val="restart"/>
            <w:tcBorders>
              <w:right w:val="single" w:color="auto" w:sz="4" w:space="0"/>
            </w:tcBorders>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废水</w:t>
            </w:r>
          </w:p>
        </w:tc>
        <w:tc>
          <w:tcPr>
            <w:tcW w:w="1071" w:type="dxa"/>
            <w:tcBorders>
              <w:left w:val="single" w:color="auto" w:sz="4" w:space="0"/>
            </w:tcBorders>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sz w:val="21"/>
                <w:szCs w:val="21"/>
                <w:highlight w:val="none"/>
                <w:lang w:eastAsia="zh-CN"/>
              </w:rPr>
            </w:pPr>
            <w:r>
              <w:rPr>
                <w:rFonts w:hint="default" w:ascii="Arial" w:hAnsi="Arial" w:eastAsia="宋体" w:cs="Arial"/>
                <w:color w:val="auto"/>
                <w:sz w:val="21"/>
                <w:szCs w:val="21"/>
                <w:highlight w:val="none"/>
                <w:lang w:eastAsia="zh-CN"/>
              </w:rPr>
              <w:t>生活污水</w:t>
            </w:r>
          </w:p>
        </w:tc>
        <w:tc>
          <w:tcPr>
            <w:tcW w:w="5790" w:type="dxa"/>
            <w:gridSpan w:val="2"/>
            <w:vAlign w:val="center"/>
          </w:tcPr>
          <w:p>
            <w:pPr>
              <w:keepNext w:val="0"/>
              <w:keepLines w:val="0"/>
              <w:pageBreakBefore w:val="0"/>
              <w:kinsoku/>
              <w:wordWrap/>
              <w:overflowPunct/>
              <w:autoSpaceDN/>
              <w:bidi w:val="0"/>
              <w:adjustRightInd/>
              <w:snapToGrid/>
              <w:spacing w:line="360" w:lineRule="exact"/>
              <w:jc w:val="both"/>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生活污水经化粪池暂存处理后，定期</w:t>
            </w:r>
            <w:r>
              <w:rPr>
                <w:rFonts w:hint="default" w:ascii="Arial" w:hAnsi="Arial" w:eastAsia="宋体" w:cs="Arial"/>
                <w:color w:val="auto"/>
                <w:sz w:val="21"/>
                <w:szCs w:val="21"/>
                <w:highlight w:val="none"/>
                <w:lang w:eastAsia="zh-CN"/>
              </w:rPr>
              <w:t>清掏。</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071" w:type="dxa"/>
            <w:vMerge w:val="continue"/>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rPr>
            </w:pPr>
          </w:p>
        </w:tc>
        <w:tc>
          <w:tcPr>
            <w:tcW w:w="1071" w:type="dxa"/>
            <w:vMerge w:val="restart"/>
            <w:tcBorders>
              <w:right w:val="single" w:color="auto" w:sz="4" w:space="0"/>
            </w:tcBorders>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固体废物</w:t>
            </w:r>
          </w:p>
        </w:tc>
        <w:tc>
          <w:tcPr>
            <w:tcW w:w="1071" w:type="dxa"/>
            <w:tcBorders>
              <w:left w:val="single" w:color="auto" w:sz="4" w:space="0"/>
            </w:tcBorders>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lang w:eastAsia="zh-CN"/>
              </w:rPr>
              <w:t>牛粪便</w:t>
            </w:r>
          </w:p>
        </w:tc>
        <w:tc>
          <w:tcPr>
            <w:tcW w:w="5790" w:type="dxa"/>
            <w:gridSpan w:val="2"/>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420" w:firstLineChars="200"/>
              <w:jc w:val="left"/>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lang w:val="en-US" w:eastAsia="zh-CN"/>
              </w:rPr>
              <w:t>本项目</w:t>
            </w:r>
            <w:r>
              <w:rPr>
                <w:rFonts w:hint="default" w:ascii="Arial" w:hAnsi="Arial" w:eastAsia="宋体" w:cs="Arial"/>
                <w:color w:val="auto"/>
                <w:kern w:val="0"/>
                <w:sz w:val="21"/>
                <w:szCs w:val="21"/>
                <w:highlight w:val="none"/>
              </w:rPr>
              <w:t>清粪方式</w:t>
            </w:r>
            <w:r>
              <w:rPr>
                <w:rFonts w:hint="default" w:ascii="Arial" w:hAnsi="Arial" w:eastAsia="宋体" w:cs="Arial"/>
                <w:color w:val="auto"/>
                <w:sz w:val="21"/>
                <w:szCs w:val="21"/>
                <w:highlight w:val="none"/>
                <w:lang w:val="en-US" w:eastAsia="zh-CN"/>
              </w:rPr>
              <w:t>采用</w:t>
            </w:r>
            <w:r>
              <w:rPr>
                <w:rFonts w:hint="default" w:ascii="Arial" w:hAnsi="Arial" w:eastAsia="宋体" w:cs="Arial"/>
                <w:color w:val="auto"/>
                <w:sz w:val="21"/>
                <w:szCs w:val="21"/>
                <w:highlight w:val="none"/>
              </w:rPr>
              <w:t>干清粪工艺</w:t>
            </w:r>
            <w:r>
              <w:rPr>
                <w:rFonts w:hint="default" w:ascii="Arial" w:hAnsi="Arial" w:eastAsia="宋体" w:cs="Arial"/>
                <w:color w:val="auto"/>
                <w:sz w:val="21"/>
                <w:szCs w:val="21"/>
                <w:highlight w:val="none"/>
                <w:lang w:eastAsia="zh-CN"/>
              </w:rPr>
              <w:t>，</w:t>
            </w:r>
            <w:r>
              <w:rPr>
                <w:rFonts w:hint="default" w:ascii="Arial" w:hAnsi="Arial" w:eastAsia="宋体" w:cs="Arial"/>
                <w:color w:val="auto"/>
                <w:sz w:val="21"/>
                <w:szCs w:val="21"/>
                <w:highlight w:val="none"/>
              </w:rPr>
              <w:t>日产日清</w:t>
            </w:r>
            <w:r>
              <w:rPr>
                <w:rFonts w:hint="default" w:ascii="Arial" w:hAnsi="Arial" w:eastAsia="宋体" w:cs="Arial"/>
                <w:color w:val="auto"/>
                <w:sz w:val="21"/>
                <w:szCs w:val="21"/>
                <w:highlight w:val="none"/>
                <w:lang w:eastAsia="zh-CN"/>
              </w:rPr>
              <w:t>，</w:t>
            </w:r>
            <w:r>
              <w:rPr>
                <w:rFonts w:hint="default" w:ascii="Arial" w:hAnsi="Arial" w:eastAsia="宋体" w:cs="Arial"/>
                <w:color w:val="auto"/>
                <w:sz w:val="21"/>
                <w:szCs w:val="21"/>
                <w:highlight w:val="none"/>
                <w:lang w:val="en-US" w:eastAsia="zh-CN"/>
              </w:rPr>
              <w:t>采用</w:t>
            </w:r>
            <w:r>
              <w:rPr>
                <w:rFonts w:hint="default" w:ascii="Arial" w:hAnsi="Arial" w:eastAsia="宋体" w:cs="Arial"/>
                <w:color w:val="auto"/>
                <w:sz w:val="21"/>
                <w:szCs w:val="21"/>
                <w:highlight w:val="none"/>
              </w:rPr>
              <w:t>铲车</w:t>
            </w:r>
            <w:r>
              <w:rPr>
                <w:rFonts w:hint="default" w:ascii="Arial" w:hAnsi="Arial" w:eastAsia="宋体" w:cs="Arial"/>
                <w:color w:val="auto"/>
                <w:sz w:val="21"/>
                <w:szCs w:val="21"/>
                <w:highlight w:val="none"/>
                <w:lang w:val="en-US" w:eastAsia="zh-CN"/>
              </w:rPr>
              <w:t>将牛舍内和运动场的牛粪便</w:t>
            </w:r>
            <w:r>
              <w:rPr>
                <w:rFonts w:hint="default" w:ascii="Arial" w:hAnsi="Arial" w:eastAsia="宋体" w:cs="Arial"/>
                <w:color w:val="auto"/>
                <w:kern w:val="0"/>
                <w:sz w:val="21"/>
                <w:szCs w:val="21"/>
                <w:highlight w:val="none"/>
              </w:rPr>
              <w:t>，定期清理</w:t>
            </w:r>
            <w:r>
              <w:rPr>
                <w:rFonts w:hint="default" w:ascii="Arial" w:hAnsi="Arial" w:eastAsia="宋体" w:cs="Arial"/>
                <w:color w:val="auto"/>
                <w:kern w:val="0"/>
                <w:sz w:val="21"/>
                <w:szCs w:val="21"/>
                <w:highlight w:val="none"/>
                <w:lang w:val="en-US" w:eastAsia="zh-CN"/>
              </w:rPr>
              <w:t>至堆肥场储存并堆肥，作为有机肥还田利用。</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071" w:type="dxa"/>
            <w:vMerge w:val="continue"/>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rPr>
            </w:pPr>
          </w:p>
        </w:tc>
        <w:tc>
          <w:tcPr>
            <w:tcW w:w="1071" w:type="dxa"/>
            <w:vMerge w:val="continue"/>
            <w:tcBorders>
              <w:right w:val="single" w:color="auto" w:sz="4" w:space="0"/>
            </w:tcBorders>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rPr>
            </w:pPr>
          </w:p>
        </w:tc>
        <w:tc>
          <w:tcPr>
            <w:tcW w:w="1071" w:type="dxa"/>
            <w:tcBorders>
              <w:left w:val="single" w:color="auto" w:sz="4" w:space="0"/>
            </w:tcBorders>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kern w:val="0"/>
                <w:sz w:val="21"/>
                <w:szCs w:val="21"/>
                <w:highlight w:val="none"/>
                <w:lang w:eastAsia="zh-CN"/>
              </w:rPr>
            </w:pPr>
            <w:r>
              <w:rPr>
                <w:rFonts w:hint="default" w:ascii="Arial" w:hAnsi="Arial" w:eastAsia="宋体" w:cs="Arial"/>
                <w:color w:val="auto"/>
                <w:sz w:val="21"/>
                <w:szCs w:val="21"/>
                <w:highlight w:val="none"/>
                <w:lang w:eastAsia="zh-CN"/>
              </w:rPr>
              <w:t>病死牛</w:t>
            </w:r>
          </w:p>
        </w:tc>
        <w:tc>
          <w:tcPr>
            <w:tcW w:w="5790" w:type="dxa"/>
            <w:gridSpan w:val="2"/>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420" w:firstLineChars="200"/>
              <w:jc w:val="left"/>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lang w:eastAsia="zh-CN"/>
              </w:rPr>
              <w:t>病死牛暂存于</w:t>
            </w:r>
            <w:r>
              <w:rPr>
                <w:rFonts w:hint="default" w:ascii="Arial" w:hAnsi="Arial" w:eastAsia="宋体" w:cs="Arial"/>
                <w:color w:val="auto"/>
                <w:kern w:val="2"/>
                <w:sz w:val="21"/>
                <w:szCs w:val="21"/>
                <w:highlight w:val="none"/>
                <w:lang w:val="en-US" w:eastAsia="zh-CN" w:bidi="ar-SA"/>
              </w:rPr>
              <w:t>冷藏间</w:t>
            </w:r>
            <w:r>
              <w:rPr>
                <w:rFonts w:hint="default" w:ascii="Arial" w:hAnsi="Arial" w:eastAsia="宋体" w:cs="Arial"/>
                <w:color w:val="auto"/>
                <w:sz w:val="21"/>
                <w:szCs w:val="21"/>
                <w:highlight w:val="none"/>
                <w:lang w:eastAsia="zh-CN"/>
              </w:rPr>
              <w:t>，</w:t>
            </w:r>
            <w:r>
              <w:rPr>
                <w:rFonts w:hint="default" w:ascii="Arial" w:hAnsi="Arial" w:eastAsia="宋体" w:cs="Arial"/>
                <w:color w:val="auto"/>
                <w:sz w:val="21"/>
                <w:szCs w:val="21"/>
                <w:highlight w:val="none"/>
              </w:rPr>
              <w:t>交由巴彦淖尔市绿之源生物技术发展有限公司进行无害化处理。</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071" w:type="dxa"/>
            <w:vMerge w:val="continue"/>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rPr>
            </w:pPr>
          </w:p>
        </w:tc>
        <w:tc>
          <w:tcPr>
            <w:tcW w:w="1071" w:type="dxa"/>
            <w:vMerge w:val="continue"/>
            <w:tcBorders>
              <w:right w:val="single" w:color="auto" w:sz="4" w:space="0"/>
            </w:tcBorders>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rPr>
            </w:pPr>
          </w:p>
        </w:tc>
        <w:tc>
          <w:tcPr>
            <w:tcW w:w="1071" w:type="dxa"/>
            <w:tcBorders>
              <w:left w:val="single" w:color="auto" w:sz="4" w:space="0"/>
            </w:tcBorders>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kern w:val="0"/>
                <w:sz w:val="21"/>
                <w:szCs w:val="21"/>
                <w:highlight w:val="none"/>
                <w:lang w:val="en-US" w:eastAsia="zh-CN" w:bidi="ar-SA"/>
              </w:rPr>
            </w:pPr>
            <w:r>
              <w:rPr>
                <w:rFonts w:hint="default" w:ascii="Arial" w:hAnsi="Arial" w:eastAsia="宋体" w:cs="Arial"/>
                <w:color w:val="auto"/>
                <w:sz w:val="21"/>
                <w:szCs w:val="21"/>
                <w:highlight w:val="none"/>
                <w:lang w:bidi="zh-CN"/>
              </w:rPr>
              <w:t>医疗垃圾</w:t>
            </w:r>
          </w:p>
        </w:tc>
        <w:tc>
          <w:tcPr>
            <w:tcW w:w="3386"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420" w:firstLineChars="200"/>
              <w:jc w:val="left"/>
              <w:textAlignment w:val="center"/>
              <w:rPr>
                <w:rFonts w:hint="default" w:ascii="Arial" w:hAnsi="Arial" w:eastAsia="宋体" w:cs="Arial"/>
                <w:color w:val="auto"/>
                <w:kern w:val="2"/>
                <w:sz w:val="21"/>
                <w:szCs w:val="21"/>
                <w:highlight w:val="none"/>
                <w:lang w:val="en-US" w:eastAsia="zh-CN" w:bidi="zh-CN"/>
              </w:rPr>
            </w:pPr>
            <w:r>
              <w:rPr>
                <w:rFonts w:hint="default" w:ascii="Arial" w:hAnsi="Arial" w:eastAsia="宋体" w:cs="Arial"/>
                <w:color w:val="auto"/>
                <w:sz w:val="21"/>
                <w:szCs w:val="21"/>
                <w:highlight w:val="none"/>
                <w:lang w:val="en-US" w:bidi="zh-CN"/>
              </w:rPr>
              <w:t>本</w:t>
            </w:r>
            <w:r>
              <w:rPr>
                <w:rFonts w:hint="default" w:ascii="Arial" w:hAnsi="Arial" w:eastAsia="宋体" w:cs="Arial"/>
                <w:color w:val="auto"/>
                <w:sz w:val="21"/>
                <w:szCs w:val="21"/>
                <w:highlight w:val="none"/>
                <w:lang w:bidi="zh-CN"/>
              </w:rPr>
              <w:t>项目运营过程产生的医疗垃圾为危险废物，封闭包装后分区存放危险废物暂存间，定期由有资质单位处置。</w:t>
            </w:r>
          </w:p>
        </w:tc>
        <w:tc>
          <w:tcPr>
            <w:tcW w:w="2404"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420" w:firstLineChars="200"/>
              <w:jc w:val="left"/>
              <w:textAlignment w:val="center"/>
              <w:rPr>
                <w:rFonts w:hint="default" w:ascii="Arial" w:hAnsi="Arial" w:eastAsia="宋体" w:cs="Arial"/>
                <w:color w:val="auto"/>
                <w:sz w:val="21"/>
                <w:szCs w:val="21"/>
                <w:highlight w:val="none"/>
                <w:lang w:val="en-US" w:bidi="zh-CN"/>
              </w:rPr>
            </w:pPr>
            <w:r>
              <w:rPr>
                <w:rFonts w:hint="default" w:ascii="Arial" w:hAnsi="Arial" w:eastAsia="宋体" w:cs="Arial"/>
                <w:color w:val="auto"/>
                <w:sz w:val="21"/>
                <w:szCs w:val="21"/>
                <w:highlight w:val="none"/>
              </w:rPr>
              <w:t>新建1座危险废物暂存间（建筑面积10m</w:t>
            </w:r>
            <w:r>
              <w:rPr>
                <w:rFonts w:hint="default" w:ascii="Arial" w:hAnsi="Arial" w:eastAsia="宋体" w:cs="Arial"/>
                <w:color w:val="auto"/>
                <w:sz w:val="21"/>
                <w:szCs w:val="21"/>
                <w:highlight w:val="none"/>
                <w:vertAlign w:val="superscript"/>
              </w:rPr>
              <w:t>2</w:t>
            </w:r>
            <w:r>
              <w:rPr>
                <w:rFonts w:hint="default" w:ascii="Arial" w:hAnsi="Arial" w:eastAsia="宋体" w:cs="Arial"/>
                <w:color w:val="auto"/>
                <w:sz w:val="21"/>
                <w:szCs w:val="21"/>
                <w:highlight w:val="none"/>
              </w:rPr>
              <w:t>），内部分隔为医疗废物暂存间及其他</w:t>
            </w:r>
            <w:r>
              <w:rPr>
                <w:rFonts w:hint="default" w:ascii="Arial" w:hAnsi="Arial" w:eastAsia="宋体" w:cs="Arial"/>
                <w:color w:val="auto"/>
                <w:sz w:val="21"/>
                <w:szCs w:val="21"/>
                <w:highlight w:val="none"/>
                <w:lang w:eastAsia="zh-CN"/>
              </w:rPr>
              <w:t>危废</w:t>
            </w:r>
            <w:r>
              <w:rPr>
                <w:rFonts w:hint="default" w:ascii="Arial" w:hAnsi="Arial" w:eastAsia="宋体" w:cs="Arial"/>
                <w:color w:val="auto"/>
                <w:sz w:val="21"/>
                <w:szCs w:val="21"/>
                <w:highlight w:val="none"/>
              </w:rPr>
              <w:t>暂存间。</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071" w:type="dxa"/>
            <w:vMerge w:val="continue"/>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rPr>
            </w:pPr>
          </w:p>
        </w:tc>
        <w:tc>
          <w:tcPr>
            <w:tcW w:w="1071" w:type="dxa"/>
            <w:vMerge w:val="continue"/>
            <w:tcBorders>
              <w:right w:val="single" w:color="auto" w:sz="4" w:space="0"/>
            </w:tcBorders>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rPr>
            </w:pPr>
          </w:p>
        </w:tc>
        <w:tc>
          <w:tcPr>
            <w:tcW w:w="1071" w:type="dxa"/>
            <w:tcBorders>
              <w:left w:val="single" w:color="auto" w:sz="4" w:space="0"/>
            </w:tcBorders>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kern w:val="0"/>
                <w:sz w:val="21"/>
                <w:szCs w:val="21"/>
                <w:highlight w:val="none"/>
                <w:lang w:val="en-US" w:eastAsia="zh-CN" w:bidi="ar-SA"/>
              </w:rPr>
            </w:pPr>
            <w:r>
              <w:rPr>
                <w:rFonts w:hint="default" w:ascii="Arial" w:hAnsi="Arial" w:eastAsia="宋体" w:cs="Arial"/>
                <w:color w:val="auto"/>
                <w:kern w:val="0"/>
                <w:sz w:val="21"/>
                <w:szCs w:val="21"/>
                <w:highlight w:val="none"/>
              </w:rPr>
              <w:t>生活垃圾</w:t>
            </w:r>
          </w:p>
        </w:tc>
        <w:tc>
          <w:tcPr>
            <w:tcW w:w="5790" w:type="dxa"/>
            <w:gridSpan w:val="2"/>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420" w:firstLineChars="200"/>
              <w:jc w:val="left"/>
              <w:textAlignment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lang w:val="en-US" w:bidi="zh-CN"/>
              </w:rPr>
              <w:t>场区</w:t>
            </w:r>
            <w:r>
              <w:rPr>
                <w:rFonts w:hint="default" w:ascii="Arial" w:hAnsi="Arial" w:eastAsia="宋体" w:cs="Arial"/>
                <w:color w:val="auto"/>
                <w:sz w:val="21"/>
                <w:szCs w:val="21"/>
                <w:highlight w:val="none"/>
                <w:lang w:bidi="zh-CN"/>
              </w:rPr>
              <w:t>设置垃圾桶，分类收集</w:t>
            </w:r>
            <w:r>
              <w:rPr>
                <w:rFonts w:hint="default" w:ascii="Arial" w:hAnsi="Arial" w:eastAsia="宋体" w:cs="Arial"/>
                <w:color w:val="auto"/>
                <w:sz w:val="21"/>
                <w:szCs w:val="21"/>
                <w:highlight w:val="none"/>
                <w:lang w:val="en-US" w:bidi="zh-CN"/>
              </w:rPr>
              <w:t>工作人员产生的生活垃圾</w:t>
            </w:r>
            <w:r>
              <w:rPr>
                <w:rFonts w:hint="default" w:ascii="Arial" w:hAnsi="Arial" w:eastAsia="宋体" w:cs="Arial"/>
                <w:color w:val="auto"/>
                <w:sz w:val="21"/>
                <w:szCs w:val="21"/>
                <w:highlight w:val="none"/>
                <w:lang w:bidi="zh-CN"/>
              </w:rPr>
              <w:t>，</w:t>
            </w:r>
            <w:r>
              <w:rPr>
                <w:rFonts w:hint="default" w:ascii="Arial" w:hAnsi="Arial" w:eastAsia="宋体" w:cs="Arial"/>
                <w:color w:val="auto"/>
                <w:sz w:val="21"/>
                <w:szCs w:val="21"/>
                <w:highlight w:val="none"/>
                <w:lang w:val="en-US" w:bidi="zh-CN"/>
              </w:rPr>
              <w:t>定期</w:t>
            </w:r>
            <w:r>
              <w:rPr>
                <w:rFonts w:hint="default" w:ascii="Arial" w:hAnsi="Arial" w:eastAsia="宋体" w:cs="Arial"/>
                <w:color w:val="auto"/>
                <w:sz w:val="21"/>
                <w:szCs w:val="21"/>
                <w:highlight w:val="none"/>
                <w:lang w:bidi="zh-CN"/>
              </w:rPr>
              <w:t>清运到环卫部门指定的地点集中处理。</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071" w:type="dxa"/>
            <w:vMerge w:val="continue"/>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rPr>
            </w:pPr>
          </w:p>
        </w:tc>
        <w:tc>
          <w:tcPr>
            <w:tcW w:w="2142" w:type="dxa"/>
            <w:gridSpan w:val="2"/>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kern w:val="0"/>
                <w:sz w:val="21"/>
                <w:szCs w:val="21"/>
                <w:highlight w:val="none"/>
              </w:rPr>
            </w:pPr>
            <w:r>
              <w:rPr>
                <w:rFonts w:hint="default" w:ascii="Arial" w:hAnsi="Arial" w:eastAsia="宋体" w:cs="Arial"/>
                <w:bCs/>
                <w:color w:val="auto"/>
                <w:sz w:val="21"/>
                <w:szCs w:val="21"/>
                <w:highlight w:val="none"/>
              </w:rPr>
              <w:t>噪声</w:t>
            </w:r>
          </w:p>
        </w:tc>
        <w:tc>
          <w:tcPr>
            <w:tcW w:w="5790" w:type="dxa"/>
            <w:gridSpan w:val="2"/>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452" w:firstLineChars="200"/>
              <w:jc w:val="left"/>
              <w:textAlignment w:val="center"/>
              <w:rPr>
                <w:rFonts w:hint="default" w:ascii="Arial" w:hAnsi="Arial" w:eastAsia="宋体" w:cs="Arial"/>
                <w:color w:val="auto"/>
                <w:sz w:val="21"/>
                <w:szCs w:val="21"/>
                <w:highlight w:val="none"/>
                <w:lang w:eastAsia="zh-CN"/>
              </w:rPr>
            </w:pPr>
            <w:r>
              <w:rPr>
                <w:rFonts w:hint="default" w:ascii="Arial" w:hAnsi="Arial" w:eastAsia="宋体" w:cs="Arial"/>
                <w:color w:val="auto"/>
                <w:spacing w:val="8"/>
                <w:sz w:val="21"/>
                <w:szCs w:val="21"/>
                <w:highlight w:val="none"/>
              </w:rPr>
              <w:t>采取减振、隔声、合理布局等降噪措施</w:t>
            </w:r>
            <w:r>
              <w:rPr>
                <w:rFonts w:hint="default" w:ascii="Arial" w:hAnsi="Arial" w:eastAsia="宋体" w:cs="Arial"/>
                <w:color w:val="auto"/>
                <w:spacing w:val="8"/>
                <w:sz w:val="21"/>
                <w:szCs w:val="21"/>
                <w:highlight w:val="none"/>
                <w:lang w:eastAsia="zh-CN"/>
              </w:rPr>
              <w:t>。</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071" w:type="dxa"/>
            <w:vMerge w:val="continue"/>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rPr>
            </w:pPr>
          </w:p>
        </w:tc>
        <w:tc>
          <w:tcPr>
            <w:tcW w:w="1071" w:type="dxa"/>
            <w:vMerge w:val="restart"/>
            <w:tcBorders>
              <w:right w:val="single" w:color="auto" w:sz="4" w:space="0"/>
            </w:tcBorders>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地下水</w:t>
            </w:r>
          </w:p>
        </w:tc>
        <w:tc>
          <w:tcPr>
            <w:tcW w:w="1071" w:type="dxa"/>
            <w:tcBorders>
              <w:left w:val="single" w:color="auto" w:sz="4" w:space="0"/>
            </w:tcBorders>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kern w:val="0"/>
                <w:sz w:val="21"/>
                <w:szCs w:val="21"/>
                <w:highlight w:val="none"/>
              </w:rPr>
            </w:pPr>
            <w:r>
              <w:rPr>
                <w:rFonts w:hint="default" w:ascii="Arial" w:hAnsi="Arial" w:eastAsia="宋体" w:cs="Arial"/>
                <w:color w:val="auto"/>
                <w:kern w:val="0"/>
                <w:sz w:val="21"/>
                <w:szCs w:val="21"/>
                <w:highlight w:val="none"/>
              </w:rPr>
              <w:t>地下水监控井</w:t>
            </w:r>
          </w:p>
        </w:tc>
        <w:tc>
          <w:tcPr>
            <w:tcW w:w="5790" w:type="dxa"/>
            <w:gridSpan w:val="2"/>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420" w:firstLineChars="200"/>
              <w:jc w:val="left"/>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lang w:eastAsia="zh-CN"/>
              </w:rPr>
              <w:t>场区地下水下游（场区北侧）设置</w:t>
            </w:r>
            <w:r>
              <w:rPr>
                <w:rFonts w:hint="default" w:ascii="Arial" w:hAnsi="Arial" w:eastAsia="宋体" w:cs="Arial"/>
                <w:color w:val="auto"/>
                <w:sz w:val="21"/>
                <w:szCs w:val="21"/>
                <w:highlight w:val="none"/>
                <w:lang w:val="en-US" w:eastAsia="zh-CN"/>
              </w:rPr>
              <w:t>1个</w:t>
            </w:r>
            <w:r>
              <w:rPr>
                <w:rFonts w:hint="default" w:ascii="Arial" w:hAnsi="Arial" w:eastAsia="宋体" w:cs="Arial"/>
                <w:color w:val="auto"/>
                <w:sz w:val="21"/>
                <w:szCs w:val="21"/>
                <w:highlight w:val="none"/>
              </w:rPr>
              <w:t>地下水监控井</w:t>
            </w:r>
            <w:r>
              <w:rPr>
                <w:rFonts w:hint="default" w:ascii="Arial" w:hAnsi="Arial" w:eastAsia="宋体" w:cs="Arial"/>
                <w:color w:val="auto"/>
                <w:sz w:val="21"/>
                <w:szCs w:val="21"/>
                <w:highlight w:val="none"/>
                <w:lang w:eastAsia="zh-CN"/>
              </w:rPr>
              <w:t>（坐标：</w:t>
            </w:r>
            <w:r>
              <w:rPr>
                <w:rFonts w:hint="default" w:ascii="Arial" w:hAnsi="Arial" w:eastAsia="宋体" w:cs="Arial"/>
                <w:color w:val="auto"/>
                <w:sz w:val="21"/>
                <w:szCs w:val="21"/>
                <w:highlight w:val="none"/>
              </w:rPr>
              <w:t>N</w:t>
            </w:r>
            <w:r>
              <w:rPr>
                <w:rFonts w:hint="default" w:ascii="Arial" w:hAnsi="Arial" w:eastAsia="宋体" w:cs="Arial"/>
                <w:color w:val="auto"/>
                <w:sz w:val="21"/>
                <w:szCs w:val="21"/>
                <w:highlight w:val="none"/>
                <w:lang w:val="en-US" w:eastAsia="zh-CN"/>
              </w:rPr>
              <w:t>40°56'20.91"</w:t>
            </w:r>
            <w:r>
              <w:rPr>
                <w:rFonts w:hint="default" w:ascii="Arial" w:hAnsi="Arial" w:eastAsia="宋体" w:cs="Arial"/>
                <w:color w:val="auto"/>
                <w:sz w:val="21"/>
                <w:szCs w:val="21"/>
                <w:highlight w:val="none"/>
              </w:rPr>
              <w:t xml:space="preserve">  E</w:t>
            </w:r>
            <w:r>
              <w:rPr>
                <w:rFonts w:hint="default" w:ascii="Arial" w:hAnsi="Arial" w:eastAsia="宋体" w:cs="Arial"/>
                <w:color w:val="auto"/>
                <w:sz w:val="21"/>
                <w:szCs w:val="21"/>
                <w:highlight w:val="none"/>
                <w:lang w:eastAsia="zh-CN"/>
              </w:rPr>
              <w:t>107°40'52.52"）。</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071" w:type="dxa"/>
            <w:vMerge w:val="continue"/>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rPr>
            </w:pPr>
          </w:p>
        </w:tc>
        <w:tc>
          <w:tcPr>
            <w:tcW w:w="1071" w:type="dxa"/>
            <w:vMerge w:val="continue"/>
            <w:tcBorders>
              <w:right w:val="single" w:color="auto" w:sz="4" w:space="0"/>
            </w:tcBorders>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rPr>
            </w:pPr>
          </w:p>
        </w:tc>
        <w:tc>
          <w:tcPr>
            <w:tcW w:w="1071" w:type="dxa"/>
            <w:tcBorders>
              <w:left w:val="single" w:color="auto" w:sz="4" w:space="0"/>
            </w:tcBorders>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kern w:val="0"/>
                <w:sz w:val="21"/>
                <w:szCs w:val="21"/>
                <w:highlight w:val="none"/>
              </w:rPr>
            </w:pPr>
            <w:r>
              <w:rPr>
                <w:rFonts w:hint="default" w:ascii="Arial" w:hAnsi="Arial" w:eastAsia="宋体" w:cs="Arial"/>
                <w:color w:val="auto"/>
                <w:kern w:val="0"/>
                <w:sz w:val="21"/>
                <w:szCs w:val="21"/>
                <w:highlight w:val="none"/>
              </w:rPr>
              <w:t>重点防渗区</w:t>
            </w:r>
          </w:p>
        </w:tc>
        <w:tc>
          <w:tcPr>
            <w:tcW w:w="5790" w:type="dxa"/>
            <w:gridSpan w:val="2"/>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420" w:firstLineChars="200"/>
              <w:jc w:val="left"/>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危险废物暂存间等重点防渗区铺设2mm厚HDPE土工膜进行防渗，</w:t>
            </w:r>
            <w:r>
              <w:rPr>
                <w:rFonts w:hint="default" w:ascii="Arial" w:hAnsi="Arial" w:eastAsia="宋体" w:cs="Arial"/>
                <w:color w:val="auto"/>
                <w:kern w:val="0"/>
                <w:sz w:val="21"/>
                <w:szCs w:val="21"/>
                <w:highlight w:val="none"/>
              </w:rPr>
              <w:t>或可参照《环境影响评价技术导则 地下水环境》（HJ610-2016）中的相关要求进行防渗，</w:t>
            </w:r>
            <w:r>
              <w:rPr>
                <w:rFonts w:hint="default" w:ascii="Arial" w:hAnsi="Arial" w:eastAsia="宋体" w:cs="Arial"/>
                <w:color w:val="auto"/>
                <w:sz w:val="21"/>
                <w:szCs w:val="21"/>
                <w:highlight w:val="none"/>
              </w:rPr>
              <w:t>渗透系数不大于1.0×10</w:t>
            </w:r>
            <w:r>
              <w:rPr>
                <w:rFonts w:hint="default" w:ascii="Arial" w:hAnsi="Arial" w:eastAsia="宋体" w:cs="Arial"/>
                <w:color w:val="auto"/>
                <w:sz w:val="21"/>
                <w:szCs w:val="21"/>
                <w:highlight w:val="none"/>
                <w:vertAlign w:val="superscript"/>
              </w:rPr>
              <w:t>-10</w:t>
            </w:r>
            <w:r>
              <w:rPr>
                <w:rFonts w:hint="default" w:ascii="Arial" w:hAnsi="Arial" w:eastAsia="宋体" w:cs="Arial"/>
                <w:color w:val="auto"/>
                <w:sz w:val="21"/>
                <w:szCs w:val="21"/>
                <w:highlight w:val="none"/>
              </w:rPr>
              <w:t>cm/s</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071" w:type="dxa"/>
            <w:vMerge w:val="continue"/>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rPr>
            </w:pPr>
          </w:p>
        </w:tc>
        <w:tc>
          <w:tcPr>
            <w:tcW w:w="1071" w:type="dxa"/>
            <w:vMerge w:val="continue"/>
            <w:tcBorders>
              <w:right w:val="single" w:color="auto" w:sz="4" w:space="0"/>
            </w:tcBorders>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rPr>
            </w:pPr>
          </w:p>
        </w:tc>
        <w:tc>
          <w:tcPr>
            <w:tcW w:w="1071" w:type="dxa"/>
            <w:tcBorders>
              <w:left w:val="single" w:color="auto" w:sz="4" w:space="0"/>
            </w:tcBorders>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kern w:val="0"/>
                <w:sz w:val="21"/>
                <w:szCs w:val="21"/>
                <w:highlight w:val="none"/>
              </w:rPr>
            </w:pPr>
            <w:r>
              <w:rPr>
                <w:rFonts w:hint="default" w:ascii="Arial" w:hAnsi="Arial" w:eastAsia="宋体" w:cs="Arial"/>
                <w:color w:val="auto"/>
                <w:kern w:val="0"/>
                <w:sz w:val="21"/>
                <w:szCs w:val="21"/>
                <w:highlight w:val="none"/>
              </w:rPr>
              <w:t>一般防渗区</w:t>
            </w:r>
          </w:p>
        </w:tc>
        <w:tc>
          <w:tcPr>
            <w:tcW w:w="5790" w:type="dxa"/>
            <w:gridSpan w:val="2"/>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368" w:firstLineChars="200"/>
              <w:jc w:val="left"/>
              <w:textAlignment w:val="center"/>
              <w:rPr>
                <w:rFonts w:hint="default" w:ascii="Arial" w:hAnsi="Arial" w:eastAsia="宋体" w:cs="Arial"/>
                <w:color w:val="auto"/>
                <w:sz w:val="21"/>
                <w:szCs w:val="21"/>
                <w:highlight w:val="none"/>
              </w:rPr>
            </w:pPr>
            <w:r>
              <w:rPr>
                <w:rFonts w:hint="default" w:ascii="Arial" w:hAnsi="Arial" w:eastAsia="宋体" w:cs="Arial"/>
                <w:color w:val="auto"/>
                <w:spacing w:val="-13"/>
                <w:sz w:val="21"/>
                <w:szCs w:val="21"/>
                <w:highlight w:val="none"/>
                <w:lang w:eastAsia="zh-CN"/>
              </w:rPr>
              <w:t>堆肥场</w:t>
            </w:r>
            <w:r>
              <w:rPr>
                <w:rFonts w:hint="default" w:ascii="Arial" w:hAnsi="Arial" w:eastAsia="宋体" w:cs="Arial"/>
                <w:color w:val="auto"/>
                <w:spacing w:val="-13"/>
                <w:sz w:val="21"/>
                <w:szCs w:val="21"/>
                <w:highlight w:val="none"/>
              </w:rPr>
              <w:t>、</w:t>
            </w:r>
            <w:r>
              <w:rPr>
                <w:rFonts w:hint="default" w:ascii="Arial" w:hAnsi="Arial" w:eastAsia="宋体" w:cs="Arial"/>
                <w:color w:val="auto"/>
                <w:spacing w:val="-13"/>
                <w:sz w:val="21"/>
                <w:szCs w:val="21"/>
                <w:highlight w:val="none"/>
                <w:lang w:val="en-US" w:eastAsia="zh-CN"/>
              </w:rPr>
              <w:t>化粪池</w:t>
            </w:r>
            <w:r>
              <w:rPr>
                <w:rFonts w:hint="default" w:ascii="Arial" w:hAnsi="Arial" w:eastAsia="宋体" w:cs="Arial"/>
                <w:color w:val="auto"/>
                <w:spacing w:val="-4"/>
                <w:sz w:val="21"/>
                <w:szCs w:val="21"/>
                <w:highlight w:val="none"/>
              </w:rPr>
              <w:t>等构筑物，均</w:t>
            </w:r>
            <w:r>
              <w:rPr>
                <w:rFonts w:hint="default" w:ascii="Arial" w:hAnsi="Arial" w:eastAsia="宋体" w:cs="Arial"/>
                <w:color w:val="auto"/>
                <w:spacing w:val="-3"/>
                <w:sz w:val="21"/>
                <w:szCs w:val="21"/>
                <w:highlight w:val="none"/>
              </w:rPr>
              <w:t>参照《一般工业固体废物贮存和填埋污染控制标准》（GB18599-2020）的相关要求进行防渗，渗透系数≤1.0×10</w:t>
            </w:r>
            <w:r>
              <w:rPr>
                <w:rFonts w:hint="default" w:ascii="Arial" w:hAnsi="Arial" w:eastAsia="宋体" w:cs="Arial"/>
                <w:color w:val="auto"/>
                <w:spacing w:val="-3"/>
                <w:sz w:val="21"/>
                <w:szCs w:val="21"/>
                <w:highlight w:val="none"/>
                <w:vertAlign w:val="superscript"/>
              </w:rPr>
              <w:t>-7</w:t>
            </w:r>
            <w:r>
              <w:rPr>
                <w:rFonts w:hint="default" w:ascii="Arial" w:hAnsi="Arial" w:eastAsia="宋体" w:cs="Arial"/>
                <w:color w:val="auto"/>
                <w:spacing w:val="-3"/>
                <w:sz w:val="21"/>
                <w:szCs w:val="21"/>
                <w:highlight w:val="none"/>
              </w:rPr>
              <w:t>cm/s；</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071" w:type="dxa"/>
            <w:vMerge w:val="continue"/>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rPr>
            </w:pPr>
          </w:p>
        </w:tc>
        <w:tc>
          <w:tcPr>
            <w:tcW w:w="1071" w:type="dxa"/>
            <w:vMerge w:val="continue"/>
            <w:tcBorders>
              <w:right w:val="single" w:color="auto" w:sz="4" w:space="0"/>
            </w:tcBorders>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rPr>
            </w:pPr>
          </w:p>
        </w:tc>
        <w:tc>
          <w:tcPr>
            <w:tcW w:w="1071" w:type="dxa"/>
            <w:tcBorders>
              <w:left w:val="single" w:color="auto" w:sz="4" w:space="0"/>
            </w:tcBorders>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kern w:val="0"/>
                <w:sz w:val="21"/>
                <w:szCs w:val="21"/>
                <w:highlight w:val="none"/>
                <w:lang w:val="en-US" w:eastAsia="zh-CN" w:bidi="ar-SA"/>
              </w:rPr>
            </w:pPr>
            <w:r>
              <w:rPr>
                <w:rFonts w:hint="default" w:ascii="Arial" w:hAnsi="Arial" w:eastAsia="宋体" w:cs="Arial"/>
                <w:color w:val="auto"/>
                <w:kern w:val="0"/>
                <w:sz w:val="21"/>
                <w:szCs w:val="21"/>
                <w:highlight w:val="none"/>
                <w:lang w:eastAsia="zh-CN"/>
              </w:rPr>
              <w:t>简单防渗区</w:t>
            </w:r>
          </w:p>
        </w:tc>
        <w:tc>
          <w:tcPr>
            <w:tcW w:w="5790" w:type="dxa"/>
            <w:gridSpan w:val="2"/>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420" w:firstLineChars="200"/>
              <w:jc w:val="left"/>
              <w:textAlignment w:val="center"/>
              <w:rPr>
                <w:rFonts w:hint="default" w:ascii="Arial" w:hAnsi="Arial" w:eastAsia="宋体" w:cs="Arial"/>
                <w:color w:val="auto"/>
                <w:spacing w:val="-13"/>
                <w:kern w:val="2"/>
                <w:sz w:val="21"/>
                <w:szCs w:val="21"/>
                <w:highlight w:val="none"/>
                <w:lang w:val="en-US" w:eastAsia="zh-CN" w:bidi="ar-SA"/>
              </w:rPr>
            </w:pPr>
            <w:r>
              <w:rPr>
                <w:rFonts w:hint="default" w:ascii="Arial" w:hAnsi="Arial" w:eastAsia="宋体" w:cs="Arial"/>
                <w:color w:val="auto"/>
                <w:sz w:val="21"/>
                <w:szCs w:val="21"/>
                <w:highlight w:val="none"/>
                <w:lang w:eastAsia="zh-CN"/>
              </w:rPr>
              <w:t>饲草料库房、青贮池</w:t>
            </w:r>
            <w:r>
              <w:rPr>
                <w:rFonts w:hint="default" w:ascii="Arial" w:hAnsi="Arial" w:eastAsia="宋体" w:cs="Arial"/>
                <w:color w:val="auto"/>
                <w:sz w:val="21"/>
                <w:szCs w:val="21"/>
                <w:highlight w:val="none"/>
              </w:rPr>
              <w:t>、场区道路、运输道路单元，采取水泥硬化处理</w:t>
            </w:r>
            <w:r>
              <w:rPr>
                <w:rFonts w:hint="default" w:ascii="Arial" w:hAnsi="Arial" w:eastAsia="宋体" w:cs="Arial"/>
                <w:color w:val="auto"/>
                <w:sz w:val="21"/>
                <w:szCs w:val="21"/>
                <w:highlight w:val="none"/>
                <w:lang w:eastAsia="zh-CN"/>
              </w:rPr>
              <w:t>。</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071" w:type="dxa"/>
            <w:vMerge w:val="continue"/>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rPr>
            </w:pPr>
          </w:p>
        </w:tc>
        <w:tc>
          <w:tcPr>
            <w:tcW w:w="2142" w:type="dxa"/>
            <w:gridSpan w:val="2"/>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kern w:val="0"/>
                <w:sz w:val="21"/>
                <w:szCs w:val="21"/>
                <w:highlight w:val="none"/>
              </w:rPr>
            </w:pPr>
            <w:r>
              <w:rPr>
                <w:rFonts w:hint="default" w:ascii="Arial" w:hAnsi="Arial" w:eastAsia="宋体" w:cs="Arial"/>
                <w:color w:val="auto"/>
                <w:kern w:val="0"/>
                <w:sz w:val="21"/>
                <w:szCs w:val="21"/>
                <w:highlight w:val="none"/>
              </w:rPr>
              <w:t>生态</w:t>
            </w:r>
          </w:p>
        </w:tc>
        <w:tc>
          <w:tcPr>
            <w:tcW w:w="5790" w:type="dxa"/>
            <w:gridSpan w:val="2"/>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420" w:firstLineChars="200"/>
              <w:jc w:val="left"/>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绿化面积</w:t>
            </w:r>
            <w:r>
              <w:rPr>
                <w:rFonts w:hint="default" w:ascii="Arial" w:hAnsi="Arial" w:eastAsia="宋体" w:cs="Arial"/>
                <w:color w:val="auto"/>
                <w:sz w:val="21"/>
                <w:szCs w:val="21"/>
                <w:highlight w:val="none"/>
                <w:lang w:val="en-US" w:eastAsia="zh-CN"/>
              </w:rPr>
              <w:t>10000</w:t>
            </w:r>
            <w:r>
              <w:rPr>
                <w:rFonts w:hint="default" w:ascii="Arial" w:hAnsi="Arial" w:eastAsia="宋体" w:cs="Arial"/>
                <w:color w:val="auto"/>
                <w:sz w:val="21"/>
                <w:szCs w:val="21"/>
                <w:highlight w:val="none"/>
              </w:rPr>
              <w:t>m</w:t>
            </w:r>
            <w:r>
              <w:rPr>
                <w:rFonts w:hint="default" w:ascii="Arial" w:hAnsi="Arial" w:eastAsia="宋体" w:cs="Arial"/>
                <w:color w:val="auto"/>
                <w:sz w:val="21"/>
                <w:szCs w:val="21"/>
                <w:highlight w:val="none"/>
                <w:vertAlign w:val="superscript"/>
              </w:rPr>
              <w:t>2</w:t>
            </w:r>
            <w:r>
              <w:rPr>
                <w:rFonts w:hint="default" w:ascii="Arial" w:hAnsi="Arial" w:eastAsia="宋体" w:cs="Arial"/>
                <w:color w:val="auto"/>
                <w:sz w:val="21"/>
                <w:szCs w:val="21"/>
                <w:highlight w:val="none"/>
              </w:rPr>
              <w:t>。</w:t>
            </w:r>
          </w:p>
        </w:tc>
      </w:tr>
    </w:tbl>
    <w:p>
      <w:pPr>
        <w:pStyle w:val="6"/>
        <w:pageBreakBefore w:val="0"/>
        <w:widowControl w:val="0"/>
        <w:kinsoku/>
        <w:wordWrap/>
        <w:overflowPunct/>
        <w:topLinePunct/>
        <w:autoSpaceDE w:val="0"/>
        <w:autoSpaceDN/>
        <w:bidi w:val="0"/>
        <w:adjustRightInd/>
        <w:snapToGrid/>
        <w:spacing w:line="480" w:lineRule="exact"/>
        <w:textAlignment w:val="auto"/>
        <w:rPr>
          <w:rFonts w:hint="default" w:ascii="Arial" w:hAnsi="Arial" w:eastAsia="宋体" w:cs="Arial"/>
          <w:color w:val="auto"/>
          <w:highlight w:val="none"/>
        </w:rPr>
      </w:pPr>
      <w:bookmarkStart w:id="198" w:name="_Toc29333"/>
      <w:r>
        <w:rPr>
          <w:rFonts w:hint="default" w:ascii="Arial" w:hAnsi="Arial" w:eastAsia="宋体" w:cs="Arial"/>
          <w:color w:val="auto"/>
          <w:highlight w:val="none"/>
        </w:rPr>
        <w:t>3.1.3产品方案及技术指标</w:t>
      </w:r>
      <w:bookmarkEnd w:id="198"/>
    </w:p>
    <w:p>
      <w:pPr>
        <w:keepNext w:val="0"/>
        <w:keepLines w:val="0"/>
        <w:pageBreakBefore w:val="0"/>
        <w:widowControl w:val="0"/>
        <w:tabs>
          <w:tab w:val="left" w:pos="1050"/>
        </w:tabs>
        <w:kinsoku/>
        <w:wordWrap/>
        <w:overflowPunct/>
        <w:topLinePunct w:val="0"/>
        <w:autoSpaceDE w:val="0"/>
        <w:autoSpaceDN w:val="0"/>
        <w:bidi w:val="0"/>
        <w:adjustRightInd/>
        <w:snapToGrid/>
        <w:spacing w:line="360" w:lineRule="auto"/>
        <w:ind w:firstLine="480" w:firstLineChars="200"/>
        <w:contextualSpacing/>
        <w:jc w:val="both"/>
        <w:textAlignment w:val="auto"/>
        <w:rPr>
          <w:rFonts w:hint="default" w:ascii="Arial" w:hAnsi="Arial" w:eastAsia="宋体" w:cs="Arial"/>
          <w:color w:val="auto"/>
          <w:sz w:val="24"/>
          <w:szCs w:val="24"/>
        </w:rPr>
      </w:pPr>
      <w:r>
        <w:rPr>
          <w:rFonts w:hint="default" w:ascii="Arial" w:hAnsi="Arial" w:eastAsia="宋体" w:cs="Arial"/>
          <w:color w:val="auto"/>
          <w:sz w:val="24"/>
          <w:highlight w:val="none"/>
          <w:lang w:val="en-US" w:eastAsia="zh-CN"/>
        </w:rPr>
        <w:t>本项目引进4月-8月的犊牛进行饲养育肥，养殖场存栏量为10000头，犊牛育肥期为12~18个月，在场内育肥后体重达800公斤以上后出栏。产品方案</w:t>
      </w:r>
      <w:r>
        <w:rPr>
          <w:rFonts w:hint="default" w:ascii="Arial" w:hAnsi="Arial" w:eastAsia="宋体" w:cs="Arial"/>
          <w:color w:val="auto"/>
          <w:sz w:val="24"/>
          <w:szCs w:val="24"/>
        </w:rPr>
        <w:t>详见表</w:t>
      </w:r>
      <w:r>
        <w:rPr>
          <w:rFonts w:hint="default" w:ascii="Arial" w:hAnsi="Arial" w:eastAsia="宋体" w:cs="Arial"/>
          <w:color w:val="auto"/>
          <w:sz w:val="24"/>
          <w:szCs w:val="24"/>
          <w:lang w:val="en-US" w:eastAsia="zh-CN"/>
        </w:rPr>
        <w:t>3</w:t>
      </w:r>
      <w:r>
        <w:rPr>
          <w:rFonts w:hint="default" w:ascii="Arial" w:hAnsi="Arial" w:eastAsia="宋体" w:cs="Arial"/>
          <w:color w:val="auto"/>
          <w:sz w:val="24"/>
          <w:szCs w:val="24"/>
        </w:rPr>
        <w:t>.1-</w:t>
      </w:r>
      <w:r>
        <w:rPr>
          <w:rFonts w:hint="default" w:ascii="Arial" w:hAnsi="Arial" w:eastAsia="宋体" w:cs="Arial"/>
          <w:color w:val="auto"/>
          <w:sz w:val="24"/>
          <w:szCs w:val="24"/>
          <w:lang w:val="en-US" w:eastAsia="zh-CN"/>
        </w:rPr>
        <w:t>4</w:t>
      </w:r>
      <w:r>
        <w:rPr>
          <w:rFonts w:hint="default" w:ascii="Arial" w:hAnsi="Arial" w:eastAsia="宋体" w:cs="Arial"/>
          <w:color w:val="auto"/>
          <w:sz w:val="24"/>
          <w:szCs w:val="24"/>
        </w:rPr>
        <w:t>。</w:t>
      </w:r>
    </w:p>
    <w:p>
      <w:pPr>
        <w:widowControl w:val="0"/>
        <w:spacing w:line="360" w:lineRule="auto"/>
        <w:ind w:firstLine="482"/>
        <w:contextualSpacing/>
        <w:jc w:val="center"/>
        <w:rPr>
          <w:rFonts w:hint="default" w:ascii="Arial" w:hAnsi="Arial" w:eastAsia="宋体" w:cs="Arial"/>
          <w:b/>
          <w:color w:val="auto"/>
          <w:sz w:val="24"/>
          <w:szCs w:val="24"/>
        </w:rPr>
      </w:pPr>
    </w:p>
    <w:p>
      <w:pPr>
        <w:widowControl w:val="0"/>
        <w:spacing w:line="360" w:lineRule="auto"/>
        <w:ind w:firstLine="482"/>
        <w:contextualSpacing/>
        <w:jc w:val="center"/>
        <w:rPr>
          <w:rFonts w:hint="default" w:ascii="Arial" w:hAnsi="Arial" w:eastAsia="宋体" w:cs="Arial"/>
          <w:b/>
          <w:color w:val="auto"/>
          <w:sz w:val="24"/>
          <w:szCs w:val="24"/>
        </w:rPr>
      </w:pPr>
      <w:r>
        <w:rPr>
          <w:rFonts w:hint="default" w:ascii="Arial" w:hAnsi="Arial" w:eastAsia="宋体" w:cs="Arial"/>
          <w:b/>
          <w:color w:val="auto"/>
          <w:sz w:val="24"/>
          <w:szCs w:val="24"/>
        </w:rPr>
        <w:t>表</w:t>
      </w:r>
      <w:r>
        <w:rPr>
          <w:rFonts w:hint="default" w:ascii="Arial" w:hAnsi="Arial" w:eastAsia="宋体" w:cs="Arial"/>
          <w:b/>
          <w:color w:val="auto"/>
          <w:sz w:val="24"/>
          <w:szCs w:val="24"/>
          <w:lang w:val="en-US" w:eastAsia="zh-CN"/>
        </w:rPr>
        <w:t>3</w:t>
      </w:r>
      <w:r>
        <w:rPr>
          <w:rFonts w:hint="default" w:ascii="Arial" w:hAnsi="Arial" w:eastAsia="宋体" w:cs="Arial"/>
          <w:b/>
          <w:color w:val="auto"/>
          <w:sz w:val="24"/>
          <w:szCs w:val="24"/>
        </w:rPr>
        <w:t>.1-</w:t>
      </w:r>
      <w:r>
        <w:rPr>
          <w:rFonts w:hint="default" w:ascii="Arial" w:hAnsi="Arial" w:eastAsia="宋体" w:cs="Arial"/>
          <w:b/>
          <w:color w:val="auto"/>
          <w:sz w:val="24"/>
          <w:szCs w:val="24"/>
          <w:lang w:val="en-US" w:eastAsia="zh-CN"/>
        </w:rPr>
        <w:t>4</w:t>
      </w:r>
      <w:r>
        <w:rPr>
          <w:rFonts w:hint="default" w:ascii="Arial" w:hAnsi="Arial" w:eastAsia="宋体" w:cs="Arial"/>
          <w:b/>
          <w:color w:val="auto"/>
          <w:sz w:val="24"/>
          <w:szCs w:val="24"/>
        </w:rPr>
        <w:t>产品方案一览表</w:t>
      </w:r>
    </w:p>
    <w:tbl>
      <w:tblPr>
        <w:tblStyle w:val="39"/>
        <w:tblW w:w="9003"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0" w:type="dxa"/>
          <w:left w:w="108" w:type="dxa"/>
          <w:bottom w:w="0" w:type="dxa"/>
          <w:right w:w="108" w:type="dxa"/>
        </w:tblCellMar>
      </w:tblPr>
      <w:tblGrid>
        <w:gridCol w:w="1159"/>
        <w:gridCol w:w="1343"/>
        <w:gridCol w:w="851"/>
        <w:gridCol w:w="4100"/>
        <w:gridCol w:w="1550"/>
      </w:tblGrid>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jc w:val="center"/>
        </w:trPr>
        <w:tc>
          <w:tcPr>
            <w:tcW w:w="109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60" w:lineRule="exact"/>
              <w:ind w:left="0" w:leftChars="0" w:right="0" w:rightChars="0" w:firstLine="0" w:firstLineChars="0"/>
              <w:jc w:val="center"/>
              <w:textAlignment w:val="auto"/>
              <w:rPr>
                <w:rFonts w:hint="default" w:ascii="Arial" w:hAnsi="Arial" w:eastAsia="宋体" w:cs="Arial"/>
                <w:snapToGrid w:val="0"/>
                <w:color w:val="auto"/>
                <w:sz w:val="21"/>
                <w:szCs w:val="21"/>
              </w:rPr>
            </w:pPr>
            <w:r>
              <w:rPr>
                <w:rFonts w:hint="default" w:ascii="Arial" w:hAnsi="Arial" w:eastAsia="宋体" w:cs="Arial"/>
                <w:snapToGrid w:val="0"/>
                <w:color w:val="auto"/>
                <w:sz w:val="21"/>
                <w:szCs w:val="21"/>
              </w:rPr>
              <w:t>序号</w:t>
            </w:r>
          </w:p>
        </w:tc>
        <w:tc>
          <w:tcPr>
            <w:tcW w:w="12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60" w:lineRule="exact"/>
              <w:ind w:left="0" w:leftChars="0" w:right="0" w:rightChars="0" w:firstLine="0" w:firstLineChars="0"/>
              <w:jc w:val="center"/>
              <w:textAlignment w:val="auto"/>
              <w:rPr>
                <w:rFonts w:hint="default" w:ascii="Arial" w:hAnsi="Arial" w:eastAsia="宋体" w:cs="Arial"/>
                <w:snapToGrid w:val="0"/>
                <w:color w:val="auto"/>
                <w:sz w:val="21"/>
                <w:szCs w:val="21"/>
              </w:rPr>
            </w:pPr>
            <w:r>
              <w:rPr>
                <w:rFonts w:hint="default" w:ascii="Arial" w:hAnsi="Arial" w:eastAsia="宋体" w:cs="Arial"/>
                <w:snapToGrid w:val="0"/>
                <w:color w:val="auto"/>
                <w:sz w:val="21"/>
                <w:szCs w:val="21"/>
              </w:rPr>
              <w:t>产品名称</w:t>
            </w:r>
          </w:p>
        </w:tc>
        <w:tc>
          <w:tcPr>
            <w:tcW w:w="80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60" w:lineRule="exact"/>
              <w:ind w:left="0" w:leftChars="0" w:right="0" w:rightChars="0" w:firstLine="0" w:firstLineChars="0"/>
              <w:jc w:val="center"/>
              <w:textAlignment w:val="auto"/>
              <w:rPr>
                <w:rFonts w:hint="default" w:ascii="Arial" w:hAnsi="Arial" w:eastAsia="宋体" w:cs="Arial"/>
                <w:snapToGrid w:val="0"/>
                <w:color w:val="auto"/>
                <w:sz w:val="21"/>
                <w:szCs w:val="21"/>
              </w:rPr>
            </w:pPr>
            <w:r>
              <w:rPr>
                <w:rFonts w:hint="default" w:ascii="Arial" w:hAnsi="Arial" w:eastAsia="宋体" w:cs="Arial"/>
                <w:snapToGrid w:val="0"/>
                <w:color w:val="auto"/>
                <w:sz w:val="21"/>
                <w:szCs w:val="21"/>
              </w:rPr>
              <w:t>单位</w:t>
            </w:r>
          </w:p>
        </w:tc>
        <w:tc>
          <w:tcPr>
            <w:tcW w:w="3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60" w:lineRule="exact"/>
              <w:ind w:left="0" w:leftChars="0" w:right="0" w:rightChars="0" w:firstLine="0" w:firstLineChars="0"/>
              <w:jc w:val="center"/>
              <w:textAlignment w:val="auto"/>
              <w:rPr>
                <w:rFonts w:hint="default" w:ascii="Arial" w:hAnsi="Arial" w:eastAsia="宋体" w:cs="Arial"/>
                <w:snapToGrid w:val="0"/>
                <w:color w:val="auto"/>
                <w:sz w:val="21"/>
                <w:szCs w:val="21"/>
              </w:rPr>
            </w:pPr>
            <w:r>
              <w:rPr>
                <w:rFonts w:hint="default" w:ascii="Arial" w:hAnsi="Arial" w:eastAsia="宋体" w:cs="Arial"/>
                <w:snapToGrid w:val="0"/>
                <w:color w:val="auto"/>
                <w:sz w:val="21"/>
                <w:szCs w:val="21"/>
              </w:rPr>
              <w:t>数量</w:t>
            </w:r>
          </w:p>
        </w:tc>
        <w:tc>
          <w:tcPr>
            <w:tcW w:w="146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60" w:lineRule="exact"/>
              <w:ind w:left="0" w:leftChars="0" w:right="0" w:rightChars="0" w:firstLine="0" w:firstLineChars="0"/>
              <w:jc w:val="center"/>
              <w:textAlignment w:val="auto"/>
              <w:rPr>
                <w:rFonts w:hint="default" w:ascii="Arial" w:hAnsi="Arial" w:eastAsia="宋体" w:cs="Arial"/>
                <w:snapToGrid w:val="0"/>
                <w:color w:val="auto"/>
                <w:sz w:val="21"/>
                <w:szCs w:val="21"/>
              </w:rPr>
            </w:pPr>
            <w:r>
              <w:rPr>
                <w:rFonts w:hint="default" w:ascii="Arial" w:hAnsi="Arial" w:eastAsia="宋体" w:cs="Arial"/>
                <w:snapToGrid w:val="0"/>
                <w:color w:val="auto"/>
                <w:sz w:val="21"/>
                <w:szCs w:val="21"/>
              </w:rPr>
              <w:t>备注</w:t>
            </w:r>
          </w:p>
        </w:tc>
      </w:tr>
      <w:tr>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340" w:hRule="atLeast"/>
          <w:jc w:val="center"/>
        </w:trPr>
        <w:tc>
          <w:tcPr>
            <w:tcW w:w="109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60" w:lineRule="exact"/>
              <w:ind w:left="0" w:leftChars="0" w:right="0" w:rightChars="0" w:firstLine="0" w:firstLineChars="0"/>
              <w:jc w:val="center"/>
              <w:textAlignment w:val="auto"/>
              <w:rPr>
                <w:rFonts w:hint="default" w:ascii="Arial" w:hAnsi="Arial" w:eastAsia="宋体" w:cs="Arial"/>
                <w:snapToGrid w:val="0"/>
                <w:color w:val="auto"/>
                <w:sz w:val="21"/>
                <w:szCs w:val="21"/>
                <w:lang w:val="en-US" w:eastAsia="zh-CN"/>
              </w:rPr>
            </w:pPr>
            <w:r>
              <w:rPr>
                <w:rFonts w:hint="default" w:ascii="Arial" w:hAnsi="Arial" w:eastAsia="宋体" w:cs="Arial"/>
                <w:snapToGrid w:val="0"/>
                <w:color w:val="auto"/>
                <w:sz w:val="21"/>
                <w:szCs w:val="21"/>
                <w:lang w:val="en-US" w:eastAsia="zh-CN"/>
              </w:rPr>
              <w:t>1</w:t>
            </w:r>
          </w:p>
        </w:tc>
        <w:tc>
          <w:tcPr>
            <w:tcW w:w="126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snapToGrid w:val="0"/>
              <w:spacing w:line="360" w:lineRule="exact"/>
              <w:ind w:left="0" w:leftChars="0" w:right="0" w:rightChars="0"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highlight w:val="none"/>
                <w:lang w:val="en-US" w:eastAsia="zh-CN"/>
              </w:rPr>
              <w:t>肉牛</w:t>
            </w:r>
          </w:p>
        </w:tc>
        <w:tc>
          <w:tcPr>
            <w:tcW w:w="80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60" w:lineRule="exact"/>
              <w:ind w:left="0" w:leftChars="0" w:right="0" w:rightChars="0" w:firstLine="0" w:firstLineChars="0"/>
              <w:jc w:val="center"/>
              <w:textAlignment w:val="auto"/>
              <w:rPr>
                <w:rFonts w:hint="default" w:ascii="Arial" w:hAnsi="Arial" w:eastAsia="宋体" w:cs="Arial"/>
                <w:snapToGrid w:val="0"/>
                <w:color w:val="auto"/>
                <w:kern w:val="2"/>
                <w:sz w:val="21"/>
                <w:szCs w:val="21"/>
                <w:lang w:val="en-US" w:eastAsia="zh-CN" w:bidi="ar-SA"/>
              </w:rPr>
            </w:pPr>
            <w:r>
              <w:rPr>
                <w:rFonts w:hint="default" w:ascii="Arial" w:hAnsi="Arial" w:eastAsia="宋体" w:cs="Arial"/>
                <w:color w:val="auto"/>
                <w:sz w:val="21"/>
                <w:szCs w:val="21"/>
                <w:highlight w:val="none"/>
                <w:lang w:val="en-US" w:eastAsia="zh-CN"/>
              </w:rPr>
              <w:t>头</w:t>
            </w:r>
          </w:p>
        </w:tc>
        <w:tc>
          <w:tcPr>
            <w:tcW w:w="387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60" w:lineRule="exact"/>
              <w:ind w:left="0" w:leftChars="0" w:right="0" w:rightChars="0" w:firstLine="0" w:firstLineChars="0"/>
              <w:jc w:val="center"/>
              <w:textAlignment w:val="auto"/>
              <w:rPr>
                <w:rFonts w:hint="default" w:ascii="Arial" w:hAnsi="Arial" w:eastAsia="宋体" w:cs="Arial"/>
                <w:snapToGrid w:val="0"/>
                <w:color w:val="auto"/>
                <w:sz w:val="21"/>
                <w:szCs w:val="21"/>
                <w:lang w:val="en-US" w:eastAsia="zh-CN"/>
              </w:rPr>
            </w:pPr>
            <w:r>
              <w:rPr>
                <w:rFonts w:hint="default" w:ascii="Arial" w:hAnsi="Arial" w:eastAsia="宋体" w:cs="Arial"/>
                <w:snapToGrid w:val="0"/>
                <w:color w:val="auto"/>
                <w:sz w:val="21"/>
                <w:szCs w:val="21"/>
                <w:lang w:val="en-US" w:eastAsia="zh-CN"/>
              </w:rPr>
              <w:t>5000</w:t>
            </w:r>
          </w:p>
        </w:tc>
        <w:tc>
          <w:tcPr>
            <w:tcW w:w="146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val="0"/>
              <w:snapToGrid w:val="0"/>
              <w:spacing w:line="360" w:lineRule="exact"/>
              <w:ind w:left="0" w:leftChars="0" w:right="0" w:rightChars="0" w:firstLine="0" w:firstLineChars="0"/>
              <w:jc w:val="center"/>
              <w:textAlignment w:val="auto"/>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highlight w:val="none"/>
                <w:lang w:val="en-US" w:eastAsia="zh-CN"/>
              </w:rPr>
              <w:t>出栏总量</w:t>
            </w:r>
          </w:p>
        </w:tc>
      </w:tr>
    </w:tbl>
    <w:p>
      <w:pPr>
        <w:pStyle w:val="6"/>
        <w:rPr>
          <w:rFonts w:hint="default" w:ascii="Arial" w:hAnsi="Arial" w:eastAsia="宋体" w:cs="Arial"/>
          <w:color w:val="auto"/>
          <w:highlight w:val="none"/>
        </w:rPr>
      </w:pPr>
      <w:bookmarkStart w:id="199" w:name="_Toc2697"/>
      <w:r>
        <w:rPr>
          <w:rFonts w:hint="default" w:ascii="Arial" w:hAnsi="Arial" w:eastAsia="宋体" w:cs="Arial"/>
          <w:color w:val="auto"/>
          <w:highlight w:val="none"/>
        </w:rPr>
        <w:t>3.1.4主要原辅料消耗能源消耗</w:t>
      </w:r>
      <w:bookmarkEnd w:id="199"/>
    </w:p>
    <w:p>
      <w:pPr>
        <w:pStyle w:val="7"/>
        <w:pageBreakBefore w:val="0"/>
        <w:widowControl w:val="0"/>
        <w:kinsoku/>
        <w:wordWrap/>
        <w:overflowPunct/>
        <w:topLinePunct/>
        <w:autoSpaceDE w:val="0"/>
        <w:autoSpaceDN/>
        <w:bidi w:val="0"/>
        <w:adjustRightInd/>
        <w:snapToGrid/>
        <w:spacing w:line="480" w:lineRule="exact"/>
        <w:textAlignment w:val="auto"/>
        <w:rPr>
          <w:rFonts w:hint="default" w:ascii="Arial" w:hAnsi="Arial" w:eastAsia="宋体" w:cs="Arial"/>
          <w:color w:val="auto"/>
          <w:highlight w:val="none"/>
          <w:lang w:eastAsia="zh-CN"/>
        </w:rPr>
      </w:pPr>
      <w:r>
        <w:rPr>
          <w:rFonts w:hint="default" w:ascii="Arial" w:hAnsi="Arial" w:eastAsia="宋体" w:cs="Arial"/>
          <w:color w:val="auto"/>
          <w:highlight w:val="none"/>
        </w:rPr>
        <w:t>3.1.</w:t>
      </w:r>
      <w:r>
        <w:rPr>
          <w:rFonts w:hint="default" w:ascii="Arial" w:hAnsi="Arial" w:eastAsia="宋体" w:cs="Arial"/>
          <w:color w:val="auto"/>
          <w:highlight w:val="none"/>
          <w:lang w:val="en-US" w:eastAsia="zh-CN"/>
        </w:rPr>
        <w:t>4</w:t>
      </w:r>
      <w:r>
        <w:rPr>
          <w:rFonts w:hint="default" w:ascii="Arial" w:hAnsi="Arial" w:eastAsia="宋体" w:cs="Arial"/>
          <w:color w:val="auto"/>
          <w:highlight w:val="none"/>
        </w:rPr>
        <w:t>.1</w:t>
      </w:r>
      <w:r>
        <w:rPr>
          <w:rFonts w:hint="default" w:ascii="Arial" w:hAnsi="Arial" w:eastAsia="宋体" w:cs="Arial"/>
          <w:color w:val="auto"/>
          <w:highlight w:val="none"/>
          <w:lang w:eastAsia="zh-CN"/>
        </w:rPr>
        <w:t>原辅料消耗</w:t>
      </w:r>
    </w:p>
    <w:p>
      <w:pPr>
        <w:ind w:firstLine="480"/>
        <w:rPr>
          <w:rFonts w:hint="default" w:ascii="Arial" w:hAnsi="Arial" w:eastAsia="宋体" w:cs="Arial"/>
          <w:color w:val="auto"/>
          <w:highlight w:val="none"/>
        </w:rPr>
      </w:pPr>
      <w:r>
        <w:rPr>
          <w:rFonts w:hint="default" w:ascii="Arial" w:hAnsi="Arial" w:eastAsia="宋体" w:cs="Arial"/>
          <w:color w:val="auto"/>
          <w:highlight w:val="none"/>
        </w:rPr>
        <w:t>本项目养殖</w:t>
      </w:r>
      <w:r>
        <w:rPr>
          <w:rFonts w:hint="default" w:ascii="Arial" w:hAnsi="Arial" w:eastAsia="宋体" w:cs="Arial"/>
          <w:color w:val="auto"/>
          <w:highlight w:val="none"/>
          <w:lang w:eastAsia="zh-CN"/>
        </w:rPr>
        <w:t>肉牛</w:t>
      </w:r>
      <w:r>
        <w:rPr>
          <w:rFonts w:hint="default" w:ascii="Arial" w:hAnsi="Arial" w:eastAsia="宋体" w:cs="Arial"/>
          <w:color w:val="auto"/>
          <w:highlight w:val="none"/>
        </w:rPr>
        <w:t>主要原料为优质饲草料及青贮玉米，项目区是传统农牧业地区，项目原料资源丰富</w:t>
      </w:r>
      <w:r>
        <w:rPr>
          <w:rFonts w:hint="default" w:ascii="Arial" w:hAnsi="Arial" w:eastAsia="宋体" w:cs="Arial"/>
          <w:color w:val="auto"/>
          <w:highlight w:val="none"/>
          <w:lang w:eastAsia="zh-CN"/>
        </w:rPr>
        <w:t>，</w:t>
      </w:r>
      <w:r>
        <w:rPr>
          <w:rFonts w:hint="default" w:ascii="Arial" w:hAnsi="Arial" w:eastAsia="宋体" w:cs="Arial"/>
          <w:color w:val="auto"/>
          <w:highlight w:val="none"/>
        </w:rPr>
        <w:t>本项目的原辅饲料消耗见下表。</w:t>
      </w:r>
    </w:p>
    <w:p>
      <w:pPr>
        <w:pStyle w:val="8"/>
        <w:rPr>
          <w:rFonts w:hint="default" w:ascii="Arial" w:hAnsi="Arial" w:eastAsia="宋体" w:cs="Arial"/>
          <w:color w:val="auto"/>
          <w:highlight w:val="none"/>
        </w:rPr>
      </w:pPr>
      <w:r>
        <w:rPr>
          <w:rFonts w:hint="default" w:ascii="Arial" w:hAnsi="Arial" w:eastAsia="宋体" w:cs="Arial"/>
          <w:color w:val="auto"/>
          <w:highlight w:val="none"/>
        </w:rPr>
        <w:t>表3.1-</w:t>
      </w:r>
      <w:r>
        <w:rPr>
          <w:rFonts w:hint="default" w:ascii="Arial" w:hAnsi="Arial" w:eastAsia="宋体" w:cs="Arial"/>
          <w:color w:val="auto"/>
          <w:highlight w:val="none"/>
          <w:lang w:val="en-US" w:eastAsia="zh-CN"/>
        </w:rPr>
        <w:t>5</w:t>
      </w:r>
      <w:r>
        <w:rPr>
          <w:rFonts w:hint="default" w:ascii="Arial" w:hAnsi="Arial" w:eastAsia="宋体" w:cs="Arial"/>
          <w:color w:val="auto"/>
          <w:highlight w:val="none"/>
        </w:rPr>
        <w:t xml:space="preserve">    本项目饲料消耗一览表</w:t>
      </w:r>
    </w:p>
    <w:tbl>
      <w:tblPr>
        <w:tblStyle w:val="39"/>
        <w:tblW w:w="9003"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996"/>
        <w:gridCol w:w="1504"/>
        <w:gridCol w:w="2999"/>
        <w:gridCol w:w="1504"/>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996" w:type="dxa"/>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highlight w:val="none"/>
              </w:rPr>
            </w:pPr>
            <w:r>
              <w:rPr>
                <w:rFonts w:hint="default" w:ascii="Arial" w:hAnsi="Arial" w:eastAsia="宋体" w:cs="Arial"/>
                <w:color w:val="auto"/>
                <w:highlight w:val="none"/>
              </w:rPr>
              <w:t>名称</w:t>
            </w:r>
          </w:p>
        </w:tc>
        <w:tc>
          <w:tcPr>
            <w:tcW w:w="1504" w:type="dxa"/>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highlight w:val="none"/>
              </w:rPr>
            </w:pPr>
            <w:r>
              <w:rPr>
                <w:rFonts w:hint="default" w:ascii="Arial" w:hAnsi="Arial" w:eastAsia="宋体" w:cs="Arial"/>
                <w:color w:val="auto"/>
                <w:highlight w:val="none"/>
              </w:rPr>
              <w:t>单位</w:t>
            </w:r>
          </w:p>
        </w:tc>
        <w:tc>
          <w:tcPr>
            <w:tcW w:w="2999" w:type="dxa"/>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highlight w:val="none"/>
              </w:rPr>
            </w:pPr>
            <w:r>
              <w:rPr>
                <w:rFonts w:hint="default" w:ascii="Arial" w:hAnsi="Arial" w:eastAsia="宋体" w:cs="Arial"/>
                <w:color w:val="auto"/>
                <w:highlight w:val="none"/>
              </w:rPr>
              <w:t>消耗量</w:t>
            </w:r>
          </w:p>
        </w:tc>
        <w:tc>
          <w:tcPr>
            <w:tcW w:w="1504" w:type="dxa"/>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highlight w:val="none"/>
              </w:rPr>
            </w:pPr>
            <w:r>
              <w:rPr>
                <w:rFonts w:hint="default" w:ascii="Arial" w:hAnsi="Arial" w:eastAsia="宋体" w:cs="Arial"/>
                <w:color w:val="auto"/>
                <w:highlight w:val="none"/>
              </w:rPr>
              <w:t>来源</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996" w:type="dxa"/>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highlight w:val="none"/>
                <w:lang w:eastAsia="zh-CN"/>
              </w:rPr>
            </w:pPr>
            <w:r>
              <w:rPr>
                <w:rFonts w:hint="default" w:ascii="Arial" w:hAnsi="Arial" w:eastAsia="宋体" w:cs="Arial"/>
                <w:color w:val="auto"/>
                <w:highlight w:val="none"/>
              </w:rPr>
              <w:t>干草（含</w:t>
            </w:r>
            <w:r>
              <w:rPr>
                <w:rFonts w:hint="default" w:ascii="Arial" w:hAnsi="Arial" w:eastAsia="宋体" w:cs="Arial"/>
                <w:color w:val="auto"/>
                <w:highlight w:val="none"/>
                <w:lang w:eastAsia="zh-CN"/>
              </w:rPr>
              <w:t>秸秆</w:t>
            </w:r>
            <w:r>
              <w:rPr>
                <w:rFonts w:hint="default" w:ascii="Arial" w:hAnsi="Arial" w:eastAsia="宋体" w:cs="Arial"/>
                <w:color w:val="auto"/>
                <w:highlight w:val="none"/>
              </w:rPr>
              <w:t>）</w:t>
            </w:r>
          </w:p>
        </w:tc>
        <w:tc>
          <w:tcPr>
            <w:tcW w:w="1504" w:type="dxa"/>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highlight w:val="none"/>
              </w:rPr>
            </w:pPr>
            <w:r>
              <w:rPr>
                <w:rFonts w:hint="default" w:ascii="Arial" w:hAnsi="Arial" w:eastAsia="宋体" w:cs="Arial"/>
                <w:color w:val="auto"/>
                <w:highlight w:val="none"/>
              </w:rPr>
              <w:t>t/a</w:t>
            </w:r>
          </w:p>
        </w:tc>
        <w:tc>
          <w:tcPr>
            <w:tcW w:w="2999" w:type="dxa"/>
            <w:shd w:val="clear" w:color="auto" w:fill="auto"/>
            <w:vAlign w:val="bottom"/>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highlight w:val="none"/>
                <w:lang w:val="en-US"/>
              </w:rPr>
            </w:pPr>
            <w:r>
              <w:rPr>
                <w:rFonts w:hint="default" w:ascii="Arial" w:hAnsi="Arial" w:eastAsia="宋体" w:cs="Arial"/>
                <w:color w:val="auto"/>
                <w:highlight w:val="none"/>
                <w:lang w:val="en-US" w:eastAsia="zh-CN"/>
              </w:rPr>
              <w:t>10000</w:t>
            </w:r>
          </w:p>
        </w:tc>
        <w:tc>
          <w:tcPr>
            <w:tcW w:w="1504" w:type="dxa"/>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highlight w:val="none"/>
              </w:rPr>
            </w:pPr>
            <w:r>
              <w:rPr>
                <w:rFonts w:hint="default" w:ascii="Arial" w:hAnsi="Arial" w:eastAsia="宋体" w:cs="Arial"/>
                <w:color w:val="auto"/>
                <w:highlight w:val="none"/>
              </w:rPr>
              <w:t>外购</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996" w:type="dxa"/>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highlight w:val="none"/>
              </w:rPr>
            </w:pPr>
            <w:r>
              <w:rPr>
                <w:rFonts w:hint="default" w:ascii="Arial" w:hAnsi="Arial" w:eastAsia="宋体" w:cs="Arial"/>
                <w:color w:val="auto"/>
                <w:highlight w:val="none"/>
              </w:rPr>
              <w:t>精料（玉米、辅助饲料）</w:t>
            </w:r>
          </w:p>
        </w:tc>
        <w:tc>
          <w:tcPr>
            <w:tcW w:w="1504" w:type="dxa"/>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highlight w:val="none"/>
              </w:rPr>
            </w:pPr>
            <w:r>
              <w:rPr>
                <w:rFonts w:hint="default" w:ascii="Arial" w:hAnsi="Arial" w:eastAsia="宋体" w:cs="Arial"/>
                <w:color w:val="auto"/>
                <w:highlight w:val="none"/>
              </w:rPr>
              <w:t>t/a</w:t>
            </w:r>
          </w:p>
        </w:tc>
        <w:tc>
          <w:tcPr>
            <w:tcW w:w="2999" w:type="dxa"/>
            <w:shd w:val="clear" w:color="auto" w:fill="auto"/>
            <w:vAlign w:val="bottom"/>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highlight w:val="none"/>
                <w:lang w:val="en-US"/>
              </w:rPr>
            </w:pPr>
            <w:r>
              <w:rPr>
                <w:rFonts w:hint="default" w:ascii="Arial" w:hAnsi="Arial" w:eastAsia="宋体" w:cs="Arial"/>
                <w:color w:val="auto"/>
                <w:highlight w:val="none"/>
                <w:lang w:val="en-US" w:eastAsia="zh-CN"/>
              </w:rPr>
              <w:t>25000</w:t>
            </w:r>
          </w:p>
        </w:tc>
        <w:tc>
          <w:tcPr>
            <w:tcW w:w="1504" w:type="dxa"/>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highlight w:val="none"/>
              </w:rPr>
            </w:pPr>
            <w:r>
              <w:rPr>
                <w:rFonts w:hint="default" w:ascii="Arial" w:hAnsi="Arial" w:eastAsia="宋体" w:cs="Arial"/>
                <w:color w:val="auto"/>
                <w:highlight w:val="none"/>
              </w:rPr>
              <w:t>外购</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996" w:type="dxa"/>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highlight w:val="none"/>
                <w:lang w:eastAsia="zh-CN"/>
              </w:rPr>
            </w:pPr>
            <w:r>
              <w:rPr>
                <w:rFonts w:hint="default" w:ascii="Arial" w:hAnsi="Arial" w:eastAsia="宋体" w:cs="Arial"/>
                <w:color w:val="auto"/>
                <w:highlight w:val="none"/>
              </w:rPr>
              <w:t>青贮料</w:t>
            </w:r>
            <w:r>
              <w:rPr>
                <w:rFonts w:hint="default" w:ascii="Arial" w:hAnsi="Arial" w:eastAsia="宋体" w:cs="Arial"/>
                <w:color w:val="auto"/>
                <w:highlight w:val="none"/>
                <w:lang w:eastAsia="zh-CN"/>
              </w:rPr>
              <w:t>（玉米）</w:t>
            </w:r>
          </w:p>
        </w:tc>
        <w:tc>
          <w:tcPr>
            <w:tcW w:w="1504" w:type="dxa"/>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highlight w:val="none"/>
              </w:rPr>
            </w:pPr>
            <w:r>
              <w:rPr>
                <w:rFonts w:hint="default" w:ascii="Arial" w:hAnsi="Arial" w:eastAsia="宋体" w:cs="Arial"/>
                <w:color w:val="auto"/>
                <w:highlight w:val="none"/>
              </w:rPr>
              <w:t>t/a</w:t>
            </w:r>
          </w:p>
        </w:tc>
        <w:tc>
          <w:tcPr>
            <w:tcW w:w="2999" w:type="dxa"/>
            <w:shd w:val="clear" w:color="auto" w:fill="auto"/>
            <w:vAlign w:val="bottom"/>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highlight w:val="none"/>
                <w:lang w:val="en-US" w:eastAsia="zh-CN"/>
              </w:rPr>
            </w:pPr>
            <w:r>
              <w:rPr>
                <w:rFonts w:hint="default" w:ascii="Arial" w:hAnsi="Arial" w:eastAsia="宋体" w:cs="Arial"/>
                <w:color w:val="auto"/>
                <w:highlight w:val="none"/>
                <w:lang w:val="en-US" w:eastAsia="zh-CN"/>
              </w:rPr>
              <w:t>5000</w:t>
            </w:r>
          </w:p>
        </w:tc>
        <w:tc>
          <w:tcPr>
            <w:tcW w:w="1504" w:type="dxa"/>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highlight w:val="none"/>
              </w:rPr>
            </w:pPr>
            <w:r>
              <w:rPr>
                <w:rFonts w:hint="default" w:ascii="Arial" w:hAnsi="Arial" w:eastAsia="宋体" w:cs="Arial"/>
                <w:color w:val="auto"/>
                <w:highlight w:val="none"/>
              </w:rPr>
              <w:t>外购</w:t>
            </w:r>
          </w:p>
        </w:tc>
      </w:tr>
    </w:tbl>
    <w:p>
      <w:pPr>
        <w:pStyle w:val="7"/>
        <w:rPr>
          <w:rFonts w:hint="default" w:ascii="Arial" w:hAnsi="Arial" w:eastAsia="宋体" w:cs="Arial"/>
          <w:color w:val="auto"/>
          <w:highlight w:val="none"/>
        </w:rPr>
      </w:pPr>
      <w:r>
        <w:rPr>
          <w:rFonts w:hint="default" w:ascii="Arial" w:hAnsi="Arial" w:eastAsia="宋体" w:cs="Arial"/>
          <w:color w:val="auto"/>
          <w:highlight w:val="none"/>
        </w:rPr>
        <w:t>3.1.4.2动力消耗</w:t>
      </w:r>
    </w:p>
    <w:p>
      <w:pPr>
        <w:ind w:firstLine="480"/>
        <w:rPr>
          <w:rFonts w:hint="default" w:ascii="Arial" w:hAnsi="Arial" w:eastAsia="宋体" w:cs="Arial"/>
          <w:color w:val="auto"/>
          <w:highlight w:val="none"/>
        </w:rPr>
      </w:pPr>
      <w:r>
        <w:rPr>
          <w:rFonts w:hint="default" w:ascii="Arial" w:hAnsi="Arial" w:eastAsia="宋体" w:cs="Arial"/>
          <w:color w:val="auto"/>
          <w:highlight w:val="none"/>
        </w:rPr>
        <w:t>项目动力消耗情况见下表。</w:t>
      </w:r>
    </w:p>
    <w:p>
      <w:pPr>
        <w:pStyle w:val="8"/>
        <w:rPr>
          <w:rFonts w:hint="default" w:ascii="Arial" w:hAnsi="Arial" w:eastAsia="宋体" w:cs="Arial"/>
          <w:color w:val="auto"/>
          <w:highlight w:val="none"/>
        </w:rPr>
      </w:pPr>
      <w:r>
        <w:rPr>
          <w:rFonts w:hint="default" w:ascii="Arial" w:hAnsi="Arial" w:eastAsia="宋体" w:cs="Arial"/>
          <w:color w:val="auto"/>
          <w:highlight w:val="none"/>
        </w:rPr>
        <w:t>表3.1-</w:t>
      </w:r>
      <w:r>
        <w:rPr>
          <w:rFonts w:hint="default" w:ascii="Arial" w:hAnsi="Arial" w:eastAsia="宋体" w:cs="Arial"/>
          <w:color w:val="auto"/>
          <w:highlight w:val="none"/>
          <w:lang w:val="en-US" w:eastAsia="zh-CN"/>
        </w:rPr>
        <w:t>6</w:t>
      </w:r>
      <w:r>
        <w:rPr>
          <w:rFonts w:hint="default" w:ascii="Arial" w:hAnsi="Arial" w:eastAsia="宋体" w:cs="Arial"/>
          <w:color w:val="auto"/>
          <w:highlight w:val="none"/>
        </w:rPr>
        <w:t xml:space="preserve">    动力消耗一览表</w:t>
      </w:r>
    </w:p>
    <w:tbl>
      <w:tblPr>
        <w:tblStyle w:val="39"/>
        <w:tblW w:w="9003"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3368"/>
        <w:gridCol w:w="1693"/>
        <w:gridCol w:w="2251"/>
        <w:gridCol w:w="1691"/>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368" w:type="dxa"/>
            <w:shd w:val="clear" w:color="auto" w:fill="auto"/>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名称</w:t>
            </w:r>
          </w:p>
        </w:tc>
        <w:tc>
          <w:tcPr>
            <w:tcW w:w="1693" w:type="dxa"/>
            <w:shd w:val="clear" w:color="auto" w:fill="auto"/>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单位</w:t>
            </w:r>
          </w:p>
        </w:tc>
        <w:tc>
          <w:tcPr>
            <w:tcW w:w="2251" w:type="dxa"/>
            <w:shd w:val="clear" w:color="auto" w:fill="auto"/>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消耗量</w:t>
            </w:r>
          </w:p>
        </w:tc>
        <w:tc>
          <w:tcPr>
            <w:tcW w:w="1691" w:type="dxa"/>
            <w:shd w:val="clear" w:color="auto" w:fill="auto"/>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来源</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368" w:type="dxa"/>
            <w:shd w:val="clear" w:color="auto" w:fill="auto"/>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新鲜水</w:t>
            </w:r>
          </w:p>
        </w:tc>
        <w:tc>
          <w:tcPr>
            <w:tcW w:w="1693" w:type="dxa"/>
            <w:shd w:val="clear" w:color="auto" w:fill="auto"/>
            <w:vAlign w:val="center"/>
          </w:tcPr>
          <w:p>
            <w:pPr>
              <w:pStyle w:val="63"/>
              <w:rPr>
                <w:rFonts w:hint="default" w:ascii="Arial" w:hAnsi="Arial" w:eastAsia="宋体" w:cs="Arial"/>
                <w:color w:val="auto"/>
                <w:highlight w:val="none"/>
                <w:lang w:val="en-US" w:eastAsia="zh-CN"/>
              </w:rPr>
            </w:pPr>
            <w:r>
              <w:rPr>
                <w:rFonts w:hint="default" w:ascii="Arial" w:hAnsi="Arial" w:eastAsia="宋体" w:cs="Arial"/>
                <w:color w:val="auto"/>
                <w:highlight w:val="none"/>
                <w:lang w:val="en-US" w:eastAsia="zh-CN"/>
              </w:rPr>
              <w:t>m</w:t>
            </w:r>
            <w:r>
              <w:rPr>
                <w:rFonts w:hint="default" w:ascii="Arial" w:hAnsi="Arial" w:eastAsia="宋体" w:cs="Arial"/>
                <w:color w:val="auto"/>
                <w:highlight w:val="none"/>
                <w:vertAlign w:val="superscript"/>
                <w:lang w:val="en-US" w:eastAsia="zh-CN"/>
              </w:rPr>
              <w:t>3</w:t>
            </w:r>
            <w:r>
              <w:rPr>
                <w:rFonts w:hint="default" w:ascii="Arial" w:hAnsi="Arial" w:eastAsia="宋体" w:cs="Arial"/>
                <w:color w:val="auto"/>
                <w:highlight w:val="none"/>
                <w:lang w:val="en-US" w:eastAsia="zh-CN"/>
              </w:rPr>
              <w:t>/a</w:t>
            </w:r>
          </w:p>
        </w:tc>
        <w:tc>
          <w:tcPr>
            <w:tcW w:w="2251" w:type="dxa"/>
            <w:shd w:val="clear" w:color="auto" w:fill="auto"/>
            <w:vAlign w:val="center"/>
          </w:tcPr>
          <w:p>
            <w:pPr>
              <w:pStyle w:val="63"/>
              <w:rPr>
                <w:rFonts w:hint="default" w:ascii="Arial" w:hAnsi="Arial" w:eastAsia="宋体" w:cs="Arial"/>
                <w:color w:val="auto"/>
                <w:highlight w:val="none"/>
                <w:lang w:val="en-US" w:eastAsia="zh-CN"/>
              </w:rPr>
            </w:pPr>
            <w:r>
              <w:rPr>
                <w:rFonts w:hint="default" w:ascii="Arial" w:hAnsi="Arial" w:eastAsia="宋体" w:cs="Arial"/>
                <w:color w:val="auto"/>
                <w:sz w:val="21"/>
                <w:szCs w:val="21"/>
                <w:highlight w:val="none"/>
                <w:lang w:val="en-US" w:eastAsia="zh-CN"/>
              </w:rPr>
              <w:t>206392</w:t>
            </w:r>
          </w:p>
        </w:tc>
        <w:tc>
          <w:tcPr>
            <w:tcW w:w="1691" w:type="dxa"/>
            <w:shd w:val="clear" w:color="auto" w:fill="auto"/>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深井水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368" w:type="dxa"/>
            <w:shd w:val="clear" w:color="auto" w:fill="auto"/>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电</w:t>
            </w:r>
          </w:p>
        </w:tc>
        <w:tc>
          <w:tcPr>
            <w:tcW w:w="1693" w:type="dxa"/>
            <w:shd w:val="clear" w:color="auto" w:fill="auto"/>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万kwh/a</w:t>
            </w:r>
          </w:p>
        </w:tc>
        <w:tc>
          <w:tcPr>
            <w:tcW w:w="2251" w:type="dxa"/>
            <w:shd w:val="clear" w:color="auto" w:fill="auto"/>
            <w:vAlign w:val="center"/>
          </w:tcPr>
          <w:p>
            <w:pPr>
              <w:pStyle w:val="63"/>
              <w:rPr>
                <w:rFonts w:hint="default" w:ascii="Arial" w:hAnsi="Arial" w:eastAsia="宋体" w:cs="Arial"/>
                <w:color w:val="auto"/>
                <w:highlight w:val="none"/>
                <w:lang w:val="en-US" w:eastAsia="zh-CN"/>
              </w:rPr>
            </w:pPr>
            <w:r>
              <w:rPr>
                <w:rFonts w:hint="default" w:ascii="Arial" w:hAnsi="Arial" w:eastAsia="宋体" w:cs="Arial"/>
                <w:color w:val="auto"/>
                <w:highlight w:val="none"/>
                <w:lang w:val="en-US" w:eastAsia="zh-CN"/>
              </w:rPr>
              <w:t>15.61</w:t>
            </w:r>
          </w:p>
        </w:tc>
        <w:tc>
          <w:tcPr>
            <w:tcW w:w="1691" w:type="dxa"/>
            <w:shd w:val="clear" w:color="auto" w:fill="auto"/>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外供</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368" w:type="dxa"/>
            <w:shd w:val="clear" w:color="auto" w:fill="auto"/>
            <w:vAlign w:val="center"/>
          </w:tcPr>
          <w:p>
            <w:pPr>
              <w:pStyle w:val="63"/>
              <w:rPr>
                <w:rFonts w:hint="default" w:ascii="Arial" w:hAnsi="Arial" w:eastAsia="宋体" w:cs="Arial"/>
                <w:color w:val="auto"/>
                <w:highlight w:val="none"/>
              </w:rPr>
            </w:pPr>
            <w:r>
              <w:rPr>
                <w:rFonts w:hint="default" w:ascii="Arial" w:hAnsi="Arial" w:eastAsia="宋体" w:cs="Arial"/>
                <w:color w:val="auto"/>
              </w:rPr>
              <w:t>生物除臭剂</w:t>
            </w:r>
          </w:p>
        </w:tc>
        <w:tc>
          <w:tcPr>
            <w:tcW w:w="1693" w:type="dxa"/>
            <w:shd w:val="clear" w:color="auto" w:fill="auto"/>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t/a</w:t>
            </w:r>
          </w:p>
        </w:tc>
        <w:tc>
          <w:tcPr>
            <w:tcW w:w="2251" w:type="dxa"/>
            <w:shd w:val="clear" w:color="auto" w:fill="auto"/>
            <w:vAlign w:val="center"/>
          </w:tcPr>
          <w:p>
            <w:pPr>
              <w:pStyle w:val="63"/>
              <w:rPr>
                <w:rFonts w:hint="default" w:ascii="Arial" w:hAnsi="Arial" w:eastAsia="宋体" w:cs="Arial"/>
                <w:color w:val="auto"/>
                <w:highlight w:val="none"/>
                <w:lang w:val="en-US" w:eastAsia="zh-CN"/>
              </w:rPr>
            </w:pPr>
            <w:r>
              <w:rPr>
                <w:rFonts w:hint="default" w:ascii="Arial" w:hAnsi="Arial" w:eastAsia="宋体" w:cs="Arial"/>
                <w:color w:val="auto"/>
                <w:highlight w:val="none"/>
                <w:lang w:val="en-US" w:eastAsia="zh-CN"/>
              </w:rPr>
              <w:t>2.5</w:t>
            </w:r>
          </w:p>
        </w:tc>
        <w:tc>
          <w:tcPr>
            <w:tcW w:w="1691" w:type="dxa"/>
            <w:shd w:val="clear" w:color="auto" w:fill="auto"/>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外购</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368" w:type="dxa"/>
            <w:shd w:val="clear" w:color="auto" w:fill="auto"/>
            <w:vAlign w:val="center"/>
          </w:tcPr>
          <w:p>
            <w:pPr>
              <w:pStyle w:val="63"/>
              <w:rPr>
                <w:rFonts w:hint="default" w:ascii="Arial" w:hAnsi="Arial" w:eastAsia="宋体" w:cs="Arial"/>
                <w:color w:val="auto"/>
                <w:highlight w:val="none"/>
                <w:lang w:eastAsia="zh-CN"/>
              </w:rPr>
            </w:pPr>
            <w:r>
              <w:rPr>
                <w:rFonts w:hint="default" w:ascii="Arial" w:hAnsi="Arial" w:eastAsia="宋体" w:cs="Arial"/>
                <w:color w:val="auto"/>
                <w:highlight w:val="none"/>
                <w:lang w:eastAsia="zh-CN"/>
              </w:rPr>
              <w:t>消毒液</w:t>
            </w:r>
          </w:p>
        </w:tc>
        <w:tc>
          <w:tcPr>
            <w:tcW w:w="1693" w:type="dxa"/>
            <w:shd w:val="clear" w:color="auto" w:fill="auto"/>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t/a</w:t>
            </w:r>
          </w:p>
        </w:tc>
        <w:tc>
          <w:tcPr>
            <w:tcW w:w="2251" w:type="dxa"/>
            <w:shd w:val="clear" w:color="auto" w:fill="auto"/>
            <w:vAlign w:val="center"/>
          </w:tcPr>
          <w:p>
            <w:pPr>
              <w:pStyle w:val="63"/>
              <w:rPr>
                <w:rFonts w:hint="default" w:ascii="Arial" w:hAnsi="Arial" w:eastAsia="宋体" w:cs="Arial"/>
                <w:color w:val="auto"/>
                <w:highlight w:val="none"/>
                <w:lang w:val="en-US" w:eastAsia="zh-CN"/>
              </w:rPr>
            </w:pPr>
            <w:r>
              <w:rPr>
                <w:rFonts w:hint="default" w:ascii="Arial" w:hAnsi="Arial" w:eastAsia="宋体" w:cs="Arial"/>
                <w:color w:val="auto"/>
                <w:highlight w:val="none"/>
                <w:lang w:val="en-US" w:eastAsia="zh-CN"/>
              </w:rPr>
              <w:t>1.2</w:t>
            </w:r>
          </w:p>
        </w:tc>
        <w:tc>
          <w:tcPr>
            <w:tcW w:w="1691" w:type="dxa"/>
            <w:shd w:val="clear" w:color="auto" w:fill="auto"/>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外购</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368" w:type="dxa"/>
            <w:shd w:val="clear" w:color="auto" w:fill="auto"/>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酒精</w:t>
            </w:r>
          </w:p>
        </w:tc>
        <w:tc>
          <w:tcPr>
            <w:tcW w:w="1693" w:type="dxa"/>
            <w:shd w:val="clear" w:color="auto" w:fill="auto"/>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t/a</w:t>
            </w:r>
          </w:p>
        </w:tc>
        <w:tc>
          <w:tcPr>
            <w:tcW w:w="2251" w:type="dxa"/>
            <w:shd w:val="clear" w:color="auto" w:fill="auto"/>
            <w:vAlign w:val="center"/>
          </w:tcPr>
          <w:p>
            <w:pPr>
              <w:pStyle w:val="63"/>
              <w:rPr>
                <w:rFonts w:hint="default" w:ascii="Arial" w:hAnsi="Arial" w:eastAsia="宋体" w:cs="Arial"/>
                <w:color w:val="auto"/>
                <w:highlight w:val="none"/>
                <w:lang w:val="en-US" w:eastAsia="zh-CN"/>
              </w:rPr>
            </w:pPr>
            <w:r>
              <w:rPr>
                <w:rFonts w:hint="default" w:ascii="Arial" w:hAnsi="Arial" w:eastAsia="宋体" w:cs="Arial"/>
                <w:color w:val="auto"/>
                <w:highlight w:val="none"/>
                <w:lang w:val="en-US" w:eastAsia="zh-CN"/>
              </w:rPr>
              <w:t>0.3</w:t>
            </w:r>
          </w:p>
        </w:tc>
        <w:tc>
          <w:tcPr>
            <w:tcW w:w="1691" w:type="dxa"/>
            <w:shd w:val="clear" w:color="auto" w:fill="auto"/>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外购</w:t>
            </w:r>
          </w:p>
        </w:tc>
      </w:tr>
    </w:tbl>
    <w:p>
      <w:pPr>
        <w:pStyle w:val="6"/>
        <w:rPr>
          <w:rFonts w:hint="default" w:ascii="Arial" w:hAnsi="Arial" w:eastAsia="宋体" w:cs="Arial"/>
          <w:color w:val="auto"/>
          <w:highlight w:val="none"/>
        </w:rPr>
      </w:pPr>
      <w:bookmarkStart w:id="200" w:name="_Toc14697"/>
      <w:r>
        <w:rPr>
          <w:rFonts w:hint="default" w:ascii="Arial" w:hAnsi="Arial" w:eastAsia="宋体" w:cs="Arial"/>
          <w:color w:val="auto"/>
          <w:highlight w:val="none"/>
        </w:rPr>
        <w:t>3.1.5主要设备</w:t>
      </w:r>
      <w:bookmarkEnd w:id="200"/>
    </w:p>
    <w:p>
      <w:pPr>
        <w:ind w:firstLine="480"/>
        <w:rPr>
          <w:rFonts w:hint="default" w:ascii="Arial" w:hAnsi="Arial" w:eastAsia="宋体" w:cs="Arial"/>
          <w:color w:val="auto"/>
          <w:highlight w:val="none"/>
        </w:rPr>
      </w:pPr>
      <w:r>
        <w:rPr>
          <w:rFonts w:hint="default" w:ascii="Arial" w:hAnsi="Arial" w:eastAsia="宋体" w:cs="Arial"/>
          <w:color w:val="auto"/>
          <w:highlight w:val="none"/>
        </w:rPr>
        <w:t>项目主要生产设备、设施见表3.1-</w:t>
      </w:r>
      <w:r>
        <w:rPr>
          <w:rFonts w:hint="default" w:ascii="Arial" w:hAnsi="Arial" w:eastAsia="宋体" w:cs="Arial"/>
          <w:color w:val="auto"/>
          <w:highlight w:val="none"/>
          <w:lang w:val="en-US" w:eastAsia="zh-CN"/>
        </w:rPr>
        <w:t>7</w:t>
      </w:r>
      <w:r>
        <w:rPr>
          <w:rFonts w:hint="default" w:ascii="Arial" w:hAnsi="Arial" w:eastAsia="宋体" w:cs="Arial"/>
          <w:color w:val="auto"/>
          <w:highlight w:val="none"/>
        </w:rPr>
        <w:t>。</w:t>
      </w:r>
    </w:p>
    <w:p>
      <w:pPr>
        <w:pStyle w:val="8"/>
        <w:rPr>
          <w:rFonts w:hint="default" w:ascii="Arial" w:hAnsi="Arial" w:eastAsia="宋体" w:cs="Arial"/>
          <w:color w:val="auto"/>
          <w:highlight w:val="none"/>
        </w:rPr>
      </w:pPr>
      <w:r>
        <w:rPr>
          <w:rFonts w:hint="default" w:ascii="Arial" w:hAnsi="Arial" w:eastAsia="宋体" w:cs="Arial"/>
          <w:color w:val="auto"/>
          <w:highlight w:val="none"/>
        </w:rPr>
        <w:t>表3.1-</w:t>
      </w:r>
      <w:r>
        <w:rPr>
          <w:rFonts w:hint="default" w:ascii="Arial" w:hAnsi="Arial" w:eastAsia="宋体" w:cs="Arial"/>
          <w:color w:val="auto"/>
          <w:highlight w:val="none"/>
          <w:lang w:val="en-US" w:eastAsia="zh-CN"/>
        </w:rPr>
        <w:t xml:space="preserve">7 </w:t>
      </w:r>
      <w:r>
        <w:rPr>
          <w:rFonts w:hint="default" w:ascii="Arial" w:hAnsi="Arial" w:eastAsia="宋体" w:cs="Arial"/>
          <w:color w:val="auto"/>
          <w:highlight w:val="none"/>
        </w:rPr>
        <w:t xml:space="preserve">   主要生产设备、设施一览表</w:t>
      </w:r>
    </w:p>
    <w:tbl>
      <w:tblPr>
        <w:tblStyle w:val="39"/>
        <w:tblW w:w="9003" w:type="dxa"/>
        <w:tblInd w:w="0" w:type="dxa"/>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1203"/>
        <w:gridCol w:w="5390"/>
        <w:gridCol w:w="1205"/>
        <w:gridCol w:w="1205"/>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203" w:type="dxa"/>
            <w:vAlign w:val="center"/>
          </w:tcPr>
          <w:p>
            <w:pPr>
              <w:pStyle w:val="63"/>
              <w:keepNext w:val="0"/>
              <w:keepLines w:val="0"/>
              <w:pageBreakBefore w:val="0"/>
              <w:kinsoku/>
              <w:wordWrap/>
              <w:overflowPunct/>
              <w:autoSpaceDN/>
              <w:bidi w:val="0"/>
              <w:adjustRightInd/>
              <w:snapToGrid/>
              <w:spacing w:line="360" w:lineRule="exact"/>
              <w:ind w:firstLine="0" w:firstLineChars="0"/>
              <w:jc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序号</w:t>
            </w:r>
          </w:p>
        </w:tc>
        <w:tc>
          <w:tcPr>
            <w:tcW w:w="5390" w:type="dxa"/>
            <w:shd w:val="clear" w:color="auto" w:fill="auto"/>
            <w:noWrap/>
            <w:vAlign w:val="center"/>
          </w:tcPr>
          <w:p>
            <w:pPr>
              <w:pStyle w:val="63"/>
              <w:keepNext w:val="0"/>
              <w:keepLines w:val="0"/>
              <w:pageBreakBefore w:val="0"/>
              <w:kinsoku/>
              <w:wordWrap/>
              <w:overflowPunct/>
              <w:autoSpaceDN/>
              <w:bidi w:val="0"/>
              <w:adjustRightInd/>
              <w:snapToGrid/>
              <w:spacing w:line="360" w:lineRule="exact"/>
              <w:ind w:firstLine="0" w:firstLineChars="0"/>
              <w:jc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设备名称</w:t>
            </w:r>
          </w:p>
        </w:tc>
        <w:tc>
          <w:tcPr>
            <w:tcW w:w="1205" w:type="dxa"/>
            <w:vAlign w:val="center"/>
          </w:tcPr>
          <w:p>
            <w:pPr>
              <w:pStyle w:val="63"/>
              <w:keepNext w:val="0"/>
              <w:keepLines w:val="0"/>
              <w:pageBreakBefore w:val="0"/>
              <w:kinsoku/>
              <w:wordWrap/>
              <w:overflowPunct/>
              <w:autoSpaceDN/>
              <w:bidi w:val="0"/>
              <w:adjustRightInd/>
              <w:snapToGrid/>
              <w:spacing w:line="360" w:lineRule="exact"/>
              <w:ind w:firstLine="0" w:firstLineChars="0"/>
              <w:jc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单位</w:t>
            </w:r>
          </w:p>
        </w:tc>
        <w:tc>
          <w:tcPr>
            <w:tcW w:w="1205" w:type="dxa"/>
            <w:vAlign w:val="center"/>
          </w:tcPr>
          <w:p>
            <w:pPr>
              <w:pStyle w:val="63"/>
              <w:keepNext w:val="0"/>
              <w:keepLines w:val="0"/>
              <w:pageBreakBefore w:val="0"/>
              <w:kinsoku/>
              <w:wordWrap/>
              <w:overflowPunct/>
              <w:autoSpaceDN/>
              <w:bidi w:val="0"/>
              <w:adjustRightInd/>
              <w:snapToGrid/>
              <w:spacing w:line="360" w:lineRule="exact"/>
              <w:ind w:firstLine="0" w:firstLineChars="0"/>
              <w:jc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数量</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203" w:type="dxa"/>
            <w:vAlign w:val="center"/>
          </w:tcPr>
          <w:p>
            <w:pPr>
              <w:pStyle w:val="63"/>
              <w:keepNext w:val="0"/>
              <w:keepLines w:val="0"/>
              <w:pageBreakBefore w:val="0"/>
              <w:kinsoku/>
              <w:wordWrap/>
              <w:overflowPunct/>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1</w:t>
            </w:r>
          </w:p>
        </w:tc>
        <w:tc>
          <w:tcPr>
            <w:tcW w:w="5390" w:type="dxa"/>
            <w:shd w:val="clear" w:color="auto" w:fill="auto"/>
            <w:noWrap/>
            <w:vAlign w:val="center"/>
          </w:tcPr>
          <w:p>
            <w:pPr>
              <w:pStyle w:val="63"/>
              <w:keepNext w:val="0"/>
              <w:keepLines w:val="0"/>
              <w:pageBreakBefore w:val="0"/>
              <w:kinsoku/>
              <w:wordWrap/>
              <w:overflowPunct/>
              <w:autoSpaceDN/>
              <w:bidi w:val="0"/>
              <w:adjustRightInd/>
              <w:snapToGrid/>
              <w:spacing w:line="360" w:lineRule="exact"/>
              <w:ind w:firstLine="0" w:firstLineChars="0"/>
              <w:jc w:val="center"/>
              <w:rPr>
                <w:rFonts w:hint="default" w:ascii="Arial" w:hAnsi="Arial" w:eastAsia="宋体" w:cs="Arial"/>
                <w:color w:val="auto"/>
                <w:sz w:val="21"/>
                <w:szCs w:val="21"/>
                <w:highlight w:val="none"/>
              </w:rPr>
            </w:pPr>
            <w:r>
              <w:rPr>
                <w:rFonts w:hint="default" w:ascii="Arial" w:hAnsi="Arial" w:eastAsia="宋体" w:cs="Arial"/>
                <w:bCs/>
                <w:color w:val="auto"/>
                <w:sz w:val="21"/>
                <w:szCs w:val="21"/>
                <w:highlight w:val="none"/>
              </w:rPr>
              <w:t>TMR日粮搅拌机</w:t>
            </w:r>
          </w:p>
        </w:tc>
        <w:tc>
          <w:tcPr>
            <w:tcW w:w="1205" w:type="dxa"/>
            <w:vAlign w:val="center"/>
          </w:tcPr>
          <w:p>
            <w:pPr>
              <w:pStyle w:val="63"/>
              <w:keepNext w:val="0"/>
              <w:keepLines w:val="0"/>
              <w:pageBreakBefore w:val="0"/>
              <w:kinsoku/>
              <w:wordWrap/>
              <w:overflowPunct/>
              <w:autoSpaceDN/>
              <w:bidi w:val="0"/>
              <w:adjustRightInd/>
              <w:snapToGrid/>
              <w:spacing w:line="360" w:lineRule="exact"/>
              <w:ind w:firstLine="0" w:firstLineChars="0"/>
              <w:jc w:val="center"/>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highlight w:val="none"/>
                <w:lang w:val="en-US" w:eastAsia="zh-CN"/>
              </w:rPr>
              <w:t>8</w:t>
            </w:r>
          </w:p>
        </w:tc>
        <w:tc>
          <w:tcPr>
            <w:tcW w:w="1205" w:type="dxa"/>
            <w:vAlign w:val="center"/>
          </w:tcPr>
          <w:p>
            <w:pPr>
              <w:pStyle w:val="63"/>
              <w:keepNext w:val="0"/>
              <w:keepLines w:val="0"/>
              <w:pageBreakBefore w:val="0"/>
              <w:kinsoku/>
              <w:wordWrap/>
              <w:overflowPunct/>
              <w:autoSpaceDN/>
              <w:bidi w:val="0"/>
              <w:adjustRightInd/>
              <w:snapToGrid/>
              <w:spacing w:line="360" w:lineRule="exact"/>
              <w:ind w:firstLine="0" w:firstLineChars="0"/>
              <w:jc w:val="center"/>
              <w:rPr>
                <w:rFonts w:hint="default" w:ascii="Arial" w:hAnsi="Arial" w:eastAsia="宋体" w:cs="Arial"/>
                <w:color w:val="auto"/>
                <w:sz w:val="21"/>
                <w:szCs w:val="21"/>
                <w:highlight w:val="none"/>
              </w:rPr>
            </w:pPr>
            <w:r>
              <w:rPr>
                <w:rFonts w:hint="default" w:ascii="Arial" w:hAnsi="Arial" w:eastAsia="宋体" w:cs="Arial"/>
                <w:b w:val="0"/>
                <w:bCs w:val="0"/>
                <w:i w:val="0"/>
                <w:color w:val="auto"/>
                <w:kern w:val="0"/>
                <w:sz w:val="21"/>
                <w:szCs w:val="21"/>
                <w:u w:val="none"/>
                <w:lang w:val="en-US" w:eastAsia="zh-CN" w:bidi="ar"/>
              </w:rPr>
              <w:t>台</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203" w:type="dxa"/>
            <w:vAlign w:val="center"/>
          </w:tcPr>
          <w:p>
            <w:pPr>
              <w:pStyle w:val="63"/>
              <w:keepNext w:val="0"/>
              <w:keepLines w:val="0"/>
              <w:pageBreakBefore w:val="0"/>
              <w:kinsoku/>
              <w:wordWrap/>
              <w:overflowPunct/>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2</w:t>
            </w:r>
          </w:p>
        </w:tc>
        <w:tc>
          <w:tcPr>
            <w:tcW w:w="5390" w:type="dxa"/>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Arial" w:hAnsi="Arial" w:eastAsia="宋体" w:cs="Arial"/>
                <w:b w:val="0"/>
                <w:bCs w:val="0"/>
                <w:i w:val="0"/>
                <w:color w:val="auto"/>
                <w:kern w:val="2"/>
                <w:sz w:val="21"/>
                <w:szCs w:val="21"/>
                <w:u w:val="none"/>
                <w:lang w:val="en-US" w:eastAsia="zh-CN" w:bidi="ar-SA"/>
              </w:rPr>
            </w:pPr>
            <w:r>
              <w:rPr>
                <w:rFonts w:hint="default" w:ascii="Arial" w:hAnsi="Arial" w:eastAsia="宋体" w:cs="Arial"/>
                <w:b w:val="0"/>
                <w:bCs w:val="0"/>
                <w:i w:val="0"/>
                <w:color w:val="auto"/>
                <w:kern w:val="0"/>
                <w:sz w:val="21"/>
                <w:szCs w:val="21"/>
                <w:u w:val="none"/>
                <w:lang w:val="en-US" w:eastAsia="zh-CN" w:bidi="ar"/>
              </w:rPr>
              <w:t>30装载机</w:t>
            </w:r>
          </w:p>
        </w:tc>
        <w:tc>
          <w:tcPr>
            <w:tcW w:w="1205" w:type="dxa"/>
            <w:vAlign w:val="center"/>
          </w:tcPr>
          <w:p>
            <w:pPr>
              <w:keepNext w:val="0"/>
              <w:keepLines w:val="0"/>
              <w:pageBreakBefore w:val="0"/>
              <w:widowControl w:val="0"/>
              <w:kinsoku/>
              <w:wordWrap/>
              <w:overflowPunct/>
              <w:autoSpaceDN/>
              <w:bidi w:val="0"/>
              <w:adjustRightInd/>
              <w:snapToGrid/>
              <w:spacing w:line="360" w:lineRule="exact"/>
              <w:ind w:firstLine="0" w:firstLineChars="0"/>
              <w:jc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8</w:t>
            </w:r>
          </w:p>
        </w:tc>
        <w:tc>
          <w:tcPr>
            <w:tcW w:w="1205" w:type="dxa"/>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Arial" w:hAnsi="Arial" w:eastAsia="宋体" w:cs="Arial"/>
                <w:b w:val="0"/>
                <w:bCs w:val="0"/>
                <w:i w:val="0"/>
                <w:color w:val="auto"/>
                <w:kern w:val="2"/>
                <w:sz w:val="21"/>
                <w:szCs w:val="21"/>
                <w:u w:val="none"/>
                <w:lang w:val="en-US" w:eastAsia="zh-CN" w:bidi="ar-SA"/>
              </w:rPr>
            </w:pPr>
            <w:r>
              <w:rPr>
                <w:rFonts w:hint="default" w:ascii="Arial" w:hAnsi="Arial" w:eastAsia="宋体" w:cs="Arial"/>
                <w:b w:val="0"/>
                <w:bCs w:val="0"/>
                <w:i w:val="0"/>
                <w:color w:val="auto"/>
                <w:kern w:val="0"/>
                <w:sz w:val="21"/>
                <w:szCs w:val="21"/>
                <w:u w:val="none"/>
                <w:lang w:val="en-US" w:eastAsia="zh-CN" w:bidi="ar"/>
              </w:rPr>
              <w:t>辆</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203" w:type="dxa"/>
            <w:vAlign w:val="center"/>
          </w:tcPr>
          <w:p>
            <w:pPr>
              <w:pStyle w:val="63"/>
              <w:keepNext w:val="0"/>
              <w:keepLines w:val="0"/>
              <w:pageBreakBefore w:val="0"/>
              <w:kinsoku/>
              <w:wordWrap/>
              <w:overflowPunct/>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3</w:t>
            </w:r>
          </w:p>
        </w:tc>
        <w:tc>
          <w:tcPr>
            <w:tcW w:w="5390" w:type="dxa"/>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Arial" w:hAnsi="Arial" w:eastAsia="宋体" w:cs="Arial"/>
                <w:b w:val="0"/>
                <w:bCs w:val="0"/>
                <w:i w:val="0"/>
                <w:color w:val="auto"/>
                <w:kern w:val="2"/>
                <w:sz w:val="21"/>
                <w:szCs w:val="21"/>
                <w:u w:val="none"/>
                <w:lang w:val="en-US" w:eastAsia="zh-CN" w:bidi="ar-SA"/>
              </w:rPr>
            </w:pPr>
            <w:r>
              <w:rPr>
                <w:rFonts w:hint="default" w:ascii="Arial" w:hAnsi="Arial" w:eastAsia="宋体" w:cs="Arial"/>
                <w:b w:val="0"/>
                <w:bCs w:val="0"/>
                <w:i w:val="0"/>
                <w:color w:val="auto"/>
                <w:kern w:val="0"/>
                <w:sz w:val="21"/>
                <w:szCs w:val="21"/>
                <w:u w:val="none"/>
                <w:lang w:val="en-US" w:eastAsia="zh-CN" w:bidi="ar"/>
              </w:rPr>
              <w:t>清粪车</w:t>
            </w:r>
          </w:p>
        </w:tc>
        <w:tc>
          <w:tcPr>
            <w:tcW w:w="1205" w:type="dxa"/>
            <w:vAlign w:val="center"/>
          </w:tcPr>
          <w:p>
            <w:pPr>
              <w:keepNext w:val="0"/>
              <w:keepLines w:val="0"/>
              <w:pageBreakBefore w:val="0"/>
              <w:widowControl w:val="0"/>
              <w:kinsoku/>
              <w:wordWrap/>
              <w:overflowPunct/>
              <w:autoSpaceDN/>
              <w:bidi w:val="0"/>
              <w:adjustRightInd/>
              <w:snapToGrid/>
              <w:spacing w:line="360" w:lineRule="exact"/>
              <w:ind w:firstLine="0" w:firstLineChars="0"/>
              <w:jc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16</w:t>
            </w:r>
          </w:p>
        </w:tc>
        <w:tc>
          <w:tcPr>
            <w:tcW w:w="1205" w:type="dxa"/>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Arial" w:hAnsi="Arial" w:eastAsia="宋体" w:cs="Arial"/>
                <w:b w:val="0"/>
                <w:bCs w:val="0"/>
                <w:i w:val="0"/>
                <w:color w:val="auto"/>
                <w:kern w:val="2"/>
                <w:sz w:val="21"/>
                <w:szCs w:val="21"/>
                <w:u w:val="none"/>
                <w:lang w:val="en-US" w:eastAsia="zh-CN" w:bidi="ar-SA"/>
              </w:rPr>
            </w:pPr>
            <w:r>
              <w:rPr>
                <w:rFonts w:hint="default" w:ascii="Arial" w:hAnsi="Arial" w:eastAsia="宋体" w:cs="Arial"/>
                <w:b w:val="0"/>
                <w:bCs w:val="0"/>
                <w:i w:val="0"/>
                <w:color w:val="auto"/>
                <w:kern w:val="0"/>
                <w:sz w:val="21"/>
                <w:szCs w:val="21"/>
                <w:u w:val="none"/>
                <w:lang w:val="en-US" w:eastAsia="zh-CN" w:bidi="ar"/>
              </w:rPr>
              <w:t>辆</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203" w:type="dxa"/>
            <w:vAlign w:val="center"/>
          </w:tcPr>
          <w:p>
            <w:pPr>
              <w:pStyle w:val="63"/>
              <w:keepNext w:val="0"/>
              <w:keepLines w:val="0"/>
              <w:pageBreakBefore w:val="0"/>
              <w:kinsoku/>
              <w:wordWrap/>
              <w:overflowPunct/>
              <w:autoSpaceDN/>
              <w:bidi w:val="0"/>
              <w:adjustRightInd/>
              <w:snapToGrid/>
              <w:spacing w:line="360" w:lineRule="exact"/>
              <w:ind w:firstLine="0" w:firstLineChars="0"/>
              <w:jc w:val="center"/>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highlight w:val="none"/>
                <w:lang w:val="en-US" w:eastAsia="zh-CN"/>
              </w:rPr>
              <w:t>4</w:t>
            </w:r>
          </w:p>
        </w:tc>
        <w:tc>
          <w:tcPr>
            <w:tcW w:w="5390" w:type="dxa"/>
            <w:shd w:val="clear" w:color="auto" w:fill="auto"/>
            <w:noWrap/>
            <w:vAlign w:val="center"/>
          </w:tcPr>
          <w:p>
            <w:pPr>
              <w:keepNext w:val="0"/>
              <w:keepLines w:val="0"/>
              <w:pageBreakBefore w:val="0"/>
              <w:kinsoku/>
              <w:wordWrap/>
              <w:overflowPunct/>
              <w:autoSpaceDN/>
              <w:bidi w:val="0"/>
              <w:adjustRightInd/>
              <w:snapToGrid/>
              <w:spacing w:line="360" w:lineRule="exact"/>
              <w:ind w:firstLine="0" w:firstLineChars="0"/>
              <w:jc w:val="center"/>
              <w:rPr>
                <w:rFonts w:hint="default" w:ascii="Arial" w:hAnsi="Arial" w:eastAsia="宋体" w:cs="Arial"/>
                <w:color w:val="auto"/>
                <w:kern w:val="0"/>
                <w:sz w:val="21"/>
                <w:szCs w:val="21"/>
                <w:lang w:val="en-US" w:eastAsia="zh-CN" w:bidi="ar-SA"/>
              </w:rPr>
            </w:pPr>
            <w:r>
              <w:rPr>
                <w:rFonts w:hint="default" w:ascii="Arial" w:hAnsi="Arial" w:eastAsia="宋体" w:cs="Arial"/>
                <w:color w:val="auto"/>
                <w:sz w:val="21"/>
                <w:szCs w:val="21"/>
              </w:rPr>
              <w:t>地磅秤</w:t>
            </w:r>
          </w:p>
        </w:tc>
        <w:tc>
          <w:tcPr>
            <w:tcW w:w="1205" w:type="dxa"/>
            <w:vAlign w:val="center"/>
          </w:tcPr>
          <w:p>
            <w:pPr>
              <w:keepNext w:val="0"/>
              <w:keepLines w:val="0"/>
              <w:pageBreakBefore w:val="0"/>
              <w:kinsoku/>
              <w:wordWrap/>
              <w:overflowPunct/>
              <w:autoSpaceDN/>
              <w:bidi w:val="0"/>
              <w:adjustRightInd/>
              <w:snapToGrid/>
              <w:spacing w:line="360" w:lineRule="exact"/>
              <w:ind w:firstLine="0" w:firstLineChars="0"/>
              <w:jc w:val="center"/>
              <w:rPr>
                <w:rFonts w:hint="default" w:ascii="Arial" w:hAnsi="Arial" w:eastAsia="宋体" w:cs="Arial"/>
                <w:color w:val="auto"/>
                <w:kern w:val="0"/>
                <w:sz w:val="21"/>
                <w:szCs w:val="21"/>
                <w:lang w:val="en-US" w:eastAsia="zh-CN" w:bidi="ar-SA"/>
              </w:rPr>
            </w:pPr>
            <w:r>
              <w:rPr>
                <w:rFonts w:hint="default" w:ascii="Arial" w:hAnsi="Arial" w:eastAsia="宋体" w:cs="Arial"/>
                <w:color w:val="auto"/>
                <w:kern w:val="0"/>
                <w:sz w:val="21"/>
                <w:szCs w:val="21"/>
                <w:lang w:val="en-US" w:eastAsia="zh-CN" w:bidi="ar-SA"/>
              </w:rPr>
              <w:t>1</w:t>
            </w:r>
          </w:p>
        </w:tc>
        <w:tc>
          <w:tcPr>
            <w:tcW w:w="1205" w:type="dxa"/>
            <w:vAlign w:val="center"/>
          </w:tcPr>
          <w:p>
            <w:pPr>
              <w:keepNext w:val="0"/>
              <w:keepLines w:val="0"/>
              <w:pageBreakBefore w:val="0"/>
              <w:kinsoku/>
              <w:wordWrap/>
              <w:overflowPunct/>
              <w:autoSpaceDN/>
              <w:bidi w:val="0"/>
              <w:adjustRightInd/>
              <w:snapToGrid/>
              <w:spacing w:line="360" w:lineRule="exact"/>
              <w:ind w:firstLine="0" w:firstLineChars="0"/>
              <w:jc w:val="center"/>
              <w:rPr>
                <w:rFonts w:hint="default" w:ascii="Arial" w:hAnsi="Arial" w:eastAsia="宋体" w:cs="Arial"/>
                <w:color w:val="auto"/>
                <w:kern w:val="0"/>
                <w:sz w:val="21"/>
                <w:szCs w:val="21"/>
                <w:lang w:val="en-US" w:eastAsia="zh-CN" w:bidi="ar-SA"/>
              </w:rPr>
            </w:pPr>
            <w:r>
              <w:rPr>
                <w:rFonts w:hint="default" w:ascii="Arial" w:hAnsi="Arial" w:eastAsia="宋体" w:cs="Arial"/>
                <w:color w:val="auto"/>
                <w:sz w:val="21"/>
                <w:szCs w:val="21"/>
              </w:rPr>
              <w:t>台</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203" w:type="dxa"/>
            <w:vAlign w:val="center"/>
          </w:tcPr>
          <w:p>
            <w:pPr>
              <w:pStyle w:val="63"/>
              <w:keepNext w:val="0"/>
              <w:keepLines w:val="0"/>
              <w:pageBreakBefore w:val="0"/>
              <w:kinsoku/>
              <w:wordWrap/>
              <w:overflowPunct/>
              <w:autoSpaceDN/>
              <w:bidi w:val="0"/>
              <w:adjustRightInd/>
              <w:snapToGrid/>
              <w:spacing w:line="360" w:lineRule="exact"/>
              <w:ind w:firstLine="0" w:firstLineChars="0"/>
              <w:jc w:val="center"/>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highlight w:val="none"/>
                <w:lang w:val="en-US" w:eastAsia="zh-CN"/>
              </w:rPr>
              <w:t>5</w:t>
            </w:r>
          </w:p>
        </w:tc>
        <w:tc>
          <w:tcPr>
            <w:tcW w:w="5390" w:type="dxa"/>
            <w:shd w:val="clear" w:color="auto" w:fill="auto"/>
            <w:noWrap/>
            <w:vAlign w:val="center"/>
          </w:tcPr>
          <w:p>
            <w:pPr>
              <w:keepNext w:val="0"/>
              <w:keepLines w:val="0"/>
              <w:pageBreakBefore w:val="0"/>
              <w:kinsoku/>
              <w:wordWrap/>
              <w:overflowPunct/>
              <w:autoSpaceDN/>
              <w:bidi w:val="0"/>
              <w:adjustRightInd/>
              <w:snapToGrid/>
              <w:spacing w:line="360" w:lineRule="exact"/>
              <w:ind w:firstLine="0" w:firstLineChars="0"/>
              <w:jc w:val="center"/>
              <w:rPr>
                <w:rFonts w:hint="default" w:ascii="Arial" w:hAnsi="Arial" w:eastAsia="宋体" w:cs="Arial"/>
                <w:color w:val="auto"/>
                <w:kern w:val="0"/>
                <w:sz w:val="21"/>
                <w:szCs w:val="21"/>
                <w:lang w:val="en-US" w:eastAsia="zh-CN" w:bidi="ar-SA"/>
              </w:rPr>
            </w:pPr>
            <w:r>
              <w:rPr>
                <w:rFonts w:hint="default" w:ascii="Arial" w:hAnsi="Arial" w:eastAsia="宋体" w:cs="Arial"/>
                <w:color w:val="auto"/>
                <w:sz w:val="21"/>
                <w:szCs w:val="21"/>
              </w:rPr>
              <w:t>兽医器械</w:t>
            </w:r>
          </w:p>
        </w:tc>
        <w:tc>
          <w:tcPr>
            <w:tcW w:w="1205" w:type="dxa"/>
            <w:vAlign w:val="center"/>
          </w:tcPr>
          <w:p>
            <w:pPr>
              <w:keepNext w:val="0"/>
              <w:keepLines w:val="0"/>
              <w:pageBreakBefore w:val="0"/>
              <w:kinsoku/>
              <w:wordWrap/>
              <w:overflowPunct/>
              <w:autoSpaceDN/>
              <w:bidi w:val="0"/>
              <w:adjustRightInd/>
              <w:snapToGrid/>
              <w:spacing w:line="360" w:lineRule="exact"/>
              <w:ind w:firstLine="0" w:firstLineChars="0"/>
              <w:jc w:val="center"/>
              <w:rPr>
                <w:rFonts w:hint="default" w:ascii="Arial" w:hAnsi="Arial" w:eastAsia="宋体" w:cs="Arial"/>
                <w:color w:val="auto"/>
                <w:kern w:val="0"/>
                <w:sz w:val="21"/>
                <w:szCs w:val="21"/>
                <w:lang w:val="en-US" w:eastAsia="zh-CN" w:bidi="ar-SA"/>
              </w:rPr>
            </w:pPr>
            <w:r>
              <w:rPr>
                <w:rFonts w:hint="default" w:ascii="Arial" w:hAnsi="Arial" w:eastAsia="宋体" w:cs="Arial"/>
                <w:color w:val="auto"/>
                <w:sz w:val="21"/>
                <w:szCs w:val="21"/>
              </w:rPr>
              <w:t>20</w:t>
            </w:r>
          </w:p>
        </w:tc>
        <w:tc>
          <w:tcPr>
            <w:tcW w:w="1205" w:type="dxa"/>
            <w:vAlign w:val="center"/>
          </w:tcPr>
          <w:p>
            <w:pPr>
              <w:keepNext w:val="0"/>
              <w:keepLines w:val="0"/>
              <w:pageBreakBefore w:val="0"/>
              <w:kinsoku/>
              <w:wordWrap/>
              <w:overflowPunct/>
              <w:autoSpaceDN/>
              <w:bidi w:val="0"/>
              <w:adjustRightInd/>
              <w:snapToGrid/>
              <w:spacing w:line="360" w:lineRule="exact"/>
              <w:ind w:firstLine="0" w:firstLineChars="0"/>
              <w:jc w:val="center"/>
              <w:rPr>
                <w:rFonts w:hint="default" w:ascii="Arial" w:hAnsi="Arial" w:eastAsia="宋体" w:cs="Arial"/>
                <w:color w:val="auto"/>
                <w:kern w:val="0"/>
                <w:sz w:val="21"/>
                <w:szCs w:val="21"/>
                <w:lang w:val="en-US" w:eastAsia="zh-CN" w:bidi="ar-SA"/>
              </w:rPr>
            </w:pPr>
            <w:r>
              <w:rPr>
                <w:rFonts w:hint="default" w:ascii="Arial" w:hAnsi="Arial" w:eastAsia="宋体" w:cs="Arial"/>
                <w:color w:val="auto"/>
                <w:sz w:val="21"/>
                <w:szCs w:val="21"/>
              </w:rPr>
              <w:t>套</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203" w:type="dxa"/>
            <w:vAlign w:val="center"/>
          </w:tcPr>
          <w:p>
            <w:pPr>
              <w:pStyle w:val="63"/>
              <w:keepNext w:val="0"/>
              <w:keepLines w:val="0"/>
              <w:pageBreakBefore w:val="0"/>
              <w:kinsoku/>
              <w:wordWrap/>
              <w:overflowPunct/>
              <w:autoSpaceDN/>
              <w:bidi w:val="0"/>
              <w:adjustRightInd/>
              <w:snapToGrid/>
              <w:spacing w:line="360" w:lineRule="exact"/>
              <w:ind w:firstLine="0" w:firstLineChars="0"/>
              <w:jc w:val="center"/>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highlight w:val="none"/>
                <w:lang w:val="en-US" w:eastAsia="zh-CN"/>
              </w:rPr>
              <w:t>6</w:t>
            </w:r>
          </w:p>
        </w:tc>
        <w:tc>
          <w:tcPr>
            <w:tcW w:w="5390" w:type="dxa"/>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Arial" w:hAnsi="Arial" w:eastAsia="宋体" w:cs="Arial"/>
                <w:b w:val="0"/>
                <w:bCs w:val="0"/>
                <w:i w:val="0"/>
                <w:color w:val="auto"/>
                <w:kern w:val="0"/>
                <w:sz w:val="21"/>
                <w:szCs w:val="21"/>
                <w:u w:val="none"/>
                <w:lang w:val="en-US" w:eastAsia="zh-CN" w:bidi="ar"/>
              </w:rPr>
            </w:pPr>
            <w:r>
              <w:rPr>
                <w:rFonts w:hint="default" w:ascii="Arial" w:hAnsi="Arial" w:eastAsia="宋体" w:cs="Arial"/>
                <w:b w:val="0"/>
                <w:bCs w:val="0"/>
                <w:i w:val="0"/>
                <w:color w:val="auto"/>
                <w:kern w:val="0"/>
                <w:sz w:val="21"/>
                <w:szCs w:val="21"/>
                <w:u w:val="none"/>
                <w:lang w:val="en-US" w:eastAsia="zh-CN" w:bidi="ar"/>
              </w:rPr>
              <w:t>饲料槽</w:t>
            </w:r>
          </w:p>
        </w:tc>
        <w:tc>
          <w:tcPr>
            <w:tcW w:w="1205" w:type="dxa"/>
            <w:vAlign w:val="center"/>
          </w:tcPr>
          <w:p>
            <w:pPr>
              <w:keepNext w:val="0"/>
              <w:keepLines w:val="0"/>
              <w:pageBreakBefore w:val="0"/>
              <w:widowControl w:val="0"/>
              <w:kinsoku/>
              <w:wordWrap/>
              <w:overflowPunct/>
              <w:autoSpaceDN/>
              <w:bidi w:val="0"/>
              <w:adjustRightInd/>
              <w:snapToGrid/>
              <w:spacing w:line="360" w:lineRule="exact"/>
              <w:ind w:firstLine="0" w:firstLineChars="0"/>
              <w:jc w:val="center"/>
              <w:rPr>
                <w:rFonts w:hint="default" w:ascii="Arial" w:hAnsi="Arial" w:eastAsia="宋体" w:cs="Arial"/>
                <w:color w:val="auto"/>
                <w:sz w:val="21"/>
                <w:szCs w:val="21"/>
                <w:lang w:val="en-US" w:eastAsia="zh-CN"/>
              </w:rPr>
            </w:pPr>
            <w:r>
              <w:rPr>
                <w:rFonts w:hint="default" w:ascii="Arial" w:hAnsi="Arial" w:eastAsia="宋体" w:cs="Arial"/>
                <w:color w:val="auto"/>
                <w:sz w:val="21"/>
                <w:szCs w:val="21"/>
                <w:lang w:val="en-US" w:eastAsia="zh-CN"/>
              </w:rPr>
              <w:t>1000</w:t>
            </w:r>
          </w:p>
        </w:tc>
        <w:tc>
          <w:tcPr>
            <w:tcW w:w="1205" w:type="dxa"/>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Arial" w:hAnsi="Arial" w:eastAsia="宋体" w:cs="Arial"/>
                <w:b w:val="0"/>
                <w:bCs w:val="0"/>
                <w:i w:val="0"/>
                <w:color w:val="auto"/>
                <w:kern w:val="0"/>
                <w:sz w:val="21"/>
                <w:szCs w:val="21"/>
                <w:u w:val="none"/>
                <w:lang w:val="en-US" w:eastAsia="zh-CN" w:bidi="ar"/>
              </w:rPr>
            </w:pPr>
            <w:r>
              <w:rPr>
                <w:rFonts w:hint="default" w:ascii="Arial" w:hAnsi="Arial" w:eastAsia="宋体" w:cs="Arial"/>
                <w:b w:val="0"/>
                <w:bCs w:val="0"/>
                <w:i w:val="0"/>
                <w:color w:val="auto"/>
                <w:kern w:val="0"/>
                <w:sz w:val="21"/>
                <w:szCs w:val="21"/>
                <w:u w:val="none"/>
                <w:lang w:val="en-US" w:eastAsia="zh-CN" w:bidi="ar"/>
              </w:rPr>
              <w:t>套</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203" w:type="dxa"/>
            <w:vAlign w:val="center"/>
          </w:tcPr>
          <w:p>
            <w:pPr>
              <w:pStyle w:val="63"/>
              <w:keepNext w:val="0"/>
              <w:keepLines w:val="0"/>
              <w:pageBreakBefore w:val="0"/>
              <w:kinsoku/>
              <w:wordWrap/>
              <w:overflowPunct/>
              <w:autoSpaceDN/>
              <w:bidi w:val="0"/>
              <w:adjustRightInd/>
              <w:snapToGrid/>
              <w:spacing w:line="360" w:lineRule="exact"/>
              <w:ind w:firstLine="0" w:firstLineChars="0"/>
              <w:jc w:val="center"/>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highlight w:val="none"/>
                <w:lang w:val="en-US" w:eastAsia="zh-CN"/>
              </w:rPr>
              <w:t>7</w:t>
            </w:r>
          </w:p>
        </w:tc>
        <w:tc>
          <w:tcPr>
            <w:tcW w:w="5390" w:type="dxa"/>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Arial" w:hAnsi="Arial" w:eastAsia="宋体" w:cs="Arial"/>
                <w:b w:val="0"/>
                <w:bCs w:val="0"/>
                <w:i w:val="0"/>
                <w:color w:val="auto"/>
                <w:kern w:val="0"/>
                <w:sz w:val="21"/>
                <w:szCs w:val="21"/>
                <w:u w:val="none"/>
                <w:lang w:val="en-US" w:eastAsia="zh-CN" w:bidi="ar"/>
              </w:rPr>
            </w:pPr>
            <w:r>
              <w:rPr>
                <w:rFonts w:hint="default" w:ascii="Arial" w:hAnsi="Arial" w:eastAsia="宋体" w:cs="Arial"/>
                <w:b w:val="0"/>
                <w:bCs w:val="0"/>
                <w:i w:val="0"/>
                <w:color w:val="auto"/>
                <w:kern w:val="0"/>
                <w:sz w:val="21"/>
                <w:szCs w:val="21"/>
                <w:u w:val="none"/>
                <w:lang w:val="en-US" w:eastAsia="zh-CN" w:bidi="ar"/>
              </w:rPr>
              <w:t>饮水槽</w:t>
            </w:r>
          </w:p>
        </w:tc>
        <w:tc>
          <w:tcPr>
            <w:tcW w:w="1205" w:type="dxa"/>
            <w:vAlign w:val="center"/>
          </w:tcPr>
          <w:p>
            <w:pPr>
              <w:keepNext w:val="0"/>
              <w:keepLines w:val="0"/>
              <w:pageBreakBefore w:val="0"/>
              <w:widowControl w:val="0"/>
              <w:kinsoku/>
              <w:wordWrap/>
              <w:overflowPunct/>
              <w:autoSpaceDN/>
              <w:bidi w:val="0"/>
              <w:adjustRightInd/>
              <w:snapToGrid/>
              <w:spacing w:line="360" w:lineRule="exact"/>
              <w:ind w:firstLine="0" w:firstLineChars="0"/>
              <w:jc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1000</w:t>
            </w:r>
          </w:p>
        </w:tc>
        <w:tc>
          <w:tcPr>
            <w:tcW w:w="1205" w:type="dxa"/>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center"/>
              <w:rPr>
                <w:rFonts w:hint="default" w:ascii="Arial" w:hAnsi="Arial" w:eastAsia="宋体" w:cs="Arial"/>
                <w:b w:val="0"/>
                <w:bCs w:val="0"/>
                <w:i w:val="0"/>
                <w:color w:val="auto"/>
                <w:kern w:val="0"/>
                <w:sz w:val="21"/>
                <w:szCs w:val="21"/>
                <w:u w:val="none"/>
                <w:lang w:val="en-US" w:eastAsia="zh-CN" w:bidi="ar"/>
              </w:rPr>
            </w:pPr>
            <w:r>
              <w:rPr>
                <w:rFonts w:hint="default" w:ascii="Arial" w:hAnsi="Arial" w:eastAsia="宋体" w:cs="Arial"/>
                <w:b w:val="0"/>
                <w:bCs w:val="0"/>
                <w:i w:val="0"/>
                <w:color w:val="auto"/>
                <w:kern w:val="0"/>
                <w:sz w:val="21"/>
                <w:szCs w:val="21"/>
                <w:u w:val="none"/>
                <w:lang w:val="en-US" w:eastAsia="zh-CN" w:bidi="ar"/>
              </w:rPr>
              <w:t>套</w:t>
            </w:r>
          </w:p>
        </w:tc>
      </w:tr>
    </w:tbl>
    <w:p>
      <w:pPr>
        <w:pStyle w:val="6"/>
        <w:rPr>
          <w:rFonts w:hint="default" w:ascii="Arial" w:hAnsi="Arial" w:eastAsia="宋体" w:cs="Arial"/>
          <w:color w:val="auto"/>
          <w:highlight w:val="none"/>
        </w:rPr>
      </w:pPr>
      <w:bookmarkStart w:id="201" w:name="_Toc28545"/>
      <w:r>
        <w:rPr>
          <w:rFonts w:hint="default" w:ascii="Arial" w:hAnsi="Arial" w:eastAsia="宋体" w:cs="Arial"/>
          <w:color w:val="auto"/>
          <w:highlight w:val="none"/>
        </w:rPr>
        <w:t>3.1.6公用工程</w:t>
      </w:r>
      <w:bookmarkEnd w:id="201"/>
    </w:p>
    <w:p>
      <w:pPr>
        <w:pStyle w:val="7"/>
        <w:rPr>
          <w:rFonts w:hint="default" w:ascii="Arial" w:hAnsi="Arial" w:eastAsia="宋体" w:cs="Arial"/>
          <w:color w:val="auto"/>
          <w:highlight w:val="none"/>
        </w:rPr>
      </w:pPr>
      <w:r>
        <w:rPr>
          <w:rFonts w:hint="default" w:ascii="Arial" w:hAnsi="Arial" w:eastAsia="宋体" w:cs="Arial"/>
          <w:color w:val="auto"/>
          <w:highlight w:val="none"/>
        </w:rPr>
        <w:t>3.1.6.1给排水</w:t>
      </w:r>
    </w:p>
    <w:p>
      <w:pPr>
        <w:ind w:firstLine="480"/>
        <w:rPr>
          <w:rFonts w:hint="default" w:ascii="Arial" w:hAnsi="Arial" w:eastAsia="宋体" w:cs="Arial"/>
          <w:color w:val="auto"/>
          <w:sz w:val="24"/>
          <w:szCs w:val="24"/>
          <w:highlight w:val="none"/>
        </w:rPr>
      </w:pPr>
      <w:r>
        <w:rPr>
          <w:rFonts w:hint="default" w:ascii="Arial" w:hAnsi="Arial" w:eastAsia="宋体" w:cs="Arial"/>
          <w:color w:val="auto"/>
          <w:sz w:val="24"/>
          <w:szCs w:val="24"/>
          <w:highlight w:val="none"/>
        </w:rPr>
        <w:t>本项目排水采用雨污分流制，雨水通过场区雨水排水系统排走</w:t>
      </w:r>
      <w:r>
        <w:rPr>
          <w:rFonts w:hint="default" w:ascii="Arial" w:hAnsi="Arial" w:eastAsia="宋体" w:cs="Arial"/>
          <w:color w:val="auto"/>
          <w:sz w:val="24"/>
          <w:szCs w:val="24"/>
          <w:highlight w:val="none"/>
          <w:lang w:eastAsia="zh-CN"/>
        </w:rPr>
        <w:t>；</w:t>
      </w:r>
      <w:r>
        <w:rPr>
          <w:rFonts w:hint="default" w:ascii="Arial" w:hAnsi="Arial" w:eastAsia="宋体" w:cs="Arial"/>
          <w:color w:val="auto"/>
          <w:sz w:val="24"/>
          <w:szCs w:val="24"/>
          <w:highlight w:val="none"/>
        </w:rPr>
        <w:t>牛舍搭建防雨棚，雨棚设置雨檐，防止雨水进入牛舍，牛舍外雨檐下设置排水渠，通过雨水排水管排出场区外。</w:t>
      </w:r>
    </w:p>
    <w:p>
      <w:pPr>
        <w:ind w:firstLine="480"/>
        <w:rPr>
          <w:rFonts w:hint="default" w:ascii="Arial" w:hAnsi="Arial" w:eastAsia="宋体" w:cs="Arial"/>
          <w:color w:val="auto"/>
          <w:highlight w:val="none"/>
        </w:rPr>
      </w:pPr>
      <w:r>
        <w:rPr>
          <w:rFonts w:hint="default" w:ascii="Arial" w:hAnsi="Arial" w:eastAsia="宋体" w:cs="Arial"/>
          <w:color w:val="auto"/>
          <w:highlight w:val="none"/>
        </w:rPr>
        <w:t>1、水源</w:t>
      </w:r>
    </w:p>
    <w:p>
      <w:pPr>
        <w:ind w:firstLine="480"/>
        <w:rPr>
          <w:rFonts w:hint="default" w:ascii="Arial" w:hAnsi="Arial" w:eastAsia="宋体" w:cs="Arial"/>
          <w:color w:val="auto"/>
          <w:highlight w:val="none"/>
        </w:rPr>
      </w:pPr>
      <w:r>
        <w:rPr>
          <w:rFonts w:hint="default" w:ascii="Arial" w:hAnsi="Arial" w:eastAsia="宋体" w:cs="Arial"/>
          <w:color w:val="auto"/>
          <w:highlight w:val="none"/>
        </w:rPr>
        <w:t>生产用水采用地下水供水</w:t>
      </w:r>
      <w:r>
        <w:rPr>
          <w:rFonts w:hint="default" w:ascii="Arial" w:hAnsi="Arial" w:eastAsia="宋体" w:cs="Arial"/>
          <w:color w:val="auto"/>
          <w:highlight w:val="none"/>
          <w:lang w:eastAsia="zh-CN"/>
        </w:rPr>
        <w:t>，</w:t>
      </w:r>
      <w:r>
        <w:rPr>
          <w:rFonts w:hint="default" w:ascii="Arial" w:hAnsi="Arial" w:eastAsia="宋体" w:cs="Arial"/>
          <w:color w:val="auto"/>
          <w:highlight w:val="none"/>
        </w:rPr>
        <w:t>水质可满足牛群饮用水需求。</w:t>
      </w:r>
    </w:p>
    <w:p>
      <w:pPr>
        <w:ind w:firstLine="480"/>
        <w:rPr>
          <w:rFonts w:hint="default" w:ascii="Arial" w:hAnsi="Arial" w:eastAsia="宋体" w:cs="Arial"/>
          <w:color w:val="auto"/>
          <w:highlight w:val="none"/>
        </w:rPr>
      </w:pPr>
      <w:r>
        <w:rPr>
          <w:rFonts w:hint="default" w:ascii="Arial" w:hAnsi="Arial" w:eastAsia="宋体" w:cs="Arial"/>
          <w:color w:val="auto"/>
          <w:highlight w:val="none"/>
        </w:rPr>
        <w:t>2、水平衡分析</w:t>
      </w:r>
    </w:p>
    <w:p>
      <w:pPr>
        <w:ind w:firstLine="480"/>
        <w:rPr>
          <w:rFonts w:hint="default" w:ascii="Arial" w:hAnsi="Arial" w:eastAsia="宋体" w:cs="Arial"/>
          <w:color w:val="auto"/>
          <w:highlight w:val="none"/>
        </w:rPr>
      </w:pPr>
      <w:r>
        <w:rPr>
          <w:rFonts w:hint="default" w:ascii="Arial" w:hAnsi="Arial" w:eastAsia="宋体" w:cs="Arial"/>
          <w:color w:val="auto"/>
          <w:highlight w:val="none"/>
        </w:rPr>
        <w:t>（1）牛群饮用水</w:t>
      </w:r>
    </w:p>
    <w:p>
      <w:pPr>
        <w:ind w:firstLine="480"/>
        <w:rPr>
          <w:rFonts w:hint="default" w:ascii="Arial" w:hAnsi="Arial" w:eastAsia="宋体" w:cs="Arial"/>
          <w:color w:val="auto"/>
          <w:highlight w:val="none"/>
        </w:rPr>
      </w:pPr>
      <w:r>
        <w:rPr>
          <w:rFonts w:hint="default" w:ascii="Arial" w:hAnsi="Arial" w:eastAsia="宋体" w:cs="Arial"/>
          <w:color w:val="auto"/>
          <w:highlight w:val="none"/>
          <w:lang w:eastAsia="zh-CN"/>
        </w:rPr>
        <w:t>根据</w:t>
      </w:r>
      <w:r>
        <w:rPr>
          <w:rFonts w:hint="default" w:ascii="Arial" w:hAnsi="Arial" w:eastAsia="宋体" w:cs="Arial"/>
          <w:color w:val="auto"/>
          <w:highlight w:val="none"/>
        </w:rPr>
        <w:t>《内蒙古自治区</w:t>
      </w:r>
      <w:r>
        <w:rPr>
          <w:rFonts w:hint="default" w:ascii="Arial" w:hAnsi="Arial" w:eastAsia="宋体" w:cs="Arial"/>
          <w:color w:val="auto"/>
          <w:highlight w:val="none"/>
          <w:lang w:eastAsia="zh-CN"/>
        </w:rPr>
        <w:t>行业用水定额（2020版）</w:t>
      </w:r>
      <w:r>
        <w:rPr>
          <w:rFonts w:hint="default" w:ascii="Arial" w:hAnsi="Arial" w:eastAsia="宋体" w:cs="Arial"/>
          <w:color w:val="auto"/>
          <w:highlight w:val="none"/>
        </w:rPr>
        <w:t>》（</w:t>
      </w:r>
      <w:r>
        <w:rPr>
          <w:rFonts w:hint="default" w:ascii="Arial" w:hAnsi="Arial" w:eastAsia="宋体" w:cs="Arial"/>
          <w:color w:val="auto"/>
          <w:highlight w:val="none"/>
          <w:lang w:eastAsia="zh-CN"/>
        </w:rPr>
        <w:t>DB15/T 385-2020</w:t>
      </w:r>
      <w:r>
        <w:rPr>
          <w:rFonts w:hint="default" w:ascii="Arial" w:hAnsi="Arial" w:eastAsia="宋体" w:cs="Arial"/>
          <w:color w:val="auto"/>
          <w:highlight w:val="none"/>
        </w:rPr>
        <w:t>）</w:t>
      </w:r>
      <w:r>
        <w:rPr>
          <w:rFonts w:hint="default" w:ascii="Arial" w:hAnsi="Arial" w:eastAsia="宋体" w:cs="Arial"/>
          <w:color w:val="auto"/>
          <w:highlight w:val="none"/>
          <w:lang w:eastAsia="zh-CN"/>
        </w:rPr>
        <w:t>，肉牛（工厂集约化养殖）饮用水</w:t>
      </w:r>
      <w:r>
        <w:rPr>
          <w:rFonts w:hint="default" w:ascii="Arial" w:hAnsi="Arial" w:eastAsia="宋体" w:cs="Arial"/>
          <w:color w:val="auto"/>
          <w:highlight w:val="none"/>
        </w:rPr>
        <w:t>量定额按60L/</w:t>
      </w:r>
      <w:r>
        <w:rPr>
          <w:rFonts w:hint="default" w:ascii="Arial" w:hAnsi="Arial" w:eastAsia="宋体" w:cs="Arial"/>
          <w:color w:val="auto"/>
          <w:highlight w:val="none"/>
          <w:lang w:eastAsia="zh-CN"/>
        </w:rPr>
        <w:t>头</w:t>
      </w:r>
      <w:r>
        <w:rPr>
          <w:rFonts w:hint="default" w:ascii="Arial" w:hAnsi="Arial" w:eastAsia="宋体" w:cs="Arial"/>
          <w:color w:val="auto"/>
          <w:highlight w:val="none"/>
        </w:rPr>
        <w:t>·d计</w:t>
      </w:r>
      <w:r>
        <w:rPr>
          <w:rFonts w:hint="default" w:ascii="Arial" w:hAnsi="Arial" w:eastAsia="宋体" w:cs="Arial"/>
          <w:color w:val="auto"/>
          <w:highlight w:val="none"/>
          <w:lang w:eastAsia="zh-CN"/>
        </w:rPr>
        <w:t>，详见</w:t>
      </w:r>
      <w:r>
        <w:rPr>
          <w:rFonts w:hint="default" w:ascii="Arial" w:hAnsi="Arial" w:eastAsia="宋体" w:cs="Arial"/>
          <w:color w:val="auto"/>
          <w:highlight w:val="none"/>
        </w:rPr>
        <w:t>表3.1-</w:t>
      </w:r>
      <w:r>
        <w:rPr>
          <w:rFonts w:hint="default" w:ascii="Arial" w:hAnsi="Arial" w:eastAsia="宋体" w:cs="Arial"/>
          <w:color w:val="auto"/>
          <w:highlight w:val="none"/>
          <w:lang w:val="en-US" w:eastAsia="zh-CN"/>
        </w:rPr>
        <w:t>8</w:t>
      </w:r>
      <w:r>
        <w:rPr>
          <w:rFonts w:hint="default" w:ascii="Arial" w:hAnsi="Arial" w:eastAsia="宋体" w:cs="Arial"/>
          <w:color w:val="auto"/>
          <w:highlight w:val="none"/>
        </w:rPr>
        <w:t>。</w:t>
      </w:r>
    </w:p>
    <w:p>
      <w:pPr>
        <w:pStyle w:val="8"/>
        <w:rPr>
          <w:rFonts w:hint="default" w:ascii="Arial" w:hAnsi="Arial" w:eastAsia="宋体" w:cs="Arial"/>
          <w:color w:val="auto"/>
          <w:highlight w:val="none"/>
        </w:rPr>
      </w:pPr>
      <w:r>
        <w:rPr>
          <w:rFonts w:hint="default" w:ascii="Arial" w:hAnsi="Arial" w:eastAsia="宋体" w:cs="Arial"/>
          <w:color w:val="auto"/>
          <w:highlight w:val="none"/>
        </w:rPr>
        <w:t>表3.1-</w:t>
      </w:r>
      <w:r>
        <w:rPr>
          <w:rFonts w:hint="default" w:ascii="Arial" w:hAnsi="Arial" w:eastAsia="宋体" w:cs="Arial"/>
          <w:color w:val="auto"/>
          <w:highlight w:val="none"/>
          <w:lang w:val="en-US" w:eastAsia="zh-CN"/>
        </w:rPr>
        <w:t>8</w:t>
      </w:r>
      <w:r>
        <w:rPr>
          <w:rFonts w:hint="default" w:ascii="Arial" w:hAnsi="Arial" w:eastAsia="宋体" w:cs="Arial"/>
          <w:color w:val="auto"/>
          <w:highlight w:val="none"/>
        </w:rPr>
        <w:t xml:space="preserve">    牛场牛群用水定额</w:t>
      </w:r>
    </w:p>
    <w:tbl>
      <w:tblPr>
        <w:tblStyle w:val="39"/>
        <w:tblW w:w="9003" w:type="dxa"/>
        <w:tblInd w:w="0" w:type="dxa"/>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Layout w:type="fixed"/>
        <w:tblCellMar>
          <w:top w:w="0" w:type="dxa"/>
          <w:left w:w="108" w:type="dxa"/>
          <w:bottom w:w="0" w:type="dxa"/>
          <w:right w:w="108" w:type="dxa"/>
        </w:tblCellMar>
      </w:tblPr>
      <w:tblGrid>
        <w:gridCol w:w="1500"/>
        <w:gridCol w:w="1500"/>
        <w:gridCol w:w="1500"/>
        <w:gridCol w:w="1501"/>
        <w:gridCol w:w="1501"/>
        <w:gridCol w:w="1501"/>
      </w:tblGrid>
      <w:tr>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1500" w:type="dxa"/>
            <w:vMerge w:val="restart"/>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牛群种类</w:t>
            </w:r>
          </w:p>
        </w:tc>
        <w:tc>
          <w:tcPr>
            <w:tcW w:w="1500" w:type="dxa"/>
            <w:vMerge w:val="restart"/>
            <w:shd w:val="clear" w:color="auto" w:fill="auto"/>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数目</w:t>
            </w:r>
          </w:p>
        </w:tc>
        <w:tc>
          <w:tcPr>
            <w:tcW w:w="3001" w:type="dxa"/>
            <w:gridSpan w:val="2"/>
            <w:shd w:val="clear" w:color="auto" w:fill="auto"/>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夏季（180天计）</w:t>
            </w:r>
          </w:p>
        </w:tc>
        <w:tc>
          <w:tcPr>
            <w:tcW w:w="3002" w:type="dxa"/>
            <w:gridSpan w:val="2"/>
            <w:shd w:val="clear" w:color="auto" w:fill="auto"/>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冬季（185天计）</w:t>
            </w:r>
          </w:p>
        </w:tc>
      </w:tr>
      <w:tr>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1500" w:type="dxa"/>
            <w:vMerge w:val="continue"/>
            <w:vAlign w:val="center"/>
          </w:tcPr>
          <w:p>
            <w:pPr>
              <w:pStyle w:val="63"/>
              <w:rPr>
                <w:rFonts w:hint="default" w:ascii="Arial" w:hAnsi="Arial" w:eastAsia="宋体" w:cs="Arial"/>
                <w:color w:val="auto"/>
                <w:highlight w:val="none"/>
              </w:rPr>
            </w:pPr>
          </w:p>
        </w:tc>
        <w:tc>
          <w:tcPr>
            <w:tcW w:w="1500" w:type="dxa"/>
            <w:vMerge w:val="continue"/>
            <w:vAlign w:val="center"/>
          </w:tcPr>
          <w:p>
            <w:pPr>
              <w:pStyle w:val="63"/>
              <w:rPr>
                <w:rFonts w:hint="default" w:ascii="Arial" w:hAnsi="Arial" w:eastAsia="宋体" w:cs="Arial"/>
                <w:color w:val="auto"/>
                <w:highlight w:val="none"/>
              </w:rPr>
            </w:pPr>
          </w:p>
        </w:tc>
        <w:tc>
          <w:tcPr>
            <w:tcW w:w="1500" w:type="dxa"/>
            <w:shd w:val="clear" w:color="auto" w:fill="auto"/>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kg/d</w:t>
            </w:r>
            <w:r>
              <w:rPr>
                <w:rFonts w:hint="default" w:ascii="Arial" w:hAnsi="Arial" w:eastAsia="宋体" w:cs="Arial"/>
                <w:color w:val="auto"/>
                <w:highlight w:val="none"/>
                <w:lang w:val="en-US" w:eastAsia="zh-CN"/>
              </w:rPr>
              <w:t>·</w:t>
            </w:r>
            <w:r>
              <w:rPr>
                <w:rFonts w:hint="default" w:ascii="Arial" w:hAnsi="Arial" w:eastAsia="宋体" w:cs="Arial"/>
                <w:color w:val="auto"/>
                <w:highlight w:val="none"/>
              </w:rPr>
              <w:t>头</w:t>
            </w:r>
          </w:p>
        </w:tc>
        <w:tc>
          <w:tcPr>
            <w:tcW w:w="1501" w:type="dxa"/>
            <w:shd w:val="clear" w:color="auto" w:fill="auto"/>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t/d</w:t>
            </w:r>
          </w:p>
        </w:tc>
        <w:tc>
          <w:tcPr>
            <w:tcW w:w="1501" w:type="dxa"/>
            <w:shd w:val="clear" w:color="auto" w:fill="auto"/>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kg/d</w:t>
            </w:r>
            <w:r>
              <w:rPr>
                <w:rFonts w:hint="default" w:ascii="Arial" w:hAnsi="Arial" w:eastAsia="宋体" w:cs="Arial"/>
                <w:color w:val="auto"/>
                <w:highlight w:val="none"/>
                <w:lang w:val="en-US" w:eastAsia="zh-CN"/>
              </w:rPr>
              <w:t>·</w:t>
            </w:r>
            <w:r>
              <w:rPr>
                <w:rFonts w:hint="default" w:ascii="Arial" w:hAnsi="Arial" w:eastAsia="宋体" w:cs="Arial"/>
                <w:color w:val="auto"/>
                <w:highlight w:val="none"/>
              </w:rPr>
              <w:t>头</w:t>
            </w:r>
          </w:p>
        </w:tc>
        <w:tc>
          <w:tcPr>
            <w:tcW w:w="1501" w:type="dxa"/>
            <w:shd w:val="clear" w:color="auto" w:fill="auto"/>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t/d</w:t>
            </w:r>
          </w:p>
        </w:tc>
      </w:tr>
      <w:tr>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1500" w:type="dxa"/>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lang w:eastAsia="zh-CN"/>
              </w:rPr>
              <w:t>肉牛</w:t>
            </w:r>
          </w:p>
        </w:tc>
        <w:tc>
          <w:tcPr>
            <w:tcW w:w="1500" w:type="dxa"/>
            <w:shd w:val="clear" w:color="auto" w:fill="auto"/>
            <w:vAlign w:val="center"/>
          </w:tcPr>
          <w:p>
            <w:pPr>
              <w:pStyle w:val="63"/>
              <w:rPr>
                <w:rFonts w:hint="default" w:ascii="Arial" w:hAnsi="Arial" w:eastAsia="宋体" w:cs="Arial"/>
                <w:color w:val="auto"/>
                <w:highlight w:val="none"/>
                <w:lang w:val="en-US" w:eastAsia="zh-CN"/>
              </w:rPr>
            </w:pPr>
            <w:r>
              <w:rPr>
                <w:rFonts w:hint="default" w:ascii="Arial" w:hAnsi="Arial" w:eastAsia="宋体" w:cs="Arial"/>
                <w:color w:val="auto"/>
                <w:highlight w:val="none"/>
                <w:lang w:val="en-US" w:eastAsia="zh-CN"/>
              </w:rPr>
              <w:t>10000</w:t>
            </w:r>
          </w:p>
        </w:tc>
        <w:tc>
          <w:tcPr>
            <w:tcW w:w="1500" w:type="dxa"/>
            <w:shd w:val="clear" w:color="auto" w:fill="auto"/>
            <w:vAlign w:val="center"/>
          </w:tcPr>
          <w:p>
            <w:pPr>
              <w:pStyle w:val="63"/>
              <w:ind w:firstLine="0" w:firstLineChars="0"/>
              <w:rPr>
                <w:rFonts w:hint="default" w:ascii="Arial" w:hAnsi="Arial" w:eastAsia="宋体" w:cs="Arial"/>
                <w:color w:val="auto"/>
                <w:highlight w:val="none"/>
                <w:lang w:val="en-US" w:eastAsia="zh-CN"/>
              </w:rPr>
            </w:pPr>
            <w:r>
              <w:rPr>
                <w:rFonts w:hint="default" w:ascii="Arial" w:hAnsi="Arial" w:eastAsia="宋体" w:cs="Arial"/>
                <w:color w:val="auto"/>
                <w:highlight w:val="none"/>
                <w:lang w:val="en-US" w:eastAsia="zh-CN"/>
              </w:rPr>
              <w:t>60</w:t>
            </w:r>
          </w:p>
        </w:tc>
        <w:tc>
          <w:tcPr>
            <w:tcW w:w="1501" w:type="dxa"/>
            <w:shd w:val="clear" w:color="auto" w:fill="auto"/>
            <w:vAlign w:val="center"/>
          </w:tcPr>
          <w:p>
            <w:pPr>
              <w:pStyle w:val="63"/>
              <w:ind w:firstLine="0" w:firstLineChars="0"/>
              <w:rPr>
                <w:rFonts w:hint="default" w:ascii="Arial" w:hAnsi="Arial" w:eastAsia="宋体" w:cs="Arial"/>
                <w:color w:val="auto"/>
                <w:highlight w:val="none"/>
                <w:lang w:val="en-US" w:eastAsia="zh-CN"/>
              </w:rPr>
            </w:pPr>
            <w:r>
              <w:rPr>
                <w:rFonts w:hint="default" w:ascii="Arial" w:hAnsi="Arial" w:eastAsia="宋体" w:cs="Arial"/>
                <w:color w:val="auto"/>
                <w:highlight w:val="none"/>
                <w:lang w:val="en-US" w:eastAsia="zh-CN"/>
              </w:rPr>
              <w:t>600</w:t>
            </w:r>
          </w:p>
        </w:tc>
        <w:tc>
          <w:tcPr>
            <w:tcW w:w="1501" w:type="dxa"/>
            <w:shd w:val="clear" w:color="auto" w:fill="auto"/>
            <w:vAlign w:val="center"/>
          </w:tcPr>
          <w:p>
            <w:pPr>
              <w:pStyle w:val="63"/>
              <w:ind w:firstLine="0" w:firstLineChars="0"/>
              <w:rPr>
                <w:rFonts w:hint="default" w:ascii="Arial" w:hAnsi="Arial" w:eastAsia="宋体" w:cs="Arial"/>
                <w:color w:val="auto"/>
                <w:highlight w:val="none"/>
                <w:lang w:val="en-US" w:eastAsia="zh-CN"/>
              </w:rPr>
            </w:pPr>
            <w:r>
              <w:rPr>
                <w:rFonts w:hint="default" w:ascii="Arial" w:hAnsi="Arial" w:eastAsia="宋体" w:cs="Arial"/>
                <w:color w:val="auto"/>
                <w:highlight w:val="none"/>
                <w:lang w:val="en-US" w:eastAsia="zh-CN"/>
              </w:rPr>
              <w:t>50</w:t>
            </w:r>
          </w:p>
        </w:tc>
        <w:tc>
          <w:tcPr>
            <w:tcW w:w="1501" w:type="dxa"/>
            <w:shd w:val="clear" w:color="auto" w:fill="auto"/>
            <w:vAlign w:val="center"/>
          </w:tcPr>
          <w:p>
            <w:pPr>
              <w:pStyle w:val="63"/>
              <w:ind w:firstLine="0" w:firstLineChars="0"/>
              <w:rPr>
                <w:rFonts w:hint="default" w:ascii="Arial" w:hAnsi="Arial" w:eastAsia="宋体" w:cs="Arial"/>
                <w:color w:val="auto"/>
                <w:highlight w:val="none"/>
                <w:lang w:val="en-US" w:eastAsia="zh-CN"/>
              </w:rPr>
            </w:pPr>
            <w:r>
              <w:rPr>
                <w:rFonts w:hint="default" w:ascii="Arial" w:hAnsi="Arial" w:eastAsia="宋体" w:cs="Arial"/>
                <w:color w:val="auto"/>
                <w:highlight w:val="none"/>
                <w:lang w:val="en-US" w:eastAsia="zh-CN"/>
              </w:rPr>
              <w:t>500</w:t>
            </w:r>
          </w:p>
        </w:tc>
      </w:tr>
      <w:tr>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3000" w:type="dxa"/>
            <w:gridSpan w:val="2"/>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牛群日饮用水量m</w:t>
            </w:r>
            <w:r>
              <w:rPr>
                <w:rFonts w:hint="default" w:ascii="Arial" w:hAnsi="Arial" w:eastAsia="宋体" w:cs="Arial"/>
                <w:color w:val="auto"/>
                <w:highlight w:val="none"/>
                <w:vertAlign w:val="superscript"/>
              </w:rPr>
              <w:t>3</w:t>
            </w:r>
            <w:r>
              <w:rPr>
                <w:rFonts w:hint="default" w:ascii="Arial" w:hAnsi="Arial" w:eastAsia="宋体" w:cs="Arial"/>
                <w:color w:val="auto"/>
                <w:highlight w:val="none"/>
              </w:rPr>
              <w:t>/d</w:t>
            </w:r>
          </w:p>
        </w:tc>
        <w:tc>
          <w:tcPr>
            <w:tcW w:w="1500" w:type="dxa"/>
            <w:shd w:val="clear" w:color="auto" w:fill="auto"/>
            <w:vAlign w:val="center"/>
          </w:tcPr>
          <w:p>
            <w:pPr>
              <w:pStyle w:val="63"/>
              <w:rPr>
                <w:rFonts w:hint="default" w:ascii="Arial" w:hAnsi="Arial" w:eastAsia="宋体" w:cs="Arial"/>
                <w:color w:val="auto"/>
                <w:highlight w:val="none"/>
                <w:lang w:val="en-US" w:eastAsia="zh-CN"/>
              </w:rPr>
            </w:pPr>
            <w:r>
              <w:rPr>
                <w:rFonts w:hint="default" w:ascii="Arial" w:hAnsi="Arial" w:eastAsia="宋体" w:cs="Arial"/>
                <w:color w:val="auto"/>
                <w:highlight w:val="none"/>
                <w:lang w:val="en-US" w:eastAsia="zh-CN"/>
              </w:rPr>
              <w:t>--</w:t>
            </w:r>
          </w:p>
        </w:tc>
        <w:tc>
          <w:tcPr>
            <w:tcW w:w="1501" w:type="dxa"/>
            <w:shd w:val="clear" w:color="auto" w:fill="auto"/>
            <w:vAlign w:val="center"/>
          </w:tcPr>
          <w:p>
            <w:pPr>
              <w:pStyle w:val="63"/>
              <w:rPr>
                <w:rFonts w:hint="default" w:ascii="Arial" w:hAnsi="Arial" w:eastAsia="宋体" w:cs="Arial"/>
                <w:color w:val="auto"/>
                <w:highlight w:val="none"/>
                <w:lang w:val="en-US" w:eastAsia="zh-CN"/>
              </w:rPr>
            </w:pPr>
            <w:r>
              <w:rPr>
                <w:rFonts w:hint="default" w:ascii="Arial" w:hAnsi="Arial" w:eastAsia="宋体" w:cs="Arial"/>
                <w:color w:val="auto"/>
                <w:highlight w:val="none"/>
                <w:lang w:val="en-US" w:eastAsia="zh-CN"/>
              </w:rPr>
              <w:t>600</w:t>
            </w:r>
          </w:p>
        </w:tc>
        <w:tc>
          <w:tcPr>
            <w:tcW w:w="1501" w:type="dxa"/>
            <w:shd w:val="clear" w:color="auto" w:fill="auto"/>
            <w:vAlign w:val="center"/>
          </w:tcPr>
          <w:p>
            <w:pPr>
              <w:pStyle w:val="63"/>
              <w:rPr>
                <w:rFonts w:hint="default" w:ascii="Arial" w:hAnsi="Arial" w:eastAsia="宋体" w:cs="Arial"/>
                <w:color w:val="auto"/>
                <w:highlight w:val="none"/>
                <w:lang w:val="en-US" w:eastAsia="zh-CN"/>
              </w:rPr>
            </w:pPr>
            <w:r>
              <w:rPr>
                <w:rFonts w:hint="default" w:ascii="Arial" w:hAnsi="Arial" w:eastAsia="宋体" w:cs="Arial"/>
                <w:color w:val="auto"/>
                <w:highlight w:val="none"/>
                <w:lang w:val="en-US" w:eastAsia="zh-CN"/>
              </w:rPr>
              <w:t>--</w:t>
            </w:r>
          </w:p>
        </w:tc>
        <w:tc>
          <w:tcPr>
            <w:tcW w:w="1501" w:type="dxa"/>
            <w:shd w:val="clear" w:color="auto" w:fill="auto"/>
            <w:vAlign w:val="center"/>
          </w:tcPr>
          <w:p>
            <w:pPr>
              <w:pStyle w:val="63"/>
              <w:rPr>
                <w:rFonts w:hint="default" w:ascii="Arial" w:hAnsi="Arial" w:eastAsia="宋体" w:cs="Arial"/>
                <w:color w:val="auto"/>
                <w:highlight w:val="none"/>
                <w:lang w:val="en-US" w:eastAsia="zh-CN"/>
              </w:rPr>
            </w:pPr>
            <w:r>
              <w:rPr>
                <w:rFonts w:hint="default" w:ascii="Arial" w:hAnsi="Arial" w:eastAsia="宋体" w:cs="Arial"/>
                <w:color w:val="auto"/>
                <w:highlight w:val="none"/>
                <w:lang w:val="en-US" w:eastAsia="zh-CN"/>
              </w:rPr>
              <w:t>500</w:t>
            </w:r>
          </w:p>
        </w:tc>
      </w:tr>
    </w:tbl>
    <w:p>
      <w:pPr>
        <w:ind w:firstLine="480"/>
        <w:rPr>
          <w:rFonts w:hint="default" w:ascii="Arial" w:hAnsi="Arial" w:eastAsia="宋体" w:cs="Arial"/>
          <w:color w:val="auto"/>
          <w:highlight w:val="none"/>
          <w:lang w:eastAsia="zh-CN"/>
        </w:rPr>
      </w:pPr>
      <w:r>
        <w:rPr>
          <w:rFonts w:hint="default" w:ascii="Arial" w:hAnsi="Arial" w:eastAsia="宋体" w:cs="Arial"/>
          <w:color w:val="auto"/>
          <w:highlight w:val="none"/>
        </w:rPr>
        <w:t>项目牛群存栏</w:t>
      </w:r>
      <w:r>
        <w:rPr>
          <w:rFonts w:hint="default" w:ascii="Arial" w:hAnsi="Arial" w:eastAsia="宋体" w:cs="Arial"/>
          <w:color w:val="auto"/>
          <w:highlight w:val="none"/>
          <w:lang w:val="en-US" w:eastAsia="zh-CN"/>
        </w:rPr>
        <w:t>10</w:t>
      </w:r>
      <w:r>
        <w:rPr>
          <w:rFonts w:hint="default" w:ascii="Arial" w:hAnsi="Arial" w:eastAsia="宋体" w:cs="Arial"/>
          <w:color w:val="auto"/>
          <w:highlight w:val="none"/>
        </w:rPr>
        <w:t>000头，夏季用水量</w:t>
      </w:r>
      <w:r>
        <w:rPr>
          <w:rFonts w:hint="default" w:ascii="Arial" w:hAnsi="Arial" w:eastAsia="宋体" w:cs="Arial"/>
          <w:color w:val="auto"/>
          <w:szCs w:val="21"/>
          <w:highlight w:val="none"/>
          <w:lang w:val="en-US" w:eastAsia="zh-CN"/>
        </w:rPr>
        <w:t>600</w:t>
      </w:r>
      <w:r>
        <w:rPr>
          <w:rFonts w:hint="default" w:ascii="Arial" w:hAnsi="Arial" w:eastAsia="宋体" w:cs="Arial"/>
          <w:color w:val="auto"/>
          <w:highlight w:val="none"/>
        </w:rPr>
        <w:t>m</w:t>
      </w:r>
      <w:r>
        <w:rPr>
          <w:rFonts w:hint="default" w:ascii="Arial" w:hAnsi="Arial" w:eastAsia="宋体" w:cs="Arial"/>
          <w:color w:val="auto"/>
          <w:highlight w:val="none"/>
          <w:vertAlign w:val="superscript"/>
        </w:rPr>
        <w:t>3</w:t>
      </w:r>
      <w:r>
        <w:rPr>
          <w:rFonts w:hint="default" w:ascii="Arial" w:hAnsi="Arial" w:eastAsia="宋体" w:cs="Arial"/>
          <w:color w:val="auto"/>
          <w:highlight w:val="none"/>
        </w:rPr>
        <w:t>/d，冬季用水量</w:t>
      </w:r>
      <w:r>
        <w:rPr>
          <w:rFonts w:hint="default" w:ascii="Arial" w:hAnsi="Arial" w:eastAsia="宋体" w:cs="Arial"/>
          <w:color w:val="auto"/>
          <w:szCs w:val="21"/>
          <w:highlight w:val="none"/>
          <w:lang w:val="en-US" w:eastAsia="zh-CN"/>
        </w:rPr>
        <w:t>500</w:t>
      </w:r>
      <w:r>
        <w:rPr>
          <w:rFonts w:hint="default" w:ascii="Arial" w:hAnsi="Arial" w:eastAsia="宋体" w:cs="Arial"/>
          <w:color w:val="auto"/>
          <w:highlight w:val="none"/>
        </w:rPr>
        <w:t>m</w:t>
      </w:r>
      <w:r>
        <w:rPr>
          <w:rFonts w:hint="default" w:ascii="Arial" w:hAnsi="Arial" w:eastAsia="宋体" w:cs="Arial"/>
          <w:color w:val="auto"/>
          <w:highlight w:val="none"/>
          <w:vertAlign w:val="superscript"/>
        </w:rPr>
        <w:t>3</w:t>
      </w:r>
      <w:r>
        <w:rPr>
          <w:rFonts w:hint="default" w:ascii="Arial" w:hAnsi="Arial" w:eastAsia="宋体" w:cs="Arial"/>
          <w:color w:val="auto"/>
          <w:highlight w:val="none"/>
        </w:rPr>
        <w:t>/d，全年牛群饮用水</w:t>
      </w:r>
      <w:r>
        <w:rPr>
          <w:rFonts w:hint="default" w:ascii="Arial" w:hAnsi="Arial" w:eastAsia="宋体" w:cs="Arial"/>
          <w:color w:val="auto"/>
          <w:highlight w:val="none"/>
          <w:lang w:val="en-US" w:eastAsia="zh-CN"/>
        </w:rPr>
        <w:t>总</w:t>
      </w:r>
      <w:r>
        <w:rPr>
          <w:rFonts w:hint="default" w:ascii="Arial" w:hAnsi="Arial" w:eastAsia="宋体" w:cs="Arial"/>
          <w:color w:val="auto"/>
          <w:highlight w:val="none"/>
        </w:rPr>
        <w:t>量为</w:t>
      </w:r>
      <w:r>
        <w:rPr>
          <w:rFonts w:hint="default" w:ascii="Arial" w:hAnsi="Arial" w:eastAsia="宋体" w:cs="Arial"/>
          <w:color w:val="auto"/>
          <w:highlight w:val="none"/>
          <w:lang w:eastAsia="zh-CN"/>
        </w:rPr>
        <w:t>200500</w:t>
      </w:r>
      <w:r>
        <w:rPr>
          <w:rFonts w:hint="default" w:ascii="Arial" w:hAnsi="Arial" w:eastAsia="宋体" w:cs="Arial"/>
          <w:color w:val="auto"/>
          <w:highlight w:val="none"/>
        </w:rPr>
        <w:t>m</w:t>
      </w:r>
      <w:r>
        <w:rPr>
          <w:rFonts w:hint="default" w:ascii="Arial" w:hAnsi="Arial" w:eastAsia="宋体" w:cs="Arial"/>
          <w:color w:val="auto"/>
          <w:highlight w:val="none"/>
          <w:vertAlign w:val="superscript"/>
        </w:rPr>
        <w:t>3</w:t>
      </w:r>
      <w:r>
        <w:rPr>
          <w:rFonts w:hint="default" w:ascii="Arial" w:hAnsi="Arial" w:eastAsia="宋体" w:cs="Arial"/>
          <w:color w:val="auto"/>
          <w:highlight w:val="none"/>
        </w:rPr>
        <w:t>/a</w:t>
      </w:r>
      <w:r>
        <w:rPr>
          <w:rFonts w:hint="default" w:ascii="Arial" w:hAnsi="Arial" w:eastAsia="宋体" w:cs="Arial"/>
          <w:color w:val="auto"/>
          <w:highlight w:val="none"/>
          <w:lang w:eastAsia="zh-CN"/>
        </w:rPr>
        <w:t>。</w:t>
      </w:r>
    </w:p>
    <w:p>
      <w:pPr>
        <w:ind w:firstLine="480"/>
        <w:jc w:val="both"/>
        <w:rPr>
          <w:rFonts w:hint="default" w:ascii="Arial" w:hAnsi="Arial" w:eastAsia="宋体" w:cs="Arial"/>
          <w:color w:val="auto"/>
          <w:highlight w:val="none"/>
        </w:rPr>
      </w:pPr>
      <w:r>
        <w:rPr>
          <w:rFonts w:hint="default" w:ascii="Arial" w:hAnsi="Arial" w:eastAsia="宋体" w:cs="Arial"/>
          <w:color w:val="auto"/>
          <w:highlight w:val="none"/>
        </w:rPr>
        <w:t>（</w:t>
      </w:r>
      <w:r>
        <w:rPr>
          <w:rFonts w:hint="default" w:ascii="Arial" w:hAnsi="Arial" w:eastAsia="宋体" w:cs="Arial"/>
          <w:color w:val="auto"/>
          <w:highlight w:val="none"/>
          <w:lang w:val="en-US" w:eastAsia="zh-CN"/>
        </w:rPr>
        <w:t>2</w:t>
      </w:r>
      <w:r>
        <w:rPr>
          <w:rFonts w:hint="default" w:ascii="Arial" w:hAnsi="Arial" w:eastAsia="宋体" w:cs="Arial"/>
          <w:color w:val="auto"/>
          <w:highlight w:val="none"/>
        </w:rPr>
        <w:t>）饲料</w:t>
      </w:r>
      <w:r>
        <w:rPr>
          <w:rFonts w:hint="default" w:ascii="Arial" w:hAnsi="Arial" w:eastAsia="宋体" w:cs="Arial"/>
          <w:color w:val="auto"/>
          <w:highlight w:val="none"/>
          <w:lang w:val="en-US" w:eastAsia="zh-CN"/>
        </w:rPr>
        <w:t>搅拌抑尘用水</w:t>
      </w:r>
    </w:p>
    <w:p>
      <w:pPr>
        <w:ind w:firstLine="480"/>
        <w:jc w:val="both"/>
        <w:rPr>
          <w:rFonts w:hint="default" w:ascii="Arial" w:hAnsi="Arial" w:eastAsia="宋体" w:cs="Arial"/>
          <w:color w:val="auto"/>
          <w:highlight w:val="none"/>
        </w:rPr>
      </w:pPr>
      <w:r>
        <w:rPr>
          <w:rFonts w:hint="default" w:ascii="Arial" w:hAnsi="Arial" w:eastAsia="宋体" w:cs="Arial"/>
          <w:color w:val="auto"/>
          <w:highlight w:val="none"/>
        </w:rPr>
        <w:t>饲料</w:t>
      </w:r>
      <w:r>
        <w:rPr>
          <w:rFonts w:hint="default" w:ascii="Arial" w:hAnsi="Arial" w:eastAsia="宋体" w:cs="Arial"/>
          <w:color w:val="auto"/>
          <w:highlight w:val="none"/>
          <w:lang w:val="en-US" w:eastAsia="zh-CN"/>
        </w:rPr>
        <w:t>搅拌</w:t>
      </w:r>
      <w:r>
        <w:rPr>
          <w:rFonts w:hint="default" w:ascii="Arial" w:hAnsi="Arial" w:eastAsia="宋体" w:cs="Arial"/>
          <w:color w:val="auto"/>
          <w:highlight w:val="none"/>
        </w:rPr>
        <w:t>工段</w:t>
      </w:r>
      <w:r>
        <w:rPr>
          <w:rFonts w:hint="default" w:ascii="Arial" w:hAnsi="Arial" w:eastAsia="宋体" w:cs="Arial"/>
          <w:color w:val="auto"/>
          <w:highlight w:val="none"/>
          <w:lang w:val="en-US" w:eastAsia="zh-CN"/>
        </w:rPr>
        <w:t>进行</w:t>
      </w:r>
      <w:r>
        <w:rPr>
          <w:rFonts w:hint="default" w:ascii="Arial" w:hAnsi="Arial" w:eastAsia="宋体" w:cs="Arial"/>
          <w:color w:val="auto"/>
          <w:highlight w:val="none"/>
        </w:rPr>
        <w:t>洒水抑尘，用水量为</w:t>
      </w:r>
      <w:r>
        <w:rPr>
          <w:rFonts w:hint="default" w:ascii="Arial" w:hAnsi="Arial" w:eastAsia="宋体" w:cs="Arial"/>
          <w:color w:val="auto"/>
          <w:highlight w:val="none"/>
          <w:lang w:val="en-US" w:eastAsia="zh-CN"/>
        </w:rPr>
        <w:t>3</w:t>
      </w:r>
      <w:r>
        <w:rPr>
          <w:rFonts w:hint="default" w:ascii="Arial" w:hAnsi="Arial" w:eastAsia="宋体" w:cs="Arial"/>
          <w:color w:val="auto"/>
          <w:highlight w:val="none"/>
        </w:rPr>
        <w:t>.0m</w:t>
      </w:r>
      <w:r>
        <w:rPr>
          <w:rFonts w:hint="default" w:ascii="Arial" w:hAnsi="Arial" w:eastAsia="宋体" w:cs="Arial"/>
          <w:color w:val="auto"/>
          <w:highlight w:val="none"/>
          <w:vertAlign w:val="superscript"/>
        </w:rPr>
        <w:t>3</w:t>
      </w:r>
      <w:r>
        <w:rPr>
          <w:rFonts w:hint="default" w:ascii="Arial" w:hAnsi="Arial" w:eastAsia="宋体" w:cs="Arial"/>
          <w:color w:val="auto"/>
          <w:highlight w:val="none"/>
        </w:rPr>
        <w:t>/d，1</w:t>
      </w:r>
      <w:r>
        <w:rPr>
          <w:rFonts w:hint="default" w:ascii="Arial" w:hAnsi="Arial" w:eastAsia="宋体" w:cs="Arial"/>
          <w:color w:val="auto"/>
          <w:highlight w:val="none"/>
          <w:lang w:val="en-US" w:eastAsia="zh-CN"/>
        </w:rPr>
        <w:t>09</w:t>
      </w:r>
      <w:r>
        <w:rPr>
          <w:rFonts w:hint="default" w:ascii="Arial" w:hAnsi="Arial" w:eastAsia="宋体" w:cs="Arial"/>
          <w:color w:val="auto"/>
          <w:highlight w:val="none"/>
        </w:rPr>
        <w:t>5m</w:t>
      </w:r>
      <w:r>
        <w:rPr>
          <w:rFonts w:hint="default" w:ascii="Arial" w:hAnsi="Arial" w:eastAsia="宋体" w:cs="Arial"/>
          <w:color w:val="auto"/>
          <w:highlight w:val="none"/>
          <w:vertAlign w:val="superscript"/>
        </w:rPr>
        <w:t>3</w:t>
      </w:r>
      <w:r>
        <w:rPr>
          <w:rFonts w:hint="default" w:ascii="Arial" w:hAnsi="Arial" w:eastAsia="宋体" w:cs="Arial"/>
          <w:color w:val="auto"/>
          <w:highlight w:val="none"/>
        </w:rPr>
        <w:t>/a。</w:t>
      </w:r>
    </w:p>
    <w:p>
      <w:pPr>
        <w:ind w:firstLine="480"/>
        <w:rPr>
          <w:rFonts w:hint="default" w:ascii="Arial" w:hAnsi="Arial" w:eastAsia="宋体" w:cs="Arial"/>
          <w:color w:val="auto"/>
          <w:highlight w:val="none"/>
          <w:lang w:eastAsia="zh-CN"/>
        </w:rPr>
      </w:pPr>
      <w:r>
        <w:rPr>
          <w:rFonts w:hint="default" w:ascii="Arial" w:hAnsi="Arial" w:eastAsia="宋体" w:cs="Arial"/>
          <w:color w:val="auto"/>
          <w:highlight w:val="none"/>
        </w:rPr>
        <w:t>（</w:t>
      </w:r>
      <w:r>
        <w:rPr>
          <w:rFonts w:hint="default" w:ascii="Arial" w:hAnsi="Arial" w:eastAsia="宋体" w:cs="Arial"/>
          <w:color w:val="auto"/>
          <w:highlight w:val="none"/>
          <w:lang w:val="en-US" w:eastAsia="zh-CN"/>
        </w:rPr>
        <w:t>3</w:t>
      </w:r>
      <w:r>
        <w:rPr>
          <w:rFonts w:hint="default" w:ascii="Arial" w:hAnsi="Arial" w:eastAsia="宋体" w:cs="Arial"/>
          <w:color w:val="auto"/>
          <w:highlight w:val="none"/>
        </w:rPr>
        <w:t>）</w:t>
      </w:r>
      <w:r>
        <w:rPr>
          <w:rFonts w:hint="default" w:ascii="Arial" w:hAnsi="Arial" w:eastAsia="宋体" w:cs="Arial"/>
          <w:color w:val="auto"/>
          <w:highlight w:val="none"/>
          <w:lang w:eastAsia="zh-CN"/>
        </w:rPr>
        <w:t>生活用水</w:t>
      </w:r>
    </w:p>
    <w:p>
      <w:pPr>
        <w:ind w:firstLine="480"/>
        <w:rPr>
          <w:rFonts w:hint="default" w:ascii="Arial" w:hAnsi="Arial" w:eastAsia="宋体" w:cs="Arial"/>
          <w:color w:val="auto"/>
          <w:highlight w:val="none"/>
          <w:lang w:eastAsia="zh-CN"/>
        </w:rPr>
      </w:pPr>
      <w:r>
        <w:rPr>
          <w:rFonts w:hint="default" w:ascii="Arial" w:hAnsi="Arial" w:eastAsia="宋体" w:cs="Arial"/>
          <w:color w:val="auto"/>
          <w:highlight w:val="none"/>
        </w:rPr>
        <w:t>职工生活用水按</w:t>
      </w:r>
      <w:r>
        <w:rPr>
          <w:rFonts w:hint="default" w:ascii="Arial" w:hAnsi="Arial" w:eastAsia="宋体" w:cs="Arial"/>
          <w:color w:val="auto"/>
          <w:highlight w:val="none"/>
          <w:lang w:val="en-US" w:eastAsia="zh-CN"/>
        </w:rPr>
        <w:t>6</w:t>
      </w:r>
      <w:r>
        <w:rPr>
          <w:rFonts w:hint="default" w:ascii="Arial" w:hAnsi="Arial" w:eastAsia="宋体" w:cs="Arial"/>
          <w:color w:val="auto"/>
          <w:highlight w:val="none"/>
        </w:rPr>
        <w:t>0L/人·d计，劳动定员</w:t>
      </w:r>
      <w:r>
        <w:rPr>
          <w:rFonts w:hint="default" w:ascii="Arial" w:hAnsi="Arial" w:eastAsia="宋体" w:cs="Arial"/>
          <w:color w:val="auto"/>
          <w:highlight w:val="none"/>
          <w:lang w:val="en-US" w:eastAsia="zh-CN"/>
        </w:rPr>
        <w:t>3</w:t>
      </w:r>
      <w:r>
        <w:rPr>
          <w:rFonts w:hint="default" w:ascii="Arial" w:hAnsi="Arial" w:eastAsia="宋体" w:cs="Arial"/>
          <w:color w:val="auto"/>
          <w:highlight w:val="none"/>
        </w:rPr>
        <w:t>0人，生活用水</w:t>
      </w:r>
      <w:r>
        <w:rPr>
          <w:rFonts w:hint="default" w:ascii="Arial" w:hAnsi="Arial" w:eastAsia="宋体" w:cs="Arial"/>
          <w:color w:val="auto"/>
          <w:highlight w:val="none"/>
          <w:lang w:val="en-US" w:eastAsia="zh-CN"/>
        </w:rPr>
        <w:t>1.8</w:t>
      </w:r>
      <w:r>
        <w:rPr>
          <w:rFonts w:hint="default" w:ascii="Arial" w:hAnsi="Arial" w:eastAsia="宋体" w:cs="Arial"/>
          <w:color w:val="auto"/>
          <w:highlight w:val="none"/>
        </w:rPr>
        <w:t>m</w:t>
      </w:r>
      <w:r>
        <w:rPr>
          <w:rFonts w:hint="default" w:ascii="Arial" w:hAnsi="Arial" w:eastAsia="宋体" w:cs="Arial"/>
          <w:color w:val="auto"/>
          <w:highlight w:val="none"/>
          <w:vertAlign w:val="superscript"/>
        </w:rPr>
        <w:t>3</w:t>
      </w:r>
      <w:r>
        <w:rPr>
          <w:rFonts w:hint="default" w:ascii="Arial" w:hAnsi="Arial" w:eastAsia="宋体" w:cs="Arial"/>
          <w:color w:val="auto"/>
          <w:highlight w:val="none"/>
        </w:rPr>
        <w:t>/d（</w:t>
      </w:r>
      <w:r>
        <w:rPr>
          <w:rFonts w:hint="default" w:ascii="Arial" w:hAnsi="Arial" w:eastAsia="宋体" w:cs="Arial"/>
          <w:color w:val="auto"/>
          <w:highlight w:val="none"/>
          <w:lang w:val="en-US" w:eastAsia="zh-CN"/>
        </w:rPr>
        <w:t>657</w:t>
      </w:r>
      <w:r>
        <w:rPr>
          <w:rFonts w:hint="default" w:ascii="Arial" w:hAnsi="Arial" w:eastAsia="宋体" w:cs="Arial"/>
          <w:color w:val="auto"/>
          <w:highlight w:val="none"/>
        </w:rPr>
        <w:t>m</w:t>
      </w:r>
      <w:r>
        <w:rPr>
          <w:rFonts w:hint="default" w:ascii="Arial" w:hAnsi="Arial" w:eastAsia="宋体" w:cs="Arial"/>
          <w:color w:val="auto"/>
          <w:highlight w:val="none"/>
          <w:vertAlign w:val="superscript"/>
        </w:rPr>
        <w:t>3</w:t>
      </w:r>
      <w:r>
        <w:rPr>
          <w:rFonts w:hint="default" w:ascii="Arial" w:hAnsi="Arial" w:eastAsia="宋体" w:cs="Arial"/>
          <w:color w:val="auto"/>
          <w:highlight w:val="none"/>
        </w:rPr>
        <w:t>/a）</w:t>
      </w:r>
      <w:r>
        <w:rPr>
          <w:rFonts w:hint="default" w:ascii="Arial" w:hAnsi="Arial" w:eastAsia="宋体" w:cs="Arial"/>
          <w:color w:val="auto"/>
          <w:highlight w:val="none"/>
          <w:lang w:eastAsia="zh-CN"/>
        </w:rPr>
        <w:t>。</w:t>
      </w:r>
    </w:p>
    <w:p>
      <w:pPr>
        <w:ind w:firstLine="480"/>
        <w:rPr>
          <w:rFonts w:hint="default" w:ascii="Arial" w:hAnsi="Arial" w:eastAsia="宋体" w:cs="Arial"/>
          <w:color w:val="auto"/>
          <w:highlight w:val="none"/>
          <w:lang w:eastAsia="zh-CN"/>
        </w:rPr>
      </w:pPr>
      <w:r>
        <w:rPr>
          <w:rFonts w:hint="default" w:ascii="Arial" w:hAnsi="Arial" w:eastAsia="宋体" w:cs="Arial"/>
          <w:color w:val="auto"/>
          <w:highlight w:val="none"/>
        </w:rPr>
        <w:t>（</w:t>
      </w:r>
      <w:r>
        <w:rPr>
          <w:rFonts w:hint="default" w:ascii="Arial" w:hAnsi="Arial" w:eastAsia="宋体" w:cs="Arial"/>
          <w:color w:val="auto"/>
          <w:highlight w:val="none"/>
          <w:lang w:val="en-US" w:eastAsia="zh-CN"/>
        </w:rPr>
        <w:t>4</w:t>
      </w:r>
      <w:r>
        <w:rPr>
          <w:rFonts w:hint="default" w:ascii="Arial" w:hAnsi="Arial" w:eastAsia="宋体" w:cs="Arial"/>
          <w:color w:val="auto"/>
          <w:highlight w:val="none"/>
        </w:rPr>
        <w:t>）</w:t>
      </w:r>
      <w:r>
        <w:rPr>
          <w:rFonts w:hint="default" w:ascii="Arial" w:hAnsi="Arial" w:eastAsia="宋体" w:cs="Arial"/>
          <w:color w:val="auto"/>
          <w:highlight w:val="none"/>
          <w:lang w:eastAsia="zh-CN"/>
        </w:rPr>
        <w:t>绿化用水</w:t>
      </w:r>
    </w:p>
    <w:p>
      <w:pPr>
        <w:ind w:firstLine="480"/>
        <w:rPr>
          <w:rFonts w:hint="default" w:ascii="Arial" w:hAnsi="Arial" w:eastAsia="宋体" w:cs="Arial"/>
          <w:color w:val="auto"/>
          <w:highlight w:val="none"/>
        </w:rPr>
      </w:pPr>
      <w:r>
        <w:rPr>
          <w:rFonts w:hint="default" w:ascii="Arial" w:hAnsi="Arial" w:eastAsia="宋体" w:cs="Arial"/>
          <w:color w:val="auto"/>
          <w:sz w:val="24"/>
          <w:szCs w:val="24"/>
          <w:highlight w:val="none"/>
        </w:rPr>
        <w:t>本项目建筑物周边绿化面积为</w:t>
      </w:r>
      <w:r>
        <w:rPr>
          <w:rFonts w:hint="default" w:ascii="Arial" w:hAnsi="Arial" w:eastAsia="宋体" w:cs="Arial"/>
          <w:color w:val="auto"/>
          <w:sz w:val="24"/>
          <w:szCs w:val="24"/>
          <w:highlight w:val="none"/>
          <w:lang w:val="en-US" w:eastAsia="zh-CN"/>
        </w:rPr>
        <w:t>10000</w:t>
      </w:r>
      <w:r>
        <w:rPr>
          <w:rFonts w:hint="default" w:ascii="Arial" w:hAnsi="Arial" w:eastAsia="宋体" w:cs="Arial"/>
          <w:color w:val="auto"/>
          <w:sz w:val="24"/>
          <w:szCs w:val="24"/>
          <w:highlight w:val="none"/>
        </w:rPr>
        <w:t>m</w:t>
      </w:r>
      <w:r>
        <w:rPr>
          <w:rFonts w:hint="default" w:ascii="Arial" w:hAnsi="Arial" w:eastAsia="宋体" w:cs="Arial"/>
          <w:color w:val="auto"/>
          <w:sz w:val="24"/>
          <w:szCs w:val="24"/>
          <w:highlight w:val="none"/>
          <w:vertAlign w:val="superscript"/>
        </w:rPr>
        <w:t>2</w:t>
      </w:r>
      <w:r>
        <w:rPr>
          <w:rFonts w:hint="default" w:ascii="Arial" w:hAnsi="Arial" w:eastAsia="宋体" w:cs="Arial"/>
          <w:color w:val="auto"/>
          <w:sz w:val="24"/>
          <w:szCs w:val="24"/>
          <w:highlight w:val="none"/>
        </w:rPr>
        <w:t>，</w:t>
      </w:r>
      <w:r>
        <w:rPr>
          <w:rFonts w:hint="default" w:ascii="Arial" w:hAnsi="Arial" w:eastAsia="宋体" w:cs="Arial"/>
          <w:color w:val="auto"/>
          <w:sz w:val="24"/>
          <w:szCs w:val="24"/>
        </w:rPr>
        <w:t>根据</w:t>
      </w:r>
      <w:r>
        <w:rPr>
          <w:rFonts w:hint="default" w:ascii="Arial" w:hAnsi="Arial" w:eastAsia="宋体" w:cs="Arial"/>
          <w:color w:val="auto"/>
          <w:highlight w:val="none"/>
        </w:rPr>
        <w:t>《内蒙古自治区</w:t>
      </w:r>
      <w:r>
        <w:rPr>
          <w:rFonts w:hint="default" w:ascii="Arial" w:hAnsi="Arial" w:eastAsia="宋体" w:cs="Arial"/>
          <w:color w:val="auto"/>
          <w:highlight w:val="none"/>
          <w:lang w:eastAsia="zh-CN"/>
        </w:rPr>
        <w:t>行业用水定额（2020版）</w:t>
      </w:r>
      <w:r>
        <w:rPr>
          <w:rFonts w:hint="default" w:ascii="Arial" w:hAnsi="Arial" w:eastAsia="宋体" w:cs="Arial"/>
          <w:color w:val="auto"/>
          <w:highlight w:val="none"/>
        </w:rPr>
        <w:t>》（</w:t>
      </w:r>
      <w:r>
        <w:rPr>
          <w:rFonts w:hint="default" w:ascii="Arial" w:hAnsi="Arial" w:eastAsia="宋体" w:cs="Arial"/>
          <w:color w:val="auto"/>
          <w:highlight w:val="none"/>
          <w:lang w:eastAsia="zh-CN"/>
        </w:rPr>
        <w:t>DB15/T 385-2020</w:t>
      </w:r>
      <w:r>
        <w:rPr>
          <w:rFonts w:hint="default" w:ascii="Arial" w:hAnsi="Arial" w:eastAsia="宋体" w:cs="Arial"/>
          <w:color w:val="auto"/>
          <w:highlight w:val="none"/>
        </w:rPr>
        <w:t>）</w:t>
      </w:r>
      <w:r>
        <w:rPr>
          <w:rFonts w:hint="default" w:ascii="Arial" w:hAnsi="Arial" w:eastAsia="宋体" w:cs="Arial"/>
          <w:color w:val="auto"/>
          <w:sz w:val="24"/>
          <w:szCs w:val="24"/>
        </w:rPr>
        <w:t>，绿化用水</w:t>
      </w:r>
      <w:r>
        <w:rPr>
          <w:rFonts w:hint="default" w:ascii="Arial" w:hAnsi="Arial" w:eastAsia="宋体" w:cs="Arial"/>
          <w:color w:val="auto"/>
          <w:kern w:val="0"/>
          <w:sz w:val="24"/>
          <w:szCs w:val="24"/>
        </w:rPr>
        <w:t>量按</w:t>
      </w:r>
      <w:r>
        <w:rPr>
          <w:rFonts w:hint="default" w:ascii="Arial" w:hAnsi="Arial" w:eastAsia="宋体" w:cs="Arial"/>
          <w:color w:val="auto"/>
          <w:sz w:val="24"/>
          <w:szCs w:val="24"/>
          <w:lang w:val="en-US" w:eastAsia="zh-CN"/>
        </w:rPr>
        <w:t>2.3</w:t>
      </w:r>
      <w:r>
        <w:rPr>
          <w:rFonts w:hint="default" w:ascii="Arial" w:hAnsi="Arial" w:eastAsia="宋体" w:cs="Arial"/>
          <w:color w:val="auto"/>
          <w:sz w:val="24"/>
          <w:szCs w:val="24"/>
        </w:rPr>
        <w:t>L/</w:t>
      </w:r>
      <w:r>
        <w:rPr>
          <w:rFonts w:hint="default" w:ascii="Arial" w:hAnsi="Arial" w:eastAsia="宋体" w:cs="Arial"/>
          <w:color w:val="auto"/>
          <w:sz w:val="24"/>
          <w:szCs w:val="24"/>
          <w:lang w:val="en-US" w:eastAsia="zh-CN"/>
        </w:rPr>
        <w:t>（</w:t>
      </w:r>
      <w:r>
        <w:rPr>
          <w:rFonts w:hint="default" w:ascii="Arial" w:hAnsi="Arial" w:eastAsia="宋体" w:cs="Arial"/>
          <w:color w:val="auto"/>
          <w:sz w:val="24"/>
          <w:szCs w:val="24"/>
        </w:rPr>
        <w:t>m</w:t>
      </w:r>
      <w:r>
        <w:rPr>
          <w:rFonts w:hint="default" w:ascii="Arial" w:hAnsi="Arial" w:eastAsia="宋体" w:cs="Arial"/>
          <w:color w:val="auto"/>
          <w:sz w:val="24"/>
          <w:szCs w:val="24"/>
          <w:vertAlign w:val="superscript"/>
        </w:rPr>
        <w:t>2</w:t>
      </w:r>
      <w:r>
        <w:rPr>
          <w:rFonts w:hint="default" w:ascii="Arial" w:hAnsi="Arial" w:eastAsia="宋体" w:cs="Arial"/>
          <w:color w:val="auto"/>
          <w:sz w:val="24"/>
          <w:szCs w:val="24"/>
        </w:rPr>
        <w:t>·</w:t>
      </w:r>
      <w:r>
        <w:rPr>
          <w:rFonts w:hint="default" w:ascii="Arial" w:hAnsi="Arial" w:eastAsia="宋体" w:cs="Arial"/>
          <w:color w:val="auto"/>
          <w:sz w:val="24"/>
          <w:szCs w:val="24"/>
          <w:lang w:val="en-US" w:eastAsia="zh-CN"/>
        </w:rPr>
        <w:t>d）</w:t>
      </w:r>
      <w:r>
        <w:rPr>
          <w:rFonts w:hint="default" w:ascii="Arial" w:hAnsi="Arial" w:eastAsia="宋体" w:cs="Arial"/>
          <w:color w:val="auto"/>
          <w:kern w:val="0"/>
          <w:sz w:val="24"/>
          <w:szCs w:val="24"/>
        </w:rPr>
        <w:t>计</w:t>
      </w:r>
      <w:r>
        <w:rPr>
          <w:rFonts w:hint="default" w:ascii="Arial" w:hAnsi="Arial" w:eastAsia="宋体" w:cs="Arial"/>
          <w:color w:val="auto"/>
          <w:sz w:val="24"/>
          <w:szCs w:val="24"/>
          <w:highlight w:val="none"/>
        </w:rPr>
        <w:t>，绿化期按180天计</w:t>
      </w:r>
      <w:r>
        <w:rPr>
          <w:rFonts w:hint="default" w:ascii="Arial" w:hAnsi="Arial" w:eastAsia="宋体" w:cs="Arial"/>
          <w:color w:val="auto"/>
          <w:sz w:val="24"/>
          <w:szCs w:val="24"/>
          <w:highlight w:val="none"/>
          <w:lang w:eastAsia="zh-CN"/>
        </w:rPr>
        <w:t>，</w:t>
      </w:r>
      <w:r>
        <w:rPr>
          <w:rFonts w:hint="default" w:ascii="Arial" w:hAnsi="Arial" w:eastAsia="宋体" w:cs="Arial"/>
          <w:color w:val="auto"/>
          <w:sz w:val="24"/>
          <w:szCs w:val="24"/>
          <w:highlight w:val="none"/>
        </w:rPr>
        <w:t>则本项目绿化用水量为</w:t>
      </w:r>
      <w:r>
        <w:rPr>
          <w:rFonts w:hint="default" w:ascii="Arial" w:hAnsi="Arial" w:eastAsia="宋体" w:cs="Arial"/>
          <w:color w:val="auto"/>
          <w:sz w:val="24"/>
          <w:szCs w:val="24"/>
          <w:highlight w:val="none"/>
          <w:lang w:val="en-US" w:eastAsia="zh-CN"/>
        </w:rPr>
        <w:t>23</w:t>
      </w:r>
      <w:r>
        <w:rPr>
          <w:rFonts w:hint="default" w:ascii="Arial" w:hAnsi="Arial" w:eastAsia="宋体" w:cs="Arial"/>
          <w:color w:val="auto"/>
          <w:sz w:val="24"/>
          <w:szCs w:val="24"/>
          <w:highlight w:val="none"/>
        </w:rPr>
        <w:t>m</w:t>
      </w:r>
      <w:r>
        <w:rPr>
          <w:rFonts w:hint="default" w:ascii="Arial" w:hAnsi="Arial" w:eastAsia="宋体" w:cs="Arial"/>
          <w:color w:val="auto"/>
          <w:sz w:val="24"/>
          <w:szCs w:val="24"/>
          <w:highlight w:val="none"/>
          <w:vertAlign w:val="superscript"/>
        </w:rPr>
        <w:t>3</w:t>
      </w:r>
      <w:r>
        <w:rPr>
          <w:rFonts w:hint="default" w:ascii="Arial" w:hAnsi="Arial" w:eastAsia="宋体" w:cs="Arial"/>
          <w:color w:val="auto"/>
          <w:sz w:val="24"/>
          <w:szCs w:val="24"/>
          <w:highlight w:val="none"/>
        </w:rPr>
        <w:t>/</w:t>
      </w:r>
      <w:r>
        <w:rPr>
          <w:rFonts w:hint="default" w:ascii="Arial" w:hAnsi="Arial" w:eastAsia="宋体" w:cs="Arial"/>
          <w:color w:val="auto"/>
          <w:sz w:val="24"/>
          <w:szCs w:val="24"/>
          <w:highlight w:val="none"/>
          <w:lang w:val="en-US" w:eastAsia="zh-CN"/>
        </w:rPr>
        <w:t>d</w:t>
      </w:r>
      <w:r>
        <w:rPr>
          <w:rFonts w:hint="default" w:ascii="Arial" w:hAnsi="Arial" w:eastAsia="宋体" w:cs="Arial"/>
          <w:color w:val="auto"/>
          <w:sz w:val="24"/>
          <w:szCs w:val="24"/>
          <w:highlight w:val="none"/>
        </w:rPr>
        <w:t>（</w:t>
      </w:r>
      <w:r>
        <w:rPr>
          <w:rFonts w:hint="default" w:ascii="Arial" w:hAnsi="Arial" w:eastAsia="宋体" w:cs="Arial"/>
          <w:color w:val="auto"/>
          <w:sz w:val="24"/>
          <w:szCs w:val="24"/>
          <w:lang w:val="en-US" w:eastAsia="zh-CN"/>
        </w:rPr>
        <w:t>4140</w:t>
      </w:r>
      <w:r>
        <w:rPr>
          <w:rFonts w:hint="default" w:ascii="Arial" w:hAnsi="Arial" w:eastAsia="宋体" w:cs="Arial"/>
          <w:color w:val="auto"/>
          <w:sz w:val="24"/>
          <w:szCs w:val="24"/>
        </w:rPr>
        <w:t>m</w:t>
      </w:r>
      <w:r>
        <w:rPr>
          <w:rFonts w:hint="default" w:ascii="Arial" w:hAnsi="Arial" w:eastAsia="宋体" w:cs="Arial"/>
          <w:color w:val="auto"/>
          <w:sz w:val="24"/>
          <w:szCs w:val="24"/>
          <w:vertAlign w:val="superscript"/>
        </w:rPr>
        <w:t>3</w:t>
      </w:r>
      <w:r>
        <w:rPr>
          <w:rFonts w:hint="default" w:ascii="Arial" w:hAnsi="Arial" w:eastAsia="宋体" w:cs="Arial"/>
          <w:color w:val="auto"/>
          <w:sz w:val="24"/>
          <w:szCs w:val="24"/>
        </w:rPr>
        <w:t>/a</w:t>
      </w:r>
      <w:r>
        <w:rPr>
          <w:rFonts w:hint="default" w:ascii="Arial" w:hAnsi="Arial" w:eastAsia="宋体" w:cs="Arial"/>
          <w:color w:val="auto"/>
          <w:sz w:val="24"/>
          <w:szCs w:val="24"/>
          <w:highlight w:val="none"/>
        </w:rPr>
        <w:t>）</w:t>
      </w:r>
      <w:r>
        <w:rPr>
          <w:rFonts w:hint="default" w:ascii="Arial" w:hAnsi="Arial" w:eastAsia="宋体" w:cs="Arial"/>
          <w:color w:val="auto"/>
          <w:highlight w:val="none"/>
        </w:rPr>
        <w:t>。</w:t>
      </w:r>
    </w:p>
    <w:p>
      <w:pPr>
        <w:pStyle w:val="7"/>
        <w:rPr>
          <w:rFonts w:hint="default" w:ascii="Arial" w:hAnsi="Arial" w:eastAsia="宋体" w:cs="Arial"/>
          <w:color w:val="auto"/>
          <w:highlight w:val="none"/>
        </w:rPr>
      </w:pPr>
      <w:r>
        <w:rPr>
          <w:rFonts w:hint="default" w:ascii="Arial" w:hAnsi="Arial" w:eastAsia="宋体" w:cs="Arial"/>
          <w:color w:val="auto"/>
          <w:highlight w:val="none"/>
        </w:rPr>
        <w:t>3.1.6.2排水</w:t>
      </w:r>
    </w:p>
    <w:p>
      <w:pPr>
        <w:ind w:firstLine="480"/>
        <w:rPr>
          <w:rFonts w:hint="default" w:ascii="Arial" w:hAnsi="Arial" w:eastAsia="宋体" w:cs="Arial"/>
          <w:color w:val="auto"/>
          <w:highlight w:val="none"/>
          <w:lang w:eastAsia="zh-CN"/>
        </w:rPr>
      </w:pPr>
      <w:r>
        <w:rPr>
          <w:rFonts w:hint="default" w:ascii="Arial" w:hAnsi="Arial" w:eastAsia="宋体" w:cs="Arial"/>
          <w:color w:val="auto"/>
          <w:highlight w:val="none"/>
        </w:rPr>
        <w:t>（1）</w:t>
      </w:r>
      <w:r>
        <w:rPr>
          <w:rFonts w:hint="default" w:ascii="Arial" w:hAnsi="Arial" w:eastAsia="宋体" w:cs="Arial"/>
          <w:color w:val="auto"/>
          <w:highlight w:val="none"/>
          <w:lang w:eastAsia="zh-CN"/>
        </w:rPr>
        <w:t>牛群尿液</w:t>
      </w:r>
    </w:p>
    <w:p>
      <w:pPr>
        <w:ind w:firstLine="480"/>
        <w:rPr>
          <w:rFonts w:hint="default" w:ascii="Arial" w:hAnsi="Arial" w:eastAsia="宋体" w:cs="Arial"/>
          <w:color w:val="auto"/>
          <w:highlight w:val="none"/>
        </w:rPr>
      </w:pPr>
      <w:r>
        <w:rPr>
          <w:rFonts w:hint="default" w:ascii="Arial" w:hAnsi="Arial" w:eastAsia="宋体" w:cs="Arial"/>
          <w:color w:val="auto"/>
          <w:highlight w:val="none"/>
        </w:rPr>
        <w:t>牛群饮用水部分用于自身生长及运动消耗，其余部分以尿液的形式排出。根据《畜禽养殖业污染治理工程技术规范》（HJ 497－2009）附录A</w:t>
      </w:r>
      <w:r>
        <w:rPr>
          <w:rFonts w:hint="default" w:ascii="Arial" w:hAnsi="Arial" w:eastAsia="宋体" w:cs="Arial"/>
          <w:color w:val="auto"/>
          <w:highlight w:val="none"/>
          <w:lang w:eastAsia="zh-CN"/>
        </w:rPr>
        <w:t>牛群尿液</w:t>
      </w:r>
      <w:r>
        <w:rPr>
          <w:rFonts w:hint="default" w:ascii="Arial" w:hAnsi="Arial" w:eastAsia="宋体" w:cs="Arial"/>
          <w:color w:val="auto"/>
          <w:highlight w:val="none"/>
        </w:rPr>
        <w:t>产生量以</w:t>
      </w:r>
      <w:r>
        <w:rPr>
          <w:rFonts w:hint="default" w:ascii="Arial" w:hAnsi="Arial" w:eastAsia="宋体" w:cs="Arial"/>
          <w:color w:val="auto"/>
          <w:highlight w:val="none"/>
          <w:lang w:val="en-US" w:eastAsia="zh-CN"/>
        </w:rPr>
        <w:t>1</w:t>
      </w:r>
      <w:r>
        <w:rPr>
          <w:rFonts w:hint="default" w:ascii="Arial" w:hAnsi="Arial" w:eastAsia="宋体" w:cs="Arial"/>
          <w:color w:val="auto"/>
          <w:highlight w:val="none"/>
        </w:rPr>
        <w:t>0kg/头•d计，详见表3.1-</w:t>
      </w:r>
      <w:r>
        <w:rPr>
          <w:rFonts w:hint="default" w:ascii="Arial" w:hAnsi="Arial" w:eastAsia="宋体" w:cs="Arial"/>
          <w:color w:val="auto"/>
          <w:highlight w:val="none"/>
          <w:lang w:val="en-US" w:eastAsia="zh-CN"/>
        </w:rPr>
        <w:t>9</w:t>
      </w:r>
      <w:r>
        <w:rPr>
          <w:rFonts w:hint="default" w:ascii="Arial" w:hAnsi="Arial" w:eastAsia="宋体" w:cs="Arial"/>
          <w:color w:val="auto"/>
          <w:highlight w:val="none"/>
        </w:rPr>
        <w:t>。</w:t>
      </w:r>
    </w:p>
    <w:p>
      <w:pPr>
        <w:pStyle w:val="8"/>
        <w:rPr>
          <w:rFonts w:hint="default" w:ascii="Arial" w:hAnsi="Arial" w:eastAsia="宋体" w:cs="Arial"/>
          <w:color w:val="auto"/>
          <w:highlight w:val="none"/>
        </w:rPr>
      </w:pPr>
      <w:r>
        <w:rPr>
          <w:rFonts w:hint="default" w:ascii="Arial" w:hAnsi="Arial" w:eastAsia="宋体" w:cs="Arial"/>
          <w:color w:val="auto"/>
          <w:highlight w:val="none"/>
        </w:rPr>
        <w:t>表3.1-</w:t>
      </w:r>
      <w:r>
        <w:rPr>
          <w:rFonts w:hint="default" w:ascii="Arial" w:hAnsi="Arial" w:eastAsia="宋体" w:cs="Arial"/>
          <w:color w:val="auto"/>
          <w:highlight w:val="none"/>
          <w:lang w:val="en-US" w:eastAsia="zh-CN"/>
        </w:rPr>
        <w:t>9</w:t>
      </w:r>
      <w:r>
        <w:rPr>
          <w:rFonts w:hint="default" w:ascii="Arial" w:hAnsi="Arial" w:eastAsia="宋体" w:cs="Arial"/>
          <w:color w:val="auto"/>
          <w:highlight w:val="none"/>
        </w:rPr>
        <w:t xml:space="preserve">    牛群尿液产污量明细</w:t>
      </w:r>
    </w:p>
    <w:tbl>
      <w:tblPr>
        <w:tblStyle w:val="39"/>
        <w:tblW w:w="9003" w:type="dxa"/>
        <w:tblInd w:w="0" w:type="dxa"/>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Layout w:type="fixed"/>
        <w:tblCellMar>
          <w:top w:w="0" w:type="dxa"/>
          <w:left w:w="108" w:type="dxa"/>
          <w:bottom w:w="0" w:type="dxa"/>
          <w:right w:w="108" w:type="dxa"/>
        </w:tblCellMar>
      </w:tblPr>
      <w:tblGrid>
        <w:gridCol w:w="1800"/>
        <w:gridCol w:w="1800"/>
        <w:gridCol w:w="1801"/>
        <w:gridCol w:w="1801"/>
        <w:gridCol w:w="1801"/>
      </w:tblGrid>
      <w:tr>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1800" w:type="dxa"/>
            <w:vMerge w:val="restart"/>
            <w:shd w:val="clear" w:color="auto" w:fill="auto"/>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牛群种类</w:t>
            </w:r>
          </w:p>
        </w:tc>
        <w:tc>
          <w:tcPr>
            <w:tcW w:w="1800" w:type="dxa"/>
            <w:vMerge w:val="restart"/>
            <w:shd w:val="clear" w:color="auto" w:fill="auto"/>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数目</w:t>
            </w:r>
          </w:p>
        </w:tc>
        <w:tc>
          <w:tcPr>
            <w:tcW w:w="1801" w:type="dxa"/>
            <w:vMerge w:val="restart"/>
          </w:tcPr>
          <w:p>
            <w:pPr>
              <w:pStyle w:val="63"/>
              <w:rPr>
                <w:rFonts w:hint="default" w:ascii="Arial" w:hAnsi="Arial" w:eastAsia="宋体" w:cs="Arial"/>
                <w:color w:val="auto"/>
                <w:highlight w:val="none"/>
              </w:rPr>
            </w:pPr>
            <w:r>
              <w:rPr>
                <w:rFonts w:hint="default" w:ascii="Arial" w:hAnsi="Arial" w:eastAsia="宋体" w:cs="Arial"/>
                <w:color w:val="auto"/>
                <w:highlight w:val="none"/>
              </w:rPr>
              <w:t>产污系数</w:t>
            </w:r>
          </w:p>
          <w:p>
            <w:pPr>
              <w:pStyle w:val="63"/>
              <w:rPr>
                <w:rFonts w:hint="default" w:ascii="Arial" w:hAnsi="Arial" w:eastAsia="宋体" w:cs="Arial"/>
                <w:color w:val="auto"/>
                <w:highlight w:val="none"/>
              </w:rPr>
            </w:pPr>
            <w:r>
              <w:rPr>
                <w:rFonts w:hint="default" w:ascii="Arial" w:hAnsi="Arial" w:eastAsia="宋体" w:cs="Arial"/>
                <w:color w:val="auto"/>
                <w:highlight w:val="none"/>
              </w:rPr>
              <w:t>（kg/头·d）</w:t>
            </w:r>
          </w:p>
        </w:tc>
        <w:tc>
          <w:tcPr>
            <w:tcW w:w="3602" w:type="dxa"/>
            <w:gridSpan w:val="2"/>
            <w:shd w:val="clear" w:color="auto" w:fill="auto"/>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产生量</w:t>
            </w:r>
          </w:p>
        </w:tc>
      </w:tr>
      <w:tr>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1800" w:type="dxa"/>
            <w:vMerge w:val="continue"/>
            <w:vAlign w:val="center"/>
          </w:tcPr>
          <w:p>
            <w:pPr>
              <w:pStyle w:val="63"/>
              <w:rPr>
                <w:rFonts w:hint="default" w:ascii="Arial" w:hAnsi="Arial" w:eastAsia="宋体" w:cs="Arial"/>
                <w:color w:val="auto"/>
                <w:highlight w:val="none"/>
              </w:rPr>
            </w:pPr>
          </w:p>
        </w:tc>
        <w:tc>
          <w:tcPr>
            <w:tcW w:w="1800" w:type="dxa"/>
            <w:vMerge w:val="continue"/>
            <w:vAlign w:val="center"/>
          </w:tcPr>
          <w:p>
            <w:pPr>
              <w:pStyle w:val="63"/>
              <w:rPr>
                <w:rFonts w:hint="default" w:ascii="Arial" w:hAnsi="Arial" w:eastAsia="宋体" w:cs="Arial"/>
                <w:color w:val="auto"/>
                <w:highlight w:val="none"/>
              </w:rPr>
            </w:pPr>
          </w:p>
        </w:tc>
        <w:tc>
          <w:tcPr>
            <w:tcW w:w="1801" w:type="dxa"/>
            <w:vMerge w:val="continue"/>
          </w:tcPr>
          <w:p>
            <w:pPr>
              <w:pStyle w:val="63"/>
              <w:rPr>
                <w:rFonts w:hint="default" w:ascii="Arial" w:hAnsi="Arial" w:eastAsia="宋体" w:cs="Arial"/>
                <w:color w:val="auto"/>
                <w:highlight w:val="none"/>
              </w:rPr>
            </w:pPr>
          </w:p>
        </w:tc>
        <w:tc>
          <w:tcPr>
            <w:tcW w:w="1801" w:type="dxa"/>
            <w:shd w:val="clear" w:color="auto" w:fill="auto"/>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t/d</w:t>
            </w:r>
          </w:p>
        </w:tc>
        <w:tc>
          <w:tcPr>
            <w:tcW w:w="1801" w:type="dxa"/>
            <w:shd w:val="clear" w:color="auto" w:fill="auto"/>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t/a</w:t>
            </w:r>
          </w:p>
        </w:tc>
      </w:tr>
      <w:tr>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trPr>
        <w:tc>
          <w:tcPr>
            <w:tcW w:w="1800" w:type="dxa"/>
            <w:shd w:val="clear" w:color="auto" w:fill="auto"/>
            <w:vAlign w:val="center"/>
          </w:tcPr>
          <w:p>
            <w:pPr>
              <w:pStyle w:val="63"/>
              <w:ind w:firstLine="0" w:firstLineChars="0"/>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highlight w:val="none"/>
                <w:lang w:val="en-US" w:eastAsia="zh-CN"/>
              </w:rPr>
              <w:t>肉牛</w:t>
            </w:r>
          </w:p>
        </w:tc>
        <w:tc>
          <w:tcPr>
            <w:tcW w:w="1800" w:type="dxa"/>
            <w:shd w:val="clear" w:color="auto" w:fill="auto"/>
            <w:vAlign w:val="center"/>
          </w:tcPr>
          <w:p>
            <w:pPr>
              <w:pStyle w:val="63"/>
              <w:ind w:firstLine="0" w:firstLineChars="0"/>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highlight w:val="none"/>
                <w:lang w:val="en-US" w:eastAsia="zh-CN"/>
              </w:rPr>
              <w:t>10000</w:t>
            </w:r>
          </w:p>
        </w:tc>
        <w:tc>
          <w:tcPr>
            <w:tcW w:w="1801" w:type="dxa"/>
            <w:vAlign w:val="center"/>
          </w:tcPr>
          <w:p>
            <w:pPr>
              <w:pStyle w:val="63"/>
              <w:ind w:firstLine="0" w:firstLineChars="0"/>
              <w:rPr>
                <w:rFonts w:hint="default" w:ascii="Arial" w:hAnsi="Arial" w:eastAsia="宋体" w:cs="Arial"/>
                <w:color w:val="auto"/>
                <w:highlight w:val="none"/>
                <w:lang w:val="en-US" w:eastAsia="zh-CN"/>
              </w:rPr>
            </w:pPr>
            <w:r>
              <w:rPr>
                <w:rFonts w:hint="default" w:ascii="Arial" w:hAnsi="Arial" w:eastAsia="宋体" w:cs="Arial"/>
                <w:color w:val="auto"/>
                <w:highlight w:val="none"/>
                <w:lang w:val="en-US" w:eastAsia="zh-CN"/>
              </w:rPr>
              <w:t>10</w:t>
            </w:r>
          </w:p>
        </w:tc>
        <w:tc>
          <w:tcPr>
            <w:tcW w:w="1801" w:type="dxa"/>
            <w:shd w:val="clear" w:color="auto" w:fill="auto"/>
            <w:vAlign w:val="center"/>
          </w:tcPr>
          <w:p>
            <w:pPr>
              <w:pStyle w:val="63"/>
              <w:ind w:firstLine="0" w:firstLineChars="0"/>
              <w:rPr>
                <w:rFonts w:hint="default" w:ascii="Arial" w:hAnsi="Arial" w:eastAsia="宋体" w:cs="Arial"/>
                <w:color w:val="auto"/>
                <w:highlight w:val="none"/>
                <w:lang w:val="en-US" w:eastAsia="zh-CN"/>
              </w:rPr>
            </w:pPr>
            <w:r>
              <w:rPr>
                <w:rFonts w:hint="default" w:ascii="Arial" w:hAnsi="Arial" w:eastAsia="宋体" w:cs="Arial"/>
                <w:color w:val="auto"/>
                <w:highlight w:val="none"/>
                <w:lang w:val="en-US" w:eastAsia="zh-CN"/>
              </w:rPr>
              <w:t>100</w:t>
            </w:r>
          </w:p>
        </w:tc>
        <w:tc>
          <w:tcPr>
            <w:tcW w:w="1801" w:type="dxa"/>
            <w:shd w:val="clear" w:color="auto" w:fill="auto"/>
            <w:vAlign w:val="center"/>
          </w:tcPr>
          <w:p>
            <w:pPr>
              <w:pStyle w:val="63"/>
              <w:ind w:firstLine="0" w:firstLineChars="0"/>
              <w:rPr>
                <w:rFonts w:hint="default" w:ascii="Arial" w:hAnsi="Arial" w:eastAsia="宋体" w:cs="Arial"/>
                <w:color w:val="auto"/>
                <w:highlight w:val="none"/>
                <w:lang w:val="en-US" w:eastAsia="zh-CN"/>
              </w:rPr>
            </w:pPr>
            <w:r>
              <w:rPr>
                <w:rFonts w:hint="default" w:ascii="Arial" w:hAnsi="Arial" w:eastAsia="宋体" w:cs="Arial"/>
                <w:color w:val="auto"/>
                <w:highlight w:val="none"/>
                <w:lang w:val="en-US" w:eastAsia="zh-CN"/>
              </w:rPr>
              <w:t>36500</w:t>
            </w:r>
          </w:p>
        </w:tc>
      </w:tr>
    </w:tbl>
    <w:p>
      <w:pPr>
        <w:ind w:firstLine="480"/>
        <w:rPr>
          <w:rFonts w:hint="default" w:ascii="Arial" w:hAnsi="Arial" w:eastAsia="宋体" w:cs="Arial"/>
          <w:color w:val="auto"/>
          <w:sz w:val="24"/>
          <w:szCs w:val="24"/>
          <w:highlight w:val="none"/>
        </w:rPr>
      </w:pPr>
      <w:r>
        <w:rPr>
          <w:rFonts w:hint="default" w:ascii="Arial" w:hAnsi="Arial" w:eastAsia="宋体" w:cs="Arial"/>
          <w:color w:val="auto"/>
          <w:sz w:val="24"/>
          <w:szCs w:val="28"/>
        </w:rPr>
        <w:t>本项目</w:t>
      </w:r>
      <w:r>
        <w:rPr>
          <w:rFonts w:hint="default" w:ascii="Arial" w:hAnsi="Arial" w:eastAsia="宋体" w:cs="Arial"/>
          <w:color w:val="auto"/>
          <w:kern w:val="0"/>
          <w:sz w:val="24"/>
          <w:szCs w:val="24"/>
          <w:lang w:eastAsia="zh-CN"/>
        </w:rPr>
        <w:t>肉牛饲养过程中饮用水量较少，排放的尿液较少，并且牛粪较为干燥，在</w:t>
      </w:r>
      <w:r>
        <w:rPr>
          <w:rFonts w:hint="default" w:ascii="Arial" w:hAnsi="Arial" w:eastAsia="宋体" w:cs="Arial"/>
          <w:color w:val="auto"/>
          <w:kern w:val="0"/>
          <w:sz w:val="24"/>
          <w:szCs w:val="24"/>
        </w:rPr>
        <w:t>养殖区</w:t>
      </w:r>
      <w:r>
        <w:rPr>
          <w:rFonts w:hint="default" w:ascii="Arial" w:hAnsi="Arial" w:eastAsia="宋体" w:cs="Arial"/>
          <w:color w:val="auto"/>
          <w:kern w:val="0"/>
          <w:sz w:val="24"/>
          <w:szCs w:val="24"/>
          <w:lang w:eastAsia="zh-CN"/>
        </w:rPr>
        <w:t>（</w:t>
      </w:r>
      <w:r>
        <w:rPr>
          <w:rFonts w:hint="default" w:ascii="Arial" w:hAnsi="Arial" w:eastAsia="宋体" w:cs="Arial"/>
          <w:color w:val="auto"/>
          <w:kern w:val="0"/>
          <w:sz w:val="24"/>
          <w:szCs w:val="24"/>
        </w:rPr>
        <w:t>牛舍</w:t>
      </w:r>
      <w:r>
        <w:rPr>
          <w:rFonts w:hint="default" w:ascii="Arial" w:hAnsi="Arial" w:eastAsia="宋体" w:cs="Arial"/>
          <w:color w:val="auto"/>
          <w:kern w:val="0"/>
          <w:sz w:val="24"/>
          <w:szCs w:val="24"/>
          <w:lang w:eastAsia="zh-CN"/>
        </w:rPr>
        <w:t>、运动场）排放的尿液大部分由于当地气候干燥挥发，剩余尿液与粪便完全粘结混合在一起，一起运往堆粪场</w:t>
      </w:r>
      <w:r>
        <w:rPr>
          <w:rFonts w:hint="default" w:ascii="Arial" w:hAnsi="Arial" w:eastAsia="宋体" w:cs="Arial"/>
          <w:color w:val="auto"/>
          <w:kern w:val="0"/>
          <w:sz w:val="24"/>
          <w:szCs w:val="24"/>
        </w:rPr>
        <w:t>储存并堆肥</w:t>
      </w:r>
      <w:r>
        <w:rPr>
          <w:rFonts w:hint="default" w:ascii="Arial" w:hAnsi="Arial" w:eastAsia="宋体" w:cs="Arial"/>
          <w:color w:val="auto"/>
          <w:kern w:val="0"/>
          <w:sz w:val="24"/>
          <w:szCs w:val="24"/>
          <w:lang w:eastAsia="zh-CN"/>
        </w:rPr>
        <w:t>，因此，没有尿液排放；</w:t>
      </w:r>
      <w:r>
        <w:rPr>
          <w:rFonts w:hint="default" w:ascii="Arial" w:hAnsi="Arial" w:eastAsia="宋体" w:cs="Arial"/>
          <w:color w:val="auto"/>
          <w:kern w:val="0"/>
          <w:sz w:val="24"/>
          <w:szCs w:val="24"/>
        </w:rPr>
        <w:t>养殖区</w:t>
      </w:r>
      <w:r>
        <w:rPr>
          <w:rFonts w:hint="default" w:ascii="Arial" w:hAnsi="Arial" w:eastAsia="宋体" w:cs="Arial"/>
          <w:color w:val="auto"/>
          <w:kern w:val="0"/>
          <w:sz w:val="24"/>
          <w:szCs w:val="24"/>
          <w:lang w:eastAsia="zh-CN"/>
        </w:rPr>
        <w:t>（</w:t>
      </w:r>
      <w:r>
        <w:rPr>
          <w:rFonts w:hint="default" w:ascii="Arial" w:hAnsi="Arial" w:eastAsia="宋体" w:cs="Arial"/>
          <w:color w:val="auto"/>
          <w:kern w:val="0"/>
          <w:sz w:val="24"/>
          <w:szCs w:val="24"/>
        </w:rPr>
        <w:t>牛舍</w:t>
      </w:r>
      <w:r>
        <w:rPr>
          <w:rFonts w:hint="default" w:ascii="Arial" w:hAnsi="Arial" w:eastAsia="宋体" w:cs="Arial"/>
          <w:color w:val="auto"/>
          <w:kern w:val="0"/>
          <w:sz w:val="24"/>
          <w:szCs w:val="24"/>
          <w:lang w:eastAsia="zh-CN"/>
        </w:rPr>
        <w:t>、运动场）场地不采取水冲洗方式清理，采用生石灰或者消毒水每周喷洒消毒</w:t>
      </w:r>
      <w:r>
        <w:rPr>
          <w:rFonts w:hint="default" w:ascii="Arial" w:hAnsi="Arial" w:eastAsia="宋体" w:cs="Arial"/>
          <w:color w:val="auto"/>
          <w:kern w:val="0"/>
          <w:sz w:val="24"/>
          <w:szCs w:val="24"/>
          <w:lang w:val="en-US" w:eastAsia="zh-CN"/>
        </w:rPr>
        <w:t>2~3次</w:t>
      </w:r>
      <w:r>
        <w:rPr>
          <w:rFonts w:hint="default" w:ascii="Arial" w:hAnsi="Arial" w:eastAsia="宋体" w:cs="Arial"/>
          <w:color w:val="auto"/>
          <w:kern w:val="0"/>
          <w:sz w:val="24"/>
          <w:szCs w:val="24"/>
          <w:lang w:eastAsia="zh-CN"/>
        </w:rPr>
        <w:t>，因此，</w:t>
      </w:r>
      <w:r>
        <w:rPr>
          <w:rFonts w:hint="default" w:ascii="Arial" w:hAnsi="Arial" w:eastAsia="宋体" w:cs="Arial"/>
          <w:color w:val="auto"/>
          <w:kern w:val="0"/>
          <w:sz w:val="24"/>
          <w:szCs w:val="24"/>
        </w:rPr>
        <w:t>养殖区</w:t>
      </w:r>
      <w:r>
        <w:rPr>
          <w:rFonts w:hint="default" w:ascii="Arial" w:hAnsi="Arial" w:eastAsia="宋体" w:cs="Arial"/>
          <w:color w:val="auto"/>
          <w:kern w:val="0"/>
          <w:sz w:val="24"/>
          <w:szCs w:val="24"/>
          <w:lang w:eastAsia="zh-CN"/>
        </w:rPr>
        <w:t>（</w:t>
      </w:r>
      <w:r>
        <w:rPr>
          <w:rFonts w:hint="default" w:ascii="Arial" w:hAnsi="Arial" w:eastAsia="宋体" w:cs="Arial"/>
          <w:color w:val="auto"/>
          <w:kern w:val="0"/>
          <w:sz w:val="24"/>
          <w:szCs w:val="24"/>
        </w:rPr>
        <w:t>牛舍</w:t>
      </w:r>
      <w:r>
        <w:rPr>
          <w:rFonts w:hint="default" w:ascii="Arial" w:hAnsi="Arial" w:eastAsia="宋体" w:cs="Arial"/>
          <w:color w:val="auto"/>
          <w:kern w:val="0"/>
          <w:sz w:val="24"/>
          <w:szCs w:val="24"/>
          <w:lang w:eastAsia="zh-CN"/>
        </w:rPr>
        <w:t>、运动场）</w:t>
      </w:r>
      <w:r>
        <w:rPr>
          <w:rFonts w:hint="default" w:ascii="Arial" w:hAnsi="Arial" w:eastAsia="宋体" w:cs="Arial"/>
          <w:color w:val="auto"/>
          <w:kern w:val="0"/>
          <w:sz w:val="24"/>
          <w:szCs w:val="24"/>
        </w:rPr>
        <w:t>不产生冲洗废水</w:t>
      </w:r>
      <w:r>
        <w:rPr>
          <w:rFonts w:hint="default" w:ascii="Arial" w:hAnsi="Arial" w:eastAsia="宋体" w:cs="Arial"/>
          <w:color w:val="auto"/>
          <w:sz w:val="24"/>
          <w:szCs w:val="24"/>
          <w:highlight w:val="none"/>
        </w:rPr>
        <w:t>。</w:t>
      </w:r>
    </w:p>
    <w:p>
      <w:pPr>
        <w:keepNext w:val="0"/>
        <w:keepLines w:val="0"/>
        <w:pageBreakBefore w:val="0"/>
        <w:widowControl w:val="0"/>
        <w:kinsoku/>
        <w:wordWrap/>
        <w:overflowPunct/>
        <w:topLinePunct/>
        <w:autoSpaceDE w:val="0"/>
        <w:autoSpaceDN/>
        <w:bidi w:val="0"/>
        <w:adjustRightInd/>
        <w:snapToGrid/>
        <w:spacing w:line="480" w:lineRule="exact"/>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本项目产生的废水主要是员工生活污水，职工生活污水排放按用水量的80%计，排水量</w:t>
      </w:r>
      <w:r>
        <w:rPr>
          <w:rFonts w:hint="default" w:ascii="Arial" w:hAnsi="Arial" w:eastAsia="宋体" w:cs="Arial"/>
          <w:color w:val="auto"/>
          <w:highlight w:val="none"/>
          <w:lang w:val="en-US" w:eastAsia="zh-CN"/>
        </w:rPr>
        <w:t>1.44</w:t>
      </w:r>
      <w:r>
        <w:rPr>
          <w:rFonts w:hint="default" w:ascii="Arial" w:hAnsi="Arial" w:eastAsia="宋体" w:cs="Arial"/>
          <w:color w:val="auto"/>
          <w:highlight w:val="none"/>
        </w:rPr>
        <w:t>m</w:t>
      </w:r>
      <w:r>
        <w:rPr>
          <w:rFonts w:hint="default" w:ascii="Arial" w:hAnsi="Arial" w:eastAsia="宋体" w:cs="Arial"/>
          <w:color w:val="auto"/>
          <w:highlight w:val="none"/>
          <w:vertAlign w:val="superscript"/>
        </w:rPr>
        <w:t>3</w:t>
      </w:r>
      <w:r>
        <w:rPr>
          <w:rFonts w:hint="default" w:ascii="Arial" w:hAnsi="Arial" w:eastAsia="宋体" w:cs="Arial"/>
          <w:color w:val="auto"/>
          <w:highlight w:val="none"/>
        </w:rPr>
        <w:t>/d</w:t>
      </w:r>
      <w:r>
        <w:rPr>
          <w:rFonts w:hint="default" w:ascii="Arial" w:hAnsi="Arial" w:eastAsia="宋体" w:cs="Arial"/>
          <w:color w:val="auto"/>
          <w:highlight w:val="none"/>
          <w:lang w:eastAsia="zh-CN"/>
        </w:rPr>
        <w:t>（</w:t>
      </w:r>
      <w:r>
        <w:rPr>
          <w:rFonts w:hint="default" w:ascii="Arial" w:hAnsi="Arial" w:eastAsia="宋体" w:cs="Arial"/>
          <w:color w:val="auto"/>
          <w:highlight w:val="none"/>
          <w:lang w:val="en-US" w:eastAsia="zh-CN"/>
        </w:rPr>
        <w:t>525.6</w:t>
      </w:r>
      <w:r>
        <w:rPr>
          <w:rFonts w:hint="default" w:ascii="Arial" w:hAnsi="Arial" w:eastAsia="宋体" w:cs="Arial"/>
          <w:color w:val="auto"/>
          <w:highlight w:val="none"/>
        </w:rPr>
        <w:t>m</w:t>
      </w:r>
      <w:r>
        <w:rPr>
          <w:rFonts w:hint="default" w:ascii="Arial" w:hAnsi="Arial" w:eastAsia="宋体" w:cs="Arial"/>
          <w:color w:val="auto"/>
          <w:highlight w:val="none"/>
          <w:vertAlign w:val="superscript"/>
        </w:rPr>
        <w:t>3</w:t>
      </w:r>
      <w:r>
        <w:rPr>
          <w:rFonts w:hint="default" w:ascii="Arial" w:hAnsi="Arial" w:eastAsia="宋体" w:cs="Arial"/>
          <w:color w:val="auto"/>
          <w:highlight w:val="none"/>
        </w:rPr>
        <w:t>/a</w:t>
      </w:r>
      <w:r>
        <w:rPr>
          <w:rFonts w:hint="default" w:ascii="Arial" w:hAnsi="Arial" w:eastAsia="宋体" w:cs="Arial"/>
          <w:color w:val="auto"/>
          <w:highlight w:val="none"/>
          <w:lang w:eastAsia="zh-CN"/>
        </w:rPr>
        <w:t>），生活污水经化粪池暂存处理后，定期清掏</w:t>
      </w:r>
      <w:r>
        <w:rPr>
          <w:rFonts w:hint="default" w:ascii="Arial" w:hAnsi="Arial" w:eastAsia="宋体" w:cs="Arial"/>
          <w:color w:val="auto"/>
          <w:highlight w:val="none"/>
        </w:rPr>
        <w:t>。</w:t>
      </w:r>
    </w:p>
    <w:p>
      <w:pPr>
        <w:keepNext w:val="0"/>
        <w:keepLines w:val="0"/>
        <w:pageBreakBefore w:val="0"/>
        <w:widowControl w:val="0"/>
        <w:kinsoku/>
        <w:wordWrap/>
        <w:overflowPunct/>
        <w:topLinePunct/>
        <w:autoSpaceDE w:val="0"/>
        <w:autoSpaceDN/>
        <w:bidi w:val="0"/>
        <w:adjustRightInd/>
        <w:snapToGrid/>
        <w:spacing w:line="480" w:lineRule="exact"/>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lang w:val="en-US" w:eastAsia="zh-CN"/>
        </w:rPr>
        <w:t>本</w:t>
      </w:r>
      <w:r>
        <w:rPr>
          <w:rFonts w:hint="default" w:ascii="Arial" w:hAnsi="Arial" w:eastAsia="宋体" w:cs="Arial"/>
          <w:color w:val="auto"/>
          <w:highlight w:val="none"/>
        </w:rPr>
        <w:t>项目水平衡如图3.1-</w:t>
      </w:r>
      <w:r>
        <w:rPr>
          <w:rFonts w:hint="default" w:ascii="Arial" w:hAnsi="Arial" w:eastAsia="宋体" w:cs="Arial"/>
          <w:color w:val="auto"/>
          <w:highlight w:val="none"/>
          <w:lang w:val="en-US" w:eastAsia="zh-CN"/>
        </w:rPr>
        <w:t>3</w:t>
      </w:r>
      <w:r>
        <w:rPr>
          <w:rFonts w:hint="default" w:ascii="Arial" w:hAnsi="Arial" w:eastAsia="宋体" w:cs="Arial"/>
          <w:color w:val="auto"/>
          <w:highlight w:val="none"/>
        </w:rPr>
        <w:t>、3.1-4所示。</w:t>
      </w:r>
    </w:p>
    <w:p>
      <w:pPr>
        <w:ind w:firstLine="480"/>
        <w:rPr>
          <w:rFonts w:hint="default" w:ascii="Arial" w:hAnsi="Arial" w:eastAsia="宋体" w:cs="Arial"/>
          <w:color w:val="auto"/>
          <w:highlight w:val="none"/>
        </w:rPr>
        <w:sectPr>
          <w:pgSz w:w="11906" w:h="16838"/>
          <w:pgMar w:top="1418" w:right="1418" w:bottom="1247" w:left="1701" w:header="851" w:footer="680" w:gutter="0"/>
          <w:pgBorders>
            <w:top w:val="none" w:sz="0" w:space="0"/>
            <w:left w:val="none" w:sz="0" w:space="0"/>
            <w:bottom w:val="none" w:sz="0" w:space="0"/>
            <w:right w:val="none" w:sz="0" w:space="0"/>
          </w:pgBorders>
          <w:pgNumType w:fmt="numberInDash"/>
          <w:cols w:space="425" w:num="1"/>
          <w:docGrid w:linePitch="326" w:charSpace="0"/>
        </w:sectPr>
      </w:pPr>
    </w:p>
    <w:p>
      <w:pPr>
        <w:pStyle w:val="8"/>
        <w:rPr>
          <w:rFonts w:hint="default" w:ascii="Arial" w:hAnsi="Arial" w:eastAsia="宋体" w:cs="Arial"/>
          <w:color w:val="auto"/>
          <w:highlight w:val="none"/>
        </w:rPr>
      </w:pPr>
      <w:r>
        <w:rPr>
          <w:rFonts w:hint="default" w:ascii="Arial" w:hAnsi="Arial" w:eastAsia="宋体" w:cs="Arial"/>
          <w:color w:val="auto"/>
          <w:highlight w:val="none"/>
        </w:rPr>
        <w:t>表3.1-</w:t>
      </w:r>
      <w:r>
        <w:rPr>
          <w:rFonts w:hint="default" w:ascii="Arial" w:hAnsi="Arial" w:eastAsia="宋体" w:cs="Arial"/>
          <w:color w:val="auto"/>
          <w:highlight w:val="none"/>
          <w:lang w:val="en-US" w:eastAsia="zh-CN"/>
        </w:rPr>
        <w:t>10</w:t>
      </w:r>
      <w:r>
        <w:rPr>
          <w:rFonts w:hint="default" w:ascii="Arial" w:hAnsi="Arial" w:eastAsia="宋体" w:cs="Arial"/>
          <w:color w:val="auto"/>
          <w:highlight w:val="none"/>
        </w:rPr>
        <w:t xml:space="preserve">   项目用排水情况统计表</w:t>
      </w:r>
    </w:p>
    <w:tbl>
      <w:tblPr>
        <w:tblStyle w:val="39"/>
        <w:tblW w:w="14389" w:type="dxa"/>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1124"/>
        <w:gridCol w:w="1125"/>
        <w:gridCol w:w="1125"/>
        <w:gridCol w:w="1125"/>
        <w:gridCol w:w="1125"/>
        <w:gridCol w:w="1125"/>
        <w:gridCol w:w="1125"/>
        <w:gridCol w:w="1125"/>
        <w:gridCol w:w="1125"/>
        <w:gridCol w:w="4265"/>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blHeader/>
          <w:jc w:val="center"/>
        </w:trPr>
        <w:tc>
          <w:tcPr>
            <w:tcW w:w="567"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default" w:ascii="Arial" w:hAnsi="Arial" w:eastAsia="宋体" w:cs="Arial"/>
                <w:b/>
                <w:bCs/>
                <w:color w:val="auto"/>
                <w:sz w:val="21"/>
                <w:szCs w:val="21"/>
                <w:highlight w:val="none"/>
              </w:rPr>
            </w:pPr>
            <w:r>
              <w:rPr>
                <w:rFonts w:hint="default" w:ascii="Arial" w:hAnsi="Arial" w:eastAsia="宋体" w:cs="Arial"/>
                <w:b/>
                <w:bCs/>
                <w:color w:val="auto"/>
                <w:sz w:val="21"/>
                <w:szCs w:val="21"/>
                <w:highlight w:val="none"/>
              </w:rPr>
              <w:t>序号</w:t>
            </w:r>
          </w:p>
        </w:tc>
        <w:tc>
          <w:tcPr>
            <w:tcW w:w="567"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default" w:ascii="Arial" w:hAnsi="Arial" w:eastAsia="宋体" w:cs="Arial"/>
                <w:b/>
                <w:bCs/>
                <w:color w:val="auto"/>
                <w:sz w:val="21"/>
                <w:szCs w:val="21"/>
                <w:highlight w:val="none"/>
              </w:rPr>
            </w:pPr>
            <w:r>
              <w:rPr>
                <w:rFonts w:hint="default" w:ascii="Arial" w:hAnsi="Arial" w:eastAsia="宋体" w:cs="Arial"/>
                <w:b/>
                <w:bCs/>
                <w:color w:val="auto"/>
                <w:sz w:val="21"/>
                <w:szCs w:val="21"/>
                <w:highlight w:val="none"/>
              </w:rPr>
              <w:t>用水项目</w:t>
            </w:r>
          </w:p>
        </w:tc>
        <w:tc>
          <w:tcPr>
            <w:tcW w:w="567"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default" w:ascii="Arial" w:hAnsi="Arial" w:eastAsia="宋体" w:cs="Arial"/>
                <w:b/>
                <w:bCs/>
                <w:color w:val="auto"/>
                <w:sz w:val="21"/>
                <w:szCs w:val="21"/>
                <w:highlight w:val="none"/>
              </w:rPr>
            </w:pPr>
            <w:r>
              <w:rPr>
                <w:rFonts w:hint="default" w:ascii="Arial" w:hAnsi="Arial" w:eastAsia="宋体" w:cs="Arial"/>
                <w:b/>
                <w:bCs/>
                <w:color w:val="auto"/>
                <w:sz w:val="21"/>
                <w:szCs w:val="21"/>
                <w:highlight w:val="none"/>
              </w:rPr>
              <w:t>规模</w:t>
            </w:r>
          </w:p>
        </w:tc>
        <w:tc>
          <w:tcPr>
            <w:tcW w:w="567"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default" w:ascii="Arial" w:hAnsi="Arial" w:eastAsia="宋体" w:cs="Arial"/>
                <w:b/>
                <w:bCs/>
                <w:color w:val="auto"/>
                <w:sz w:val="21"/>
                <w:szCs w:val="21"/>
                <w:highlight w:val="none"/>
              </w:rPr>
            </w:pPr>
            <w:r>
              <w:rPr>
                <w:rFonts w:hint="default" w:ascii="Arial" w:hAnsi="Arial" w:eastAsia="宋体" w:cs="Arial"/>
                <w:b/>
                <w:bCs/>
                <w:color w:val="auto"/>
                <w:sz w:val="21"/>
                <w:szCs w:val="21"/>
                <w:highlight w:val="none"/>
              </w:rPr>
              <w:t>用水量</w:t>
            </w:r>
          </w:p>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default" w:ascii="Arial" w:hAnsi="Arial" w:eastAsia="宋体" w:cs="Arial"/>
                <w:b/>
                <w:bCs/>
                <w:color w:val="auto"/>
                <w:sz w:val="21"/>
                <w:szCs w:val="21"/>
                <w:highlight w:val="none"/>
              </w:rPr>
            </w:pPr>
            <w:r>
              <w:rPr>
                <w:rFonts w:hint="default" w:ascii="Arial" w:hAnsi="Arial" w:eastAsia="宋体" w:cs="Arial"/>
                <w:b/>
                <w:bCs/>
                <w:color w:val="auto"/>
                <w:sz w:val="21"/>
                <w:szCs w:val="21"/>
                <w:highlight w:val="none"/>
              </w:rPr>
              <w:t>标准</w:t>
            </w:r>
          </w:p>
        </w:tc>
        <w:tc>
          <w:tcPr>
            <w:tcW w:w="567"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default" w:ascii="Arial" w:hAnsi="Arial" w:eastAsia="宋体" w:cs="Arial"/>
                <w:b/>
                <w:bCs/>
                <w:color w:val="auto"/>
                <w:sz w:val="21"/>
                <w:szCs w:val="21"/>
                <w:highlight w:val="none"/>
              </w:rPr>
            </w:pPr>
            <w:r>
              <w:rPr>
                <w:rFonts w:hint="default" w:ascii="Arial" w:hAnsi="Arial" w:eastAsia="宋体" w:cs="Arial"/>
                <w:b/>
                <w:bCs/>
                <w:color w:val="auto"/>
                <w:sz w:val="21"/>
                <w:szCs w:val="21"/>
                <w:highlight w:val="none"/>
              </w:rPr>
              <w:t>日用水量</w:t>
            </w:r>
          </w:p>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default" w:ascii="Arial" w:hAnsi="Arial" w:eastAsia="宋体" w:cs="Arial"/>
                <w:b/>
                <w:bCs/>
                <w:color w:val="auto"/>
                <w:sz w:val="21"/>
                <w:szCs w:val="21"/>
                <w:highlight w:val="none"/>
              </w:rPr>
            </w:pPr>
            <w:r>
              <w:rPr>
                <w:rFonts w:hint="default" w:ascii="Arial" w:hAnsi="Arial" w:eastAsia="宋体" w:cs="Arial"/>
                <w:b/>
                <w:bCs/>
                <w:color w:val="auto"/>
                <w:sz w:val="21"/>
                <w:szCs w:val="21"/>
                <w:highlight w:val="none"/>
              </w:rPr>
              <w:t>（m</w:t>
            </w:r>
            <w:r>
              <w:rPr>
                <w:rFonts w:hint="default" w:ascii="Arial" w:hAnsi="Arial" w:eastAsia="宋体" w:cs="Arial"/>
                <w:b/>
                <w:bCs/>
                <w:color w:val="auto"/>
                <w:sz w:val="21"/>
                <w:szCs w:val="21"/>
                <w:highlight w:val="none"/>
                <w:vertAlign w:val="superscript"/>
              </w:rPr>
              <w:t>3</w:t>
            </w:r>
            <w:r>
              <w:rPr>
                <w:rFonts w:hint="default" w:ascii="Arial" w:hAnsi="Arial" w:eastAsia="宋体" w:cs="Arial"/>
                <w:b/>
                <w:bCs/>
                <w:color w:val="auto"/>
                <w:sz w:val="21"/>
                <w:szCs w:val="21"/>
                <w:highlight w:val="none"/>
              </w:rPr>
              <w:t>/d）</w:t>
            </w:r>
          </w:p>
        </w:tc>
        <w:tc>
          <w:tcPr>
            <w:tcW w:w="567"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default" w:ascii="Arial" w:hAnsi="Arial" w:eastAsia="宋体" w:cs="Arial"/>
                <w:b/>
                <w:bCs/>
                <w:color w:val="auto"/>
                <w:sz w:val="21"/>
                <w:szCs w:val="21"/>
                <w:highlight w:val="none"/>
              </w:rPr>
            </w:pPr>
            <w:r>
              <w:rPr>
                <w:rFonts w:hint="default" w:ascii="Arial" w:hAnsi="Arial" w:eastAsia="宋体" w:cs="Arial"/>
                <w:b/>
                <w:bCs/>
                <w:color w:val="auto"/>
                <w:sz w:val="21"/>
                <w:szCs w:val="21"/>
                <w:highlight w:val="none"/>
              </w:rPr>
              <w:t>年用水量</w:t>
            </w:r>
          </w:p>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default" w:ascii="Arial" w:hAnsi="Arial" w:eastAsia="宋体" w:cs="Arial"/>
                <w:b/>
                <w:bCs/>
                <w:color w:val="auto"/>
                <w:sz w:val="21"/>
                <w:szCs w:val="21"/>
                <w:highlight w:val="none"/>
              </w:rPr>
            </w:pPr>
            <w:r>
              <w:rPr>
                <w:rFonts w:hint="default" w:ascii="Arial" w:hAnsi="Arial" w:eastAsia="宋体" w:cs="Arial"/>
                <w:b/>
                <w:bCs/>
                <w:color w:val="auto"/>
                <w:sz w:val="21"/>
                <w:szCs w:val="21"/>
                <w:highlight w:val="none"/>
              </w:rPr>
              <w:t>（m</w:t>
            </w:r>
            <w:r>
              <w:rPr>
                <w:rFonts w:hint="default" w:ascii="Arial" w:hAnsi="Arial" w:eastAsia="宋体" w:cs="Arial"/>
                <w:b/>
                <w:bCs/>
                <w:color w:val="auto"/>
                <w:sz w:val="21"/>
                <w:szCs w:val="21"/>
                <w:highlight w:val="none"/>
                <w:vertAlign w:val="superscript"/>
              </w:rPr>
              <w:t>3</w:t>
            </w:r>
            <w:r>
              <w:rPr>
                <w:rFonts w:hint="default" w:ascii="Arial" w:hAnsi="Arial" w:eastAsia="宋体" w:cs="Arial"/>
                <w:b/>
                <w:bCs/>
                <w:color w:val="auto"/>
                <w:sz w:val="21"/>
                <w:szCs w:val="21"/>
                <w:highlight w:val="none"/>
              </w:rPr>
              <w:t>/a）</w:t>
            </w:r>
          </w:p>
        </w:tc>
        <w:tc>
          <w:tcPr>
            <w:tcW w:w="567"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default" w:ascii="Arial" w:hAnsi="Arial" w:eastAsia="宋体" w:cs="Arial"/>
                <w:b/>
                <w:bCs/>
                <w:color w:val="auto"/>
                <w:sz w:val="21"/>
                <w:szCs w:val="21"/>
                <w:highlight w:val="none"/>
              </w:rPr>
            </w:pPr>
            <w:r>
              <w:rPr>
                <w:rFonts w:hint="default" w:ascii="Arial" w:hAnsi="Arial" w:eastAsia="宋体" w:cs="Arial"/>
                <w:b/>
                <w:bCs/>
                <w:color w:val="auto"/>
                <w:sz w:val="21"/>
                <w:szCs w:val="21"/>
                <w:highlight w:val="none"/>
              </w:rPr>
              <w:t>折减</w:t>
            </w:r>
          </w:p>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default" w:ascii="Arial" w:hAnsi="Arial" w:eastAsia="宋体" w:cs="Arial"/>
                <w:b/>
                <w:bCs/>
                <w:color w:val="auto"/>
                <w:sz w:val="21"/>
                <w:szCs w:val="21"/>
                <w:highlight w:val="none"/>
              </w:rPr>
            </w:pPr>
            <w:r>
              <w:rPr>
                <w:rFonts w:hint="default" w:ascii="Arial" w:hAnsi="Arial" w:eastAsia="宋体" w:cs="Arial"/>
                <w:b/>
                <w:bCs/>
                <w:color w:val="auto"/>
                <w:sz w:val="21"/>
                <w:szCs w:val="21"/>
                <w:highlight w:val="none"/>
              </w:rPr>
              <w:t>系数</w:t>
            </w:r>
          </w:p>
        </w:tc>
        <w:tc>
          <w:tcPr>
            <w:tcW w:w="567"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default" w:ascii="Arial" w:hAnsi="Arial" w:eastAsia="宋体" w:cs="Arial"/>
                <w:b/>
                <w:bCs/>
                <w:color w:val="auto"/>
                <w:sz w:val="21"/>
                <w:szCs w:val="21"/>
                <w:highlight w:val="none"/>
              </w:rPr>
            </w:pPr>
            <w:r>
              <w:rPr>
                <w:rFonts w:hint="default" w:ascii="Arial" w:hAnsi="Arial" w:eastAsia="宋体" w:cs="Arial"/>
                <w:b/>
                <w:bCs/>
                <w:color w:val="auto"/>
                <w:sz w:val="21"/>
                <w:szCs w:val="21"/>
                <w:highlight w:val="none"/>
              </w:rPr>
              <w:t>日排水量</w:t>
            </w:r>
          </w:p>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default" w:ascii="Arial" w:hAnsi="Arial" w:eastAsia="宋体" w:cs="Arial"/>
                <w:b/>
                <w:bCs/>
                <w:color w:val="auto"/>
                <w:sz w:val="21"/>
                <w:szCs w:val="21"/>
                <w:highlight w:val="none"/>
              </w:rPr>
            </w:pPr>
            <w:r>
              <w:rPr>
                <w:rFonts w:hint="default" w:ascii="Arial" w:hAnsi="Arial" w:eastAsia="宋体" w:cs="Arial"/>
                <w:b/>
                <w:bCs/>
                <w:color w:val="auto"/>
                <w:sz w:val="21"/>
                <w:szCs w:val="21"/>
                <w:highlight w:val="none"/>
              </w:rPr>
              <w:t>（m</w:t>
            </w:r>
            <w:r>
              <w:rPr>
                <w:rFonts w:hint="default" w:ascii="Arial" w:hAnsi="Arial" w:eastAsia="宋体" w:cs="Arial"/>
                <w:b/>
                <w:bCs/>
                <w:color w:val="auto"/>
                <w:sz w:val="21"/>
                <w:szCs w:val="21"/>
                <w:highlight w:val="none"/>
                <w:vertAlign w:val="superscript"/>
              </w:rPr>
              <w:t>3</w:t>
            </w:r>
            <w:r>
              <w:rPr>
                <w:rFonts w:hint="default" w:ascii="Arial" w:hAnsi="Arial" w:eastAsia="宋体" w:cs="Arial"/>
                <w:b/>
                <w:bCs/>
                <w:color w:val="auto"/>
                <w:sz w:val="21"/>
                <w:szCs w:val="21"/>
                <w:highlight w:val="none"/>
              </w:rPr>
              <w:t>/d）</w:t>
            </w:r>
          </w:p>
        </w:tc>
        <w:tc>
          <w:tcPr>
            <w:tcW w:w="567"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default" w:ascii="Arial" w:hAnsi="Arial" w:eastAsia="宋体" w:cs="Arial"/>
                <w:b/>
                <w:bCs/>
                <w:color w:val="auto"/>
                <w:sz w:val="21"/>
                <w:szCs w:val="21"/>
                <w:highlight w:val="none"/>
              </w:rPr>
            </w:pPr>
            <w:r>
              <w:rPr>
                <w:rFonts w:hint="default" w:ascii="Arial" w:hAnsi="Arial" w:eastAsia="宋体" w:cs="Arial"/>
                <w:b/>
                <w:bCs/>
                <w:color w:val="auto"/>
                <w:sz w:val="21"/>
                <w:szCs w:val="21"/>
                <w:highlight w:val="none"/>
              </w:rPr>
              <w:t>年排水量</w:t>
            </w:r>
          </w:p>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default" w:ascii="Arial" w:hAnsi="Arial" w:eastAsia="宋体" w:cs="Arial"/>
                <w:b/>
                <w:bCs/>
                <w:color w:val="auto"/>
                <w:sz w:val="21"/>
                <w:szCs w:val="21"/>
                <w:highlight w:val="none"/>
              </w:rPr>
            </w:pPr>
            <w:r>
              <w:rPr>
                <w:rFonts w:hint="default" w:ascii="Arial" w:hAnsi="Arial" w:eastAsia="宋体" w:cs="Arial"/>
                <w:b/>
                <w:bCs/>
                <w:color w:val="auto"/>
                <w:sz w:val="21"/>
                <w:szCs w:val="21"/>
                <w:highlight w:val="none"/>
              </w:rPr>
              <w:t>（m</w:t>
            </w:r>
            <w:r>
              <w:rPr>
                <w:rFonts w:hint="default" w:ascii="Arial" w:hAnsi="Arial" w:eastAsia="宋体" w:cs="Arial"/>
                <w:b/>
                <w:bCs/>
                <w:color w:val="auto"/>
                <w:sz w:val="21"/>
                <w:szCs w:val="21"/>
                <w:highlight w:val="none"/>
                <w:vertAlign w:val="superscript"/>
              </w:rPr>
              <w:t>3</w:t>
            </w:r>
            <w:r>
              <w:rPr>
                <w:rFonts w:hint="default" w:ascii="Arial" w:hAnsi="Arial" w:eastAsia="宋体" w:cs="Arial"/>
                <w:b/>
                <w:bCs/>
                <w:color w:val="auto"/>
                <w:sz w:val="21"/>
                <w:szCs w:val="21"/>
                <w:highlight w:val="none"/>
              </w:rPr>
              <w:t>/a）</w:t>
            </w:r>
          </w:p>
        </w:tc>
        <w:tc>
          <w:tcPr>
            <w:tcW w:w="5669"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default" w:ascii="Arial" w:hAnsi="Arial" w:eastAsia="宋体" w:cs="Arial"/>
                <w:b/>
                <w:bCs/>
                <w:color w:val="auto"/>
                <w:sz w:val="21"/>
                <w:szCs w:val="21"/>
                <w:highlight w:val="none"/>
              </w:rPr>
            </w:pPr>
            <w:r>
              <w:rPr>
                <w:rFonts w:hint="default" w:ascii="Arial" w:hAnsi="Arial" w:eastAsia="宋体" w:cs="Arial"/>
                <w:b/>
                <w:bCs/>
                <w:color w:val="auto"/>
                <w:sz w:val="21"/>
                <w:szCs w:val="21"/>
                <w:highlight w:val="none"/>
              </w:rPr>
              <w:t>备注</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blHeader/>
          <w:jc w:val="center"/>
        </w:trPr>
        <w:tc>
          <w:tcPr>
            <w:tcW w:w="567"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一</w:t>
            </w:r>
          </w:p>
        </w:tc>
        <w:tc>
          <w:tcPr>
            <w:tcW w:w="5669" w:type="dxa"/>
            <w:gridSpan w:val="9"/>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生活用水</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blHeader/>
          <w:jc w:val="center"/>
        </w:trPr>
        <w:tc>
          <w:tcPr>
            <w:tcW w:w="1438"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1</w:t>
            </w:r>
          </w:p>
        </w:tc>
        <w:tc>
          <w:tcPr>
            <w:tcW w:w="1439"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生活用水</w:t>
            </w:r>
          </w:p>
        </w:tc>
        <w:tc>
          <w:tcPr>
            <w:tcW w:w="1439"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lang w:val="en-US" w:eastAsia="zh-CN"/>
              </w:rPr>
              <w:t>3</w:t>
            </w:r>
            <w:r>
              <w:rPr>
                <w:rFonts w:hint="default" w:ascii="Arial" w:hAnsi="Arial" w:eastAsia="宋体" w:cs="Arial"/>
                <w:color w:val="auto"/>
                <w:sz w:val="21"/>
                <w:szCs w:val="21"/>
                <w:highlight w:val="none"/>
              </w:rPr>
              <w:t>0人</w:t>
            </w:r>
          </w:p>
        </w:tc>
        <w:tc>
          <w:tcPr>
            <w:tcW w:w="1439"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lang w:val="en-US" w:eastAsia="zh-CN"/>
              </w:rPr>
              <w:t>6</w:t>
            </w:r>
            <w:r>
              <w:rPr>
                <w:rFonts w:hint="default" w:ascii="Arial" w:hAnsi="Arial" w:eastAsia="宋体" w:cs="Arial"/>
                <w:color w:val="auto"/>
                <w:sz w:val="21"/>
                <w:szCs w:val="21"/>
                <w:highlight w:val="none"/>
              </w:rPr>
              <w:t>0L/人·d</w:t>
            </w:r>
          </w:p>
        </w:tc>
        <w:tc>
          <w:tcPr>
            <w:tcW w:w="1439"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default" w:ascii="Arial" w:hAnsi="Arial" w:eastAsia="宋体" w:cs="Arial"/>
                <w:color w:val="auto"/>
                <w:sz w:val="21"/>
                <w:szCs w:val="21"/>
                <w:highlight w:val="none"/>
                <w:lang w:val="en-US"/>
              </w:rPr>
            </w:pPr>
            <w:r>
              <w:rPr>
                <w:rFonts w:hint="default" w:ascii="Arial" w:hAnsi="Arial" w:eastAsia="宋体" w:cs="Arial"/>
                <w:color w:val="auto"/>
                <w:sz w:val="21"/>
                <w:szCs w:val="21"/>
                <w:highlight w:val="none"/>
                <w:lang w:val="en-US" w:eastAsia="zh-CN"/>
              </w:rPr>
              <w:t>1.8</w:t>
            </w:r>
          </w:p>
        </w:tc>
        <w:tc>
          <w:tcPr>
            <w:tcW w:w="1439"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highlight w:val="none"/>
                <w:lang w:val="en-US" w:eastAsia="zh-CN"/>
              </w:rPr>
              <w:t>657</w:t>
            </w:r>
          </w:p>
        </w:tc>
        <w:tc>
          <w:tcPr>
            <w:tcW w:w="1439"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0.80</w:t>
            </w:r>
          </w:p>
        </w:tc>
        <w:tc>
          <w:tcPr>
            <w:tcW w:w="1439"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highlight w:val="none"/>
                <w:lang w:val="en-US" w:eastAsia="zh-CN"/>
              </w:rPr>
              <w:t>1.44</w:t>
            </w:r>
          </w:p>
        </w:tc>
        <w:tc>
          <w:tcPr>
            <w:tcW w:w="1439"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highlight w:val="none"/>
                <w:lang w:val="en-US" w:eastAsia="zh-CN"/>
              </w:rPr>
              <w:t>525.6</w:t>
            </w:r>
          </w:p>
        </w:tc>
        <w:tc>
          <w:tcPr>
            <w:tcW w:w="5669"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使用新鲜水</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blHeader/>
          <w:jc w:val="center"/>
        </w:trPr>
        <w:tc>
          <w:tcPr>
            <w:tcW w:w="567"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二</w:t>
            </w:r>
          </w:p>
        </w:tc>
        <w:tc>
          <w:tcPr>
            <w:tcW w:w="5669" w:type="dxa"/>
            <w:gridSpan w:val="9"/>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lang w:eastAsia="zh-CN"/>
              </w:rPr>
              <w:t>养殖</w:t>
            </w:r>
            <w:r>
              <w:rPr>
                <w:rFonts w:hint="default" w:ascii="Arial" w:hAnsi="Arial" w:eastAsia="宋体" w:cs="Arial"/>
                <w:color w:val="auto"/>
                <w:sz w:val="21"/>
                <w:szCs w:val="21"/>
                <w:highlight w:val="none"/>
              </w:rPr>
              <w:t>用水</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blHeader/>
          <w:jc w:val="center"/>
        </w:trPr>
        <w:tc>
          <w:tcPr>
            <w:tcW w:w="567"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2</w:t>
            </w:r>
          </w:p>
        </w:tc>
        <w:tc>
          <w:tcPr>
            <w:tcW w:w="567"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牛群饮水</w:t>
            </w:r>
          </w:p>
        </w:tc>
        <w:tc>
          <w:tcPr>
            <w:tcW w:w="567"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default" w:ascii="Arial" w:hAnsi="Arial" w:eastAsia="宋体" w:cs="Arial"/>
                <w:bCs/>
                <w:color w:val="auto"/>
                <w:sz w:val="21"/>
                <w:szCs w:val="21"/>
                <w:highlight w:val="none"/>
                <w:lang w:val="en-US" w:eastAsia="zh-CN"/>
              </w:rPr>
            </w:pPr>
            <w:r>
              <w:rPr>
                <w:rFonts w:hint="default" w:ascii="Arial" w:hAnsi="Arial" w:eastAsia="宋体" w:cs="Arial"/>
                <w:bCs/>
                <w:color w:val="auto"/>
                <w:sz w:val="21"/>
                <w:szCs w:val="21"/>
                <w:highlight w:val="none"/>
                <w:lang w:val="en-US" w:eastAsia="zh-CN"/>
              </w:rPr>
              <w:t>10000头</w:t>
            </w:r>
          </w:p>
        </w:tc>
        <w:tc>
          <w:tcPr>
            <w:tcW w:w="567"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default" w:ascii="Arial" w:hAnsi="Arial" w:eastAsia="宋体" w:cs="Arial"/>
                <w:bCs/>
                <w:color w:val="auto"/>
                <w:sz w:val="21"/>
                <w:szCs w:val="21"/>
                <w:highlight w:val="none"/>
              </w:rPr>
            </w:pPr>
            <w:r>
              <w:rPr>
                <w:rFonts w:hint="default" w:ascii="Arial" w:hAnsi="Arial" w:eastAsia="宋体" w:cs="Arial"/>
                <w:bCs/>
                <w:color w:val="auto"/>
                <w:sz w:val="21"/>
                <w:szCs w:val="21"/>
                <w:highlight w:val="none"/>
              </w:rPr>
              <w:t>夏</w:t>
            </w:r>
            <w:r>
              <w:rPr>
                <w:rFonts w:hint="default" w:ascii="Arial" w:hAnsi="Arial" w:eastAsia="宋体" w:cs="Arial"/>
                <w:bCs/>
                <w:color w:val="auto"/>
                <w:sz w:val="21"/>
                <w:szCs w:val="21"/>
                <w:highlight w:val="none"/>
                <w:lang w:val="en-US" w:eastAsia="zh-CN"/>
              </w:rPr>
              <w:t>6</w:t>
            </w:r>
            <w:r>
              <w:rPr>
                <w:rFonts w:hint="default" w:ascii="Arial" w:hAnsi="Arial" w:eastAsia="宋体" w:cs="Arial"/>
                <w:bCs/>
                <w:color w:val="auto"/>
                <w:sz w:val="21"/>
                <w:szCs w:val="21"/>
                <w:highlight w:val="none"/>
              </w:rPr>
              <w:t>0L/头·d</w:t>
            </w:r>
          </w:p>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default" w:ascii="Arial" w:hAnsi="Arial" w:eastAsia="宋体" w:cs="Arial"/>
                <w:color w:val="auto"/>
                <w:sz w:val="21"/>
                <w:szCs w:val="21"/>
                <w:highlight w:val="none"/>
              </w:rPr>
            </w:pPr>
            <w:r>
              <w:rPr>
                <w:rFonts w:hint="default" w:ascii="Arial" w:hAnsi="Arial" w:eastAsia="宋体" w:cs="Arial"/>
                <w:bCs/>
                <w:color w:val="auto"/>
                <w:sz w:val="21"/>
                <w:szCs w:val="21"/>
                <w:highlight w:val="none"/>
              </w:rPr>
              <w:t>冬</w:t>
            </w:r>
            <w:r>
              <w:rPr>
                <w:rFonts w:hint="default" w:ascii="Arial" w:hAnsi="Arial" w:eastAsia="宋体" w:cs="Arial"/>
                <w:bCs/>
                <w:color w:val="auto"/>
                <w:sz w:val="21"/>
                <w:szCs w:val="21"/>
                <w:highlight w:val="none"/>
                <w:lang w:val="en-US" w:eastAsia="zh-CN"/>
              </w:rPr>
              <w:t>5</w:t>
            </w:r>
            <w:r>
              <w:rPr>
                <w:rFonts w:hint="default" w:ascii="Arial" w:hAnsi="Arial" w:eastAsia="宋体" w:cs="Arial"/>
                <w:bCs/>
                <w:color w:val="auto"/>
                <w:sz w:val="21"/>
                <w:szCs w:val="21"/>
                <w:highlight w:val="none"/>
              </w:rPr>
              <w:t>0L/头·d</w:t>
            </w:r>
          </w:p>
        </w:tc>
        <w:tc>
          <w:tcPr>
            <w:tcW w:w="567"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highlight w:val="none"/>
              </w:rPr>
              <w:t>夏</w:t>
            </w:r>
            <w:r>
              <w:rPr>
                <w:rFonts w:hint="default" w:ascii="Arial" w:hAnsi="Arial" w:eastAsia="宋体" w:cs="Arial"/>
                <w:color w:val="auto"/>
                <w:sz w:val="21"/>
                <w:szCs w:val="21"/>
                <w:highlight w:val="none"/>
                <w:lang w:val="en-US" w:eastAsia="zh-CN"/>
              </w:rPr>
              <w:t>600</w:t>
            </w:r>
          </w:p>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default" w:ascii="Arial" w:hAnsi="Arial" w:eastAsia="宋体" w:cs="Arial"/>
                <w:color w:val="auto"/>
                <w:sz w:val="21"/>
                <w:szCs w:val="21"/>
                <w:highlight w:val="none"/>
                <w:lang w:val="en-US"/>
              </w:rPr>
            </w:pPr>
            <w:r>
              <w:rPr>
                <w:rFonts w:hint="default" w:ascii="Arial" w:hAnsi="Arial" w:eastAsia="宋体" w:cs="Arial"/>
                <w:color w:val="auto"/>
                <w:sz w:val="21"/>
                <w:szCs w:val="21"/>
                <w:highlight w:val="none"/>
              </w:rPr>
              <w:t>冬</w:t>
            </w:r>
            <w:r>
              <w:rPr>
                <w:rFonts w:hint="default" w:ascii="Arial" w:hAnsi="Arial" w:eastAsia="宋体" w:cs="Arial"/>
                <w:color w:val="auto"/>
                <w:sz w:val="21"/>
                <w:szCs w:val="21"/>
                <w:highlight w:val="none"/>
                <w:lang w:val="en-US" w:eastAsia="zh-CN"/>
              </w:rPr>
              <w:t>500</w:t>
            </w:r>
          </w:p>
        </w:tc>
        <w:tc>
          <w:tcPr>
            <w:tcW w:w="567"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default" w:ascii="Arial" w:hAnsi="Arial" w:eastAsia="宋体" w:cs="Arial"/>
                <w:color w:val="auto"/>
                <w:sz w:val="21"/>
                <w:szCs w:val="21"/>
                <w:highlight w:val="none"/>
              </w:rPr>
            </w:pPr>
            <w:r>
              <w:rPr>
                <w:rFonts w:hint="default" w:ascii="Arial" w:hAnsi="Arial" w:eastAsia="宋体" w:cs="Arial"/>
                <w:color w:val="auto"/>
                <w:highlight w:val="none"/>
                <w:lang w:eastAsia="zh-CN"/>
              </w:rPr>
              <w:t>200500</w:t>
            </w:r>
          </w:p>
        </w:tc>
        <w:tc>
          <w:tcPr>
            <w:tcW w:w="567"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default" w:ascii="Arial" w:hAnsi="Arial" w:eastAsia="宋体" w:cs="Arial"/>
                <w:color w:val="auto"/>
                <w:sz w:val="21"/>
                <w:szCs w:val="21"/>
                <w:highlight w:val="none"/>
              </w:rPr>
            </w:pPr>
            <w:r>
              <w:rPr>
                <w:rFonts w:hint="default" w:ascii="Arial" w:hAnsi="Arial" w:eastAsia="宋体" w:cs="Arial"/>
                <w:color w:val="auto"/>
                <w:highlight w:val="none"/>
                <w:lang w:val="en-US" w:eastAsia="zh-CN"/>
              </w:rPr>
              <w:t>/</w:t>
            </w:r>
          </w:p>
        </w:tc>
        <w:tc>
          <w:tcPr>
            <w:tcW w:w="567"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default" w:ascii="Arial" w:hAnsi="Arial" w:eastAsia="宋体" w:cs="Arial"/>
                <w:color w:val="auto"/>
                <w:sz w:val="21"/>
                <w:szCs w:val="21"/>
                <w:highlight w:val="none"/>
              </w:rPr>
            </w:pPr>
            <w:r>
              <w:rPr>
                <w:rFonts w:hint="default" w:ascii="Arial" w:hAnsi="Arial" w:eastAsia="宋体" w:cs="Arial"/>
                <w:color w:val="auto"/>
                <w:highlight w:val="none"/>
                <w:lang w:val="en-US" w:eastAsia="zh-CN"/>
              </w:rPr>
              <w:t>/</w:t>
            </w:r>
          </w:p>
        </w:tc>
        <w:tc>
          <w:tcPr>
            <w:tcW w:w="567"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default" w:ascii="Arial" w:hAnsi="Arial" w:eastAsia="宋体" w:cs="Arial"/>
                <w:color w:val="auto"/>
                <w:sz w:val="21"/>
                <w:szCs w:val="21"/>
                <w:highlight w:val="none"/>
              </w:rPr>
            </w:pPr>
            <w:r>
              <w:rPr>
                <w:rFonts w:hint="default" w:ascii="Arial" w:hAnsi="Arial" w:eastAsia="宋体" w:cs="Arial"/>
                <w:color w:val="auto"/>
                <w:highlight w:val="none"/>
                <w:lang w:val="en-US" w:eastAsia="zh-CN"/>
              </w:rPr>
              <w:t>/</w:t>
            </w:r>
          </w:p>
        </w:tc>
        <w:tc>
          <w:tcPr>
            <w:tcW w:w="5669"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肉牛饲养过程中饮用水量较少，排放的尿液较少，并且牛粪较为干燥，在养殖区（牛舍、运动场）排放的尿液大部分由于当地气候干燥挥发，剩余尿液与粪便完全粘结混合在一起，一起运往堆粪场储存并堆肥，因此，没有尿液排放</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PrEx>
        <w:trPr>
          <w:trHeight w:val="340" w:hRule="atLeast"/>
          <w:tblHeader/>
          <w:jc w:val="center"/>
        </w:trPr>
        <w:tc>
          <w:tcPr>
            <w:tcW w:w="567"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lang w:val="en-US" w:eastAsia="zh-CN"/>
              </w:rPr>
              <w:t>3</w:t>
            </w:r>
          </w:p>
        </w:tc>
        <w:tc>
          <w:tcPr>
            <w:tcW w:w="567"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饲料降尘用水</w:t>
            </w:r>
          </w:p>
        </w:tc>
        <w:tc>
          <w:tcPr>
            <w:tcW w:w="567"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default" w:ascii="Arial" w:hAnsi="Arial" w:eastAsia="宋体" w:cs="Arial"/>
                <w:bCs/>
                <w:color w:val="auto"/>
                <w:kern w:val="2"/>
                <w:sz w:val="21"/>
                <w:szCs w:val="21"/>
                <w:highlight w:val="none"/>
                <w:lang w:val="en-US" w:eastAsia="zh-CN" w:bidi="ar-SA"/>
              </w:rPr>
            </w:pPr>
            <w:r>
              <w:rPr>
                <w:rFonts w:hint="default" w:ascii="Arial" w:hAnsi="Arial" w:eastAsia="宋体" w:cs="Arial"/>
                <w:bCs/>
                <w:color w:val="auto"/>
                <w:sz w:val="21"/>
                <w:szCs w:val="21"/>
                <w:highlight w:val="none"/>
              </w:rPr>
              <w:t>/</w:t>
            </w:r>
          </w:p>
        </w:tc>
        <w:tc>
          <w:tcPr>
            <w:tcW w:w="567"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w:t>
            </w:r>
          </w:p>
        </w:tc>
        <w:tc>
          <w:tcPr>
            <w:tcW w:w="567"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lang w:val="en-US" w:eastAsia="zh-CN"/>
              </w:rPr>
              <w:t>3</w:t>
            </w:r>
            <w:r>
              <w:rPr>
                <w:rFonts w:hint="default" w:ascii="Arial" w:hAnsi="Arial" w:eastAsia="宋体" w:cs="Arial"/>
                <w:color w:val="auto"/>
                <w:sz w:val="21"/>
                <w:szCs w:val="21"/>
                <w:highlight w:val="none"/>
              </w:rPr>
              <w:t>.0</w:t>
            </w:r>
          </w:p>
        </w:tc>
        <w:tc>
          <w:tcPr>
            <w:tcW w:w="567"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1</w:t>
            </w:r>
            <w:r>
              <w:rPr>
                <w:rFonts w:hint="default" w:ascii="Arial" w:hAnsi="Arial" w:eastAsia="宋体" w:cs="Arial"/>
                <w:color w:val="auto"/>
                <w:sz w:val="21"/>
                <w:szCs w:val="21"/>
                <w:highlight w:val="none"/>
                <w:lang w:val="en-US" w:eastAsia="zh-CN"/>
              </w:rPr>
              <w:t>09</w:t>
            </w:r>
            <w:r>
              <w:rPr>
                <w:rFonts w:hint="default" w:ascii="Arial" w:hAnsi="Arial" w:eastAsia="宋体" w:cs="Arial"/>
                <w:color w:val="auto"/>
                <w:sz w:val="21"/>
                <w:szCs w:val="21"/>
                <w:highlight w:val="none"/>
              </w:rPr>
              <w:t>5</w:t>
            </w:r>
          </w:p>
        </w:tc>
        <w:tc>
          <w:tcPr>
            <w:tcW w:w="567"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w:t>
            </w:r>
          </w:p>
        </w:tc>
        <w:tc>
          <w:tcPr>
            <w:tcW w:w="567"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w:t>
            </w:r>
          </w:p>
        </w:tc>
        <w:tc>
          <w:tcPr>
            <w:tcW w:w="567"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w:t>
            </w:r>
          </w:p>
        </w:tc>
        <w:tc>
          <w:tcPr>
            <w:tcW w:w="5669"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使用新鲜水</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blHeader/>
          <w:jc w:val="center"/>
        </w:trPr>
        <w:tc>
          <w:tcPr>
            <w:tcW w:w="567"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highlight w:val="none"/>
                <w:lang w:val="en-US" w:eastAsia="zh-CN"/>
              </w:rPr>
              <w:t>4</w:t>
            </w:r>
          </w:p>
        </w:tc>
        <w:tc>
          <w:tcPr>
            <w:tcW w:w="567"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default" w:ascii="Arial" w:hAnsi="Arial" w:eastAsia="宋体" w:cs="Arial"/>
                <w:color w:val="auto"/>
                <w:sz w:val="21"/>
                <w:szCs w:val="21"/>
                <w:highlight w:val="none"/>
                <w:lang w:eastAsia="zh-CN"/>
              </w:rPr>
            </w:pPr>
            <w:r>
              <w:rPr>
                <w:rFonts w:hint="default" w:ascii="Arial" w:hAnsi="Arial" w:eastAsia="宋体" w:cs="Arial"/>
                <w:color w:val="auto"/>
                <w:sz w:val="21"/>
                <w:szCs w:val="21"/>
                <w:highlight w:val="none"/>
                <w:lang w:eastAsia="zh-CN"/>
              </w:rPr>
              <w:t>绿化用水</w:t>
            </w:r>
          </w:p>
        </w:tc>
        <w:tc>
          <w:tcPr>
            <w:tcW w:w="567"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default" w:ascii="Arial" w:hAnsi="Arial" w:eastAsia="宋体" w:cs="Arial"/>
                <w:bCs/>
                <w:color w:val="auto"/>
                <w:sz w:val="21"/>
                <w:szCs w:val="21"/>
                <w:highlight w:val="none"/>
                <w:lang w:val="en-US" w:eastAsia="zh-CN"/>
              </w:rPr>
            </w:pPr>
            <w:r>
              <w:rPr>
                <w:rFonts w:hint="default" w:ascii="Arial" w:hAnsi="Arial" w:eastAsia="宋体" w:cs="Arial"/>
                <w:bCs/>
                <w:color w:val="auto"/>
                <w:sz w:val="21"/>
                <w:szCs w:val="21"/>
                <w:highlight w:val="none"/>
                <w:lang w:val="en-US" w:eastAsia="zh-CN"/>
              </w:rPr>
              <w:t>10000m</w:t>
            </w:r>
            <w:r>
              <w:rPr>
                <w:rFonts w:hint="default" w:ascii="Arial" w:hAnsi="Arial" w:eastAsia="宋体" w:cs="Arial"/>
                <w:bCs/>
                <w:color w:val="auto"/>
                <w:sz w:val="21"/>
                <w:szCs w:val="21"/>
                <w:highlight w:val="none"/>
                <w:vertAlign w:val="superscript"/>
                <w:lang w:val="en-US" w:eastAsia="zh-CN"/>
              </w:rPr>
              <w:t>2</w:t>
            </w:r>
          </w:p>
        </w:tc>
        <w:tc>
          <w:tcPr>
            <w:tcW w:w="567"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default" w:ascii="Arial" w:hAnsi="Arial" w:eastAsia="宋体" w:cs="Arial"/>
                <w:color w:val="auto"/>
                <w:sz w:val="21"/>
                <w:szCs w:val="21"/>
                <w:highlight w:val="none"/>
              </w:rPr>
            </w:pPr>
            <w:r>
              <w:rPr>
                <w:rFonts w:hint="default" w:ascii="Arial" w:hAnsi="Arial" w:eastAsia="宋体" w:cs="Arial"/>
                <w:color w:val="auto"/>
                <w:sz w:val="21"/>
                <w:szCs w:val="21"/>
                <w:lang w:val="en-US" w:eastAsia="zh-CN"/>
              </w:rPr>
              <w:t>2.3</w:t>
            </w:r>
            <w:r>
              <w:rPr>
                <w:rFonts w:hint="default" w:ascii="Arial" w:hAnsi="Arial" w:eastAsia="宋体" w:cs="Arial"/>
                <w:color w:val="auto"/>
                <w:sz w:val="21"/>
                <w:szCs w:val="21"/>
              </w:rPr>
              <w:t>L/</w:t>
            </w:r>
            <w:r>
              <w:rPr>
                <w:rFonts w:hint="default" w:ascii="Arial" w:hAnsi="Arial" w:eastAsia="宋体" w:cs="Arial"/>
                <w:color w:val="auto"/>
                <w:sz w:val="21"/>
                <w:szCs w:val="21"/>
                <w:lang w:val="en-US" w:eastAsia="zh-CN"/>
              </w:rPr>
              <w:t>（</w:t>
            </w:r>
            <w:r>
              <w:rPr>
                <w:rFonts w:hint="default" w:ascii="Arial" w:hAnsi="Arial" w:eastAsia="宋体" w:cs="Arial"/>
                <w:color w:val="auto"/>
                <w:sz w:val="21"/>
                <w:szCs w:val="21"/>
              </w:rPr>
              <w:t>m</w:t>
            </w:r>
            <w:r>
              <w:rPr>
                <w:rFonts w:hint="default" w:ascii="Arial" w:hAnsi="Arial" w:eastAsia="宋体" w:cs="Arial"/>
                <w:color w:val="auto"/>
                <w:sz w:val="21"/>
                <w:szCs w:val="21"/>
                <w:vertAlign w:val="superscript"/>
              </w:rPr>
              <w:t>2</w:t>
            </w:r>
            <w:r>
              <w:rPr>
                <w:rFonts w:hint="default" w:ascii="Arial" w:hAnsi="Arial" w:eastAsia="宋体" w:cs="Arial"/>
                <w:color w:val="auto"/>
                <w:sz w:val="21"/>
                <w:szCs w:val="21"/>
              </w:rPr>
              <w:t>·</w:t>
            </w:r>
            <w:r>
              <w:rPr>
                <w:rFonts w:hint="default" w:ascii="Arial" w:hAnsi="Arial" w:eastAsia="宋体" w:cs="Arial"/>
                <w:color w:val="auto"/>
                <w:sz w:val="21"/>
                <w:szCs w:val="21"/>
                <w:lang w:val="en-US" w:eastAsia="zh-CN"/>
              </w:rPr>
              <w:t>d）</w:t>
            </w:r>
          </w:p>
        </w:tc>
        <w:tc>
          <w:tcPr>
            <w:tcW w:w="567"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highlight w:val="none"/>
                <w:lang w:val="en-US" w:eastAsia="zh-CN"/>
              </w:rPr>
              <w:t>23</w:t>
            </w:r>
          </w:p>
        </w:tc>
        <w:tc>
          <w:tcPr>
            <w:tcW w:w="567"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default" w:ascii="Arial" w:hAnsi="Arial" w:eastAsia="宋体" w:cs="Arial"/>
                <w:color w:val="auto"/>
                <w:sz w:val="21"/>
                <w:szCs w:val="21"/>
                <w:highlight w:val="none"/>
              </w:rPr>
            </w:pPr>
            <w:r>
              <w:rPr>
                <w:rFonts w:hint="default" w:ascii="Arial" w:hAnsi="Arial" w:eastAsia="宋体" w:cs="Arial"/>
                <w:color w:val="auto"/>
                <w:sz w:val="21"/>
                <w:szCs w:val="21"/>
                <w:lang w:val="en-US" w:eastAsia="zh-CN"/>
              </w:rPr>
              <w:t>4140</w:t>
            </w:r>
          </w:p>
        </w:tc>
        <w:tc>
          <w:tcPr>
            <w:tcW w:w="567" w:type="dxa"/>
            <w:vAlign w:val="center"/>
          </w:tcPr>
          <w:p>
            <w:pPr>
              <w:keepNext w:val="0"/>
              <w:keepLines w:val="0"/>
              <w:pageBreakBefore w:val="0"/>
              <w:widowControl w:val="0"/>
              <w:kinsoku/>
              <w:wordWrap/>
              <w:overflowPunct/>
              <w:topLinePunct/>
              <w:autoSpaceDE w:val="0"/>
              <w:autoSpaceDN/>
              <w:bidi w:val="0"/>
              <w:adjustRightInd/>
              <w:snapToGrid/>
              <w:spacing w:line="360" w:lineRule="exact"/>
              <w:ind w:firstLine="420" w:firstLineChars="200"/>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w:t>
            </w:r>
          </w:p>
        </w:tc>
        <w:tc>
          <w:tcPr>
            <w:tcW w:w="567" w:type="dxa"/>
            <w:vAlign w:val="center"/>
          </w:tcPr>
          <w:p>
            <w:pPr>
              <w:keepNext w:val="0"/>
              <w:keepLines w:val="0"/>
              <w:pageBreakBefore w:val="0"/>
              <w:widowControl w:val="0"/>
              <w:kinsoku/>
              <w:wordWrap/>
              <w:overflowPunct/>
              <w:topLinePunct/>
              <w:autoSpaceDE w:val="0"/>
              <w:autoSpaceDN/>
              <w:bidi w:val="0"/>
              <w:adjustRightInd/>
              <w:snapToGrid/>
              <w:spacing w:line="360" w:lineRule="exact"/>
              <w:ind w:firstLine="420" w:firstLineChars="200"/>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w:t>
            </w:r>
          </w:p>
        </w:tc>
        <w:tc>
          <w:tcPr>
            <w:tcW w:w="567" w:type="dxa"/>
            <w:vAlign w:val="center"/>
          </w:tcPr>
          <w:p>
            <w:pPr>
              <w:keepNext w:val="0"/>
              <w:keepLines w:val="0"/>
              <w:pageBreakBefore w:val="0"/>
              <w:widowControl w:val="0"/>
              <w:kinsoku/>
              <w:wordWrap/>
              <w:overflowPunct/>
              <w:topLinePunct/>
              <w:autoSpaceDE w:val="0"/>
              <w:autoSpaceDN/>
              <w:bidi w:val="0"/>
              <w:adjustRightInd/>
              <w:snapToGrid/>
              <w:spacing w:line="360" w:lineRule="exact"/>
              <w:ind w:firstLine="420" w:firstLineChars="200"/>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w:t>
            </w:r>
          </w:p>
        </w:tc>
        <w:tc>
          <w:tcPr>
            <w:tcW w:w="5669"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使用新鲜水</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blHeader/>
          <w:jc w:val="center"/>
        </w:trPr>
        <w:tc>
          <w:tcPr>
            <w:tcW w:w="567" w:type="dxa"/>
            <w:gridSpan w:val="4"/>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新鲜水合计</w:t>
            </w:r>
          </w:p>
        </w:tc>
        <w:tc>
          <w:tcPr>
            <w:tcW w:w="567"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default" w:ascii="Arial" w:hAnsi="Arial" w:eastAsia="宋体" w:cs="Arial"/>
                <w:color w:val="auto"/>
                <w:sz w:val="21"/>
                <w:szCs w:val="21"/>
                <w:highlight w:val="none"/>
                <w:lang w:val="en-US" w:eastAsia="zh-CN"/>
              </w:rPr>
            </w:pPr>
            <w:bookmarkStart w:id="202" w:name="OLE_LINK2"/>
            <w:bookmarkStart w:id="203" w:name="OLE_LINK1"/>
            <w:r>
              <w:rPr>
                <w:rFonts w:hint="default" w:ascii="Arial" w:hAnsi="Arial" w:eastAsia="宋体" w:cs="Arial"/>
                <w:color w:val="auto"/>
                <w:sz w:val="21"/>
                <w:szCs w:val="21"/>
                <w:highlight w:val="none"/>
              </w:rPr>
              <w:t>夏</w:t>
            </w:r>
            <w:bookmarkEnd w:id="202"/>
            <w:bookmarkEnd w:id="203"/>
            <w:r>
              <w:rPr>
                <w:rFonts w:hint="default" w:ascii="Arial" w:hAnsi="Arial" w:eastAsia="宋体" w:cs="Arial"/>
                <w:color w:val="auto"/>
                <w:sz w:val="21"/>
                <w:szCs w:val="21"/>
                <w:highlight w:val="none"/>
                <w:lang w:val="en-US" w:eastAsia="zh-CN"/>
              </w:rPr>
              <w:t>627.8</w:t>
            </w:r>
          </w:p>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highlight w:val="none"/>
              </w:rPr>
              <w:t>冬</w:t>
            </w:r>
            <w:r>
              <w:rPr>
                <w:rFonts w:hint="default" w:ascii="Arial" w:hAnsi="Arial" w:eastAsia="宋体" w:cs="Arial"/>
                <w:color w:val="auto"/>
                <w:sz w:val="21"/>
                <w:szCs w:val="21"/>
                <w:highlight w:val="none"/>
                <w:lang w:val="en-US" w:eastAsia="zh-CN"/>
              </w:rPr>
              <w:t>527.8</w:t>
            </w:r>
          </w:p>
        </w:tc>
        <w:tc>
          <w:tcPr>
            <w:tcW w:w="567"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highlight w:val="none"/>
                <w:lang w:val="en-US" w:eastAsia="zh-CN"/>
              </w:rPr>
              <w:t>206392</w:t>
            </w:r>
          </w:p>
        </w:tc>
        <w:tc>
          <w:tcPr>
            <w:tcW w:w="567"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w:t>
            </w:r>
          </w:p>
        </w:tc>
        <w:tc>
          <w:tcPr>
            <w:tcW w:w="567"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lang w:val="en-US" w:eastAsia="zh-CN"/>
              </w:rPr>
              <w:t>1.44</w:t>
            </w:r>
          </w:p>
        </w:tc>
        <w:tc>
          <w:tcPr>
            <w:tcW w:w="567"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lang w:val="en-US" w:eastAsia="zh-CN"/>
              </w:rPr>
              <w:t>525.6</w:t>
            </w:r>
          </w:p>
        </w:tc>
        <w:tc>
          <w:tcPr>
            <w:tcW w:w="5669"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w:t>
            </w:r>
          </w:p>
        </w:tc>
      </w:tr>
    </w:tbl>
    <w:p>
      <w:pPr>
        <w:bidi w:val="0"/>
        <w:rPr>
          <w:rFonts w:hint="default" w:ascii="Arial" w:hAnsi="Arial" w:eastAsia="宋体" w:cs="Arial"/>
          <w:color w:val="auto"/>
          <w:highlight w:val="none"/>
        </w:rPr>
        <w:sectPr>
          <w:pgSz w:w="16838" w:h="11906" w:orient="landscape"/>
          <w:pgMar w:top="1418" w:right="1247" w:bottom="1701" w:left="1418" w:header="851" w:footer="680" w:gutter="0"/>
          <w:pgBorders>
            <w:top w:val="none" w:sz="0" w:space="0"/>
            <w:left w:val="none" w:sz="0" w:space="0"/>
            <w:bottom w:val="none" w:sz="0" w:space="0"/>
            <w:right w:val="none" w:sz="0" w:space="0"/>
          </w:pgBorders>
          <w:pgNumType w:fmt="numberInDash"/>
          <w:cols w:space="425" w:num="1"/>
          <w:docGrid w:linePitch="326" w:charSpace="0"/>
        </w:sectPr>
      </w:pPr>
    </w:p>
    <w:p>
      <w:pPr>
        <w:bidi w:val="0"/>
        <w:ind w:left="0" w:leftChars="0" w:firstLine="0" w:firstLineChars="0"/>
        <w:rPr>
          <w:rFonts w:hint="default" w:ascii="Arial" w:hAnsi="Arial" w:eastAsia="宋体" w:cs="Arial"/>
          <w:color w:val="auto"/>
          <w:lang w:eastAsia="zh-CN"/>
        </w:rPr>
      </w:pPr>
      <w:r>
        <w:rPr>
          <w:rFonts w:hint="default" w:ascii="Arial" w:hAnsi="Arial" w:eastAsia="宋体" w:cs="Arial"/>
          <w:color w:val="auto"/>
          <w:lang w:eastAsia="zh-CN"/>
        </w:rPr>
        <w:pict>
          <v:shape id="_x0000_s1026" o:spid="_x0000_s1026" o:spt="75" type="#_x0000_t75" style="position:absolute;left:0pt;margin-left:23.45pt;margin-top:12.2pt;height:224.45pt;width:385.5pt;z-index:251742208;mso-width-relative:page;mso-height-relative:page;" o:ole="t" filled="f" o:preferrelative="t" stroked="f" coordsize="21600,21600">
            <v:path/>
            <v:fill on="f" focussize="0,0"/>
            <v:stroke on="f"/>
            <v:imagedata r:id="rId21" o:title=""/>
            <o:lock v:ext="edit" aspectratio="t"/>
          </v:shape>
          <o:OLEObject Type="Embed" ProgID="Visio.Drawing.11" ShapeID="_x0000_s1026" DrawAspect="Content" ObjectID="_1468075726" r:id="rId20">
            <o:LockedField>false</o:LockedField>
          </o:OLEObject>
        </w:pict>
      </w:r>
    </w:p>
    <w:p>
      <w:pPr>
        <w:bidi w:val="0"/>
        <w:rPr>
          <w:rFonts w:hint="default" w:ascii="Arial" w:hAnsi="Arial" w:eastAsia="宋体" w:cs="Arial"/>
          <w:color w:val="auto"/>
        </w:rPr>
      </w:pPr>
    </w:p>
    <w:p>
      <w:pPr>
        <w:bidi w:val="0"/>
        <w:rPr>
          <w:rFonts w:hint="default" w:ascii="Arial" w:hAnsi="Arial" w:eastAsia="宋体" w:cs="Arial"/>
          <w:color w:val="auto"/>
        </w:rPr>
      </w:pPr>
    </w:p>
    <w:p>
      <w:pPr>
        <w:bidi w:val="0"/>
        <w:rPr>
          <w:rFonts w:hint="default" w:ascii="Arial" w:hAnsi="Arial" w:eastAsia="宋体" w:cs="Arial"/>
          <w:color w:val="auto"/>
          <w:lang w:eastAsia="zh-CN"/>
        </w:rPr>
      </w:pPr>
    </w:p>
    <w:p>
      <w:pPr>
        <w:ind w:left="0" w:leftChars="0" w:firstLine="0" w:firstLineChars="0"/>
        <w:jc w:val="center"/>
        <w:rPr>
          <w:rFonts w:hint="default" w:ascii="Arial" w:hAnsi="Arial" w:eastAsia="宋体" w:cs="Arial"/>
          <w:b/>
          <w:bCs/>
          <w:color w:val="auto"/>
        </w:rPr>
      </w:pPr>
    </w:p>
    <w:p>
      <w:pPr>
        <w:ind w:left="0" w:leftChars="0" w:firstLine="0" w:firstLineChars="0"/>
        <w:jc w:val="center"/>
        <w:rPr>
          <w:rFonts w:hint="default" w:ascii="Arial" w:hAnsi="Arial" w:eastAsia="宋体" w:cs="Arial"/>
          <w:b/>
          <w:bCs/>
          <w:color w:val="auto"/>
          <w:lang w:eastAsia="zh-CN"/>
        </w:rPr>
      </w:pPr>
    </w:p>
    <w:p>
      <w:pPr>
        <w:ind w:left="0" w:leftChars="0" w:firstLine="0" w:firstLineChars="0"/>
        <w:jc w:val="center"/>
        <w:rPr>
          <w:rFonts w:hint="default" w:ascii="Arial" w:hAnsi="Arial" w:eastAsia="宋体" w:cs="Arial"/>
          <w:b/>
          <w:bCs/>
          <w:color w:val="auto"/>
        </w:rPr>
      </w:pPr>
    </w:p>
    <w:p>
      <w:pPr>
        <w:ind w:left="0" w:leftChars="0" w:firstLine="0" w:firstLineChars="0"/>
        <w:jc w:val="center"/>
        <w:rPr>
          <w:rFonts w:hint="default" w:ascii="Arial" w:hAnsi="Arial" w:eastAsia="宋体" w:cs="Arial"/>
          <w:b/>
          <w:bCs/>
          <w:color w:val="auto"/>
        </w:rPr>
      </w:pPr>
    </w:p>
    <w:p>
      <w:pPr>
        <w:ind w:left="0" w:leftChars="0" w:firstLine="0" w:firstLineChars="0"/>
        <w:jc w:val="center"/>
        <w:rPr>
          <w:rFonts w:hint="default" w:ascii="Arial" w:hAnsi="Arial" w:eastAsia="宋体" w:cs="Arial"/>
          <w:b/>
          <w:bCs/>
          <w:color w:val="auto"/>
        </w:rPr>
      </w:pPr>
    </w:p>
    <w:p>
      <w:pPr>
        <w:ind w:left="0" w:leftChars="0" w:firstLine="0" w:firstLineChars="0"/>
        <w:jc w:val="center"/>
        <w:rPr>
          <w:rFonts w:hint="default" w:ascii="Arial" w:hAnsi="Arial" w:eastAsia="宋体" w:cs="Arial"/>
          <w:b/>
          <w:bCs/>
          <w:color w:val="auto"/>
        </w:rPr>
      </w:pPr>
    </w:p>
    <w:p>
      <w:pPr>
        <w:ind w:left="0" w:leftChars="0" w:firstLine="0" w:firstLineChars="0"/>
        <w:jc w:val="center"/>
        <w:rPr>
          <w:rFonts w:hint="default" w:ascii="Arial" w:hAnsi="Arial" w:eastAsia="宋体" w:cs="Arial"/>
          <w:b/>
          <w:bCs/>
          <w:color w:val="auto"/>
        </w:rPr>
      </w:pPr>
    </w:p>
    <w:p>
      <w:pPr>
        <w:ind w:left="0" w:leftChars="0" w:firstLine="0" w:firstLineChars="0"/>
        <w:jc w:val="center"/>
        <w:rPr>
          <w:rFonts w:hint="default" w:ascii="Arial" w:hAnsi="Arial" w:eastAsia="宋体" w:cs="Arial"/>
          <w:color w:val="auto"/>
          <w:lang w:val="en-US" w:eastAsia="zh-CN"/>
        </w:rPr>
      </w:pPr>
      <w:r>
        <w:rPr>
          <w:rFonts w:hint="default" w:ascii="Arial" w:hAnsi="Arial" w:eastAsia="宋体" w:cs="Arial"/>
          <w:b/>
          <w:bCs/>
          <w:color w:val="auto"/>
        </w:rPr>
        <w:t>图3.1-</w:t>
      </w:r>
      <w:r>
        <w:rPr>
          <w:rFonts w:hint="default" w:ascii="Arial" w:hAnsi="Arial" w:eastAsia="宋体" w:cs="Arial"/>
          <w:b/>
          <w:bCs/>
          <w:color w:val="auto"/>
          <w:lang w:val="en-US" w:eastAsia="zh-CN"/>
        </w:rPr>
        <w:t xml:space="preserve">3  </w:t>
      </w:r>
      <w:r>
        <w:rPr>
          <w:rFonts w:hint="default" w:ascii="Arial" w:hAnsi="Arial" w:eastAsia="宋体" w:cs="Arial"/>
          <w:b/>
          <w:bCs/>
          <w:color w:val="auto"/>
          <w:lang w:eastAsia="zh-CN"/>
        </w:rPr>
        <w:t>夏季</w:t>
      </w:r>
      <w:r>
        <w:rPr>
          <w:rFonts w:hint="default" w:ascii="Arial" w:hAnsi="Arial" w:eastAsia="宋体" w:cs="Arial"/>
          <w:b/>
          <w:bCs/>
          <w:color w:val="auto"/>
        </w:rPr>
        <w:t>水平衡</w:t>
      </w:r>
      <w:r>
        <w:rPr>
          <w:rFonts w:hint="default" w:ascii="Arial" w:hAnsi="Arial" w:eastAsia="宋体" w:cs="Arial"/>
          <w:b/>
          <w:bCs/>
          <w:color w:val="auto"/>
          <w:lang w:eastAsia="zh-CN"/>
        </w:rPr>
        <w:t>图</w:t>
      </w:r>
      <w:r>
        <w:rPr>
          <w:rFonts w:hint="default" w:ascii="Arial" w:hAnsi="Arial" w:eastAsia="宋体" w:cs="Arial"/>
          <w:b/>
          <w:bCs/>
          <w:color w:val="auto"/>
          <w:lang w:val="en-US" w:eastAsia="zh-CN"/>
        </w:rPr>
        <w:t xml:space="preserve">   单位：t/d</w:t>
      </w:r>
    </w:p>
    <w:p>
      <w:pPr>
        <w:ind w:left="0" w:leftChars="0" w:firstLine="0" w:firstLineChars="0"/>
        <w:jc w:val="center"/>
        <w:rPr>
          <w:rFonts w:hint="default" w:ascii="Arial" w:hAnsi="Arial" w:eastAsia="宋体" w:cs="Arial"/>
          <w:b/>
          <w:bCs/>
          <w:color w:val="auto"/>
        </w:rPr>
      </w:pPr>
      <w:r>
        <w:rPr>
          <w:rFonts w:hint="default" w:ascii="Arial" w:hAnsi="Arial" w:eastAsia="宋体" w:cs="Arial"/>
          <w:color w:val="auto"/>
          <w:lang w:eastAsia="zh-CN"/>
        </w:rPr>
        <w:pict>
          <v:shape id="_x0000_s1027" o:spid="_x0000_s1027" o:spt="75" type="#_x0000_t75" style="position:absolute;left:0pt;margin-left:21.2pt;margin-top:7.15pt;height:224.45pt;width:385.5pt;z-index:251743232;mso-width-relative:page;mso-height-relative:page;" o:ole="t" filled="f" o:preferrelative="t" stroked="f" coordsize="21600,21600">
            <v:path/>
            <v:fill on="f" focussize="0,0"/>
            <v:stroke on="f"/>
            <v:imagedata r:id="rId23" o:title=""/>
            <o:lock v:ext="edit" aspectratio="t"/>
          </v:shape>
          <o:OLEObject Type="Embed" ProgID="Visio.Drawing.11" ShapeID="_x0000_s1027" DrawAspect="Content" ObjectID="_1468075727" r:id="rId22">
            <o:LockedField>false</o:LockedField>
          </o:OLEObject>
        </w:pict>
      </w:r>
    </w:p>
    <w:p>
      <w:pPr>
        <w:ind w:left="0" w:leftChars="0" w:firstLine="0" w:firstLineChars="0"/>
        <w:jc w:val="center"/>
        <w:rPr>
          <w:rFonts w:hint="default" w:ascii="Arial" w:hAnsi="Arial" w:eastAsia="宋体" w:cs="Arial"/>
          <w:b/>
          <w:bCs/>
          <w:color w:val="auto"/>
        </w:rPr>
      </w:pPr>
    </w:p>
    <w:p>
      <w:pPr>
        <w:ind w:left="0" w:leftChars="0" w:firstLine="0" w:firstLineChars="0"/>
        <w:jc w:val="center"/>
        <w:rPr>
          <w:rFonts w:hint="default" w:ascii="Arial" w:hAnsi="Arial" w:eastAsia="宋体" w:cs="Arial"/>
          <w:b/>
          <w:bCs/>
          <w:color w:val="auto"/>
        </w:rPr>
      </w:pPr>
    </w:p>
    <w:p>
      <w:pPr>
        <w:ind w:left="0" w:leftChars="0" w:firstLine="0" w:firstLineChars="0"/>
        <w:jc w:val="center"/>
        <w:rPr>
          <w:rFonts w:hint="default" w:ascii="Arial" w:hAnsi="Arial" w:eastAsia="宋体" w:cs="Arial"/>
          <w:b/>
          <w:bCs/>
          <w:color w:val="auto"/>
        </w:rPr>
      </w:pPr>
    </w:p>
    <w:p>
      <w:pPr>
        <w:ind w:left="0" w:leftChars="0" w:firstLine="0" w:firstLineChars="0"/>
        <w:jc w:val="center"/>
        <w:rPr>
          <w:rFonts w:hint="default" w:ascii="Arial" w:hAnsi="Arial" w:eastAsia="宋体" w:cs="Arial"/>
          <w:b/>
          <w:bCs/>
          <w:color w:val="auto"/>
        </w:rPr>
      </w:pPr>
    </w:p>
    <w:p>
      <w:pPr>
        <w:ind w:left="0" w:leftChars="0" w:firstLine="0" w:firstLineChars="0"/>
        <w:jc w:val="center"/>
        <w:rPr>
          <w:rFonts w:hint="default" w:ascii="Arial" w:hAnsi="Arial" w:eastAsia="宋体" w:cs="Arial"/>
          <w:b/>
          <w:bCs/>
          <w:color w:val="auto"/>
        </w:rPr>
      </w:pPr>
    </w:p>
    <w:p>
      <w:pPr>
        <w:ind w:left="0" w:leftChars="0" w:firstLine="0" w:firstLineChars="0"/>
        <w:jc w:val="center"/>
        <w:rPr>
          <w:rFonts w:hint="default" w:ascii="Arial" w:hAnsi="Arial" w:eastAsia="宋体" w:cs="Arial"/>
          <w:b/>
          <w:bCs/>
          <w:color w:val="auto"/>
        </w:rPr>
      </w:pPr>
    </w:p>
    <w:p>
      <w:pPr>
        <w:ind w:left="0" w:leftChars="0" w:firstLine="0" w:firstLineChars="0"/>
        <w:jc w:val="center"/>
        <w:rPr>
          <w:rFonts w:hint="default" w:ascii="Arial" w:hAnsi="Arial" w:eastAsia="宋体" w:cs="Arial"/>
          <w:b/>
          <w:bCs/>
          <w:color w:val="auto"/>
        </w:rPr>
      </w:pPr>
    </w:p>
    <w:p>
      <w:pPr>
        <w:bidi w:val="0"/>
        <w:rPr>
          <w:rFonts w:hint="default" w:ascii="Arial" w:hAnsi="Arial" w:eastAsia="宋体" w:cs="Arial"/>
          <w:color w:val="auto"/>
        </w:rPr>
      </w:pPr>
    </w:p>
    <w:p>
      <w:pPr>
        <w:bidi w:val="0"/>
        <w:rPr>
          <w:rFonts w:hint="default" w:ascii="Arial" w:hAnsi="Arial" w:eastAsia="宋体" w:cs="Arial"/>
          <w:color w:val="auto"/>
        </w:rPr>
      </w:pPr>
    </w:p>
    <w:p>
      <w:pPr>
        <w:ind w:left="0" w:leftChars="0" w:firstLine="0" w:firstLineChars="0"/>
        <w:jc w:val="center"/>
        <w:rPr>
          <w:rFonts w:hint="default" w:ascii="Arial" w:hAnsi="Arial" w:eastAsia="宋体" w:cs="Arial"/>
          <w:color w:val="auto"/>
        </w:rPr>
      </w:pPr>
      <w:r>
        <w:rPr>
          <w:rFonts w:hint="default" w:ascii="Arial" w:hAnsi="Arial" w:eastAsia="宋体" w:cs="Arial"/>
          <w:b/>
          <w:bCs/>
          <w:color w:val="auto"/>
          <w:lang w:eastAsia="zh-CN"/>
        </w:rPr>
        <w:t>图</w:t>
      </w:r>
      <w:r>
        <w:rPr>
          <w:rFonts w:hint="default" w:ascii="Arial" w:hAnsi="Arial" w:eastAsia="宋体" w:cs="Arial"/>
          <w:b/>
          <w:bCs/>
          <w:color w:val="auto"/>
          <w:lang w:val="en-US" w:eastAsia="zh-CN"/>
        </w:rPr>
        <w:t>3.1-4   冬季水平衡图   单位：t/d</w:t>
      </w:r>
    </w:p>
    <w:p>
      <w:pPr>
        <w:ind w:firstLine="480"/>
        <w:rPr>
          <w:rFonts w:hint="default" w:ascii="Arial" w:hAnsi="Arial" w:eastAsia="宋体" w:cs="Arial"/>
          <w:color w:val="auto"/>
          <w:highlight w:val="none"/>
        </w:rPr>
      </w:pPr>
      <w:r>
        <w:rPr>
          <w:rFonts w:hint="default" w:ascii="Arial" w:hAnsi="Arial" w:eastAsia="宋体" w:cs="Arial"/>
          <w:color w:val="auto"/>
          <w:highlight w:val="none"/>
        </w:rPr>
        <w:t>项目采用雨污分流排水。</w:t>
      </w:r>
    </w:p>
    <w:p>
      <w:pPr>
        <w:ind w:firstLine="480"/>
        <w:rPr>
          <w:rFonts w:hint="default" w:ascii="Arial" w:hAnsi="Arial" w:eastAsia="宋体" w:cs="Arial"/>
          <w:color w:val="auto"/>
          <w:highlight w:val="none"/>
        </w:rPr>
      </w:pPr>
      <w:r>
        <w:rPr>
          <w:rFonts w:hint="default" w:ascii="Arial" w:hAnsi="Arial" w:eastAsia="宋体" w:cs="Arial"/>
          <w:color w:val="auto"/>
          <w:highlight w:val="none"/>
        </w:rPr>
        <w:t>（1）牛舍屋面设置合适坡度并在屋檐设置导流槽，将雨水导出不排入运动场内，屋面雨水采用自流式排水，经过雨水管道排入场区排水沟排出。</w:t>
      </w:r>
    </w:p>
    <w:p>
      <w:pPr>
        <w:ind w:firstLine="480"/>
        <w:rPr>
          <w:rFonts w:hint="default" w:ascii="Arial" w:hAnsi="Arial" w:eastAsia="宋体" w:cs="Arial"/>
          <w:color w:val="auto"/>
          <w:highlight w:val="none"/>
        </w:rPr>
      </w:pPr>
      <w:r>
        <w:rPr>
          <w:rFonts w:hint="default" w:ascii="Arial" w:hAnsi="Arial" w:eastAsia="宋体" w:cs="Arial"/>
          <w:color w:val="auto"/>
          <w:highlight w:val="none"/>
        </w:rPr>
        <w:t>（2）运动场设置挡水坡道，防止雨水进入运动场；</w:t>
      </w:r>
    </w:p>
    <w:p>
      <w:pPr>
        <w:ind w:firstLine="480"/>
        <w:rPr>
          <w:rFonts w:hint="default" w:ascii="Arial" w:hAnsi="Arial" w:eastAsia="宋体" w:cs="Arial"/>
          <w:color w:val="auto"/>
          <w:highlight w:val="none"/>
        </w:rPr>
      </w:pPr>
      <w:r>
        <w:rPr>
          <w:rFonts w:hint="default" w:ascii="Arial" w:hAnsi="Arial" w:eastAsia="宋体" w:cs="Arial"/>
          <w:color w:val="auto"/>
          <w:highlight w:val="none"/>
        </w:rPr>
        <w:t>（3）</w:t>
      </w:r>
      <w:r>
        <w:rPr>
          <w:rFonts w:hint="default" w:ascii="Arial" w:hAnsi="Arial" w:eastAsia="宋体" w:cs="Arial"/>
          <w:color w:val="auto"/>
          <w:highlight w:val="none"/>
          <w:lang w:eastAsia="zh-CN"/>
        </w:rPr>
        <w:t>堆肥场</w:t>
      </w:r>
      <w:r>
        <w:rPr>
          <w:rFonts w:hint="default" w:ascii="Arial" w:hAnsi="Arial" w:eastAsia="宋体" w:cs="Arial"/>
          <w:color w:val="auto"/>
          <w:highlight w:val="none"/>
        </w:rPr>
        <w:t>底部进行硬化防渗处理，四面设围墙及导流渠，墙高</w:t>
      </w:r>
      <w:r>
        <w:rPr>
          <w:rFonts w:hint="default" w:ascii="Arial" w:hAnsi="Arial" w:eastAsia="宋体" w:cs="Arial"/>
          <w:color w:val="auto"/>
          <w:highlight w:val="none"/>
          <w:lang w:val="en-US" w:eastAsia="zh-CN"/>
        </w:rPr>
        <w:t>1</w:t>
      </w:r>
      <w:r>
        <w:rPr>
          <w:rFonts w:hint="default" w:ascii="Arial" w:hAnsi="Arial" w:eastAsia="宋体" w:cs="Arial"/>
          <w:color w:val="auto"/>
          <w:highlight w:val="none"/>
        </w:rPr>
        <w:t>m，防止进因雨水进入造成外溢，形成二次污染。</w:t>
      </w:r>
    </w:p>
    <w:p>
      <w:pPr>
        <w:ind w:firstLine="480"/>
        <w:rPr>
          <w:rFonts w:hint="default" w:ascii="Arial" w:hAnsi="Arial" w:eastAsia="宋体" w:cs="Arial"/>
          <w:color w:val="auto"/>
          <w:highlight w:val="none"/>
        </w:rPr>
      </w:pPr>
      <w:r>
        <w:rPr>
          <w:rFonts w:hint="default" w:ascii="Arial" w:hAnsi="Arial" w:eastAsia="宋体" w:cs="Arial"/>
          <w:color w:val="auto"/>
          <w:highlight w:val="none"/>
        </w:rPr>
        <w:t>项目清净雨水，通过场区雨水管道自流式排出。</w:t>
      </w:r>
    </w:p>
    <w:p>
      <w:pPr>
        <w:pStyle w:val="7"/>
        <w:rPr>
          <w:rFonts w:hint="default" w:ascii="Arial" w:hAnsi="Arial" w:eastAsia="宋体" w:cs="Arial"/>
          <w:color w:val="auto"/>
          <w:highlight w:val="none"/>
        </w:rPr>
      </w:pPr>
      <w:r>
        <w:rPr>
          <w:rFonts w:hint="default" w:ascii="Arial" w:hAnsi="Arial" w:eastAsia="宋体" w:cs="Arial"/>
          <w:color w:val="auto"/>
          <w:highlight w:val="none"/>
        </w:rPr>
        <w:t>3.1.6.3供电</w:t>
      </w:r>
    </w:p>
    <w:p>
      <w:pPr>
        <w:ind w:firstLine="480"/>
        <w:rPr>
          <w:rFonts w:hint="default" w:ascii="Arial" w:hAnsi="Arial" w:eastAsia="宋体" w:cs="Arial"/>
          <w:color w:val="auto"/>
          <w:highlight w:val="none"/>
        </w:rPr>
      </w:pPr>
      <w:r>
        <w:rPr>
          <w:rFonts w:hint="default" w:ascii="Arial" w:hAnsi="Arial" w:eastAsia="宋体" w:cs="Arial"/>
          <w:color w:val="auto"/>
          <w:highlight w:val="none"/>
        </w:rPr>
        <w:t>本项目用电由当地供电网络提供电源，本项目设变配电室1座，安装容量为315KVA变压器1台，年用电量为15.61万KW·h。</w:t>
      </w:r>
    </w:p>
    <w:p>
      <w:pPr>
        <w:ind w:firstLine="480"/>
        <w:rPr>
          <w:rFonts w:hint="default" w:ascii="Arial" w:hAnsi="Arial" w:eastAsia="宋体" w:cs="Arial"/>
          <w:color w:val="auto"/>
          <w:highlight w:val="none"/>
        </w:rPr>
      </w:pPr>
      <w:r>
        <w:rPr>
          <w:rFonts w:hint="default" w:ascii="Arial" w:hAnsi="Arial" w:eastAsia="宋体" w:cs="Arial"/>
          <w:color w:val="auto"/>
          <w:highlight w:val="none"/>
        </w:rPr>
        <w:t>配电线路采用放射式方式敷设。场区内的电缆采用电缆架空、穿管埋地敷设和直埋敷设相结合的方式。照明导线敷设方式为穿阻燃PVC管暗配或明配。</w:t>
      </w:r>
    </w:p>
    <w:p>
      <w:pPr>
        <w:pStyle w:val="7"/>
        <w:rPr>
          <w:rFonts w:hint="default" w:ascii="Arial" w:hAnsi="Arial" w:eastAsia="宋体" w:cs="Arial"/>
          <w:color w:val="auto"/>
          <w:highlight w:val="none"/>
        </w:rPr>
      </w:pPr>
      <w:r>
        <w:rPr>
          <w:rFonts w:hint="default" w:ascii="Arial" w:hAnsi="Arial" w:eastAsia="宋体" w:cs="Arial"/>
          <w:color w:val="auto"/>
          <w:highlight w:val="none"/>
        </w:rPr>
        <w:t>3.1.6.4供热</w:t>
      </w:r>
    </w:p>
    <w:p>
      <w:pPr>
        <w:ind w:firstLine="480"/>
        <w:rPr>
          <w:rFonts w:hint="default" w:ascii="Arial" w:hAnsi="Arial" w:eastAsia="宋体" w:cs="Arial"/>
          <w:color w:val="auto"/>
          <w:highlight w:val="none"/>
        </w:rPr>
      </w:pPr>
      <w:r>
        <w:rPr>
          <w:rFonts w:hint="default" w:ascii="Arial" w:hAnsi="Arial" w:eastAsia="宋体" w:cs="Arial"/>
          <w:color w:val="auto"/>
          <w:highlight w:val="none"/>
        </w:rPr>
        <w:t>本项目牛舍冬季不供暖。牛是恒温动物，在一般情况下，如果气温不适，牛体可通过自身的调节来保持体温的基本恒定。</w:t>
      </w:r>
    </w:p>
    <w:p>
      <w:pPr>
        <w:ind w:firstLine="480"/>
        <w:rPr>
          <w:rFonts w:hint="default" w:ascii="Arial" w:hAnsi="Arial" w:eastAsia="宋体" w:cs="Arial"/>
          <w:color w:val="auto"/>
          <w:highlight w:val="none"/>
        </w:rPr>
      </w:pPr>
      <w:r>
        <w:rPr>
          <w:rFonts w:hint="default" w:ascii="Arial" w:hAnsi="Arial" w:eastAsia="宋体" w:cs="Arial"/>
          <w:color w:val="auto"/>
          <w:highlight w:val="none"/>
        </w:rPr>
        <w:t>项目需要供暖的区域</w:t>
      </w:r>
      <w:r>
        <w:rPr>
          <w:rFonts w:hint="default" w:ascii="Arial" w:hAnsi="Arial" w:eastAsia="宋体" w:cs="Arial"/>
          <w:color w:val="auto"/>
          <w:highlight w:val="none"/>
          <w:lang w:eastAsia="zh-CN"/>
        </w:rPr>
        <w:t>为办公室，</w:t>
      </w:r>
      <w:r>
        <w:rPr>
          <w:rFonts w:hint="default" w:ascii="Arial" w:hAnsi="Arial" w:eastAsia="宋体" w:cs="Arial"/>
          <w:color w:val="auto"/>
          <w:highlight w:val="none"/>
        </w:rPr>
        <w:t>采用3台空气能采暖设备供暖。</w:t>
      </w:r>
    </w:p>
    <w:p>
      <w:pPr>
        <w:pStyle w:val="7"/>
        <w:rPr>
          <w:rFonts w:hint="default" w:ascii="Arial" w:hAnsi="Arial" w:eastAsia="宋体" w:cs="Arial"/>
          <w:color w:val="auto"/>
          <w:highlight w:val="none"/>
        </w:rPr>
      </w:pPr>
      <w:r>
        <w:rPr>
          <w:rFonts w:hint="default" w:ascii="Arial" w:hAnsi="Arial" w:eastAsia="宋体" w:cs="Arial"/>
          <w:color w:val="auto"/>
          <w:highlight w:val="none"/>
        </w:rPr>
        <w:t>3.1.6.</w:t>
      </w:r>
      <w:r>
        <w:rPr>
          <w:rFonts w:hint="default" w:ascii="Arial" w:hAnsi="Arial" w:eastAsia="宋体" w:cs="Arial"/>
          <w:color w:val="auto"/>
          <w:highlight w:val="none"/>
          <w:lang w:val="en-US" w:eastAsia="zh-CN"/>
        </w:rPr>
        <w:t>5</w:t>
      </w:r>
      <w:r>
        <w:rPr>
          <w:rFonts w:hint="default" w:ascii="Arial" w:hAnsi="Arial" w:eastAsia="宋体" w:cs="Arial"/>
          <w:color w:val="auto"/>
          <w:highlight w:val="none"/>
        </w:rPr>
        <w:t>牛舍保暖和通风</w:t>
      </w:r>
    </w:p>
    <w:p>
      <w:pPr>
        <w:ind w:firstLine="480"/>
        <w:rPr>
          <w:rFonts w:hint="default" w:ascii="Arial" w:hAnsi="Arial" w:eastAsia="宋体" w:cs="Arial"/>
          <w:color w:val="auto"/>
          <w:highlight w:val="none"/>
          <w:lang w:val="zh-CN"/>
        </w:rPr>
      </w:pPr>
      <w:r>
        <w:rPr>
          <w:rFonts w:hint="default" w:ascii="Arial" w:hAnsi="Arial" w:eastAsia="宋体" w:cs="Arial"/>
          <w:color w:val="auto"/>
          <w:highlight w:val="none"/>
          <w:lang w:val="zh-CN"/>
        </w:rPr>
        <w:t>牛舍冬季采用牛舍封闭的方式进行保暖，不设供暖设施；春秋季节将去掉牛舍的围挡，将牛舍的上半部分和门均敞开，以自然通风的方式进行牛舍换气；夏季则开启通风风扇对牛舍进行强制通风。</w:t>
      </w:r>
    </w:p>
    <w:p>
      <w:pPr>
        <w:pStyle w:val="6"/>
        <w:rPr>
          <w:rFonts w:hint="default" w:ascii="Arial" w:hAnsi="Arial" w:eastAsia="宋体" w:cs="Arial"/>
          <w:color w:val="auto"/>
          <w:highlight w:val="none"/>
        </w:rPr>
      </w:pPr>
      <w:bookmarkStart w:id="204" w:name="_Toc46421088"/>
      <w:bookmarkStart w:id="205" w:name="_Toc523322290"/>
      <w:bookmarkStart w:id="206" w:name="_Toc494206290"/>
      <w:bookmarkStart w:id="207" w:name="_Toc20542"/>
      <w:r>
        <w:rPr>
          <w:rFonts w:hint="default" w:ascii="Arial" w:hAnsi="Arial" w:eastAsia="宋体" w:cs="Arial"/>
          <w:color w:val="auto"/>
          <w:highlight w:val="none"/>
        </w:rPr>
        <w:t>3.1.</w:t>
      </w:r>
      <w:r>
        <w:rPr>
          <w:rFonts w:hint="default" w:ascii="Arial" w:hAnsi="Arial" w:eastAsia="宋体" w:cs="Arial"/>
          <w:color w:val="auto"/>
          <w:highlight w:val="none"/>
          <w:lang w:val="en-US" w:eastAsia="zh-CN"/>
        </w:rPr>
        <w:t>7</w:t>
      </w:r>
      <w:r>
        <w:rPr>
          <w:rFonts w:hint="default" w:ascii="Arial" w:hAnsi="Arial" w:eastAsia="宋体" w:cs="Arial"/>
          <w:color w:val="auto"/>
          <w:highlight w:val="none"/>
        </w:rPr>
        <w:t>储运工程</w:t>
      </w:r>
      <w:bookmarkEnd w:id="204"/>
      <w:bookmarkEnd w:id="205"/>
      <w:bookmarkEnd w:id="206"/>
      <w:bookmarkEnd w:id="207"/>
    </w:p>
    <w:p>
      <w:pPr>
        <w:ind w:firstLine="480"/>
        <w:rPr>
          <w:rFonts w:hint="default" w:ascii="Arial" w:hAnsi="Arial" w:eastAsia="宋体" w:cs="Arial"/>
          <w:color w:val="auto"/>
          <w:highlight w:val="none"/>
        </w:rPr>
      </w:pPr>
      <w:bookmarkStart w:id="208" w:name="_Toc316054063"/>
      <w:r>
        <w:rPr>
          <w:rFonts w:hint="default" w:ascii="Arial" w:hAnsi="Arial" w:eastAsia="宋体" w:cs="Arial"/>
          <w:color w:val="auto"/>
          <w:highlight w:val="none"/>
        </w:rPr>
        <w:t>（1）厂外运输</w:t>
      </w:r>
      <w:bookmarkEnd w:id="208"/>
    </w:p>
    <w:p>
      <w:pPr>
        <w:ind w:firstLine="480"/>
        <w:rPr>
          <w:rFonts w:hint="default" w:ascii="Arial" w:hAnsi="Arial" w:eastAsia="宋体" w:cs="Arial"/>
          <w:color w:val="auto"/>
          <w:highlight w:val="none"/>
        </w:rPr>
      </w:pPr>
      <w:r>
        <w:rPr>
          <w:rFonts w:hint="default" w:ascii="Arial" w:hAnsi="Arial" w:eastAsia="宋体" w:cs="Arial"/>
          <w:color w:val="auto"/>
          <w:highlight w:val="none"/>
        </w:rPr>
        <w:t>本厂主要采用公路运输方式，原料（饲料）运输主要由公路承担。</w:t>
      </w:r>
    </w:p>
    <w:p>
      <w:pPr>
        <w:ind w:firstLine="480"/>
        <w:rPr>
          <w:rFonts w:hint="default" w:ascii="Arial" w:hAnsi="Arial" w:eastAsia="宋体" w:cs="Arial"/>
          <w:color w:val="auto"/>
          <w:highlight w:val="none"/>
        </w:rPr>
      </w:pPr>
      <w:r>
        <w:rPr>
          <w:rFonts w:hint="default" w:ascii="Arial" w:hAnsi="Arial" w:eastAsia="宋体" w:cs="Arial"/>
          <w:color w:val="auto"/>
          <w:highlight w:val="none"/>
        </w:rPr>
        <w:t>（2）场内运输</w:t>
      </w:r>
    </w:p>
    <w:p>
      <w:pPr>
        <w:ind w:firstLine="480"/>
        <w:rPr>
          <w:rFonts w:hint="default" w:ascii="Arial" w:hAnsi="Arial" w:eastAsia="宋体" w:cs="Arial"/>
          <w:color w:val="auto"/>
          <w:highlight w:val="none"/>
        </w:rPr>
      </w:pPr>
      <w:r>
        <w:rPr>
          <w:rFonts w:hint="default" w:ascii="Arial" w:hAnsi="Arial" w:eastAsia="宋体" w:cs="Arial"/>
          <w:color w:val="auto"/>
          <w:highlight w:val="none"/>
        </w:rPr>
        <w:t>场内运输主要为饲草料库房与牛舍之间的饲料运输，其特点是短距离，次数频繁，且多处于狭小空间内，因此场内原料输送主要采用TMR</w:t>
      </w:r>
      <w:r>
        <w:rPr>
          <w:rFonts w:hint="default" w:ascii="Arial" w:hAnsi="Arial" w:eastAsia="宋体" w:cs="Arial"/>
          <w:color w:val="auto"/>
          <w:highlight w:val="none"/>
          <w:lang w:eastAsia="zh-CN"/>
        </w:rPr>
        <w:t>日粮搅拌机</w:t>
      </w:r>
      <w:r>
        <w:rPr>
          <w:rFonts w:hint="default" w:ascii="Arial" w:hAnsi="Arial" w:eastAsia="宋体" w:cs="Arial"/>
          <w:color w:val="auto"/>
          <w:highlight w:val="none"/>
        </w:rPr>
        <w:t>。</w:t>
      </w:r>
    </w:p>
    <w:p>
      <w:pPr>
        <w:pStyle w:val="6"/>
        <w:rPr>
          <w:rFonts w:hint="default" w:ascii="Arial" w:hAnsi="Arial" w:eastAsia="宋体" w:cs="Arial"/>
          <w:color w:val="auto"/>
          <w:highlight w:val="none"/>
        </w:rPr>
      </w:pPr>
      <w:bookmarkStart w:id="209" w:name="_Toc46421089"/>
      <w:bookmarkStart w:id="210" w:name="_Toc872"/>
      <w:r>
        <w:rPr>
          <w:rFonts w:hint="default" w:ascii="Arial" w:hAnsi="Arial" w:eastAsia="宋体" w:cs="Arial"/>
          <w:color w:val="auto"/>
          <w:highlight w:val="none"/>
        </w:rPr>
        <w:t>3.1.</w:t>
      </w:r>
      <w:r>
        <w:rPr>
          <w:rFonts w:hint="default" w:ascii="Arial" w:hAnsi="Arial" w:eastAsia="宋体" w:cs="Arial"/>
          <w:color w:val="auto"/>
          <w:highlight w:val="none"/>
          <w:lang w:val="en-US" w:eastAsia="zh-CN"/>
        </w:rPr>
        <w:t>8</w:t>
      </w:r>
      <w:r>
        <w:rPr>
          <w:rFonts w:hint="default" w:ascii="Arial" w:hAnsi="Arial" w:eastAsia="宋体" w:cs="Arial"/>
          <w:color w:val="auto"/>
          <w:highlight w:val="none"/>
        </w:rPr>
        <w:t>总平面布置</w:t>
      </w:r>
      <w:bookmarkEnd w:id="209"/>
      <w:bookmarkEnd w:id="210"/>
    </w:p>
    <w:p>
      <w:pPr>
        <w:ind w:firstLine="480"/>
        <w:rPr>
          <w:rFonts w:hint="default" w:ascii="Arial" w:hAnsi="Arial" w:eastAsia="宋体" w:cs="Arial"/>
          <w:color w:val="auto"/>
          <w:highlight w:val="none"/>
        </w:rPr>
      </w:pPr>
      <w:r>
        <w:rPr>
          <w:rFonts w:hint="default" w:ascii="Arial" w:hAnsi="Arial" w:eastAsia="宋体" w:cs="Arial"/>
          <w:color w:val="auto"/>
          <w:highlight w:val="none"/>
        </w:rPr>
        <w:t>本项目分为养殖区、生活区</w:t>
      </w:r>
      <w:r>
        <w:rPr>
          <w:rFonts w:hint="default" w:ascii="Arial" w:hAnsi="Arial" w:eastAsia="宋体" w:cs="Arial"/>
          <w:color w:val="auto"/>
          <w:highlight w:val="none"/>
          <w:lang w:eastAsia="zh-CN"/>
        </w:rPr>
        <w:t>、堆肥场等</w:t>
      </w:r>
      <w:r>
        <w:rPr>
          <w:rFonts w:hint="default" w:ascii="Arial" w:hAnsi="Arial" w:eastAsia="宋体" w:cs="Arial"/>
          <w:color w:val="auto"/>
          <w:highlight w:val="none"/>
          <w:lang w:val="en-US" w:eastAsia="zh-CN"/>
        </w:rPr>
        <w:t>3</w:t>
      </w:r>
      <w:r>
        <w:rPr>
          <w:rFonts w:hint="default" w:ascii="Arial" w:hAnsi="Arial" w:eastAsia="宋体" w:cs="Arial"/>
          <w:color w:val="auto"/>
          <w:highlight w:val="none"/>
        </w:rPr>
        <w:t>个功能区。其中养殖区位于</w:t>
      </w:r>
      <w:r>
        <w:rPr>
          <w:rFonts w:hint="default" w:ascii="Arial" w:hAnsi="Arial" w:eastAsia="宋体" w:cs="Arial"/>
          <w:color w:val="auto"/>
          <w:highlight w:val="none"/>
          <w:lang w:eastAsia="zh-CN"/>
        </w:rPr>
        <w:t>场区南侧和北侧</w:t>
      </w:r>
      <w:r>
        <w:rPr>
          <w:rFonts w:hint="default" w:ascii="Arial" w:hAnsi="Arial" w:eastAsia="宋体" w:cs="Arial"/>
          <w:color w:val="auto"/>
          <w:highlight w:val="none"/>
        </w:rPr>
        <w:t>，生活区布置在场区</w:t>
      </w:r>
      <w:r>
        <w:rPr>
          <w:rFonts w:hint="default" w:ascii="Arial" w:hAnsi="Arial" w:eastAsia="宋体" w:cs="Arial"/>
          <w:color w:val="auto"/>
          <w:highlight w:val="none"/>
          <w:lang w:eastAsia="zh-CN"/>
        </w:rPr>
        <w:t>中部，堆肥场</w:t>
      </w:r>
      <w:r>
        <w:rPr>
          <w:rFonts w:hint="default" w:ascii="Arial" w:hAnsi="Arial" w:eastAsia="宋体" w:cs="Arial"/>
          <w:color w:val="auto"/>
          <w:highlight w:val="none"/>
        </w:rPr>
        <w:t>布置在场区</w:t>
      </w:r>
      <w:r>
        <w:rPr>
          <w:rFonts w:hint="default" w:ascii="Arial" w:hAnsi="Arial" w:eastAsia="宋体" w:cs="Arial"/>
          <w:color w:val="auto"/>
          <w:highlight w:val="none"/>
          <w:lang w:eastAsia="zh-CN"/>
        </w:rPr>
        <w:t>西侧</w:t>
      </w:r>
      <w:r>
        <w:rPr>
          <w:rFonts w:hint="default" w:ascii="Arial" w:hAnsi="Arial" w:eastAsia="宋体" w:cs="Arial"/>
          <w:color w:val="auto"/>
          <w:highlight w:val="none"/>
        </w:rPr>
        <w:t>；见图</w:t>
      </w:r>
      <w:r>
        <w:rPr>
          <w:rFonts w:hint="default" w:ascii="Arial" w:hAnsi="Arial" w:eastAsia="宋体" w:cs="Arial"/>
          <w:color w:val="auto"/>
          <w:highlight w:val="none"/>
          <w:lang w:val="en-US" w:eastAsia="zh-CN"/>
        </w:rPr>
        <w:t>3.1-5</w:t>
      </w:r>
      <w:r>
        <w:rPr>
          <w:rFonts w:hint="default" w:ascii="Arial" w:hAnsi="Arial" w:eastAsia="宋体" w:cs="Arial"/>
          <w:color w:val="auto"/>
          <w:highlight w:val="none"/>
        </w:rPr>
        <w:t>所示。</w:t>
      </w:r>
    </w:p>
    <w:p>
      <w:pPr>
        <w:ind w:firstLine="480"/>
        <w:rPr>
          <w:rFonts w:hint="default" w:ascii="Arial" w:hAnsi="Arial" w:eastAsia="宋体" w:cs="Arial"/>
          <w:color w:val="auto"/>
          <w:highlight w:val="none"/>
        </w:rPr>
      </w:pPr>
      <w:r>
        <w:rPr>
          <w:rFonts w:hint="default" w:ascii="Arial" w:hAnsi="Arial" w:eastAsia="宋体" w:cs="Arial"/>
          <w:color w:val="auto"/>
          <w:highlight w:val="none"/>
        </w:rPr>
        <w:t>（1）本工程养殖区、生活管理区相互分开，</w:t>
      </w:r>
      <w:r>
        <w:rPr>
          <w:rFonts w:hint="default" w:ascii="Arial" w:hAnsi="Arial" w:eastAsia="宋体" w:cs="Arial"/>
          <w:color w:val="auto"/>
          <w:highlight w:val="none"/>
          <w:lang w:eastAsia="zh-CN"/>
        </w:rPr>
        <w:t>堆肥场</w:t>
      </w:r>
      <w:r>
        <w:rPr>
          <w:rFonts w:hint="default" w:ascii="Arial" w:hAnsi="Arial" w:eastAsia="宋体" w:cs="Arial"/>
          <w:color w:val="auto"/>
          <w:highlight w:val="none"/>
        </w:rPr>
        <w:t>位于养殖区及生活区的</w:t>
      </w:r>
      <w:r>
        <w:rPr>
          <w:rFonts w:hint="default" w:ascii="Arial" w:hAnsi="Arial" w:eastAsia="宋体" w:cs="Arial"/>
          <w:color w:val="auto"/>
          <w:highlight w:val="none"/>
          <w:lang w:eastAsia="zh-CN"/>
        </w:rPr>
        <w:t>当地</w:t>
      </w:r>
      <w:r>
        <w:rPr>
          <w:rFonts w:hint="default" w:ascii="Arial" w:hAnsi="Arial" w:eastAsia="宋体" w:cs="Arial"/>
          <w:color w:val="auto"/>
          <w:highlight w:val="none"/>
        </w:rPr>
        <w:t>20年主导风向</w:t>
      </w:r>
      <w:r>
        <w:rPr>
          <w:rFonts w:hint="default" w:ascii="Arial" w:hAnsi="Arial" w:eastAsia="宋体" w:cs="Arial"/>
          <w:color w:val="auto"/>
          <w:highlight w:val="none"/>
          <w:lang w:eastAsia="zh-CN"/>
        </w:rPr>
        <w:t>侧</w:t>
      </w:r>
      <w:r>
        <w:rPr>
          <w:rFonts w:hint="default" w:ascii="Arial" w:hAnsi="Arial" w:eastAsia="宋体" w:cs="Arial"/>
          <w:color w:val="auto"/>
          <w:highlight w:val="none"/>
        </w:rPr>
        <w:t>风向处，符合《畜禽养殖业污染防治技术规范》（HJ/T81-2001）的规定。</w:t>
      </w:r>
    </w:p>
    <w:p>
      <w:pPr>
        <w:ind w:firstLine="480"/>
        <w:rPr>
          <w:rFonts w:hint="default" w:ascii="Arial" w:hAnsi="Arial" w:eastAsia="宋体" w:cs="Arial"/>
          <w:color w:val="auto"/>
          <w:highlight w:val="none"/>
        </w:rPr>
      </w:pPr>
      <w:r>
        <w:rPr>
          <w:rFonts w:hint="default" w:ascii="Arial" w:hAnsi="Arial" w:eastAsia="宋体" w:cs="Arial"/>
          <w:color w:val="auto"/>
          <w:highlight w:val="none"/>
        </w:rPr>
        <w:t>（</w:t>
      </w:r>
      <w:r>
        <w:rPr>
          <w:rFonts w:hint="default" w:ascii="Arial" w:hAnsi="Arial" w:eastAsia="宋体" w:cs="Arial"/>
          <w:color w:val="auto"/>
          <w:highlight w:val="none"/>
          <w:lang w:val="en-US" w:eastAsia="zh-CN"/>
        </w:rPr>
        <w:t>2</w:t>
      </w:r>
      <w:r>
        <w:rPr>
          <w:rFonts w:hint="default" w:ascii="Arial" w:hAnsi="Arial" w:eastAsia="宋体" w:cs="Arial"/>
          <w:color w:val="auto"/>
          <w:highlight w:val="none"/>
        </w:rPr>
        <w:t>）本工程采用干清粪工艺，符合《畜禽养殖业污染防治技术规范》（HJ/T81-2001）的规定。</w:t>
      </w:r>
    </w:p>
    <w:p>
      <w:pPr>
        <w:ind w:firstLine="480"/>
        <w:rPr>
          <w:rFonts w:hint="default" w:ascii="Arial" w:hAnsi="Arial" w:eastAsia="宋体" w:cs="Arial"/>
          <w:color w:val="auto"/>
          <w:highlight w:val="none"/>
        </w:rPr>
      </w:pPr>
      <w:r>
        <w:rPr>
          <w:rFonts w:hint="default" w:ascii="Arial" w:hAnsi="Arial" w:eastAsia="宋体" w:cs="Arial"/>
          <w:color w:val="auto"/>
          <w:highlight w:val="none"/>
        </w:rPr>
        <w:t>（</w:t>
      </w:r>
      <w:r>
        <w:rPr>
          <w:rFonts w:hint="default" w:ascii="Arial" w:hAnsi="Arial" w:eastAsia="宋体" w:cs="Arial"/>
          <w:color w:val="auto"/>
          <w:highlight w:val="none"/>
          <w:lang w:val="en-US" w:eastAsia="zh-CN"/>
        </w:rPr>
        <w:t>3</w:t>
      </w:r>
      <w:r>
        <w:rPr>
          <w:rFonts w:hint="default" w:ascii="Arial" w:hAnsi="Arial" w:eastAsia="宋体" w:cs="Arial"/>
          <w:color w:val="auto"/>
          <w:highlight w:val="none"/>
        </w:rPr>
        <w:t>）项目</w:t>
      </w:r>
      <w:r>
        <w:rPr>
          <w:rFonts w:hint="default" w:ascii="Arial" w:hAnsi="Arial" w:eastAsia="宋体" w:cs="Arial"/>
          <w:color w:val="auto"/>
          <w:highlight w:val="none"/>
          <w:lang w:eastAsia="zh-CN"/>
        </w:rPr>
        <w:t>堆肥场</w:t>
      </w:r>
      <w:r>
        <w:rPr>
          <w:rFonts w:hint="default" w:ascii="Arial" w:hAnsi="Arial" w:eastAsia="宋体" w:cs="Arial"/>
          <w:color w:val="auto"/>
          <w:highlight w:val="none"/>
        </w:rPr>
        <w:t>等采取防渗等措施，容积完全满足当地农作物生产用肥的最大间隔时间的养殖场所产生的粪便总量贮存要求，符合《畜禽养殖业污染防治技术规范》（HJ/T81-2001）的规定。</w:t>
      </w:r>
    </w:p>
    <w:p>
      <w:pPr>
        <w:ind w:firstLine="480"/>
        <w:rPr>
          <w:rFonts w:hint="default" w:ascii="Arial" w:hAnsi="Arial" w:eastAsia="宋体" w:cs="Arial"/>
          <w:color w:val="auto"/>
          <w:highlight w:val="none"/>
        </w:rPr>
      </w:pPr>
      <w:r>
        <w:rPr>
          <w:rFonts w:hint="default" w:ascii="Arial" w:hAnsi="Arial" w:eastAsia="宋体" w:cs="Arial"/>
          <w:color w:val="auto"/>
          <w:highlight w:val="none"/>
        </w:rPr>
        <w:t>（</w:t>
      </w:r>
      <w:r>
        <w:rPr>
          <w:rFonts w:hint="default" w:ascii="Arial" w:hAnsi="Arial" w:eastAsia="宋体" w:cs="Arial"/>
          <w:color w:val="auto"/>
          <w:highlight w:val="none"/>
          <w:lang w:val="en-US" w:eastAsia="zh-CN"/>
        </w:rPr>
        <w:t>4</w:t>
      </w:r>
      <w:r>
        <w:rPr>
          <w:rFonts w:hint="default" w:ascii="Arial" w:hAnsi="Arial" w:eastAsia="宋体" w:cs="Arial"/>
          <w:color w:val="auto"/>
          <w:highlight w:val="none"/>
        </w:rPr>
        <w:t>）项目</w:t>
      </w:r>
      <w:r>
        <w:rPr>
          <w:rFonts w:hint="default" w:ascii="Arial" w:hAnsi="Arial" w:eastAsia="宋体" w:cs="Arial"/>
          <w:color w:val="auto"/>
          <w:highlight w:val="none"/>
          <w:lang w:eastAsia="zh-CN"/>
        </w:rPr>
        <w:t>养殖场</w:t>
      </w:r>
      <w:r>
        <w:rPr>
          <w:rFonts w:hint="default" w:ascii="Arial" w:hAnsi="Arial" w:eastAsia="宋体" w:cs="Arial"/>
          <w:color w:val="auto"/>
          <w:highlight w:val="none"/>
        </w:rPr>
        <w:t>场址选择地势高燥、排水良好、空气流畅、非污染区域，并且避开城镇和村民居住区的水源地；地面应相对平坦，坡度不宜过大，背风向阳，未建在低凹、风口处，符合</w:t>
      </w:r>
      <w:r>
        <w:rPr>
          <w:rFonts w:hint="default" w:ascii="Arial" w:hAnsi="Arial" w:eastAsia="宋体" w:cs="Arial"/>
          <w:color w:val="auto"/>
          <w:highlight w:val="none"/>
          <w:lang w:eastAsia="zh-CN"/>
        </w:rPr>
        <w:t>养殖</w:t>
      </w:r>
      <w:r>
        <w:rPr>
          <w:rFonts w:hint="default" w:ascii="Arial" w:hAnsi="Arial" w:eastAsia="宋体" w:cs="Arial"/>
          <w:color w:val="auto"/>
          <w:highlight w:val="none"/>
        </w:rPr>
        <w:t>场的选址要求。</w:t>
      </w:r>
    </w:p>
    <w:p>
      <w:pPr>
        <w:ind w:firstLine="480"/>
        <w:rPr>
          <w:rFonts w:hint="default" w:ascii="Arial" w:hAnsi="Arial" w:eastAsia="宋体" w:cs="Arial"/>
          <w:color w:val="auto"/>
          <w:highlight w:val="none"/>
        </w:rPr>
      </w:pPr>
      <w:r>
        <w:rPr>
          <w:rFonts w:hint="default" w:ascii="Arial" w:hAnsi="Arial" w:eastAsia="宋体" w:cs="Arial"/>
          <w:color w:val="auto"/>
          <w:highlight w:val="none"/>
        </w:rPr>
        <w:t>（</w:t>
      </w:r>
      <w:r>
        <w:rPr>
          <w:rFonts w:hint="default" w:ascii="Arial" w:hAnsi="Arial" w:eastAsia="宋体" w:cs="Arial"/>
          <w:color w:val="auto"/>
          <w:highlight w:val="none"/>
          <w:lang w:val="en-US" w:eastAsia="zh-CN"/>
        </w:rPr>
        <w:t>5</w:t>
      </w:r>
      <w:r>
        <w:rPr>
          <w:rFonts w:hint="default" w:ascii="Arial" w:hAnsi="Arial" w:eastAsia="宋体" w:cs="Arial"/>
          <w:color w:val="auto"/>
          <w:highlight w:val="none"/>
        </w:rPr>
        <w:t>）项目建成投产后，养殖</w:t>
      </w:r>
      <w:r>
        <w:rPr>
          <w:rFonts w:hint="default" w:ascii="Arial" w:hAnsi="Arial" w:eastAsia="宋体" w:cs="Arial"/>
          <w:color w:val="auto"/>
          <w:highlight w:val="none"/>
          <w:lang w:eastAsia="zh-CN"/>
        </w:rPr>
        <w:t>场</w:t>
      </w:r>
      <w:r>
        <w:rPr>
          <w:rFonts w:hint="default" w:ascii="Arial" w:hAnsi="Arial" w:eastAsia="宋体" w:cs="Arial"/>
          <w:color w:val="auto"/>
          <w:highlight w:val="none"/>
        </w:rPr>
        <w:t>废气经处理达标后外排</w:t>
      </w:r>
      <w:r>
        <w:rPr>
          <w:rFonts w:hint="default" w:ascii="Arial" w:hAnsi="Arial" w:eastAsia="宋体" w:cs="Arial"/>
          <w:color w:val="auto"/>
          <w:highlight w:val="none"/>
          <w:lang w:eastAsia="zh-CN"/>
        </w:rPr>
        <w:t>，</w:t>
      </w:r>
      <w:r>
        <w:rPr>
          <w:rFonts w:hint="default" w:ascii="Arial" w:hAnsi="Arial" w:eastAsia="宋体" w:cs="Arial"/>
          <w:color w:val="auto"/>
          <w:highlight w:val="none"/>
        </w:rPr>
        <w:t>对周边环境的影响较小，区域环境空气质量能满足《环境空气质量标准》（GB3095-2012）中二级标准要求。虽然项目所产生的</w:t>
      </w:r>
      <w:r>
        <w:rPr>
          <w:rFonts w:hint="default" w:ascii="Arial" w:hAnsi="Arial" w:eastAsia="宋体" w:cs="Arial"/>
          <w:color w:val="auto"/>
          <w:highlight w:val="none"/>
          <w:lang w:eastAsia="zh-CN"/>
        </w:rPr>
        <w:t>恶臭气体</w:t>
      </w:r>
      <w:r>
        <w:rPr>
          <w:rFonts w:hint="default" w:ascii="Arial" w:hAnsi="Arial" w:eastAsia="宋体" w:cs="Arial"/>
          <w:color w:val="auto"/>
          <w:highlight w:val="none"/>
        </w:rPr>
        <w:t>对周围环境有一定的影响，</w:t>
      </w:r>
      <w:r>
        <w:rPr>
          <w:rFonts w:hint="default" w:ascii="Arial" w:hAnsi="Arial" w:eastAsia="宋体" w:cs="Arial"/>
          <w:color w:val="auto"/>
          <w:highlight w:val="none"/>
          <w:lang w:eastAsia="zh-CN"/>
        </w:rPr>
        <w:t>养殖</w:t>
      </w:r>
      <w:r>
        <w:rPr>
          <w:rFonts w:hint="default" w:ascii="Arial" w:hAnsi="Arial" w:eastAsia="宋体" w:cs="Arial"/>
          <w:color w:val="auto"/>
          <w:highlight w:val="none"/>
        </w:rPr>
        <w:t>场距离最近的村庄超过</w:t>
      </w:r>
      <w:r>
        <w:rPr>
          <w:rFonts w:hint="default" w:ascii="Arial" w:hAnsi="Arial" w:eastAsia="宋体" w:cs="Arial"/>
          <w:color w:val="auto"/>
          <w:highlight w:val="none"/>
          <w:lang w:val="en-US" w:eastAsia="zh-CN"/>
        </w:rPr>
        <w:t>4</w:t>
      </w:r>
      <w:r>
        <w:rPr>
          <w:rFonts w:hint="default" w:ascii="Arial" w:hAnsi="Arial" w:eastAsia="宋体" w:cs="Arial"/>
          <w:color w:val="auto"/>
          <w:highlight w:val="none"/>
        </w:rPr>
        <w:t>00m，能满足卫生防护距离（</w:t>
      </w:r>
      <w:r>
        <w:rPr>
          <w:rFonts w:hint="default" w:ascii="Arial" w:hAnsi="Arial" w:eastAsia="宋体" w:cs="Arial"/>
          <w:color w:val="auto"/>
          <w:highlight w:val="none"/>
          <w:lang w:val="en-US" w:eastAsia="zh-CN"/>
        </w:rPr>
        <w:t>4</w:t>
      </w:r>
      <w:r>
        <w:rPr>
          <w:rFonts w:hint="default" w:ascii="Arial" w:hAnsi="Arial" w:eastAsia="宋体" w:cs="Arial"/>
          <w:color w:val="auto"/>
          <w:highlight w:val="none"/>
        </w:rPr>
        <w:t>00m）的要求。</w:t>
      </w:r>
    </w:p>
    <w:p>
      <w:pPr>
        <w:ind w:firstLine="480"/>
        <w:rPr>
          <w:rFonts w:hint="default" w:ascii="Arial" w:hAnsi="Arial" w:eastAsia="宋体" w:cs="Arial"/>
          <w:color w:val="auto"/>
          <w:highlight w:val="none"/>
        </w:rPr>
      </w:pPr>
      <w:r>
        <w:rPr>
          <w:rFonts w:hint="default" w:ascii="Arial" w:hAnsi="Arial" w:eastAsia="宋体" w:cs="Arial"/>
          <w:color w:val="auto"/>
          <w:highlight w:val="none"/>
        </w:rPr>
        <w:t>（</w:t>
      </w:r>
      <w:r>
        <w:rPr>
          <w:rFonts w:hint="default" w:ascii="Arial" w:hAnsi="Arial" w:eastAsia="宋体" w:cs="Arial"/>
          <w:color w:val="auto"/>
          <w:highlight w:val="none"/>
          <w:lang w:val="en-US" w:eastAsia="zh-CN"/>
        </w:rPr>
        <w:t>6</w:t>
      </w:r>
      <w:r>
        <w:rPr>
          <w:rFonts w:hint="default" w:ascii="Arial" w:hAnsi="Arial" w:eastAsia="宋体" w:cs="Arial"/>
          <w:color w:val="auto"/>
          <w:highlight w:val="none"/>
        </w:rPr>
        <w:t>）项目周边主要为</w:t>
      </w:r>
      <w:r>
        <w:rPr>
          <w:rFonts w:hint="default" w:ascii="Arial" w:hAnsi="Arial" w:eastAsia="宋体" w:cs="Arial"/>
          <w:color w:val="auto"/>
          <w:highlight w:val="none"/>
          <w:lang w:eastAsia="zh-CN"/>
        </w:rPr>
        <w:t>天然牧草地、旱地和林地</w:t>
      </w:r>
      <w:r>
        <w:rPr>
          <w:rFonts w:hint="default" w:ascii="Arial" w:hAnsi="Arial" w:eastAsia="宋体" w:cs="Arial"/>
          <w:color w:val="auto"/>
          <w:highlight w:val="none"/>
        </w:rPr>
        <w:t>，植被为自然植被，人口较少，项目产生的三废经处理后对周边环境影响较小。</w:t>
      </w:r>
    </w:p>
    <w:p>
      <w:pPr>
        <w:ind w:firstLine="480"/>
        <w:rPr>
          <w:rFonts w:hint="default" w:ascii="Arial" w:hAnsi="Arial" w:eastAsia="宋体" w:cs="Arial"/>
          <w:color w:val="auto"/>
          <w:highlight w:val="none"/>
          <w:lang w:eastAsia="zh-CN"/>
        </w:rPr>
      </w:pPr>
      <w:r>
        <w:rPr>
          <w:rFonts w:hint="default" w:ascii="Arial" w:hAnsi="Arial" w:eastAsia="宋体" w:cs="Arial"/>
          <w:color w:val="auto"/>
          <w:highlight w:val="none"/>
        </w:rPr>
        <w:t>综上所述，本工程总平面布置充分利用现有地势，按照功能和工艺流程，总体上按由北往南方向布置，生活区和养殖区分开，并用绿化树木和草地建立隔离带，</w:t>
      </w:r>
      <w:r>
        <w:rPr>
          <w:rFonts w:hint="default" w:ascii="Arial" w:hAnsi="Arial" w:eastAsia="宋体" w:cs="Arial"/>
          <w:color w:val="auto"/>
          <w:highlight w:val="none"/>
          <w:lang w:eastAsia="zh-CN"/>
        </w:rPr>
        <w:t>堆肥场</w:t>
      </w:r>
      <w:r>
        <w:rPr>
          <w:rFonts w:hint="default" w:ascii="Arial" w:hAnsi="Arial" w:eastAsia="宋体" w:cs="Arial"/>
          <w:color w:val="auto"/>
          <w:highlight w:val="none"/>
        </w:rPr>
        <w:t>位于场地</w:t>
      </w:r>
      <w:r>
        <w:rPr>
          <w:rFonts w:hint="default" w:ascii="Arial" w:hAnsi="Arial" w:eastAsia="宋体" w:cs="Arial"/>
          <w:color w:val="auto"/>
          <w:highlight w:val="none"/>
          <w:lang w:eastAsia="zh-CN"/>
        </w:rPr>
        <w:t>西侧。</w:t>
      </w:r>
    </w:p>
    <w:p>
      <w:pPr>
        <w:ind w:firstLine="480"/>
        <w:rPr>
          <w:rFonts w:hint="default" w:ascii="Arial" w:hAnsi="Arial" w:eastAsia="宋体" w:cs="Arial"/>
          <w:color w:val="auto"/>
          <w:highlight w:val="none"/>
          <w:lang w:eastAsia="zh-CN"/>
        </w:rPr>
      </w:pPr>
      <w:r>
        <w:rPr>
          <w:rFonts w:hint="default" w:ascii="Arial" w:hAnsi="Arial" w:eastAsia="宋体" w:cs="Arial"/>
          <w:color w:val="auto"/>
          <w:highlight w:val="none"/>
        </w:rPr>
        <w:t>场内道路和各种运输管线闭合成环线，规划合理，饲养道和运粪道不交叉。从整体布局和环境影响上看，工程总平面布置较合理</w:t>
      </w:r>
      <w:r>
        <w:rPr>
          <w:rFonts w:hint="default" w:ascii="Arial" w:hAnsi="Arial" w:eastAsia="宋体" w:cs="Arial"/>
          <w:color w:val="auto"/>
          <w:highlight w:val="none"/>
          <w:lang w:eastAsia="zh-CN"/>
        </w:rPr>
        <w:t>。</w:t>
      </w:r>
    </w:p>
    <w:p>
      <w:pPr>
        <w:ind w:firstLine="480"/>
        <w:rPr>
          <w:rFonts w:hint="default" w:ascii="Arial" w:hAnsi="Arial" w:eastAsia="宋体" w:cs="Arial"/>
          <w:color w:val="auto"/>
          <w:highlight w:val="none"/>
          <w:lang w:eastAsia="zh-CN"/>
        </w:rPr>
      </w:pPr>
    </w:p>
    <w:p>
      <w:pPr>
        <w:ind w:firstLine="480"/>
        <w:rPr>
          <w:rFonts w:hint="default" w:ascii="Arial" w:hAnsi="Arial" w:eastAsia="宋体" w:cs="Arial"/>
          <w:color w:val="auto"/>
          <w:highlight w:val="none"/>
          <w:lang w:eastAsia="zh-CN"/>
        </w:rPr>
        <w:sectPr>
          <w:pgSz w:w="11906" w:h="16838"/>
          <w:pgMar w:top="1418" w:right="1418" w:bottom="1247" w:left="1701" w:header="851" w:footer="680" w:gutter="0"/>
          <w:pgBorders>
            <w:top w:val="none" w:sz="0" w:space="0"/>
            <w:left w:val="none" w:sz="0" w:space="0"/>
            <w:bottom w:val="none" w:sz="0" w:space="0"/>
            <w:right w:val="none" w:sz="0" w:space="0"/>
          </w:pgBorders>
          <w:pgNumType w:fmt="numberInDash"/>
          <w:cols w:space="425" w:num="1"/>
          <w:docGrid w:linePitch="326" w:charSpace="0"/>
        </w:sectPr>
      </w:pPr>
    </w:p>
    <w:p>
      <w:pPr>
        <w:pStyle w:val="2"/>
        <w:keepNext w:val="0"/>
        <w:keepLines w:val="0"/>
        <w:pageBreakBefore w:val="0"/>
        <w:widowControl w:val="0"/>
        <w:kinsoku/>
        <w:wordWrap/>
        <w:overflowPunct/>
        <w:topLinePunct/>
        <w:autoSpaceDE w:val="0"/>
        <w:autoSpaceDN/>
        <w:bidi w:val="0"/>
        <w:adjustRightInd/>
        <w:snapToGrid/>
        <w:ind w:left="0" w:leftChars="0" w:firstLine="0" w:firstLineChars="0"/>
        <w:textAlignment w:val="auto"/>
        <w:rPr>
          <w:rFonts w:hint="default" w:ascii="Arial" w:hAnsi="Arial" w:eastAsia="宋体" w:cs="Arial"/>
          <w:color w:val="auto"/>
          <w:lang w:eastAsia="zh-CN"/>
        </w:rPr>
      </w:pPr>
      <w:r>
        <w:rPr>
          <w:rFonts w:hint="default" w:ascii="Arial" w:hAnsi="Arial" w:eastAsia="宋体" w:cs="Arial"/>
          <w:color w:val="auto"/>
          <w:highlight w:val="none"/>
          <w:lang w:eastAsia="zh-CN"/>
        </w:rPr>
        <w:pict>
          <v:shape id="_x0000_s1028" o:spid="_x0000_s1028" o:spt="75" type="#_x0000_t75" style="position:absolute;left:0pt;margin-left:-6.45pt;margin-top:8.3pt;height:447.25pt;width:453.55pt;z-index:251742208;mso-width-relative:page;mso-height-relative:page;" o:ole="t" filled="f" o:preferrelative="t" stroked="f" coordsize="21600,21600">
            <v:path/>
            <v:fill on="f" focussize="0,0"/>
            <v:stroke on="f"/>
            <v:imagedata r:id="rId25" o:title=""/>
            <o:lock v:ext="edit" aspectratio="t"/>
          </v:shape>
          <o:OLEObject Type="Embed" ProgID="Visio.Drawing.11" ShapeID="_x0000_s1028" DrawAspect="Content" ObjectID="_1468075728" r:id="rId24">
            <o:LockedField>false</o:LockedField>
          </o:OLEObject>
        </w:pict>
      </w:r>
      <w:r>
        <w:rPr>
          <w:rFonts w:hint="default" w:ascii="Arial" w:hAnsi="Arial" w:eastAsia="宋体" w:cs="Arial"/>
          <w:color w:val="auto"/>
        </w:rPr>
        <w:drawing>
          <wp:anchor distT="0" distB="0" distL="114300" distR="114300" simplePos="0" relativeHeight="251742208" behindDoc="0" locked="0" layoutInCell="1" allowOverlap="1">
            <wp:simplePos x="0" y="0"/>
            <wp:positionH relativeFrom="column">
              <wp:posOffset>26035</wp:posOffset>
            </wp:positionH>
            <wp:positionV relativeFrom="paragraph">
              <wp:posOffset>36830</wp:posOffset>
            </wp:positionV>
            <wp:extent cx="588010" cy="647700"/>
            <wp:effectExtent l="0" t="0" r="2540" b="0"/>
            <wp:wrapNone/>
            <wp:docPr id="13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图片 4"/>
                    <pic:cNvPicPr>
                      <a:picLocks noChangeAspect="1"/>
                    </pic:cNvPicPr>
                  </pic:nvPicPr>
                  <pic:blipFill>
                    <a:blip r:embed="rId26"/>
                    <a:stretch>
                      <a:fillRect/>
                    </a:stretch>
                  </pic:blipFill>
                  <pic:spPr>
                    <a:xfrm>
                      <a:off x="0" y="0"/>
                      <a:ext cx="588010" cy="647700"/>
                    </a:xfrm>
                    <a:prstGeom prst="rect">
                      <a:avLst/>
                    </a:prstGeom>
                    <a:noFill/>
                    <a:ln>
                      <a:noFill/>
                    </a:ln>
                  </pic:spPr>
                </pic:pic>
              </a:graphicData>
            </a:graphic>
          </wp:anchor>
        </w:drawing>
      </w:r>
    </w:p>
    <w:p>
      <w:pPr>
        <w:pStyle w:val="2"/>
        <w:keepNext w:val="0"/>
        <w:keepLines w:val="0"/>
        <w:pageBreakBefore w:val="0"/>
        <w:widowControl w:val="0"/>
        <w:kinsoku/>
        <w:wordWrap/>
        <w:overflowPunct/>
        <w:topLinePunct/>
        <w:autoSpaceDE w:val="0"/>
        <w:autoSpaceDN/>
        <w:bidi w:val="0"/>
        <w:adjustRightInd/>
        <w:snapToGrid/>
        <w:ind w:left="0" w:leftChars="0" w:firstLine="0" w:firstLineChars="0"/>
        <w:textAlignment w:val="auto"/>
        <w:rPr>
          <w:rFonts w:hint="default" w:ascii="Arial" w:hAnsi="Arial" w:eastAsia="宋体" w:cs="Arial"/>
          <w:color w:val="auto"/>
          <w:lang w:eastAsia="zh-CN"/>
        </w:rPr>
      </w:pPr>
    </w:p>
    <w:p>
      <w:pPr>
        <w:pStyle w:val="2"/>
        <w:keepNext w:val="0"/>
        <w:keepLines w:val="0"/>
        <w:pageBreakBefore w:val="0"/>
        <w:widowControl w:val="0"/>
        <w:kinsoku/>
        <w:wordWrap/>
        <w:overflowPunct/>
        <w:topLinePunct/>
        <w:autoSpaceDE w:val="0"/>
        <w:autoSpaceDN/>
        <w:bidi w:val="0"/>
        <w:adjustRightInd/>
        <w:snapToGrid/>
        <w:ind w:left="0" w:leftChars="0" w:firstLine="0" w:firstLineChars="0"/>
        <w:textAlignment w:val="auto"/>
        <w:rPr>
          <w:rFonts w:hint="default" w:ascii="Arial" w:hAnsi="Arial" w:eastAsia="宋体" w:cs="Arial"/>
          <w:color w:val="auto"/>
          <w:lang w:eastAsia="zh-CN"/>
        </w:rPr>
      </w:pPr>
    </w:p>
    <w:p>
      <w:pPr>
        <w:pStyle w:val="2"/>
        <w:keepNext w:val="0"/>
        <w:keepLines w:val="0"/>
        <w:pageBreakBefore w:val="0"/>
        <w:widowControl w:val="0"/>
        <w:kinsoku/>
        <w:wordWrap/>
        <w:overflowPunct/>
        <w:topLinePunct/>
        <w:autoSpaceDE w:val="0"/>
        <w:autoSpaceDN/>
        <w:bidi w:val="0"/>
        <w:adjustRightInd/>
        <w:snapToGrid/>
        <w:ind w:left="0" w:leftChars="0" w:firstLine="0" w:firstLineChars="0"/>
        <w:textAlignment w:val="auto"/>
        <w:rPr>
          <w:rFonts w:hint="default" w:ascii="Arial" w:hAnsi="Arial" w:eastAsia="宋体" w:cs="Arial"/>
          <w:color w:val="auto"/>
          <w:lang w:eastAsia="zh-CN"/>
        </w:rPr>
      </w:pPr>
    </w:p>
    <w:p>
      <w:pPr>
        <w:pStyle w:val="2"/>
        <w:keepNext w:val="0"/>
        <w:keepLines w:val="0"/>
        <w:pageBreakBefore w:val="0"/>
        <w:widowControl w:val="0"/>
        <w:kinsoku/>
        <w:wordWrap/>
        <w:overflowPunct/>
        <w:topLinePunct/>
        <w:autoSpaceDE w:val="0"/>
        <w:autoSpaceDN/>
        <w:bidi w:val="0"/>
        <w:adjustRightInd/>
        <w:snapToGrid/>
        <w:ind w:left="0" w:leftChars="0" w:firstLine="0" w:firstLineChars="0"/>
        <w:textAlignment w:val="auto"/>
        <w:rPr>
          <w:rFonts w:hint="default" w:ascii="Arial" w:hAnsi="Arial" w:eastAsia="宋体" w:cs="Arial"/>
          <w:color w:val="auto"/>
          <w:lang w:eastAsia="zh-CN"/>
        </w:rPr>
      </w:pPr>
    </w:p>
    <w:p>
      <w:pPr>
        <w:pStyle w:val="2"/>
        <w:keepNext w:val="0"/>
        <w:keepLines w:val="0"/>
        <w:pageBreakBefore w:val="0"/>
        <w:widowControl w:val="0"/>
        <w:kinsoku/>
        <w:wordWrap/>
        <w:overflowPunct/>
        <w:topLinePunct/>
        <w:autoSpaceDE w:val="0"/>
        <w:autoSpaceDN/>
        <w:bidi w:val="0"/>
        <w:adjustRightInd/>
        <w:snapToGrid/>
        <w:ind w:left="0" w:leftChars="0" w:firstLine="0" w:firstLineChars="0"/>
        <w:textAlignment w:val="auto"/>
        <w:rPr>
          <w:rFonts w:hint="default" w:ascii="Arial" w:hAnsi="Arial" w:eastAsia="宋体" w:cs="Arial"/>
          <w:color w:val="auto"/>
          <w:lang w:eastAsia="zh-CN"/>
        </w:rPr>
      </w:pPr>
    </w:p>
    <w:p>
      <w:pPr>
        <w:pStyle w:val="2"/>
        <w:keepNext w:val="0"/>
        <w:keepLines w:val="0"/>
        <w:pageBreakBefore w:val="0"/>
        <w:widowControl w:val="0"/>
        <w:kinsoku/>
        <w:wordWrap/>
        <w:overflowPunct/>
        <w:topLinePunct/>
        <w:autoSpaceDE w:val="0"/>
        <w:autoSpaceDN/>
        <w:bidi w:val="0"/>
        <w:adjustRightInd/>
        <w:snapToGrid/>
        <w:ind w:left="0" w:leftChars="0" w:firstLine="0" w:firstLineChars="0"/>
        <w:textAlignment w:val="auto"/>
        <w:rPr>
          <w:rFonts w:hint="default" w:ascii="Arial" w:hAnsi="Arial" w:eastAsia="宋体" w:cs="Arial"/>
          <w:color w:val="auto"/>
          <w:lang w:eastAsia="zh-CN"/>
        </w:rPr>
      </w:pPr>
    </w:p>
    <w:p>
      <w:pPr>
        <w:pStyle w:val="2"/>
        <w:keepNext w:val="0"/>
        <w:keepLines w:val="0"/>
        <w:pageBreakBefore w:val="0"/>
        <w:widowControl w:val="0"/>
        <w:kinsoku/>
        <w:wordWrap/>
        <w:overflowPunct/>
        <w:topLinePunct/>
        <w:autoSpaceDE w:val="0"/>
        <w:autoSpaceDN/>
        <w:bidi w:val="0"/>
        <w:adjustRightInd/>
        <w:snapToGrid/>
        <w:ind w:left="0" w:leftChars="0" w:firstLine="0" w:firstLineChars="0"/>
        <w:textAlignment w:val="auto"/>
        <w:rPr>
          <w:rFonts w:hint="default" w:ascii="Arial" w:hAnsi="Arial" w:eastAsia="宋体" w:cs="Arial"/>
          <w:color w:val="auto"/>
          <w:lang w:eastAsia="zh-CN"/>
        </w:rPr>
      </w:pPr>
    </w:p>
    <w:p>
      <w:pPr>
        <w:pStyle w:val="2"/>
        <w:keepNext w:val="0"/>
        <w:keepLines w:val="0"/>
        <w:pageBreakBefore w:val="0"/>
        <w:widowControl w:val="0"/>
        <w:kinsoku/>
        <w:wordWrap/>
        <w:overflowPunct/>
        <w:topLinePunct/>
        <w:autoSpaceDE w:val="0"/>
        <w:autoSpaceDN/>
        <w:bidi w:val="0"/>
        <w:adjustRightInd/>
        <w:snapToGrid/>
        <w:ind w:left="0" w:leftChars="0" w:firstLine="0" w:firstLineChars="0"/>
        <w:textAlignment w:val="auto"/>
        <w:rPr>
          <w:rFonts w:hint="default" w:ascii="Arial" w:hAnsi="Arial" w:eastAsia="宋体" w:cs="Arial"/>
          <w:color w:val="auto"/>
          <w:lang w:eastAsia="zh-CN"/>
        </w:rPr>
      </w:pPr>
    </w:p>
    <w:p>
      <w:pPr>
        <w:pStyle w:val="2"/>
        <w:keepNext w:val="0"/>
        <w:keepLines w:val="0"/>
        <w:pageBreakBefore w:val="0"/>
        <w:widowControl w:val="0"/>
        <w:kinsoku/>
        <w:wordWrap/>
        <w:overflowPunct/>
        <w:topLinePunct/>
        <w:autoSpaceDE w:val="0"/>
        <w:autoSpaceDN/>
        <w:bidi w:val="0"/>
        <w:adjustRightInd/>
        <w:snapToGrid/>
        <w:ind w:left="0" w:leftChars="0" w:firstLine="0" w:firstLineChars="0"/>
        <w:textAlignment w:val="auto"/>
        <w:rPr>
          <w:rFonts w:hint="default" w:ascii="Arial" w:hAnsi="Arial" w:eastAsia="宋体" w:cs="Arial"/>
          <w:color w:val="auto"/>
          <w:lang w:eastAsia="zh-CN"/>
        </w:rPr>
      </w:pPr>
    </w:p>
    <w:p>
      <w:pPr>
        <w:pStyle w:val="2"/>
        <w:keepNext w:val="0"/>
        <w:keepLines w:val="0"/>
        <w:pageBreakBefore w:val="0"/>
        <w:widowControl w:val="0"/>
        <w:kinsoku/>
        <w:wordWrap/>
        <w:overflowPunct/>
        <w:topLinePunct/>
        <w:autoSpaceDE w:val="0"/>
        <w:autoSpaceDN/>
        <w:bidi w:val="0"/>
        <w:adjustRightInd/>
        <w:snapToGrid/>
        <w:ind w:left="0" w:leftChars="0" w:firstLine="0" w:firstLineChars="0"/>
        <w:textAlignment w:val="auto"/>
        <w:rPr>
          <w:rFonts w:hint="default" w:ascii="Arial" w:hAnsi="Arial" w:eastAsia="宋体" w:cs="Arial"/>
          <w:color w:val="auto"/>
          <w:lang w:eastAsia="zh-CN"/>
        </w:rPr>
      </w:pPr>
    </w:p>
    <w:p>
      <w:pPr>
        <w:pStyle w:val="2"/>
        <w:keepNext w:val="0"/>
        <w:keepLines w:val="0"/>
        <w:pageBreakBefore w:val="0"/>
        <w:widowControl w:val="0"/>
        <w:kinsoku/>
        <w:wordWrap/>
        <w:overflowPunct/>
        <w:topLinePunct/>
        <w:autoSpaceDE w:val="0"/>
        <w:autoSpaceDN/>
        <w:bidi w:val="0"/>
        <w:adjustRightInd/>
        <w:snapToGrid/>
        <w:ind w:left="0" w:leftChars="0" w:firstLine="0" w:firstLineChars="0"/>
        <w:textAlignment w:val="auto"/>
        <w:rPr>
          <w:rFonts w:hint="default" w:ascii="Arial" w:hAnsi="Arial" w:eastAsia="宋体" w:cs="Arial"/>
          <w:color w:val="auto"/>
          <w:lang w:eastAsia="zh-CN"/>
        </w:rPr>
      </w:pPr>
    </w:p>
    <w:p>
      <w:pPr>
        <w:pStyle w:val="2"/>
        <w:keepNext w:val="0"/>
        <w:keepLines w:val="0"/>
        <w:pageBreakBefore w:val="0"/>
        <w:widowControl w:val="0"/>
        <w:kinsoku/>
        <w:wordWrap/>
        <w:overflowPunct/>
        <w:topLinePunct/>
        <w:autoSpaceDE w:val="0"/>
        <w:autoSpaceDN/>
        <w:bidi w:val="0"/>
        <w:adjustRightInd/>
        <w:snapToGrid/>
        <w:ind w:left="0" w:leftChars="0" w:firstLine="0" w:firstLineChars="0"/>
        <w:textAlignment w:val="auto"/>
        <w:rPr>
          <w:rFonts w:hint="default" w:ascii="Arial" w:hAnsi="Arial" w:eastAsia="宋体" w:cs="Arial"/>
          <w:color w:val="auto"/>
          <w:lang w:eastAsia="zh-CN"/>
        </w:rPr>
      </w:pPr>
    </w:p>
    <w:p>
      <w:pPr>
        <w:pStyle w:val="2"/>
        <w:keepNext w:val="0"/>
        <w:keepLines w:val="0"/>
        <w:pageBreakBefore w:val="0"/>
        <w:widowControl w:val="0"/>
        <w:kinsoku/>
        <w:wordWrap/>
        <w:overflowPunct/>
        <w:topLinePunct/>
        <w:autoSpaceDE w:val="0"/>
        <w:autoSpaceDN/>
        <w:bidi w:val="0"/>
        <w:adjustRightInd/>
        <w:snapToGrid/>
        <w:ind w:left="0" w:leftChars="0" w:firstLine="0" w:firstLineChars="0"/>
        <w:textAlignment w:val="auto"/>
        <w:rPr>
          <w:rFonts w:hint="default" w:ascii="Arial" w:hAnsi="Arial" w:eastAsia="宋体" w:cs="Arial"/>
          <w:color w:val="auto"/>
          <w:lang w:eastAsia="zh-CN"/>
        </w:rPr>
      </w:pPr>
    </w:p>
    <w:p>
      <w:pPr>
        <w:pStyle w:val="2"/>
        <w:keepNext w:val="0"/>
        <w:keepLines w:val="0"/>
        <w:pageBreakBefore w:val="0"/>
        <w:widowControl w:val="0"/>
        <w:kinsoku/>
        <w:wordWrap/>
        <w:overflowPunct/>
        <w:topLinePunct/>
        <w:autoSpaceDE w:val="0"/>
        <w:autoSpaceDN/>
        <w:bidi w:val="0"/>
        <w:adjustRightInd/>
        <w:snapToGrid/>
        <w:ind w:left="0" w:leftChars="0" w:firstLine="0" w:firstLineChars="0"/>
        <w:textAlignment w:val="auto"/>
        <w:rPr>
          <w:rFonts w:hint="default" w:ascii="Arial" w:hAnsi="Arial" w:eastAsia="宋体" w:cs="Arial"/>
          <w:color w:val="auto"/>
          <w:lang w:eastAsia="zh-CN"/>
        </w:rPr>
      </w:pPr>
    </w:p>
    <w:p>
      <w:pPr>
        <w:pStyle w:val="2"/>
        <w:keepNext w:val="0"/>
        <w:keepLines w:val="0"/>
        <w:pageBreakBefore w:val="0"/>
        <w:widowControl w:val="0"/>
        <w:kinsoku/>
        <w:wordWrap/>
        <w:overflowPunct/>
        <w:topLinePunct/>
        <w:autoSpaceDE w:val="0"/>
        <w:autoSpaceDN/>
        <w:bidi w:val="0"/>
        <w:adjustRightInd/>
        <w:snapToGrid/>
        <w:ind w:left="0" w:leftChars="0" w:firstLine="0" w:firstLineChars="0"/>
        <w:textAlignment w:val="auto"/>
        <w:rPr>
          <w:rFonts w:hint="default" w:ascii="Arial" w:hAnsi="Arial" w:eastAsia="宋体" w:cs="Arial"/>
          <w:color w:val="auto"/>
          <w:lang w:eastAsia="zh-CN"/>
        </w:rPr>
      </w:pPr>
    </w:p>
    <w:p>
      <w:pPr>
        <w:pStyle w:val="2"/>
        <w:keepNext w:val="0"/>
        <w:keepLines w:val="0"/>
        <w:pageBreakBefore w:val="0"/>
        <w:widowControl w:val="0"/>
        <w:kinsoku/>
        <w:wordWrap/>
        <w:overflowPunct/>
        <w:topLinePunct/>
        <w:autoSpaceDE w:val="0"/>
        <w:autoSpaceDN/>
        <w:bidi w:val="0"/>
        <w:adjustRightInd/>
        <w:snapToGrid/>
        <w:ind w:left="0" w:leftChars="0" w:firstLine="0" w:firstLineChars="0"/>
        <w:textAlignment w:val="auto"/>
        <w:rPr>
          <w:rFonts w:hint="default" w:ascii="Arial" w:hAnsi="Arial" w:eastAsia="宋体" w:cs="Arial"/>
          <w:color w:val="auto"/>
          <w:lang w:eastAsia="zh-CN"/>
        </w:rPr>
      </w:pPr>
    </w:p>
    <w:p>
      <w:pPr>
        <w:pStyle w:val="2"/>
        <w:keepNext w:val="0"/>
        <w:keepLines w:val="0"/>
        <w:pageBreakBefore w:val="0"/>
        <w:widowControl w:val="0"/>
        <w:kinsoku/>
        <w:wordWrap/>
        <w:overflowPunct/>
        <w:topLinePunct/>
        <w:autoSpaceDE w:val="0"/>
        <w:autoSpaceDN/>
        <w:bidi w:val="0"/>
        <w:adjustRightInd/>
        <w:snapToGrid/>
        <w:ind w:left="0" w:leftChars="0" w:firstLine="0" w:firstLineChars="0"/>
        <w:jc w:val="center"/>
        <w:textAlignment w:val="auto"/>
        <w:rPr>
          <w:rFonts w:hint="default" w:ascii="Arial" w:hAnsi="Arial" w:eastAsia="宋体" w:cs="Arial"/>
          <w:color w:val="auto"/>
          <w:lang w:eastAsia="zh-CN"/>
        </w:rPr>
      </w:pPr>
      <w:r>
        <w:rPr>
          <w:rFonts w:hint="default" w:ascii="Arial" w:hAnsi="Arial" w:eastAsia="宋体" w:cs="Arial"/>
          <w:b/>
          <w:bCs/>
          <w:color w:val="auto"/>
          <w:highlight w:val="none"/>
        </w:rPr>
        <w:t>图3.1-</w:t>
      </w:r>
      <w:r>
        <w:rPr>
          <w:rFonts w:hint="default" w:ascii="Arial" w:hAnsi="Arial" w:eastAsia="宋体" w:cs="Arial"/>
          <w:b/>
          <w:bCs/>
          <w:color w:val="auto"/>
          <w:highlight w:val="none"/>
          <w:lang w:val="en-US" w:eastAsia="zh-CN"/>
        </w:rPr>
        <w:t>5</w:t>
      </w:r>
      <w:r>
        <w:rPr>
          <w:rFonts w:hint="default" w:ascii="Arial" w:hAnsi="Arial" w:eastAsia="宋体" w:cs="Arial"/>
          <w:b/>
          <w:bCs/>
          <w:color w:val="auto"/>
          <w:highlight w:val="none"/>
        </w:rPr>
        <w:t xml:space="preserve">    项目</w:t>
      </w:r>
      <w:r>
        <w:rPr>
          <w:rFonts w:hint="default" w:ascii="Arial" w:hAnsi="Arial" w:eastAsia="宋体" w:cs="Arial"/>
          <w:b/>
          <w:bCs/>
          <w:color w:val="auto"/>
          <w:highlight w:val="none"/>
          <w:lang w:eastAsia="zh-CN"/>
        </w:rPr>
        <w:t>平面布置</w:t>
      </w:r>
    </w:p>
    <w:p>
      <w:pPr>
        <w:pStyle w:val="2"/>
        <w:keepNext w:val="0"/>
        <w:keepLines w:val="0"/>
        <w:pageBreakBefore w:val="0"/>
        <w:widowControl w:val="0"/>
        <w:kinsoku/>
        <w:wordWrap/>
        <w:overflowPunct/>
        <w:topLinePunct/>
        <w:autoSpaceDE w:val="0"/>
        <w:autoSpaceDN/>
        <w:bidi w:val="0"/>
        <w:adjustRightInd/>
        <w:snapToGrid/>
        <w:ind w:left="0" w:leftChars="0" w:firstLine="0" w:firstLineChars="0"/>
        <w:textAlignment w:val="auto"/>
        <w:rPr>
          <w:rFonts w:hint="default" w:ascii="Arial" w:hAnsi="Arial" w:eastAsia="宋体" w:cs="Arial"/>
          <w:color w:val="auto"/>
          <w:lang w:eastAsia="zh-CN"/>
        </w:rPr>
      </w:pPr>
    </w:p>
    <w:p>
      <w:pPr>
        <w:pStyle w:val="2"/>
        <w:keepNext w:val="0"/>
        <w:keepLines w:val="0"/>
        <w:pageBreakBefore w:val="0"/>
        <w:widowControl w:val="0"/>
        <w:kinsoku/>
        <w:wordWrap/>
        <w:overflowPunct/>
        <w:topLinePunct/>
        <w:autoSpaceDE w:val="0"/>
        <w:autoSpaceDN/>
        <w:bidi w:val="0"/>
        <w:adjustRightInd/>
        <w:snapToGrid/>
        <w:ind w:left="0" w:leftChars="0" w:firstLine="0" w:firstLineChars="0"/>
        <w:textAlignment w:val="auto"/>
        <w:rPr>
          <w:rFonts w:hint="default" w:ascii="Arial" w:hAnsi="Arial" w:eastAsia="宋体" w:cs="Arial"/>
          <w:color w:val="auto"/>
          <w:lang w:eastAsia="zh-CN"/>
        </w:rPr>
      </w:pPr>
    </w:p>
    <w:p>
      <w:pPr>
        <w:keepNext w:val="0"/>
        <w:keepLines w:val="0"/>
        <w:pageBreakBefore w:val="0"/>
        <w:widowControl w:val="0"/>
        <w:kinsoku/>
        <w:wordWrap/>
        <w:overflowPunct/>
        <w:topLinePunct/>
        <w:autoSpaceDE w:val="0"/>
        <w:autoSpaceDN/>
        <w:bidi w:val="0"/>
        <w:adjustRightInd/>
        <w:snapToGrid/>
        <w:ind w:left="0" w:leftChars="0" w:firstLine="0" w:firstLineChars="0"/>
        <w:textAlignment w:val="auto"/>
        <w:rPr>
          <w:rFonts w:hint="default" w:ascii="Arial" w:hAnsi="Arial" w:eastAsia="宋体" w:cs="Arial"/>
          <w:color w:val="auto"/>
          <w:highlight w:val="none"/>
          <w:lang w:eastAsia="zh-CN"/>
        </w:rPr>
      </w:pPr>
    </w:p>
    <w:p>
      <w:pPr>
        <w:ind w:firstLine="480"/>
        <w:rPr>
          <w:rFonts w:hint="default" w:ascii="Arial" w:hAnsi="Arial" w:eastAsia="宋体" w:cs="Arial"/>
          <w:color w:val="auto"/>
          <w:highlight w:val="none"/>
          <w:lang w:eastAsia="zh-CN"/>
        </w:rPr>
      </w:pPr>
    </w:p>
    <w:p>
      <w:pPr>
        <w:ind w:firstLine="480"/>
        <w:rPr>
          <w:rFonts w:hint="default" w:ascii="Arial" w:hAnsi="Arial" w:eastAsia="宋体" w:cs="Arial"/>
          <w:color w:val="auto"/>
          <w:highlight w:val="none"/>
          <w:lang w:eastAsia="zh-CN"/>
        </w:rPr>
        <w:sectPr>
          <w:pgSz w:w="11906" w:h="16838"/>
          <w:pgMar w:top="1418" w:right="1418" w:bottom="1247" w:left="1701" w:header="851" w:footer="680" w:gutter="0"/>
          <w:pgBorders>
            <w:top w:val="none" w:sz="0" w:space="0"/>
            <w:left w:val="none" w:sz="0" w:space="0"/>
            <w:bottom w:val="none" w:sz="0" w:space="0"/>
            <w:right w:val="none" w:sz="0" w:space="0"/>
          </w:pgBorders>
          <w:pgNumType w:fmt="numberInDash"/>
          <w:cols w:space="425" w:num="1"/>
          <w:docGrid w:linePitch="326" w:charSpace="0"/>
        </w:sectPr>
      </w:pPr>
    </w:p>
    <w:p>
      <w:pPr>
        <w:pStyle w:val="5"/>
        <w:rPr>
          <w:rFonts w:hint="default" w:ascii="Arial" w:hAnsi="Arial" w:eastAsia="宋体" w:cs="Arial"/>
          <w:color w:val="auto"/>
          <w:highlight w:val="none"/>
        </w:rPr>
      </w:pPr>
      <w:bookmarkStart w:id="211" w:name="_Toc46421090"/>
      <w:bookmarkStart w:id="212" w:name="_Toc3702"/>
      <w:r>
        <w:rPr>
          <w:rFonts w:hint="default" w:ascii="Arial" w:hAnsi="Arial" w:eastAsia="宋体" w:cs="Arial"/>
          <w:color w:val="auto"/>
          <w:highlight w:val="none"/>
        </w:rPr>
        <w:t>3.2项目污染影响因素分析</w:t>
      </w:r>
      <w:bookmarkEnd w:id="211"/>
      <w:bookmarkEnd w:id="212"/>
    </w:p>
    <w:p>
      <w:pPr>
        <w:ind w:firstLine="480"/>
        <w:rPr>
          <w:rFonts w:hint="default" w:ascii="Arial" w:hAnsi="Arial" w:eastAsia="宋体" w:cs="Arial"/>
          <w:color w:val="auto"/>
          <w:highlight w:val="none"/>
          <w:lang w:eastAsia="zh-CN"/>
        </w:rPr>
      </w:pPr>
      <w:r>
        <w:rPr>
          <w:rFonts w:hint="default" w:ascii="Arial" w:hAnsi="Arial" w:eastAsia="宋体" w:cs="Arial"/>
          <w:color w:val="auto"/>
          <w:highlight w:val="none"/>
        </w:rPr>
        <w:t>本项目主要进行</w:t>
      </w:r>
      <w:r>
        <w:rPr>
          <w:rFonts w:hint="default" w:ascii="Arial" w:hAnsi="Arial" w:eastAsia="宋体" w:cs="Arial"/>
          <w:color w:val="auto"/>
          <w:highlight w:val="none"/>
          <w:lang w:eastAsia="zh-CN"/>
        </w:rPr>
        <w:t>肉</w:t>
      </w:r>
      <w:r>
        <w:rPr>
          <w:rFonts w:hint="default" w:ascii="Arial" w:hAnsi="Arial" w:eastAsia="宋体" w:cs="Arial"/>
          <w:color w:val="auto"/>
          <w:highlight w:val="none"/>
        </w:rPr>
        <w:t>牛饲养，不进行放牧作业，主要产污节点包括饲料加工、牛饲养和</w:t>
      </w:r>
      <w:r>
        <w:rPr>
          <w:rFonts w:hint="default" w:ascii="Arial" w:hAnsi="Arial" w:eastAsia="宋体" w:cs="Arial"/>
          <w:color w:val="auto"/>
          <w:highlight w:val="none"/>
          <w:lang w:eastAsia="zh-CN"/>
        </w:rPr>
        <w:t>粪污处置</w:t>
      </w:r>
      <w:r>
        <w:rPr>
          <w:rFonts w:hint="default" w:ascii="Arial" w:hAnsi="Arial" w:eastAsia="宋体" w:cs="Arial"/>
          <w:color w:val="auto"/>
          <w:highlight w:val="none"/>
        </w:rPr>
        <w:t>过程，项目采用《内蒙古自治区畜禽养殖主要污染物减排项目建设技术指南（试行）（内环发</w:t>
      </w:r>
      <w:r>
        <w:rPr>
          <w:rFonts w:hint="default" w:ascii="Arial" w:hAnsi="Arial" w:eastAsia="宋体" w:cs="Arial"/>
          <w:color w:val="auto"/>
          <w:highlight w:val="none"/>
          <w:lang w:eastAsia="zh-CN"/>
        </w:rPr>
        <w:t>[</w:t>
      </w:r>
      <w:r>
        <w:rPr>
          <w:rFonts w:hint="default" w:ascii="Arial" w:hAnsi="Arial" w:eastAsia="宋体" w:cs="Arial"/>
          <w:color w:val="auto"/>
          <w:highlight w:val="none"/>
        </w:rPr>
        <w:t>2014</w:t>
      </w:r>
      <w:r>
        <w:rPr>
          <w:rFonts w:hint="default" w:ascii="Arial" w:hAnsi="Arial" w:eastAsia="宋体" w:cs="Arial"/>
          <w:color w:val="auto"/>
          <w:highlight w:val="none"/>
          <w:lang w:eastAsia="zh-CN"/>
        </w:rPr>
        <w:t>]</w:t>
      </w:r>
      <w:r>
        <w:rPr>
          <w:rFonts w:hint="default" w:ascii="Arial" w:hAnsi="Arial" w:eastAsia="宋体" w:cs="Arial"/>
          <w:color w:val="auto"/>
          <w:highlight w:val="none"/>
        </w:rPr>
        <w:t>83号）》的鼓励模式⑤：（储存+土地消纳）</w:t>
      </w:r>
      <w:r>
        <w:rPr>
          <w:rFonts w:hint="default" w:ascii="Arial" w:hAnsi="Arial" w:eastAsia="宋体" w:cs="Arial"/>
          <w:color w:val="auto"/>
          <w:highlight w:val="none"/>
          <w:lang w:eastAsia="zh-CN"/>
        </w:rPr>
        <w:t>肉</w:t>
      </w:r>
      <w:r>
        <w:rPr>
          <w:rFonts w:hint="default" w:ascii="Arial" w:hAnsi="Arial" w:eastAsia="宋体" w:cs="Arial"/>
          <w:color w:val="auto"/>
          <w:highlight w:val="none"/>
        </w:rPr>
        <w:t>牛规模化养殖场建设废弃物储存设施的方式处理养殖废物</w:t>
      </w:r>
      <w:r>
        <w:rPr>
          <w:rFonts w:hint="default" w:ascii="Arial" w:hAnsi="Arial" w:eastAsia="宋体" w:cs="Arial"/>
          <w:color w:val="auto"/>
          <w:highlight w:val="none"/>
          <w:lang w:eastAsia="zh-CN"/>
        </w:rPr>
        <w:t>。</w:t>
      </w:r>
    </w:p>
    <w:p>
      <w:pPr>
        <w:ind w:firstLine="480"/>
        <w:rPr>
          <w:rFonts w:hint="default" w:ascii="Arial" w:hAnsi="Arial" w:eastAsia="宋体" w:cs="Arial"/>
          <w:color w:val="auto"/>
          <w:highlight w:val="none"/>
        </w:rPr>
      </w:pPr>
    </w:p>
    <w:p>
      <w:pPr>
        <w:spacing w:line="360" w:lineRule="auto"/>
        <w:ind w:firstLine="0" w:firstLineChars="0"/>
        <w:jc w:val="center"/>
        <w:rPr>
          <w:rFonts w:hint="default" w:ascii="Arial" w:hAnsi="Arial" w:eastAsia="宋体" w:cs="Arial"/>
          <w:color w:val="auto"/>
          <w:highlight w:val="none"/>
        </w:rPr>
      </w:pPr>
      <w:r>
        <w:rPr>
          <w:rFonts w:hint="default" w:ascii="Arial" w:hAnsi="Arial" w:eastAsia="宋体" w:cs="Arial"/>
          <w:color w:val="auto"/>
          <w:szCs w:val="24"/>
          <w:lang w:val="en-US" w:eastAsia="zh-CN"/>
        </w:rPr>
        <w:object>
          <v:shape id="_x0000_i1026" o:spt="75" type="#_x0000_t75" style="height:187.7pt;width:450.7pt;" o:ole="t" filled="f" o:preferrelative="t" stroked="f" coordsize="21600,21600">
            <v:path/>
            <v:fill on="f" focussize="0,0"/>
            <v:stroke on="f"/>
            <v:imagedata r:id="rId28" o:title=""/>
            <o:lock v:ext="edit" aspectratio="t"/>
            <w10:wrap type="none"/>
            <w10:anchorlock/>
          </v:shape>
          <o:OLEObject Type="Embed" ProgID="Visio.Drawing.11" ShapeID="_x0000_i1026" DrawAspect="Content" ObjectID="_1468075729" r:id="rId27">
            <o:LockedField>false</o:LockedField>
          </o:OLEObject>
        </w:object>
      </w:r>
    </w:p>
    <w:p>
      <w:pPr>
        <w:pStyle w:val="8"/>
        <w:pageBreakBefore w:val="0"/>
        <w:kinsoku/>
        <w:wordWrap/>
        <w:overflowPunct/>
        <w:autoSpaceDN/>
        <w:bidi w:val="0"/>
        <w:adjustRightInd/>
        <w:snapToGrid/>
        <w:spacing w:line="480" w:lineRule="exact"/>
        <w:textAlignment w:val="auto"/>
        <w:rPr>
          <w:rFonts w:hint="default" w:ascii="Arial" w:hAnsi="Arial" w:eastAsia="宋体" w:cs="Arial"/>
          <w:color w:val="auto"/>
          <w:highlight w:val="none"/>
        </w:rPr>
      </w:pPr>
      <w:r>
        <w:rPr>
          <w:rFonts w:hint="default" w:ascii="Arial" w:hAnsi="Arial" w:eastAsia="宋体" w:cs="Arial"/>
          <w:color w:val="auto"/>
          <w:highlight w:val="none"/>
        </w:rPr>
        <w:t xml:space="preserve">图3.2-1    </w:t>
      </w:r>
      <w:r>
        <w:rPr>
          <w:rFonts w:hint="default" w:ascii="Arial" w:hAnsi="Arial" w:eastAsia="宋体" w:cs="Arial"/>
          <w:color w:val="auto"/>
          <w:highlight w:val="none"/>
          <w:lang w:eastAsia="zh-CN"/>
        </w:rPr>
        <w:t>肉牛</w:t>
      </w:r>
      <w:r>
        <w:rPr>
          <w:rFonts w:hint="default" w:ascii="Arial" w:hAnsi="Arial" w:eastAsia="宋体" w:cs="Arial"/>
          <w:color w:val="auto"/>
          <w:highlight w:val="none"/>
        </w:rPr>
        <w:t>养殖工艺流程及产污环节</w:t>
      </w:r>
    </w:p>
    <w:p>
      <w:pPr>
        <w:pStyle w:val="6"/>
        <w:pageBreakBefore w:val="0"/>
        <w:kinsoku/>
        <w:wordWrap/>
        <w:overflowPunct/>
        <w:autoSpaceDN/>
        <w:bidi w:val="0"/>
        <w:adjustRightInd/>
        <w:snapToGrid/>
        <w:spacing w:line="480" w:lineRule="exact"/>
        <w:textAlignment w:val="auto"/>
        <w:rPr>
          <w:rStyle w:val="42"/>
          <w:rFonts w:hint="default" w:ascii="Arial" w:hAnsi="Arial" w:eastAsia="宋体" w:cs="Arial"/>
          <w:color w:val="auto"/>
          <w:highlight w:val="none"/>
        </w:rPr>
      </w:pPr>
      <w:bookmarkStart w:id="213" w:name="_Toc46421091"/>
      <w:bookmarkStart w:id="214" w:name="_Toc20888"/>
      <w:r>
        <w:rPr>
          <w:rFonts w:hint="default" w:ascii="Arial" w:hAnsi="Arial" w:eastAsia="宋体" w:cs="Arial"/>
          <w:color w:val="auto"/>
          <w:highlight w:val="none"/>
        </w:rPr>
        <w:t>3.2.1</w:t>
      </w:r>
      <w:bookmarkStart w:id="215" w:name="_Hlk44173656"/>
      <w:r>
        <w:rPr>
          <w:rFonts w:hint="default" w:ascii="Arial" w:hAnsi="Arial" w:eastAsia="宋体" w:cs="Arial"/>
          <w:color w:val="auto"/>
          <w:highlight w:val="none"/>
        </w:rPr>
        <w:t>青贮饲料制作、饲料拌合工艺流程简述</w:t>
      </w:r>
      <w:bookmarkEnd w:id="213"/>
      <w:bookmarkEnd w:id="214"/>
    </w:p>
    <w:p>
      <w:pPr>
        <w:pageBreakBefore w:val="0"/>
        <w:kinsoku/>
        <w:wordWrap/>
        <w:overflowPunct/>
        <w:autoSpaceDN/>
        <w:bidi w:val="0"/>
        <w:adjustRightInd/>
        <w:snapToGrid/>
        <w:spacing w:line="480" w:lineRule="exact"/>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（1）青贮原料</w:t>
      </w:r>
    </w:p>
    <w:p>
      <w:pPr>
        <w:pageBreakBefore w:val="0"/>
        <w:kinsoku/>
        <w:wordWrap/>
        <w:overflowPunct/>
        <w:autoSpaceDN/>
        <w:bidi w:val="0"/>
        <w:adjustRightInd/>
        <w:snapToGrid/>
        <w:spacing w:line="480" w:lineRule="exact"/>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青贮原料为玉米秸秆，在收割青贮时将青贮玉米破碎成2～3cm的长度。牛场和周边农户根据</w:t>
      </w:r>
      <w:r>
        <w:rPr>
          <w:rFonts w:hint="default" w:ascii="Arial" w:hAnsi="Arial" w:eastAsia="宋体" w:cs="Arial"/>
          <w:color w:val="auto"/>
          <w:highlight w:val="none"/>
          <w:lang w:eastAsia="zh-CN"/>
        </w:rPr>
        <w:t>青贮</w:t>
      </w:r>
      <w:r>
        <w:rPr>
          <w:rFonts w:hint="default" w:ascii="Arial" w:hAnsi="Arial" w:eastAsia="宋体" w:cs="Arial"/>
          <w:color w:val="auto"/>
          <w:highlight w:val="none"/>
        </w:rPr>
        <w:t>玉米的成熟程度，在乳熟后期至蜡熟前期进行及时收割，入窖时原料水分应控制在70%左右，一般以用手攥紧切碎的青贮原料有液体渗出而不下滴为宜，青贮玉米应含一定的可溶性糖（&gt;2%），含糖量不足时，应掺入含糖量较高的青绿饲料或添加适量淀粉、糖蜜等。以免影响原料产量或青贮质量，甚至导致青贮失败，在果穗达到乳熟期，收割全株青贮。</w:t>
      </w:r>
    </w:p>
    <w:p>
      <w:pPr>
        <w:pageBreakBefore w:val="0"/>
        <w:kinsoku/>
        <w:wordWrap/>
        <w:overflowPunct/>
        <w:autoSpaceDN/>
        <w:bidi w:val="0"/>
        <w:adjustRightInd/>
        <w:snapToGrid/>
        <w:spacing w:line="480" w:lineRule="exact"/>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w:t>
      </w:r>
      <w:r>
        <w:rPr>
          <w:rFonts w:hint="default" w:ascii="Arial" w:hAnsi="Arial" w:eastAsia="宋体" w:cs="Arial"/>
          <w:color w:val="auto"/>
          <w:highlight w:val="none"/>
          <w:lang w:val="en-US" w:eastAsia="zh-CN"/>
        </w:rPr>
        <w:t>2</w:t>
      </w:r>
      <w:r>
        <w:rPr>
          <w:rFonts w:hint="default" w:ascii="Arial" w:hAnsi="Arial" w:eastAsia="宋体" w:cs="Arial"/>
          <w:color w:val="auto"/>
          <w:highlight w:val="none"/>
        </w:rPr>
        <w:t>）装填</w:t>
      </w:r>
    </w:p>
    <w:p>
      <w:pPr>
        <w:pageBreakBefore w:val="0"/>
        <w:kinsoku/>
        <w:wordWrap/>
        <w:overflowPunct/>
        <w:autoSpaceDN/>
        <w:bidi w:val="0"/>
        <w:adjustRightInd/>
        <w:snapToGrid/>
        <w:spacing w:line="480" w:lineRule="exact"/>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牧场在装填前先在</w:t>
      </w:r>
      <w:r>
        <w:rPr>
          <w:rFonts w:hint="default" w:ascii="Arial" w:hAnsi="Arial" w:eastAsia="宋体" w:cs="Arial"/>
          <w:color w:val="auto"/>
          <w:highlight w:val="none"/>
          <w:lang w:eastAsia="zh-CN"/>
        </w:rPr>
        <w:t>窖</w:t>
      </w:r>
      <w:r>
        <w:rPr>
          <w:rFonts w:hint="default" w:ascii="Arial" w:hAnsi="Arial" w:eastAsia="宋体" w:cs="Arial"/>
          <w:color w:val="auto"/>
          <w:highlight w:val="none"/>
        </w:rPr>
        <w:t>底铺上30cm厚的垫草，然后将铡短的青贮原料迅速装入</w:t>
      </w:r>
      <w:r>
        <w:rPr>
          <w:rFonts w:hint="default" w:ascii="Arial" w:hAnsi="Arial" w:eastAsia="宋体" w:cs="Arial"/>
          <w:color w:val="auto"/>
          <w:highlight w:val="none"/>
          <w:lang w:eastAsia="zh-CN"/>
        </w:rPr>
        <w:t>窖</w:t>
      </w:r>
      <w:r>
        <w:rPr>
          <w:rFonts w:hint="default" w:ascii="Arial" w:hAnsi="Arial" w:eastAsia="宋体" w:cs="Arial"/>
          <w:color w:val="auto"/>
          <w:highlight w:val="none"/>
        </w:rPr>
        <w:t>内。装时要边装料边用装载机层层压实，尽量排除空气。</w:t>
      </w:r>
    </w:p>
    <w:p>
      <w:pPr>
        <w:pageBreakBefore w:val="0"/>
        <w:kinsoku/>
        <w:wordWrap/>
        <w:overflowPunct/>
        <w:autoSpaceDN/>
        <w:bidi w:val="0"/>
        <w:adjustRightInd/>
        <w:snapToGrid/>
        <w:spacing w:line="480" w:lineRule="exact"/>
        <w:ind w:firstLine="480"/>
        <w:textAlignment w:val="auto"/>
        <w:rPr>
          <w:rFonts w:hint="default" w:ascii="Arial" w:hAnsi="Arial" w:eastAsia="宋体" w:cs="Arial"/>
          <w:color w:val="auto"/>
          <w:highlight w:val="none"/>
          <w:lang w:eastAsia="zh-CN"/>
        </w:rPr>
      </w:pPr>
      <w:r>
        <w:rPr>
          <w:rFonts w:hint="default" w:ascii="Arial" w:hAnsi="Arial" w:eastAsia="宋体" w:cs="Arial"/>
          <w:color w:val="auto"/>
          <w:highlight w:val="none"/>
        </w:rPr>
        <w:t>（</w:t>
      </w:r>
      <w:r>
        <w:rPr>
          <w:rFonts w:hint="default" w:ascii="Arial" w:hAnsi="Arial" w:eastAsia="宋体" w:cs="Arial"/>
          <w:color w:val="auto"/>
          <w:highlight w:val="none"/>
          <w:lang w:val="en-US" w:eastAsia="zh-CN"/>
        </w:rPr>
        <w:t>3</w:t>
      </w:r>
      <w:r>
        <w:rPr>
          <w:rFonts w:hint="default" w:ascii="Arial" w:hAnsi="Arial" w:eastAsia="宋体" w:cs="Arial"/>
          <w:color w:val="auto"/>
          <w:highlight w:val="none"/>
        </w:rPr>
        <w:t>）封</w:t>
      </w:r>
      <w:r>
        <w:rPr>
          <w:rFonts w:hint="default" w:ascii="Arial" w:hAnsi="Arial" w:eastAsia="宋体" w:cs="Arial"/>
          <w:color w:val="auto"/>
          <w:highlight w:val="none"/>
          <w:lang w:eastAsia="zh-CN"/>
        </w:rPr>
        <w:t>窖</w:t>
      </w:r>
    </w:p>
    <w:p>
      <w:pPr>
        <w:pageBreakBefore w:val="0"/>
        <w:kinsoku/>
        <w:wordWrap/>
        <w:overflowPunct/>
        <w:autoSpaceDN/>
        <w:bidi w:val="0"/>
        <w:adjustRightInd/>
        <w:snapToGrid/>
        <w:spacing w:line="480" w:lineRule="exact"/>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牧场为地面式</w:t>
      </w:r>
      <w:r>
        <w:rPr>
          <w:rFonts w:hint="default" w:ascii="Arial" w:hAnsi="Arial" w:eastAsia="宋体" w:cs="Arial"/>
          <w:color w:val="auto"/>
          <w:highlight w:val="none"/>
          <w:lang w:eastAsia="zh-CN"/>
        </w:rPr>
        <w:t>青贮池</w:t>
      </w:r>
      <w:r>
        <w:rPr>
          <w:rFonts w:hint="default" w:ascii="Arial" w:hAnsi="Arial" w:eastAsia="宋体" w:cs="Arial"/>
          <w:color w:val="auto"/>
          <w:highlight w:val="none"/>
        </w:rPr>
        <w:t>，地面为水泥抹面，方便</w:t>
      </w:r>
      <w:r>
        <w:rPr>
          <w:rFonts w:hint="default" w:ascii="Arial" w:hAnsi="Arial" w:eastAsia="宋体" w:cs="Arial"/>
          <w:color w:val="auto"/>
          <w:highlight w:val="none"/>
          <w:lang w:eastAsia="zh-CN"/>
        </w:rPr>
        <w:t>青贮</w:t>
      </w:r>
      <w:r>
        <w:rPr>
          <w:rFonts w:hint="default" w:ascii="Arial" w:hAnsi="Arial" w:eastAsia="宋体" w:cs="Arial"/>
          <w:color w:val="auto"/>
          <w:highlight w:val="none"/>
        </w:rPr>
        <w:t>饲料的储用。当</w:t>
      </w:r>
      <w:r>
        <w:rPr>
          <w:rFonts w:hint="default" w:ascii="Arial" w:hAnsi="Arial" w:eastAsia="宋体" w:cs="Arial"/>
          <w:color w:val="auto"/>
          <w:highlight w:val="none"/>
          <w:lang w:eastAsia="zh-CN"/>
        </w:rPr>
        <w:t>青贮</w:t>
      </w:r>
      <w:r>
        <w:rPr>
          <w:rFonts w:hint="default" w:ascii="Arial" w:hAnsi="Arial" w:eastAsia="宋体" w:cs="Arial"/>
          <w:color w:val="auto"/>
          <w:highlight w:val="none"/>
        </w:rPr>
        <w:t>饲料高出</w:t>
      </w:r>
      <w:r>
        <w:rPr>
          <w:rFonts w:hint="default" w:ascii="Arial" w:hAnsi="Arial" w:eastAsia="宋体" w:cs="Arial"/>
          <w:color w:val="auto"/>
          <w:highlight w:val="none"/>
          <w:lang w:eastAsia="zh-CN"/>
        </w:rPr>
        <w:t>窖</w:t>
      </w:r>
      <w:r>
        <w:rPr>
          <w:rFonts w:hint="default" w:ascii="Arial" w:hAnsi="Arial" w:eastAsia="宋体" w:cs="Arial"/>
          <w:color w:val="auto"/>
          <w:highlight w:val="none"/>
        </w:rPr>
        <w:t>沿60cm时进行封</w:t>
      </w:r>
      <w:r>
        <w:rPr>
          <w:rFonts w:hint="default" w:ascii="Arial" w:hAnsi="Arial" w:eastAsia="宋体" w:cs="Arial"/>
          <w:color w:val="auto"/>
          <w:highlight w:val="none"/>
          <w:lang w:eastAsia="zh-CN"/>
        </w:rPr>
        <w:t>窖</w:t>
      </w:r>
      <w:r>
        <w:rPr>
          <w:rFonts w:hint="default" w:ascii="Arial" w:hAnsi="Arial" w:eastAsia="宋体" w:cs="Arial"/>
          <w:color w:val="auto"/>
          <w:highlight w:val="none"/>
        </w:rPr>
        <w:t>，采用防老化的双层塑料布（长度和宽度依窖的大小而定），从一端铺至另一端，塑料布的宽度要余出</w:t>
      </w:r>
      <w:r>
        <w:rPr>
          <w:rFonts w:hint="default" w:ascii="Arial" w:hAnsi="Arial" w:eastAsia="宋体" w:cs="Arial"/>
          <w:color w:val="auto"/>
          <w:highlight w:val="none"/>
          <w:lang w:eastAsia="zh-CN"/>
        </w:rPr>
        <w:t>窖</w:t>
      </w:r>
      <w:r>
        <w:rPr>
          <w:rFonts w:hint="default" w:ascii="Arial" w:hAnsi="Arial" w:eastAsia="宋体" w:cs="Arial"/>
          <w:color w:val="auto"/>
          <w:highlight w:val="none"/>
        </w:rPr>
        <w:t>体30-40厘米，在窖口薄膜上加一定量的土，以保证其密封性，最后在薄膜上放置废旧轮胎进行压覆，以保证薄膜不会被风吹起或刮烂。</w:t>
      </w:r>
    </w:p>
    <w:p>
      <w:pPr>
        <w:pageBreakBefore w:val="0"/>
        <w:kinsoku/>
        <w:wordWrap/>
        <w:overflowPunct/>
        <w:autoSpaceDN/>
        <w:bidi w:val="0"/>
        <w:adjustRightInd/>
        <w:snapToGrid/>
        <w:spacing w:line="480" w:lineRule="exact"/>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w:t>
      </w:r>
      <w:r>
        <w:rPr>
          <w:rFonts w:hint="default" w:ascii="Arial" w:hAnsi="Arial" w:eastAsia="宋体" w:cs="Arial"/>
          <w:color w:val="auto"/>
          <w:highlight w:val="none"/>
          <w:lang w:val="en-US" w:eastAsia="zh-CN"/>
        </w:rPr>
        <w:t>4</w:t>
      </w:r>
      <w:r>
        <w:rPr>
          <w:rFonts w:hint="default" w:ascii="Arial" w:hAnsi="Arial" w:eastAsia="宋体" w:cs="Arial"/>
          <w:color w:val="auto"/>
          <w:highlight w:val="none"/>
        </w:rPr>
        <w:t>）青贮饲料取用</w:t>
      </w:r>
    </w:p>
    <w:p>
      <w:pPr>
        <w:pageBreakBefore w:val="0"/>
        <w:kinsoku/>
        <w:wordWrap/>
        <w:overflowPunct/>
        <w:autoSpaceDN/>
        <w:bidi w:val="0"/>
        <w:adjustRightInd/>
        <w:snapToGrid/>
        <w:spacing w:line="480" w:lineRule="exact"/>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饲料青贮后30～50d便可开</w:t>
      </w:r>
      <w:r>
        <w:rPr>
          <w:rFonts w:hint="default" w:ascii="Arial" w:hAnsi="Arial" w:eastAsia="宋体" w:cs="Arial"/>
          <w:color w:val="auto"/>
          <w:highlight w:val="none"/>
          <w:lang w:eastAsia="zh-CN"/>
        </w:rPr>
        <w:t>窖</w:t>
      </w:r>
      <w:r>
        <w:rPr>
          <w:rFonts w:hint="default" w:ascii="Arial" w:hAnsi="Arial" w:eastAsia="宋体" w:cs="Arial"/>
          <w:color w:val="auto"/>
          <w:highlight w:val="none"/>
        </w:rPr>
        <w:t>取喂。取料从窖口开始取用，并逐步向窖内推进，取料后随即盖严取料口。</w:t>
      </w:r>
    </w:p>
    <w:p>
      <w:pPr>
        <w:pageBreakBefore w:val="0"/>
        <w:kinsoku/>
        <w:wordWrap/>
        <w:overflowPunct/>
        <w:autoSpaceDN/>
        <w:bidi w:val="0"/>
        <w:adjustRightInd/>
        <w:snapToGrid/>
        <w:spacing w:line="480" w:lineRule="exact"/>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w:t>
      </w:r>
      <w:r>
        <w:rPr>
          <w:rFonts w:hint="default" w:ascii="Arial" w:hAnsi="Arial" w:eastAsia="宋体" w:cs="Arial"/>
          <w:color w:val="auto"/>
          <w:highlight w:val="none"/>
          <w:lang w:val="en-US" w:eastAsia="zh-CN"/>
        </w:rPr>
        <w:t>5</w:t>
      </w:r>
      <w:r>
        <w:rPr>
          <w:rFonts w:hint="default" w:ascii="Arial" w:hAnsi="Arial" w:eastAsia="宋体" w:cs="Arial"/>
          <w:color w:val="auto"/>
          <w:highlight w:val="none"/>
        </w:rPr>
        <w:t>）全混合日粮（TMR）搅拌工艺</w:t>
      </w:r>
    </w:p>
    <w:p>
      <w:pPr>
        <w:pageBreakBefore w:val="0"/>
        <w:kinsoku/>
        <w:wordWrap/>
        <w:overflowPunct/>
        <w:autoSpaceDN/>
        <w:bidi w:val="0"/>
        <w:adjustRightInd/>
        <w:snapToGrid/>
        <w:spacing w:line="480" w:lineRule="exact"/>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全混合日粮（TMR）指根据牛群营养需要，把</w:t>
      </w:r>
      <w:r>
        <w:rPr>
          <w:rFonts w:hint="default" w:ascii="Arial" w:hAnsi="Arial" w:eastAsia="宋体" w:cs="Arial"/>
          <w:color w:val="auto"/>
          <w:highlight w:val="none"/>
          <w:lang w:eastAsia="zh-CN"/>
        </w:rPr>
        <w:t>青贮</w:t>
      </w:r>
      <w:r>
        <w:rPr>
          <w:rFonts w:hint="default" w:ascii="Arial" w:hAnsi="Arial" w:eastAsia="宋体" w:cs="Arial"/>
          <w:color w:val="auto"/>
          <w:highlight w:val="none"/>
        </w:rPr>
        <w:t>饲料、草料、</w:t>
      </w:r>
      <w:r>
        <w:rPr>
          <w:rFonts w:hint="default" w:ascii="Arial" w:hAnsi="Arial" w:eastAsia="宋体" w:cs="Arial"/>
          <w:color w:val="auto"/>
          <w:highlight w:val="none"/>
          <w:lang w:eastAsia="zh-CN"/>
        </w:rPr>
        <w:t>精料</w:t>
      </w:r>
      <w:r>
        <w:rPr>
          <w:rFonts w:hint="default" w:ascii="Arial" w:hAnsi="Arial" w:eastAsia="宋体" w:cs="Arial"/>
          <w:color w:val="auto"/>
          <w:highlight w:val="none"/>
        </w:rPr>
        <w:t>等按合理的比例及要求，利用TMR搅拌机进行搅拌，使之成为混合均匀、营养平衡的日粮。日粮的配制需按照泌乳牛、干</w:t>
      </w:r>
      <w:r>
        <w:rPr>
          <w:rFonts w:hint="default" w:ascii="Arial" w:hAnsi="Arial" w:eastAsia="宋体" w:cs="Arial"/>
          <w:color w:val="auto"/>
          <w:highlight w:val="none"/>
          <w:lang w:eastAsia="zh-CN"/>
        </w:rPr>
        <w:t>肉牛</w:t>
      </w:r>
      <w:r>
        <w:rPr>
          <w:rFonts w:hint="default" w:ascii="Arial" w:hAnsi="Arial" w:eastAsia="宋体" w:cs="Arial"/>
          <w:color w:val="auto"/>
          <w:highlight w:val="none"/>
        </w:rPr>
        <w:t>、青年牛的不同阶段进行配制，搅拌时间为5-8分钟。</w:t>
      </w:r>
    </w:p>
    <w:p>
      <w:pPr>
        <w:pageBreakBefore w:val="0"/>
        <w:kinsoku/>
        <w:wordWrap/>
        <w:overflowPunct/>
        <w:autoSpaceDN/>
        <w:bidi w:val="0"/>
        <w:adjustRightInd/>
        <w:snapToGrid/>
        <w:spacing w:line="480" w:lineRule="exact"/>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产污环节：</w:t>
      </w:r>
      <w:r>
        <w:rPr>
          <w:rFonts w:hint="default" w:ascii="Arial" w:hAnsi="Arial" w:eastAsia="宋体" w:cs="Arial"/>
          <w:color w:val="auto"/>
          <w:highlight w:val="none"/>
          <w:lang w:eastAsia="zh-CN"/>
        </w:rPr>
        <w:t>青贮</w:t>
      </w:r>
      <w:r>
        <w:rPr>
          <w:rFonts w:hint="default" w:ascii="Arial" w:hAnsi="Arial" w:eastAsia="宋体" w:cs="Arial"/>
          <w:color w:val="auto"/>
          <w:highlight w:val="none"/>
        </w:rPr>
        <w:t>饲料、</w:t>
      </w:r>
      <w:r>
        <w:rPr>
          <w:rFonts w:hint="default" w:ascii="Arial" w:hAnsi="Arial" w:eastAsia="宋体" w:cs="Arial"/>
          <w:color w:val="auto"/>
          <w:highlight w:val="none"/>
          <w:lang w:eastAsia="zh-CN"/>
        </w:rPr>
        <w:t>干</w:t>
      </w:r>
      <w:r>
        <w:rPr>
          <w:rFonts w:hint="default" w:ascii="Arial" w:hAnsi="Arial" w:eastAsia="宋体" w:cs="Arial"/>
          <w:color w:val="auto"/>
          <w:highlight w:val="none"/>
        </w:rPr>
        <w:t>草料</w:t>
      </w:r>
      <w:r>
        <w:rPr>
          <w:rFonts w:hint="default" w:ascii="Arial" w:hAnsi="Arial" w:eastAsia="宋体" w:cs="Arial"/>
          <w:color w:val="auto"/>
          <w:highlight w:val="none"/>
          <w:lang w:eastAsia="zh-CN"/>
        </w:rPr>
        <w:t>、精饲料</w:t>
      </w:r>
      <w:r>
        <w:rPr>
          <w:rFonts w:hint="default" w:ascii="Arial" w:hAnsi="Arial" w:eastAsia="宋体" w:cs="Arial"/>
          <w:color w:val="auto"/>
          <w:highlight w:val="none"/>
        </w:rPr>
        <w:t>等饲料装卸、日粮饲料配制过程中产生的粉尘以及噪声。</w:t>
      </w:r>
    </w:p>
    <w:p>
      <w:pPr>
        <w:pStyle w:val="6"/>
        <w:pageBreakBefore w:val="0"/>
        <w:kinsoku/>
        <w:wordWrap/>
        <w:overflowPunct/>
        <w:autoSpaceDN/>
        <w:bidi w:val="0"/>
        <w:adjustRightInd/>
        <w:snapToGrid/>
        <w:spacing w:line="480" w:lineRule="exact"/>
        <w:textAlignment w:val="auto"/>
        <w:rPr>
          <w:rFonts w:hint="default" w:ascii="Arial" w:hAnsi="Arial" w:eastAsia="宋体" w:cs="Arial"/>
          <w:color w:val="auto"/>
          <w:highlight w:val="none"/>
        </w:rPr>
      </w:pPr>
      <w:bookmarkStart w:id="216" w:name="_Toc46421092"/>
      <w:bookmarkStart w:id="217" w:name="_Toc9596"/>
      <w:r>
        <w:rPr>
          <w:rFonts w:hint="default" w:ascii="Arial" w:hAnsi="Arial" w:eastAsia="宋体" w:cs="Arial"/>
          <w:color w:val="auto"/>
          <w:highlight w:val="none"/>
        </w:rPr>
        <w:t>3.2.2牛群饲养流程简述</w:t>
      </w:r>
      <w:bookmarkEnd w:id="216"/>
      <w:bookmarkEnd w:id="217"/>
    </w:p>
    <w:p>
      <w:pPr>
        <w:keepNext w:val="0"/>
        <w:keepLines w:val="0"/>
        <w:pageBreakBefore w:val="0"/>
        <w:widowControl w:val="0"/>
        <w:kinsoku/>
        <w:wordWrap/>
        <w:overflowPunct/>
        <w:topLinePunct/>
        <w:autoSpaceDE w:val="0"/>
        <w:autoSpaceDN/>
        <w:bidi w:val="0"/>
        <w:adjustRightInd/>
        <w:snapToGrid/>
        <w:spacing w:line="480" w:lineRule="exact"/>
        <w:textAlignment w:val="auto"/>
        <w:rPr>
          <w:rFonts w:hint="default" w:ascii="Arial" w:hAnsi="Arial" w:eastAsia="宋体" w:cs="Arial"/>
          <w:color w:val="auto"/>
          <w:sz w:val="24"/>
          <w:szCs w:val="22"/>
          <w:lang w:val="en-US" w:eastAsia="zh-CN"/>
        </w:rPr>
      </w:pPr>
      <w:r>
        <w:rPr>
          <w:rFonts w:hint="default" w:ascii="Arial" w:hAnsi="Arial" w:eastAsia="宋体" w:cs="Arial"/>
          <w:color w:val="auto"/>
          <w:sz w:val="24"/>
          <w:szCs w:val="22"/>
          <w:lang w:val="en-US" w:eastAsia="zh-CN"/>
        </w:rPr>
        <w:t>本项目外购犊牛在场内进行养殖育肥，进场时犊牛体重为200~300kg，经过12~18个月育肥养殖后，当育肥牛达到800kg以上的出栏标准时出栏外售。</w:t>
      </w:r>
    </w:p>
    <w:p>
      <w:pPr>
        <w:keepNext w:val="0"/>
        <w:keepLines w:val="0"/>
        <w:pageBreakBefore w:val="0"/>
        <w:widowControl w:val="0"/>
        <w:kinsoku/>
        <w:wordWrap/>
        <w:overflowPunct/>
        <w:topLinePunct/>
        <w:autoSpaceDE w:val="0"/>
        <w:autoSpaceDN/>
        <w:bidi w:val="0"/>
        <w:adjustRightInd/>
        <w:snapToGrid/>
        <w:spacing w:line="480" w:lineRule="exact"/>
        <w:textAlignment w:val="auto"/>
        <w:rPr>
          <w:rFonts w:hint="default" w:ascii="Arial" w:hAnsi="Arial" w:eastAsia="宋体" w:cs="Arial"/>
          <w:color w:val="auto"/>
          <w:sz w:val="24"/>
          <w:szCs w:val="22"/>
          <w:lang w:val="en-US" w:eastAsia="zh-CN"/>
        </w:rPr>
      </w:pPr>
      <w:r>
        <w:rPr>
          <w:rFonts w:hint="default" w:ascii="Arial" w:hAnsi="Arial" w:eastAsia="宋体" w:cs="Arial"/>
          <w:color w:val="auto"/>
          <w:sz w:val="24"/>
          <w:szCs w:val="22"/>
          <w:lang w:val="en-US" w:eastAsia="zh-CN"/>
        </w:rPr>
        <w:t>工艺流程叙述：</w:t>
      </w:r>
    </w:p>
    <w:p>
      <w:pPr>
        <w:keepNext w:val="0"/>
        <w:keepLines w:val="0"/>
        <w:pageBreakBefore w:val="0"/>
        <w:widowControl w:val="0"/>
        <w:kinsoku/>
        <w:wordWrap/>
        <w:overflowPunct/>
        <w:topLinePunct/>
        <w:autoSpaceDE w:val="0"/>
        <w:autoSpaceDN/>
        <w:bidi w:val="0"/>
        <w:adjustRightInd/>
        <w:snapToGrid/>
        <w:spacing w:line="480" w:lineRule="exact"/>
        <w:textAlignment w:val="auto"/>
        <w:rPr>
          <w:rFonts w:hint="default" w:ascii="Arial" w:hAnsi="Arial" w:eastAsia="宋体" w:cs="Arial"/>
          <w:color w:val="auto"/>
          <w:sz w:val="24"/>
          <w:szCs w:val="22"/>
          <w:lang w:val="en-US" w:eastAsia="zh-CN"/>
        </w:rPr>
      </w:pPr>
      <w:r>
        <w:rPr>
          <w:rFonts w:hint="default" w:ascii="Arial" w:hAnsi="Arial" w:eastAsia="宋体" w:cs="Arial"/>
          <w:color w:val="auto"/>
          <w:sz w:val="24"/>
          <w:szCs w:val="22"/>
          <w:lang w:val="en-US" w:eastAsia="zh-CN"/>
        </w:rPr>
        <w:t>4月-8月的犊牛经过保育，体重达到300~400kg, 进入育肥舍开始饲养至体重达出栏结束为生产育肥阶段。育肥饲养期为12~18个月，肉牛达800kg体重出栏。本阶段的主要任务是让牛充分生长，提高牛的饲料利用率。</w:t>
      </w:r>
    </w:p>
    <w:p>
      <w:pPr>
        <w:pStyle w:val="6"/>
        <w:pageBreakBefore w:val="0"/>
        <w:kinsoku/>
        <w:wordWrap/>
        <w:overflowPunct/>
        <w:autoSpaceDN/>
        <w:bidi w:val="0"/>
        <w:adjustRightInd/>
        <w:snapToGrid/>
        <w:spacing w:line="480" w:lineRule="exact"/>
        <w:textAlignment w:val="auto"/>
        <w:rPr>
          <w:rFonts w:hint="default" w:ascii="Arial" w:hAnsi="Arial" w:eastAsia="宋体" w:cs="Arial"/>
          <w:color w:val="auto"/>
          <w:highlight w:val="none"/>
        </w:rPr>
      </w:pPr>
      <w:bookmarkStart w:id="218" w:name="_Toc46421097"/>
      <w:bookmarkStart w:id="219" w:name="_Toc13158"/>
      <w:r>
        <w:rPr>
          <w:rFonts w:hint="default" w:ascii="Arial" w:hAnsi="Arial" w:eastAsia="宋体" w:cs="Arial"/>
          <w:color w:val="auto"/>
          <w:highlight w:val="none"/>
        </w:rPr>
        <w:t>3.2.</w:t>
      </w:r>
      <w:r>
        <w:rPr>
          <w:rFonts w:hint="default" w:ascii="Arial" w:hAnsi="Arial" w:eastAsia="宋体" w:cs="Arial"/>
          <w:color w:val="auto"/>
          <w:highlight w:val="none"/>
          <w:lang w:val="en-US" w:eastAsia="zh-CN"/>
        </w:rPr>
        <w:t>3</w:t>
      </w:r>
      <w:r>
        <w:rPr>
          <w:rFonts w:hint="default" w:ascii="Arial" w:hAnsi="Arial" w:eastAsia="宋体" w:cs="Arial"/>
          <w:color w:val="auto"/>
          <w:highlight w:val="none"/>
        </w:rPr>
        <w:t>粪污清理工艺</w:t>
      </w:r>
      <w:bookmarkEnd w:id="218"/>
      <w:bookmarkEnd w:id="219"/>
    </w:p>
    <w:p>
      <w:pPr>
        <w:pageBreakBefore w:val="0"/>
        <w:kinsoku/>
        <w:wordWrap/>
        <w:overflowPunct/>
        <w:autoSpaceDN/>
        <w:bidi w:val="0"/>
        <w:adjustRightInd/>
        <w:snapToGrid/>
        <w:spacing w:line="480" w:lineRule="exact"/>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根据《内蒙古自治区畜禽养殖主要污染物减排项目建设技术指南(试行)（内环发[2014]83号）》相关技术要求，本项目清粪方式采用干清粪工艺，使用铲车</w:t>
      </w:r>
      <w:r>
        <w:rPr>
          <w:rFonts w:hint="default" w:ascii="Arial" w:hAnsi="Arial" w:eastAsia="宋体" w:cs="Arial"/>
          <w:color w:val="auto"/>
          <w:highlight w:val="none"/>
          <w:lang w:eastAsia="zh-CN"/>
        </w:rPr>
        <w:t>清刮</w:t>
      </w:r>
      <w:r>
        <w:rPr>
          <w:rFonts w:hint="default" w:ascii="Arial" w:hAnsi="Arial" w:eastAsia="宋体" w:cs="Arial"/>
          <w:color w:val="auto"/>
          <w:highlight w:val="none"/>
        </w:rPr>
        <w:t>，每日</w:t>
      </w:r>
      <w:r>
        <w:rPr>
          <w:rFonts w:hint="default" w:ascii="Arial" w:hAnsi="Arial" w:eastAsia="宋体" w:cs="Arial"/>
          <w:color w:val="auto"/>
          <w:highlight w:val="none"/>
          <w:lang w:eastAsia="zh-CN"/>
        </w:rPr>
        <w:t>清刮</w:t>
      </w:r>
      <w:r>
        <w:rPr>
          <w:rFonts w:hint="default" w:ascii="Arial" w:hAnsi="Arial" w:eastAsia="宋体" w:cs="Arial"/>
          <w:color w:val="auto"/>
          <w:highlight w:val="none"/>
        </w:rPr>
        <w:t>3次，集中收集到堆肥</w:t>
      </w:r>
      <w:r>
        <w:rPr>
          <w:rFonts w:hint="default" w:ascii="Arial" w:hAnsi="Arial" w:eastAsia="宋体" w:cs="Arial"/>
          <w:color w:val="auto"/>
          <w:highlight w:val="none"/>
          <w:lang w:eastAsia="zh-CN"/>
        </w:rPr>
        <w:t>场</w:t>
      </w:r>
      <w:r>
        <w:rPr>
          <w:rFonts w:hint="default" w:ascii="Arial" w:hAnsi="Arial" w:eastAsia="宋体" w:cs="Arial"/>
          <w:color w:val="auto"/>
          <w:highlight w:val="none"/>
        </w:rPr>
        <w:t>，采用好氧堆肥法进行堆肥处理后，</w:t>
      </w:r>
      <w:r>
        <w:rPr>
          <w:rFonts w:hint="default" w:ascii="Arial" w:hAnsi="Arial" w:eastAsia="宋体" w:cs="Arial"/>
          <w:color w:val="auto"/>
          <w:highlight w:val="none"/>
          <w:lang w:eastAsia="zh-CN"/>
        </w:rPr>
        <w:t>牛粪便</w:t>
      </w:r>
      <w:r>
        <w:rPr>
          <w:rFonts w:hint="default" w:ascii="Arial" w:hAnsi="Arial" w:eastAsia="宋体" w:cs="Arial"/>
          <w:color w:val="auto"/>
          <w:highlight w:val="none"/>
        </w:rPr>
        <w:t>经完全发酵后用于项目周边种植</w:t>
      </w:r>
      <w:r>
        <w:rPr>
          <w:rFonts w:hint="default" w:ascii="Arial" w:hAnsi="Arial" w:eastAsia="宋体" w:cs="Arial"/>
          <w:color w:val="auto"/>
          <w:highlight w:val="none"/>
          <w:lang w:eastAsia="zh-CN"/>
        </w:rPr>
        <w:t>青贮</w:t>
      </w:r>
      <w:r>
        <w:rPr>
          <w:rFonts w:hint="default" w:ascii="Arial" w:hAnsi="Arial" w:eastAsia="宋体" w:cs="Arial"/>
          <w:color w:val="auto"/>
          <w:highlight w:val="none"/>
        </w:rPr>
        <w:t>饲料和草料的农田。</w:t>
      </w:r>
    </w:p>
    <w:p>
      <w:pPr>
        <w:pageBreakBefore w:val="0"/>
        <w:kinsoku/>
        <w:wordWrap/>
        <w:overflowPunct/>
        <w:autoSpaceDN/>
        <w:bidi w:val="0"/>
        <w:adjustRightInd/>
        <w:snapToGrid/>
        <w:spacing w:line="480" w:lineRule="exact"/>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干清粪工艺的优点是粪便一经产生便分流，可保持舍内清洁，无臭味，产生的污水量少，且浓度低，易于净化处理，最大限度地减少废水的产生和排放，降低废水的污染负荷。干粪直接分离，养分损失小，肥料价值高，经过适当堆制后，可制作出高效生物活性有机肥，是减少和降低畜禽生产给环境所造成严重污染的重要措施之一。</w:t>
      </w:r>
    </w:p>
    <w:p>
      <w:pPr>
        <w:pStyle w:val="6"/>
        <w:pageBreakBefore w:val="0"/>
        <w:kinsoku/>
        <w:wordWrap/>
        <w:overflowPunct/>
        <w:autoSpaceDN/>
        <w:bidi w:val="0"/>
        <w:adjustRightInd/>
        <w:snapToGrid/>
        <w:spacing w:line="480" w:lineRule="exact"/>
        <w:textAlignment w:val="auto"/>
        <w:rPr>
          <w:rFonts w:hint="default" w:ascii="Arial" w:hAnsi="Arial" w:eastAsia="宋体" w:cs="Arial"/>
          <w:color w:val="auto"/>
          <w:highlight w:val="none"/>
        </w:rPr>
      </w:pPr>
      <w:bookmarkStart w:id="220" w:name="_Toc2206"/>
      <w:r>
        <w:rPr>
          <w:rFonts w:hint="default" w:ascii="Arial" w:hAnsi="Arial" w:eastAsia="宋体" w:cs="Arial"/>
          <w:color w:val="auto"/>
          <w:highlight w:val="none"/>
        </w:rPr>
        <w:t>3.2.</w:t>
      </w:r>
      <w:r>
        <w:rPr>
          <w:rFonts w:hint="default" w:ascii="Arial" w:hAnsi="Arial" w:eastAsia="宋体" w:cs="Arial"/>
          <w:color w:val="auto"/>
          <w:highlight w:val="none"/>
          <w:lang w:val="en-US" w:eastAsia="zh-CN"/>
        </w:rPr>
        <w:t>4</w:t>
      </w:r>
      <w:r>
        <w:rPr>
          <w:rFonts w:hint="default" w:ascii="Arial" w:hAnsi="Arial" w:eastAsia="宋体" w:cs="Arial"/>
          <w:color w:val="auto"/>
          <w:highlight w:val="none"/>
          <w:lang w:eastAsia="zh-CN"/>
        </w:rPr>
        <w:t>堆肥</w:t>
      </w:r>
      <w:r>
        <w:rPr>
          <w:rFonts w:hint="default" w:ascii="Arial" w:hAnsi="Arial" w:eastAsia="宋体" w:cs="Arial"/>
          <w:color w:val="auto"/>
          <w:highlight w:val="none"/>
        </w:rPr>
        <w:t>工艺</w:t>
      </w:r>
      <w:bookmarkEnd w:id="220"/>
    </w:p>
    <w:p>
      <w:pPr>
        <w:pageBreakBefore w:val="0"/>
        <w:kinsoku/>
        <w:wordWrap/>
        <w:overflowPunct/>
        <w:autoSpaceDN/>
        <w:bidi w:val="0"/>
        <w:adjustRightInd/>
        <w:snapToGrid/>
        <w:spacing w:line="480" w:lineRule="exact"/>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根据《畜禽养殖业污染治理工程技术规范》（HJ497-2009），本项目牛粪便的处理采用比较成熟的好氧堆肥发酵制作有机肥工艺。处理流程为预处理、发酵等工段。</w:t>
      </w:r>
    </w:p>
    <w:p>
      <w:pPr>
        <w:pageBreakBefore w:val="0"/>
        <w:kinsoku/>
        <w:wordWrap/>
        <w:overflowPunct/>
        <w:autoSpaceDN/>
        <w:bidi w:val="0"/>
        <w:adjustRightInd/>
        <w:snapToGrid/>
        <w:spacing w:line="480" w:lineRule="exact"/>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lang w:eastAsia="zh-CN"/>
        </w:rPr>
        <w:t>（</w:t>
      </w:r>
      <w:r>
        <w:rPr>
          <w:rFonts w:hint="default" w:ascii="Arial" w:hAnsi="Arial" w:eastAsia="宋体" w:cs="Arial"/>
          <w:color w:val="auto"/>
          <w:highlight w:val="none"/>
          <w:lang w:val="en-US" w:eastAsia="zh-CN"/>
        </w:rPr>
        <w:t>1</w:t>
      </w:r>
      <w:r>
        <w:rPr>
          <w:rFonts w:hint="default" w:ascii="Arial" w:hAnsi="Arial" w:eastAsia="宋体" w:cs="Arial"/>
          <w:color w:val="auto"/>
          <w:highlight w:val="none"/>
          <w:lang w:eastAsia="zh-CN"/>
        </w:rPr>
        <w:t>）</w:t>
      </w:r>
      <w:r>
        <w:rPr>
          <w:rFonts w:hint="default" w:ascii="Arial" w:hAnsi="Arial" w:eastAsia="宋体" w:cs="Arial"/>
          <w:color w:val="auto"/>
          <w:highlight w:val="none"/>
        </w:rPr>
        <w:t>堆肥发酵工艺流程</w:t>
      </w:r>
    </w:p>
    <w:p>
      <w:pPr>
        <w:pageBreakBefore w:val="0"/>
        <w:kinsoku/>
        <w:wordWrap/>
        <w:overflowPunct/>
        <w:autoSpaceDN/>
        <w:bidi w:val="0"/>
        <w:adjustRightInd/>
        <w:snapToGrid/>
        <w:spacing w:line="480" w:lineRule="exact"/>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根据《畜禽养殖业污染治理工程技术规范》（HJ497—2009），本项目</w:t>
      </w:r>
      <w:r>
        <w:rPr>
          <w:rFonts w:hint="default" w:ascii="Arial" w:hAnsi="Arial" w:eastAsia="宋体" w:cs="Arial"/>
          <w:color w:val="auto"/>
          <w:highlight w:val="none"/>
          <w:lang w:eastAsia="zh-CN"/>
        </w:rPr>
        <w:t>牛粪便</w:t>
      </w:r>
      <w:r>
        <w:rPr>
          <w:rFonts w:hint="default" w:ascii="Arial" w:hAnsi="Arial" w:eastAsia="宋体" w:cs="Arial"/>
          <w:color w:val="auto"/>
          <w:highlight w:val="none"/>
        </w:rPr>
        <w:t>的处理采用比较成熟的好氧堆肥发酵制作有机肥工艺。处理流程为预处理、发酵等工段。</w:t>
      </w:r>
    </w:p>
    <w:p>
      <w:pPr>
        <w:pageBreakBefore w:val="0"/>
        <w:kinsoku/>
        <w:wordWrap/>
        <w:overflowPunct/>
        <w:autoSpaceDN/>
        <w:bidi w:val="0"/>
        <w:adjustRightInd/>
        <w:snapToGrid/>
        <w:spacing w:line="480" w:lineRule="exact"/>
        <w:textAlignment w:val="auto"/>
        <w:rPr>
          <w:rFonts w:hint="default" w:ascii="Arial" w:hAnsi="Arial" w:eastAsia="宋体" w:cs="Arial"/>
          <w:color w:val="auto"/>
          <w:highlight w:val="none"/>
        </w:rPr>
      </w:pPr>
      <w:r>
        <w:rPr>
          <w:rFonts w:hint="default" w:ascii="Arial" w:hAnsi="Arial" w:eastAsia="宋体" w:cs="Arial"/>
          <w:color w:val="auto"/>
          <w:highlight w:val="none"/>
        </w:rPr>
        <w:t>①</w:t>
      </w:r>
      <w:r>
        <w:rPr>
          <w:rFonts w:hint="default" w:ascii="Arial" w:hAnsi="Arial" w:eastAsia="宋体" w:cs="Arial"/>
          <w:color w:val="auto"/>
          <w:highlight w:val="none"/>
          <w:lang w:eastAsia="zh-CN"/>
        </w:rPr>
        <w:t>牛粪便</w:t>
      </w:r>
      <w:r>
        <w:rPr>
          <w:rFonts w:hint="default" w:ascii="Arial" w:hAnsi="Arial" w:eastAsia="宋体" w:cs="Arial"/>
          <w:color w:val="auto"/>
          <w:highlight w:val="none"/>
        </w:rPr>
        <w:t>预处理</w:t>
      </w:r>
    </w:p>
    <w:p>
      <w:pPr>
        <w:pageBreakBefore w:val="0"/>
        <w:kinsoku/>
        <w:wordWrap/>
        <w:overflowPunct/>
        <w:autoSpaceDN/>
        <w:bidi w:val="0"/>
        <w:adjustRightInd/>
        <w:snapToGrid/>
        <w:spacing w:line="480" w:lineRule="exact"/>
        <w:textAlignment w:val="auto"/>
        <w:rPr>
          <w:rFonts w:hint="default" w:ascii="Arial" w:hAnsi="Arial" w:eastAsia="宋体" w:cs="Arial"/>
          <w:color w:val="auto"/>
          <w:highlight w:val="none"/>
        </w:rPr>
      </w:pPr>
      <w:r>
        <w:rPr>
          <w:rFonts w:hint="default" w:ascii="Arial" w:hAnsi="Arial" w:eastAsia="宋体" w:cs="Arial"/>
          <w:color w:val="auto"/>
          <w:highlight w:val="none"/>
        </w:rPr>
        <w:t>每天将牛舍清运来的</w:t>
      </w:r>
      <w:r>
        <w:rPr>
          <w:rFonts w:hint="default" w:ascii="Arial" w:hAnsi="Arial" w:eastAsia="宋体" w:cs="Arial"/>
          <w:color w:val="auto"/>
          <w:highlight w:val="none"/>
          <w:lang w:eastAsia="zh-CN"/>
        </w:rPr>
        <w:t>牛粪便</w:t>
      </w:r>
      <w:r>
        <w:rPr>
          <w:rFonts w:hint="default" w:ascii="Arial" w:hAnsi="Arial" w:eastAsia="宋体" w:cs="Arial"/>
          <w:color w:val="auto"/>
          <w:highlight w:val="none"/>
        </w:rPr>
        <w:t>用污罐车送到</w:t>
      </w:r>
      <w:r>
        <w:rPr>
          <w:rFonts w:hint="default" w:ascii="Arial" w:hAnsi="Arial" w:eastAsia="宋体" w:cs="Arial"/>
          <w:color w:val="auto"/>
          <w:highlight w:val="none"/>
          <w:lang w:eastAsia="zh-CN"/>
        </w:rPr>
        <w:t>堆肥场</w:t>
      </w:r>
      <w:r>
        <w:rPr>
          <w:rFonts w:hint="default" w:ascii="Arial" w:hAnsi="Arial" w:eastAsia="宋体" w:cs="Arial"/>
          <w:color w:val="auto"/>
          <w:highlight w:val="none"/>
        </w:rPr>
        <w:t>进行堆肥，定期将牛粪便、玉米</w:t>
      </w:r>
      <w:r>
        <w:rPr>
          <w:rFonts w:hint="default" w:ascii="Arial" w:hAnsi="Arial" w:eastAsia="宋体" w:cs="Arial"/>
          <w:color w:val="auto"/>
          <w:highlight w:val="none"/>
          <w:lang w:eastAsia="zh-CN"/>
        </w:rPr>
        <w:t>秸秆</w:t>
      </w:r>
      <w:r>
        <w:rPr>
          <w:rFonts w:hint="default" w:ascii="Arial" w:hAnsi="Arial" w:eastAsia="宋体" w:cs="Arial"/>
          <w:color w:val="auto"/>
          <w:highlight w:val="none"/>
        </w:rPr>
        <w:t>进行混合搅拌，以调节其中的含水量，当调节到含水量60%左右时进行好氧堆肥。</w:t>
      </w:r>
    </w:p>
    <w:p>
      <w:pPr>
        <w:pageBreakBefore w:val="0"/>
        <w:kinsoku/>
        <w:wordWrap/>
        <w:overflowPunct/>
        <w:autoSpaceDN/>
        <w:bidi w:val="0"/>
        <w:adjustRightInd/>
        <w:snapToGrid/>
        <w:spacing w:line="480" w:lineRule="exact"/>
        <w:textAlignment w:val="auto"/>
        <w:rPr>
          <w:rFonts w:hint="default" w:ascii="Arial" w:hAnsi="Arial" w:eastAsia="宋体" w:cs="Arial"/>
          <w:color w:val="auto"/>
          <w:highlight w:val="none"/>
        </w:rPr>
      </w:pPr>
      <w:r>
        <w:rPr>
          <w:rFonts w:hint="default" w:ascii="Arial" w:hAnsi="Arial" w:eastAsia="宋体" w:cs="Arial"/>
          <w:color w:val="auto"/>
          <w:highlight w:val="none"/>
        </w:rPr>
        <w:t>②调整C/N比、水分</w:t>
      </w:r>
    </w:p>
    <w:p>
      <w:pPr>
        <w:pageBreakBefore w:val="0"/>
        <w:kinsoku/>
        <w:wordWrap/>
        <w:overflowPunct/>
        <w:autoSpaceDN/>
        <w:bidi w:val="0"/>
        <w:adjustRightInd/>
        <w:snapToGrid/>
        <w:spacing w:line="480" w:lineRule="exact"/>
        <w:textAlignment w:val="auto"/>
        <w:rPr>
          <w:rFonts w:hint="default" w:ascii="Arial" w:hAnsi="Arial" w:eastAsia="宋体" w:cs="Arial"/>
          <w:color w:val="auto"/>
          <w:highlight w:val="none"/>
        </w:rPr>
      </w:pPr>
      <w:r>
        <w:rPr>
          <w:rFonts w:hint="default" w:ascii="Arial" w:hAnsi="Arial" w:eastAsia="宋体" w:cs="Arial"/>
          <w:color w:val="auto"/>
          <w:highlight w:val="none"/>
        </w:rPr>
        <w:t>粪污C/N比为26:1左右，好氧堆肥的最佳C/N比为30。第一次进行发酵时，向粪</w:t>
      </w:r>
      <w:r>
        <w:rPr>
          <w:rFonts w:hint="default" w:ascii="Arial" w:hAnsi="Arial" w:eastAsia="宋体" w:cs="Arial"/>
          <w:color w:val="auto"/>
          <w:highlight w:val="none"/>
          <w:lang w:eastAsia="zh-CN"/>
        </w:rPr>
        <w:t>便</w:t>
      </w:r>
      <w:r>
        <w:rPr>
          <w:rFonts w:hint="default" w:ascii="Arial" w:hAnsi="Arial" w:eastAsia="宋体" w:cs="Arial"/>
          <w:color w:val="auto"/>
          <w:highlight w:val="none"/>
        </w:rPr>
        <w:t>补入玉米秸秆，使堆肥原料的C/N比控制在30%左右，并加入有机物料腐熟剂0.5kg/m³。粪污中含水量较大，可采用牛舍清理出的垫土进行拌合，以保证堆肥材料的含水率在40～60%。</w:t>
      </w:r>
    </w:p>
    <w:p>
      <w:pPr>
        <w:pageBreakBefore w:val="0"/>
        <w:kinsoku/>
        <w:wordWrap/>
        <w:overflowPunct/>
        <w:autoSpaceDN/>
        <w:bidi w:val="0"/>
        <w:adjustRightInd/>
        <w:snapToGrid/>
        <w:spacing w:line="480" w:lineRule="exact"/>
        <w:textAlignment w:val="auto"/>
        <w:rPr>
          <w:rFonts w:hint="default" w:ascii="Arial" w:hAnsi="Arial" w:eastAsia="宋体" w:cs="Arial"/>
          <w:color w:val="auto"/>
          <w:highlight w:val="none"/>
        </w:rPr>
      </w:pPr>
      <w:r>
        <w:rPr>
          <w:rFonts w:hint="default" w:ascii="Arial" w:hAnsi="Arial" w:eastAsia="宋体" w:cs="Arial"/>
          <w:color w:val="auto"/>
          <w:highlight w:val="none"/>
        </w:rPr>
        <w:t>③通气状况</w:t>
      </w:r>
    </w:p>
    <w:p>
      <w:pPr>
        <w:pageBreakBefore w:val="0"/>
        <w:kinsoku/>
        <w:wordWrap/>
        <w:overflowPunct/>
        <w:autoSpaceDN/>
        <w:bidi w:val="0"/>
        <w:adjustRightInd/>
        <w:snapToGrid/>
        <w:spacing w:line="480" w:lineRule="exact"/>
        <w:textAlignment w:val="auto"/>
        <w:rPr>
          <w:rFonts w:hint="default" w:ascii="Arial" w:hAnsi="Arial" w:eastAsia="宋体" w:cs="Arial"/>
          <w:color w:val="auto"/>
          <w:highlight w:val="none"/>
        </w:rPr>
      </w:pPr>
      <w:r>
        <w:rPr>
          <w:rFonts w:hint="default" w:ascii="Arial" w:hAnsi="Arial" w:eastAsia="宋体" w:cs="Arial"/>
          <w:color w:val="auto"/>
          <w:highlight w:val="none"/>
        </w:rPr>
        <w:t>好氧发酵是利用好氧微生物在有氧状态下对有机质进行的快速分解，因此，通气是保证好氧发酵顺利进行的重要因素之一。通风供氧起到三个作用，一是给微生物提供新陈代谢所需的氧气，二是带走部分水分，三是控制堆体温度。</w:t>
      </w:r>
    </w:p>
    <w:p>
      <w:pPr>
        <w:pageBreakBefore w:val="0"/>
        <w:kinsoku/>
        <w:wordWrap/>
        <w:overflowPunct/>
        <w:autoSpaceDN/>
        <w:bidi w:val="0"/>
        <w:adjustRightInd/>
        <w:snapToGrid/>
        <w:spacing w:line="480" w:lineRule="exact"/>
        <w:textAlignment w:val="auto"/>
        <w:rPr>
          <w:rFonts w:hint="default" w:ascii="Arial" w:hAnsi="Arial" w:eastAsia="宋体" w:cs="Arial"/>
          <w:color w:val="auto"/>
          <w:highlight w:val="none"/>
        </w:rPr>
      </w:pPr>
      <w:r>
        <w:rPr>
          <w:rFonts w:hint="default" w:ascii="Arial" w:hAnsi="Arial" w:eastAsia="宋体" w:cs="Arial"/>
          <w:color w:val="auto"/>
          <w:highlight w:val="none"/>
        </w:rPr>
        <w:t>④pH值</w:t>
      </w:r>
    </w:p>
    <w:p>
      <w:pPr>
        <w:pageBreakBefore w:val="0"/>
        <w:kinsoku/>
        <w:wordWrap/>
        <w:overflowPunct/>
        <w:autoSpaceDN/>
        <w:bidi w:val="0"/>
        <w:adjustRightInd/>
        <w:snapToGrid/>
        <w:spacing w:line="480" w:lineRule="exact"/>
        <w:textAlignment w:val="auto"/>
        <w:rPr>
          <w:rFonts w:hint="default" w:ascii="Arial" w:hAnsi="Arial" w:eastAsia="宋体" w:cs="Arial"/>
          <w:color w:val="auto"/>
          <w:highlight w:val="none"/>
        </w:rPr>
      </w:pPr>
      <w:r>
        <w:rPr>
          <w:rFonts w:hint="default" w:ascii="Arial" w:hAnsi="Arial" w:eastAsia="宋体" w:cs="Arial"/>
          <w:color w:val="auto"/>
          <w:highlight w:val="none"/>
        </w:rPr>
        <w:t>pH值时影响微生物生长的重要因素之一，微生物的降解活动需要一个微酸性或中性的环境条件。pH值过高或过低都不利于微生物的繁殖和有机物的降解。在整个反应过程中，pH值随时间和温度的变化而变化，但一般情况下，堆肥的过程中有足够的缓冲作用，能使pH值稳定在可以保证好氧分解的酸碱度水平。</w:t>
      </w:r>
    </w:p>
    <w:p>
      <w:pPr>
        <w:pageBreakBefore w:val="0"/>
        <w:kinsoku/>
        <w:wordWrap/>
        <w:overflowPunct/>
        <w:autoSpaceDN/>
        <w:bidi w:val="0"/>
        <w:adjustRightInd/>
        <w:snapToGrid/>
        <w:spacing w:line="480" w:lineRule="exact"/>
        <w:textAlignment w:val="auto"/>
        <w:rPr>
          <w:rFonts w:hint="default" w:ascii="Arial" w:hAnsi="Arial" w:eastAsia="宋体" w:cs="Arial"/>
          <w:color w:val="auto"/>
          <w:highlight w:val="none"/>
        </w:rPr>
      </w:pPr>
      <w:r>
        <w:rPr>
          <w:rFonts w:hint="default" w:ascii="Arial" w:hAnsi="Arial" w:eastAsia="宋体" w:cs="Arial"/>
          <w:color w:val="auto"/>
          <w:highlight w:val="none"/>
        </w:rPr>
        <w:t>⑤好氧发酵</w:t>
      </w:r>
    </w:p>
    <w:p>
      <w:pPr>
        <w:pageBreakBefore w:val="0"/>
        <w:kinsoku/>
        <w:wordWrap/>
        <w:overflowPunct/>
        <w:autoSpaceDN/>
        <w:bidi w:val="0"/>
        <w:adjustRightInd/>
        <w:snapToGrid/>
        <w:spacing w:line="480" w:lineRule="exact"/>
        <w:textAlignment w:val="auto"/>
        <w:rPr>
          <w:rFonts w:hint="default" w:ascii="Arial" w:hAnsi="Arial" w:eastAsia="宋体" w:cs="Arial"/>
          <w:color w:val="auto"/>
          <w:highlight w:val="none"/>
        </w:rPr>
      </w:pPr>
      <w:r>
        <w:rPr>
          <w:rFonts w:hint="default" w:ascii="Arial" w:hAnsi="Arial" w:eastAsia="宋体" w:cs="Arial"/>
          <w:color w:val="auto"/>
          <w:highlight w:val="none"/>
        </w:rPr>
        <w:t>将调整好水分及C/N比的粪污由铲车进行条垛，同时加入一定量的外源微生物“起爆剂”及减少氨释放和保氮的复合菌剂，以加快发酵速度和减少氨气的释放，促使有机质的降解和腐殖质的形成，达到《畜禽粪便无害化处理技术规范》（NY/T1168-2006）中的相关要求后，用于农田施用。好氧发酵分为三个阶段：升温阶段、高温阶段、降温或腐熟保温阶段。</w:t>
      </w:r>
    </w:p>
    <w:p>
      <w:pPr>
        <w:pageBreakBefore w:val="0"/>
        <w:kinsoku/>
        <w:wordWrap/>
        <w:overflowPunct/>
        <w:autoSpaceDN/>
        <w:bidi w:val="0"/>
        <w:adjustRightInd/>
        <w:snapToGrid/>
        <w:spacing w:line="480" w:lineRule="exact"/>
        <w:textAlignment w:val="auto"/>
        <w:rPr>
          <w:rFonts w:hint="default" w:ascii="Arial" w:hAnsi="Arial" w:eastAsia="宋体" w:cs="Arial"/>
          <w:color w:val="auto"/>
          <w:highlight w:val="none"/>
        </w:rPr>
      </w:pPr>
      <w:r>
        <w:rPr>
          <w:rFonts w:hint="default" w:ascii="Arial" w:hAnsi="Arial" w:eastAsia="宋体" w:cs="Arial"/>
          <w:color w:val="auto"/>
          <w:highlight w:val="none"/>
        </w:rPr>
        <w:t>a、升温阶段</w:t>
      </w:r>
    </w:p>
    <w:p>
      <w:pPr>
        <w:pageBreakBefore w:val="0"/>
        <w:kinsoku/>
        <w:wordWrap/>
        <w:overflowPunct/>
        <w:autoSpaceDN/>
        <w:bidi w:val="0"/>
        <w:adjustRightInd/>
        <w:snapToGrid/>
        <w:spacing w:line="480" w:lineRule="exact"/>
        <w:textAlignment w:val="auto"/>
        <w:rPr>
          <w:rFonts w:hint="default" w:ascii="Arial" w:hAnsi="Arial" w:eastAsia="宋体" w:cs="Arial"/>
          <w:color w:val="auto"/>
          <w:highlight w:val="none"/>
        </w:rPr>
      </w:pPr>
      <w:r>
        <w:rPr>
          <w:rFonts w:hint="default" w:ascii="Arial" w:hAnsi="Arial" w:eastAsia="宋体" w:cs="Arial"/>
          <w:color w:val="auto"/>
          <w:highlight w:val="none"/>
        </w:rPr>
        <w:t>在发酵之前，物料中就存在着各种有害、无害的土著菌群，当C/N比、水分、温度适宜时，各类微生物菌群开始繁殖。当温度达到25℃以上时，中温性微生物菌群进入旺盛的繁殖期，开始活跃地对有机物进行分解和代谢，并产生大量的热。为了缩短堆肥时间，发酵初期在堆肥原料中加入“起爆剂”，即一些含碳量高的微生物易利用的物质，使微生物迅速增值，积累热量到高温阶段。</w:t>
      </w:r>
    </w:p>
    <w:p>
      <w:pPr>
        <w:pageBreakBefore w:val="0"/>
        <w:kinsoku/>
        <w:wordWrap/>
        <w:overflowPunct/>
        <w:autoSpaceDN/>
        <w:bidi w:val="0"/>
        <w:adjustRightInd/>
        <w:snapToGrid/>
        <w:spacing w:line="480" w:lineRule="exact"/>
        <w:textAlignment w:val="auto"/>
        <w:rPr>
          <w:rFonts w:hint="default" w:ascii="Arial" w:hAnsi="Arial" w:eastAsia="宋体" w:cs="Arial"/>
          <w:color w:val="auto"/>
          <w:highlight w:val="none"/>
        </w:rPr>
      </w:pPr>
      <w:r>
        <w:rPr>
          <w:rFonts w:hint="default" w:ascii="Arial" w:hAnsi="Arial" w:eastAsia="宋体" w:cs="Arial"/>
          <w:color w:val="auto"/>
          <w:highlight w:val="none"/>
        </w:rPr>
        <w:t>b、高温阶段</w:t>
      </w:r>
    </w:p>
    <w:p>
      <w:pPr>
        <w:pageBreakBefore w:val="0"/>
        <w:kinsoku/>
        <w:wordWrap/>
        <w:overflowPunct/>
        <w:autoSpaceDN/>
        <w:bidi w:val="0"/>
        <w:adjustRightInd/>
        <w:snapToGrid/>
        <w:spacing w:line="480" w:lineRule="exact"/>
        <w:textAlignment w:val="auto"/>
        <w:rPr>
          <w:rFonts w:hint="default" w:ascii="Arial" w:hAnsi="Arial" w:eastAsia="宋体" w:cs="Arial"/>
          <w:color w:val="auto"/>
          <w:highlight w:val="none"/>
        </w:rPr>
      </w:pPr>
      <w:r>
        <w:rPr>
          <w:rFonts w:hint="default" w:ascii="Arial" w:hAnsi="Arial" w:eastAsia="宋体" w:cs="Arial"/>
          <w:color w:val="auto"/>
          <w:highlight w:val="none"/>
        </w:rPr>
        <w:t>当发酵温度上升到45℃以上时，即进入高温阶段。除少部分残留下来的和新形成的水溶性有机物继续分解外，复杂的有机物如半纤维素、纤维素等开始强烈分解，同时腐殖质开始形成。此时嗜热真菌、好热放线菌、好热芽孢杆菌等微生物的活动占了优势。当温度升到70℃以上时，大量的嗜热菌类死亡或进入休眠状态，在各种酶的作用下，有机质仍在继续分解。随着微生物的死亡、酶的作用消退，热量逐渐降低，此时，休眠的好热微生物又重新活跃起来并产生新的热量，经过反复几次保持的高温水平，腐殖质基本形成，堆肥物质初步形成。</w:t>
      </w:r>
    </w:p>
    <w:p>
      <w:pPr>
        <w:pageBreakBefore w:val="0"/>
        <w:kinsoku/>
        <w:wordWrap/>
        <w:overflowPunct/>
        <w:autoSpaceDN/>
        <w:bidi w:val="0"/>
        <w:adjustRightInd/>
        <w:snapToGrid/>
        <w:spacing w:line="480" w:lineRule="exact"/>
        <w:textAlignment w:val="auto"/>
        <w:rPr>
          <w:rFonts w:hint="default" w:ascii="Arial" w:hAnsi="Arial" w:eastAsia="宋体" w:cs="Arial"/>
          <w:color w:val="auto"/>
          <w:highlight w:val="none"/>
        </w:rPr>
      </w:pPr>
      <w:r>
        <w:rPr>
          <w:rFonts w:hint="default" w:ascii="Arial" w:hAnsi="Arial" w:eastAsia="宋体" w:cs="Arial"/>
          <w:color w:val="auto"/>
          <w:highlight w:val="none"/>
        </w:rPr>
        <w:t>c、降温阶段</w:t>
      </w:r>
    </w:p>
    <w:p>
      <w:pPr>
        <w:pageBreakBefore w:val="0"/>
        <w:kinsoku/>
        <w:wordWrap/>
        <w:overflowPunct/>
        <w:autoSpaceDN/>
        <w:bidi w:val="0"/>
        <w:adjustRightInd/>
        <w:snapToGrid/>
        <w:spacing w:line="480" w:lineRule="exact"/>
        <w:textAlignment w:val="auto"/>
        <w:rPr>
          <w:rFonts w:hint="default" w:ascii="Arial" w:hAnsi="Arial" w:eastAsia="宋体" w:cs="Arial"/>
          <w:color w:val="auto"/>
          <w:highlight w:val="none"/>
          <w:lang w:eastAsia="zh-CN"/>
        </w:rPr>
      </w:pPr>
      <w:r>
        <w:rPr>
          <w:rFonts w:hint="default" w:ascii="Arial" w:hAnsi="Arial" w:eastAsia="宋体" w:cs="Arial"/>
          <w:color w:val="auto"/>
          <w:highlight w:val="none"/>
        </w:rPr>
        <w:t>经过7天的高温堆肥后，进入内原呼吸后期，只剩下较难分解的有机物和新形成的腐殖质，发热量减少，温度开始下降，当下降到40℃以下，中温微生物重新开始繁殖，剩下的难分解的木质类及纤维素在真菌作用下，少量被降解。此时进入物料的腐熟阶段，将条形堆集中到一起形成大堆，进行厌氧发酵，该阶段需15天。在该阶段物料失重及产热量很小，木质素降解产物与死亡微生物中的蛋白质结合形成对植物生长极其重要的腐植酸，经过该阶段后堆肥完成</w:t>
      </w:r>
      <w:r>
        <w:rPr>
          <w:rFonts w:hint="default" w:ascii="Arial" w:hAnsi="Arial" w:eastAsia="宋体" w:cs="Arial"/>
          <w:color w:val="auto"/>
          <w:highlight w:val="none"/>
          <w:lang w:eastAsia="zh-CN"/>
        </w:rPr>
        <w:t>。</w:t>
      </w:r>
    </w:p>
    <w:p>
      <w:pPr>
        <w:pageBreakBefore w:val="0"/>
        <w:kinsoku/>
        <w:wordWrap/>
        <w:overflowPunct/>
        <w:autoSpaceDN/>
        <w:bidi w:val="0"/>
        <w:adjustRightInd/>
        <w:snapToGrid/>
        <w:spacing w:line="480" w:lineRule="exact"/>
        <w:textAlignment w:val="auto"/>
        <w:rPr>
          <w:rFonts w:hint="default" w:ascii="Arial" w:hAnsi="Arial" w:eastAsia="宋体" w:cs="Arial"/>
          <w:color w:val="auto"/>
          <w:highlight w:val="none"/>
          <w:lang w:val="en-US" w:eastAsia="zh-CN"/>
        </w:rPr>
      </w:pPr>
      <w:r>
        <w:rPr>
          <w:rFonts w:hint="default" w:ascii="Arial" w:hAnsi="Arial" w:eastAsia="宋体" w:cs="Arial"/>
          <w:color w:val="auto"/>
          <w:highlight w:val="none"/>
          <w:lang w:eastAsia="zh-CN"/>
        </w:rPr>
        <w:t>根据《冬季低温环境下牛粪便堆肥参数动态研究》（胡华锋，程璞，刘卫东，黄安群，程学来）（河南牧业工程高等专科学院学报</w:t>
      </w:r>
      <w:r>
        <w:rPr>
          <w:rFonts w:hint="default" w:ascii="Arial" w:hAnsi="Arial" w:eastAsia="宋体" w:cs="Arial"/>
          <w:color w:val="auto"/>
          <w:highlight w:val="none"/>
          <w:lang w:val="en-US" w:eastAsia="zh-CN"/>
        </w:rPr>
        <w:t xml:space="preserve"> 第34卷第3期），冬季室外条垛式堆肥过程中，外界环境对堆肥内部温度影响比较大，需要对堆肥进行适当的保温措施和减少堆肥的翻堆频率。因此，本项目冬季采取覆盖废旧塑料薄膜保温和减少堆肥的翻堆频率的措施保持堆肥温度。</w:t>
      </w:r>
    </w:p>
    <w:p>
      <w:pPr>
        <w:pageBreakBefore w:val="0"/>
        <w:kinsoku/>
        <w:wordWrap/>
        <w:overflowPunct/>
        <w:autoSpaceDN/>
        <w:bidi w:val="0"/>
        <w:adjustRightInd/>
        <w:snapToGrid/>
        <w:spacing w:line="480" w:lineRule="exact"/>
        <w:textAlignment w:val="auto"/>
        <w:rPr>
          <w:rFonts w:hint="default" w:ascii="Arial" w:hAnsi="Arial" w:eastAsia="宋体" w:cs="Arial"/>
          <w:color w:val="auto"/>
          <w:highlight w:val="none"/>
        </w:rPr>
      </w:pPr>
      <w:r>
        <w:rPr>
          <w:rFonts w:hint="default" w:ascii="Arial" w:hAnsi="Arial" w:eastAsia="宋体" w:cs="Arial"/>
          <w:color w:val="auto"/>
          <w:sz w:val="24"/>
          <w:szCs w:val="24"/>
          <w:highlight w:val="none"/>
          <w:lang w:val="en-US" w:eastAsia="zh-CN"/>
        </w:rPr>
        <w:t>发酵60天后的牛粪</w:t>
      </w:r>
      <w:r>
        <w:rPr>
          <w:rFonts w:hint="default" w:ascii="Arial" w:hAnsi="Arial" w:eastAsia="宋体" w:cs="Arial"/>
          <w:color w:val="auto"/>
          <w:kern w:val="0"/>
          <w:sz w:val="24"/>
          <w:szCs w:val="24"/>
          <w:highlight w:val="none"/>
          <w:lang w:val="en-US" w:eastAsia="zh-CN"/>
        </w:rPr>
        <w:t>作为有机肥还田利用</w:t>
      </w:r>
      <w:r>
        <w:rPr>
          <w:rFonts w:hint="default" w:ascii="Arial" w:hAnsi="Arial" w:eastAsia="宋体" w:cs="Arial"/>
          <w:color w:val="auto"/>
          <w:highlight w:val="none"/>
          <w:lang w:val="en-US" w:eastAsia="zh-CN"/>
        </w:rPr>
        <w:t>。</w:t>
      </w:r>
    </w:p>
    <w:p>
      <w:pPr>
        <w:pStyle w:val="2"/>
        <w:pageBreakBefore w:val="0"/>
        <w:kinsoku/>
        <w:wordWrap/>
        <w:overflowPunct/>
        <w:autoSpaceDN/>
        <w:bidi w:val="0"/>
        <w:adjustRightInd/>
        <w:snapToGrid/>
        <w:spacing w:line="480" w:lineRule="exact"/>
        <w:ind w:left="480" w:firstLine="482"/>
        <w:textAlignment w:val="auto"/>
        <w:rPr>
          <w:rFonts w:hint="default" w:ascii="Arial" w:hAnsi="Arial" w:eastAsia="宋体" w:cs="Arial"/>
          <w:color w:val="auto"/>
          <w:highlight w:val="none"/>
        </w:rPr>
      </w:pPr>
      <w:r>
        <w:rPr>
          <w:rFonts w:hint="default" w:ascii="Arial" w:hAnsi="Arial" w:eastAsia="宋体" w:cs="Arial"/>
          <w:b/>
          <w:color w:val="auto"/>
          <w:szCs w:val="22"/>
          <w:highlight w:val="none"/>
        </w:rPr>
        <mc:AlternateContent>
          <mc:Choice Requires="wpg">
            <w:drawing>
              <wp:anchor distT="0" distB="0" distL="114300" distR="114300" simplePos="0" relativeHeight="251661312" behindDoc="0" locked="0" layoutInCell="1" allowOverlap="1">
                <wp:simplePos x="0" y="0"/>
                <wp:positionH relativeFrom="column">
                  <wp:posOffset>220980</wp:posOffset>
                </wp:positionH>
                <wp:positionV relativeFrom="paragraph">
                  <wp:posOffset>109220</wp:posOffset>
                </wp:positionV>
                <wp:extent cx="4819015" cy="437515"/>
                <wp:effectExtent l="0" t="0" r="0" b="0"/>
                <wp:wrapNone/>
                <wp:docPr id="61" name="组合 324"/>
                <wp:cNvGraphicFramePr/>
                <a:graphic xmlns:a="http://schemas.openxmlformats.org/drawingml/2006/main">
                  <a:graphicData uri="http://schemas.microsoft.com/office/word/2010/wordprocessingGroup">
                    <wpg:wgp>
                      <wpg:cNvGrpSpPr/>
                      <wpg:grpSpPr>
                        <a:xfrm>
                          <a:off x="0" y="0"/>
                          <a:ext cx="4819015" cy="437515"/>
                          <a:chOff x="855" y="3975"/>
                          <a:chExt cx="7589" cy="689"/>
                        </a:xfrm>
                      </wpg:grpSpPr>
                      <wps:wsp>
                        <wps:cNvPr id="52" name="文本框 2"/>
                        <wps:cNvSpPr txBox="1"/>
                        <wps:spPr>
                          <a:xfrm>
                            <a:off x="3120" y="4110"/>
                            <a:ext cx="1199" cy="431"/>
                          </a:xfrm>
                          <a:prstGeom prst="rect">
                            <a:avLst/>
                          </a:prstGeom>
                          <a:solidFill>
                            <a:srgbClr val="FFFFFF"/>
                          </a:solidFill>
                          <a:ln w="9525" cap="flat" cmpd="sng">
                            <a:solidFill>
                              <a:srgbClr val="000000"/>
                            </a:solidFill>
                            <a:prstDash val="solid"/>
                            <a:miter/>
                            <a:headEnd type="none" w="med" len="med"/>
                            <a:tailEnd type="none" w="med" len="med"/>
                          </a:ln>
                        </wps:spPr>
                        <wps:txbx>
                          <w:txbxContent>
                            <w:p>
                              <w:pPr>
                                <w:spacing w:line="240" w:lineRule="auto"/>
                                <w:ind w:firstLine="0" w:firstLineChars="0"/>
                                <w:jc w:val="center"/>
                                <w:rPr>
                                  <w:sz w:val="21"/>
                                  <w:szCs w:val="21"/>
                                </w:rPr>
                              </w:pPr>
                              <w:r>
                                <w:rPr>
                                  <w:rFonts w:hint="eastAsia"/>
                                  <w:sz w:val="21"/>
                                  <w:szCs w:val="21"/>
                                </w:rPr>
                                <w:t>堆肥</w:t>
                              </w:r>
                            </w:p>
                          </w:txbxContent>
                        </wps:txbx>
                        <wps:bodyPr upright="1">
                          <a:spAutoFit/>
                        </wps:bodyPr>
                      </wps:wsp>
                      <wps:wsp>
                        <wps:cNvPr id="53" name="自选图形 326"/>
                        <wps:cNvCnPr/>
                        <wps:spPr>
                          <a:xfrm>
                            <a:off x="4334" y="4290"/>
                            <a:ext cx="1036" cy="0"/>
                          </a:xfrm>
                          <a:prstGeom prst="straightConnector1">
                            <a:avLst/>
                          </a:prstGeom>
                          <a:ln w="9525" cap="flat" cmpd="sng">
                            <a:solidFill>
                              <a:srgbClr val="000000"/>
                            </a:solidFill>
                            <a:prstDash val="solid"/>
                            <a:headEnd type="none" w="med" len="med"/>
                            <a:tailEnd type="triangle" w="med" len="med"/>
                          </a:ln>
                        </wps:spPr>
                        <wps:bodyPr/>
                      </wps:wsp>
                      <wps:wsp>
                        <wps:cNvPr id="54" name="文本框 2"/>
                        <wps:cNvSpPr txBox="1"/>
                        <wps:spPr>
                          <a:xfrm>
                            <a:off x="5370" y="4110"/>
                            <a:ext cx="1199" cy="431"/>
                          </a:xfrm>
                          <a:prstGeom prst="rect">
                            <a:avLst/>
                          </a:prstGeom>
                          <a:solidFill>
                            <a:srgbClr val="FFFFFF"/>
                          </a:solidFill>
                          <a:ln w="9525" cap="flat" cmpd="sng">
                            <a:solidFill>
                              <a:srgbClr val="000000"/>
                            </a:solidFill>
                            <a:prstDash val="solid"/>
                            <a:miter/>
                            <a:headEnd type="none" w="med" len="med"/>
                            <a:tailEnd type="none" w="med" len="med"/>
                          </a:ln>
                        </wps:spPr>
                        <wps:txbx>
                          <w:txbxContent>
                            <w:p>
                              <w:pPr>
                                <w:spacing w:line="240" w:lineRule="auto"/>
                                <w:ind w:firstLine="0" w:firstLineChars="0"/>
                                <w:jc w:val="center"/>
                                <w:rPr>
                                  <w:sz w:val="21"/>
                                  <w:szCs w:val="21"/>
                                </w:rPr>
                              </w:pPr>
                              <w:r>
                                <w:rPr>
                                  <w:rFonts w:hint="eastAsia"/>
                                  <w:sz w:val="21"/>
                                  <w:szCs w:val="21"/>
                                </w:rPr>
                                <w:t>腐熟</w:t>
                              </w:r>
                            </w:p>
                          </w:txbxContent>
                        </wps:txbx>
                        <wps:bodyPr upright="1">
                          <a:spAutoFit/>
                        </wps:bodyPr>
                      </wps:wsp>
                      <wps:wsp>
                        <wps:cNvPr id="55" name="自选图形 328"/>
                        <wps:cNvCnPr/>
                        <wps:spPr>
                          <a:xfrm>
                            <a:off x="6554" y="4290"/>
                            <a:ext cx="1036" cy="0"/>
                          </a:xfrm>
                          <a:prstGeom prst="straightConnector1">
                            <a:avLst/>
                          </a:prstGeom>
                          <a:ln w="9525" cap="flat" cmpd="sng">
                            <a:solidFill>
                              <a:srgbClr val="000000"/>
                            </a:solidFill>
                            <a:prstDash val="solid"/>
                            <a:headEnd type="none" w="med" len="med"/>
                            <a:tailEnd type="triangle" w="med" len="med"/>
                          </a:ln>
                        </wps:spPr>
                        <wps:bodyPr/>
                      </wps:wsp>
                      <wps:wsp>
                        <wps:cNvPr id="56" name="文本框 2"/>
                        <wps:cNvSpPr txBox="1"/>
                        <wps:spPr>
                          <a:xfrm>
                            <a:off x="7245" y="4095"/>
                            <a:ext cx="1199" cy="416"/>
                          </a:xfrm>
                          <a:prstGeom prst="rect">
                            <a:avLst/>
                          </a:prstGeom>
                          <a:noFill/>
                          <a:ln>
                            <a:noFill/>
                          </a:ln>
                        </wps:spPr>
                        <wps:txbx>
                          <w:txbxContent>
                            <w:p>
                              <w:pPr>
                                <w:spacing w:line="240" w:lineRule="auto"/>
                                <w:ind w:firstLine="0" w:firstLineChars="0"/>
                                <w:jc w:val="center"/>
                                <w:rPr>
                                  <w:sz w:val="21"/>
                                  <w:szCs w:val="21"/>
                                </w:rPr>
                              </w:pPr>
                              <w:r>
                                <w:rPr>
                                  <w:rFonts w:hint="eastAsia"/>
                                  <w:sz w:val="21"/>
                                  <w:szCs w:val="21"/>
                                </w:rPr>
                                <w:t>还田</w:t>
                              </w:r>
                            </w:p>
                          </w:txbxContent>
                        </wps:txbx>
                        <wps:bodyPr upright="1">
                          <a:spAutoFit/>
                        </wps:bodyPr>
                      </wps:wsp>
                      <wps:wsp>
                        <wps:cNvPr id="57" name="自选图形 330"/>
                        <wps:cNvCnPr/>
                        <wps:spPr>
                          <a:xfrm>
                            <a:off x="2069" y="4290"/>
                            <a:ext cx="1036" cy="0"/>
                          </a:xfrm>
                          <a:prstGeom prst="straightConnector1">
                            <a:avLst/>
                          </a:prstGeom>
                          <a:ln w="9525" cap="flat" cmpd="sng">
                            <a:solidFill>
                              <a:srgbClr val="000000"/>
                            </a:solidFill>
                            <a:prstDash val="solid"/>
                            <a:headEnd type="none" w="med" len="med"/>
                            <a:tailEnd type="triangle" w="med" len="med"/>
                          </a:ln>
                        </wps:spPr>
                        <wps:bodyPr/>
                      </wps:wsp>
                      <wps:wsp>
                        <wps:cNvPr id="58" name="文本框 2"/>
                        <wps:cNvSpPr txBox="1"/>
                        <wps:spPr>
                          <a:xfrm>
                            <a:off x="855" y="3975"/>
                            <a:ext cx="1417" cy="689"/>
                          </a:xfrm>
                          <a:prstGeom prst="rect">
                            <a:avLst/>
                          </a:prstGeom>
                          <a:noFill/>
                          <a:ln>
                            <a:noFill/>
                          </a:ln>
                        </wps:spPr>
                        <wps:txbx>
                          <w:txbxContent>
                            <w:p>
                              <w:pPr>
                                <w:spacing w:line="240" w:lineRule="auto"/>
                                <w:ind w:firstLine="0" w:firstLineChars="0"/>
                                <w:jc w:val="center"/>
                                <w:rPr>
                                  <w:sz w:val="21"/>
                                  <w:szCs w:val="21"/>
                                </w:rPr>
                              </w:pPr>
                              <w:r>
                                <w:rPr>
                                  <w:rFonts w:hint="eastAsia"/>
                                  <w:sz w:val="21"/>
                                  <w:szCs w:val="21"/>
                                  <w:lang w:eastAsia="zh-CN"/>
                                </w:rPr>
                                <w:t>牛粪便</w:t>
                              </w:r>
                            </w:p>
                          </w:txbxContent>
                        </wps:txbx>
                        <wps:bodyPr upright="1"/>
                      </wps:wsp>
                    </wpg:wgp>
                  </a:graphicData>
                </a:graphic>
              </wp:anchor>
            </w:drawing>
          </mc:Choice>
          <mc:Fallback>
            <w:pict>
              <v:group id="组合 324" o:spid="_x0000_s1026" o:spt="203" style="position:absolute;left:0pt;margin-left:17.4pt;margin-top:8.6pt;height:34.45pt;width:379.45pt;z-index:251661312;mso-width-relative:page;mso-height-relative:page;" coordorigin="855,3975" coordsize="7589,689" o:gfxdata="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">
                <o:lock v:ext="edit" aspectratio="f"/>
                <v:shape id="文本框 2" o:spid="_x0000_s1026" o:spt="202" type="#_x0000_t202" style="position:absolute;left:3120;top:4110;height:431;width:1199;" fillcolor="#FFFFFF" filled="t" stroked="t" coordsize="21600,21600" o:gfxdata="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2Ojl7vQAA&#10;ANsAAAAPAAAAAAAAAAEAIAAAACIAAABkcnMvZG93bnJldi54bWxQSwECFAAUAAAACACHTuJAMy8F&#10;njsAAAA5AAAAEAAAAAAAAAABACAAAAAMAQAAZHJzL3NoYXBleG1sLnhtbFBLBQYAAAAABgAGAFsB&#10;AAC2AwAAAAA=&#10;">
                  <v:fill on="t" focussize="0,0"/>
                  <v:stroke color="#000000" joinstyle="miter"/>
                  <v:imagedata o:title=""/>
                  <o:lock v:ext="edit" aspectratio="f"/>
                  <v:textbox style="mso-fit-shape-to-text:t;">
                    <w:txbxContent>
                      <w:p>
                        <w:pPr>
                          <w:spacing w:line="240" w:lineRule="auto"/>
                          <w:ind w:firstLine="0" w:firstLineChars="0"/>
                          <w:jc w:val="center"/>
                          <w:rPr>
                            <w:sz w:val="21"/>
                            <w:szCs w:val="21"/>
                          </w:rPr>
                        </w:pPr>
                        <w:r>
                          <w:rPr>
                            <w:rFonts w:hint="eastAsia"/>
                            <w:sz w:val="21"/>
                            <w:szCs w:val="21"/>
                          </w:rPr>
                          <w:t>堆肥</w:t>
                        </w:r>
                      </w:p>
                    </w:txbxContent>
                  </v:textbox>
                </v:shape>
                <v:shape id="自选图形 326" o:spid="_x0000_s1026" o:spt="32" type="#_x0000_t32" style="position:absolute;left:4334;top:4290;height:0;width:1036;" filled="f" stroked="t" coordsize="21600,21600" o:gfxdata="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TTOTb4A&#10;AADb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shape>
                <v:shape id="文本框 2" o:spid="_x0000_s1026" o:spt="202" type="#_x0000_t202" style="position:absolute;left:5370;top:4110;height:431;width:1199;" fillcolor="#FFFFFF" filled="t" stroked="t" coordsize="21600,21600" o:gfxdata="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1p8ElL4A&#10;AADbAAAADwAAAAAAAAABACAAAAAiAAAAZHJzL2Rvd25yZXYueG1sUEsBAhQAFAAAAAgAh07iQDMv&#10;BZ47AAAAOQAAABAAAAAAAAAAAQAgAAAADQEAAGRycy9zaGFwZXhtbC54bWxQSwUGAAAAAAYABgBb&#10;AQAAtwMAAAAA&#10;">
                  <v:fill on="t" focussize="0,0"/>
                  <v:stroke color="#000000" joinstyle="miter"/>
                  <v:imagedata o:title=""/>
                  <o:lock v:ext="edit" aspectratio="f"/>
                  <v:textbox style="mso-fit-shape-to-text:t;">
                    <w:txbxContent>
                      <w:p>
                        <w:pPr>
                          <w:spacing w:line="240" w:lineRule="auto"/>
                          <w:ind w:firstLine="0" w:firstLineChars="0"/>
                          <w:jc w:val="center"/>
                          <w:rPr>
                            <w:sz w:val="21"/>
                            <w:szCs w:val="21"/>
                          </w:rPr>
                        </w:pPr>
                        <w:r>
                          <w:rPr>
                            <w:rFonts w:hint="eastAsia"/>
                            <w:sz w:val="21"/>
                            <w:szCs w:val="21"/>
                          </w:rPr>
                          <w:t>腐熟</w:t>
                        </w:r>
                      </w:p>
                    </w:txbxContent>
                  </v:textbox>
                </v:shape>
                <v:shape id="自选图形 328" o:spid="_x0000_s1026" o:spt="32" type="#_x0000_t32" style="position:absolute;left:6554;top:4290;height:0;width:1036;" filled="f" stroked="t" coordsize="21600,21600" o:gfxdata="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mZHzor4A&#10;AADb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shape>
                <v:shape id="文本框 2" o:spid="_x0000_s1026" o:spt="202" type="#_x0000_t202" style="position:absolute;left:7245;top:4095;height:416;width:1199;" filled="f" stroked="f" coordsize="21600,21600" o:gfxdata="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o3+wGLsAAADb&#10;AAAADwAAAAAAAAABACAAAAAiAAAAZHJzL2Rvd25yZXYueG1sUEsBAhQAFAAAAAgAh07iQDMvBZ47&#10;AAAAOQAAABAAAAAAAAAAAQAgAAAACgEAAGRycy9zaGFwZXhtbC54bWxQSwUGAAAAAAYABgBbAQAA&#10;tAMAAAAA&#10;">
                  <v:fill on="f" focussize="0,0"/>
                  <v:stroke on="f"/>
                  <v:imagedata o:title=""/>
                  <o:lock v:ext="edit" aspectratio="f"/>
                  <v:textbox style="mso-fit-shape-to-text:t;">
                    <w:txbxContent>
                      <w:p>
                        <w:pPr>
                          <w:spacing w:line="240" w:lineRule="auto"/>
                          <w:ind w:firstLine="0" w:firstLineChars="0"/>
                          <w:jc w:val="center"/>
                          <w:rPr>
                            <w:sz w:val="21"/>
                            <w:szCs w:val="21"/>
                          </w:rPr>
                        </w:pPr>
                        <w:r>
                          <w:rPr>
                            <w:rFonts w:hint="eastAsia"/>
                            <w:sz w:val="21"/>
                            <w:szCs w:val="21"/>
                          </w:rPr>
                          <w:t>还田</w:t>
                        </w:r>
                      </w:p>
                    </w:txbxContent>
                  </v:textbox>
                </v:shape>
                <v:shape id="自选图形 330" o:spid="_x0000_s1026" o:spt="32" type="#_x0000_t32" style="position:absolute;left:2069;top:4290;height:0;width:1036;" filled="f" stroked="t" coordsize="21600,21600" o:gfxdata="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Bg/ITr4A&#10;AADb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shape>
                <v:shape id="文本框 2" o:spid="_x0000_s1026" o:spt="202" type="#_x0000_t202" style="position:absolute;left:855;top:3975;height:689;width:1417;" filled="f" stroked="f" coordsize="21600,21600" o:gfxdata="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ArrzMwtwAAANsAAAAP&#10;AAAAAAAAAAEAIAAAACIAAABkcnMvZG93bnJldi54bWxQSwECFAAUAAAACACHTuJAMy8FnjsAAAA5&#10;AAAAEAAAAAAAAAABACAAAAAGAQAAZHJzL3NoYXBleG1sLnhtbFBLBQYAAAAABgAGAFsBAACwAwAA&#10;AAA=&#10;">
                  <v:fill on="f" focussize="0,0"/>
                  <v:stroke on="f"/>
                  <v:imagedata o:title=""/>
                  <o:lock v:ext="edit" aspectratio="f"/>
                  <v:textbox>
                    <w:txbxContent>
                      <w:p>
                        <w:pPr>
                          <w:spacing w:line="240" w:lineRule="auto"/>
                          <w:ind w:firstLine="0" w:firstLineChars="0"/>
                          <w:jc w:val="center"/>
                          <w:rPr>
                            <w:sz w:val="21"/>
                            <w:szCs w:val="21"/>
                          </w:rPr>
                        </w:pPr>
                        <w:r>
                          <w:rPr>
                            <w:rFonts w:hint="eastAsia"/>
                            <w:sz w:val="21"/>
                            <w:szCs w:val="21"/>
                            <w:lang w:eastAsia="zh-CN"/>
                          </w:rPr>
                          <w:t>牛粪便</w:t>
                        </w:r>
                      </w:p>
                    </w:txbxContent>
                  </v:textbox>
                </v:shape>
              </v:group>
            </w:pict>
          </mc:Fallback>
        </mc:AlternateContent>
      </w:r>
    </w:p>
    <w:p>
      <w:pPr>
        <w:pageBreakBefore w:val="0"/>
        <w:kinsoku/>
        <w:wordWrap/>
        <w:overflowPunct/>
        <w:autoSpaceDN/>
        <w:bidi w:val="0"/>
        <w:adjustRightInd/>
        <w:snapToGrid/>
        <w:spacing w:line="480" w:lineRule="exact"/>
        <w:ind w:left="0" w:leftChars="0" w:firstLine="0" w:firstLineChars="0"/>
        <w:textAlignment w:val="auto"/>
        <w:rPr>
          <w:rFonts w:hint="default" w:ascii="Arial" w:hAnsi="Arial" w:eastAsia="宋体" w:cs="Arial"/>
          <w:color w:val="auto"/>
          <w:highlight w:val="none"/>
        </w:rPr>
      </w:pPr>
    </w:p>
    <w:p>
      <w:pPr>
        <w:pStyle w:val="8"/>
        <w:pageBreakBefore w:val="0"/>
        <w:kinsoku/>
        <w:wordWrap/>
        <w:overflowPunct/>
        <w:autoSpaceDN/>
        <w:bidi w:val="0"/>
        <w:adjustRightInd/>
        <w:snapToGrid/>
        <w:spacing w:line="480" w:lineRule="exact"/>
        <w:textAlignment w:val="auto"/>
        <w:rPr>
          <w:rFonts w:hint="default" w:ascii="Arial" w:hAnsi="Arial" w:eastAsia="宋体" w:cs="Arial"/>
          <w:color w:val="auto"/>
          <w:highlight w:val="none"/>
        </w:rPr>
      </w:pPr>
      <w:r>
        <w:rPr>
          <w:rFonts w:hint="default" w:ascii="Arial" w:hAnsi="Arial" w:eastAsia="宋体" w:cs="Arial"/>
          <w:color w:val="auto"/>
          <w:highlight w:val="none"/>
        </w:rPr>
        <w:t>图3.2-</w:t>
      </w:r>
      <w:r>
        <w:rPr>
          <w:rFonts w:hint="default" w:ascii="Arial" w:hAnsi="Arial" w:eastAsia="宋体" w:cs="Arial"/>
          <w:color w:val="auto"/>
          <w:highlight w:val="none"/>
          <w:lang w:val="en-US" w:eastAsia="zh-CN"/>
        </w:rPr>
        <w:t>2</w:t>
      </w:r>
      <w:r>
        <w:rPr>
          <w:rFonts w:hint="default" w:ascii="Arial" w:hAnsi="Arial" w:eastAsia="宋体" w:cs="Arial"/>
          <w:color w:val="auto"/>
          <w:highlight w:val="none"/>
        </w:rPr>
        <w:t xml:space="preserve">    粪便好氧堆肥工艺流程示意图</w:t>
      </w:r>
    </w:p>
    <w:bookmarkEnd w:id="215"/>
    <w:p>
      <w:pPr>
        <w:pStyle w:val="6"/>
        <w:keepNext w:val="0"/>
        <w:keepLines w:val="0"/>
        <w:pageBreakBefore w:val="0"/>
        <w:widowControl w:val="0"/>
        <w:kinsoku/>
        <w:wordWrap/>
        <w:overflowPunct/>
        <w:topLinePunct w:val="0"/>
        <w:autoSpaceDE/>
        <w:autoSpaceDN/>
        <w:bidi w:val="0"/>
        <w:adjustRightInd/>
        <w:snapToGrid/>
        <w:spacing w:before="0" w:after="0" w:line="480" w:lineRule="exact"/>
        <w:textAlignment w:val="auto"/>
        <w:rPr>
          <w:rFonts w:hint="default" w:ascii="Arial" w:hAnsi="Arial" w:eastAsia="宋体" w:cs="Arial"/>
          <w:color w:val="auto"/>
          <w:sz w:val="24"/>
          <w:szCs w:val="24"/>
        </w:rPr>
      </w:pPr>
      <w:bookmarkStart w:id="221" w:name="_Toc15638"/>
      <w:bookmarkStart w:id="222" w:name="_Toc30977"/>
      <w:bookmarkStart w:id="223" w:name="_Toc277336091"/>
      <w:bookmarkStart w:id="224" w:name="_Toc276105856"/>
      <w:bookmarkStart w:id="225" w:name="_Toc277949914"/>
      <w:bookmarkStart w:id="226" w:name="_Toc277228930"/>
      <w:bookmarkStart w:id="227" w:name="_Toc274251955"/>
      <w:bookmarkStart w:id="228" w:name="_Toc15163"/>
      <w:bookmarkStart w:id="229" w:name="_Toc277196476"/>
      <w:bookmarkStart w:id="230" w:name="_Toc277238933"/>
      <w:bookmarkStart w:id="231" w:name="_Toc277632284"/>
      <w:bookmarkStart w:id="232" w:name="_Toc274251884"/>
      <w:bookmarkStart w:id="233" w:name="_Toc277244740"/>
      <w:bookmarkStart w:id="234" w:name="_Toc276333558"/>
      <w:bookmarkStart w:id="235" w:name="_Toc277949249"/>
      <w:r>
        <w:rPr>
          <w:rFonts w:hint="default" w:ascii="Arial" w:hAnsi="Arial" w:eastAsia="宋体" w:cs="Arial"/>
          <w:color w:val="auto"/>
          <w:sz w:val="24"/>
          <w:szCs w:val="24"/>
          <w:lang w:val="en-US" w:eastAsia="zh-CN"/>
        </w:rPr>
        <w:t>3</w:t>
      </w:r>
      <w:r>
        <w:rPr>
          <w:rFonts w:hint="default" w:ascii="Arial" w:hAnsi="Arial" w:eastAsia="宋体" w:cs="Arial"/>
          <w:color w:val="auto"/>
          <w:sz w:val="24"/>
          <w:szCs w:val="24"/>
        </w:rPr>
        <w:t>.2.</w:t>
      </w:r>
      <w:r>
        <w:rPr>
          <w:rFonts w:hint="default" w:ascii="Arial" w:hAnsi="Arial" w:eastAsia="宋体" w:cs="Arial"/>
          <w:color w:val="auto"/>
          <w:sz w:val="24"/>
          <w:szCs w:val="24"/>
          <w:lang w:val="en-US" w:eastAsia="zh-CN"/>
        </w:rPr>
        <w:t>5</w:t>
      </w:r>
      <w:r>
        <w:rPr>
          <w:rFonts w:hint="default" w:ascii="Arial" w:hAnsi="Arial" w:eastAsia="宋体" w:cs="Arial"/>
          <w:color w:val="auto"/>
          <w:sz w:val="24"/>
          <w:szCs w:val="24"/>
          <w:lang w:eastAsia="zh-CN"/>
        </w:rPr>
        <w:t>牛舍、堆肥场除臭工艺</w:t>
      </w:r>
      <w:bookmarkEnd w:id="221"/>
      <w:bookmarkEnd w:id="222"/>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default" w:ascii="Arial" w:hAnsi="Arial" w:eastAsia="宋体" w:cs="Arial"/>
          <w:color w:val="auto"/>
          <w:sz w:val="24"/>
          <w:szCs w:val="24"/>
          <w:lang w:val="en-US" w:eastAsia="zh-CN"/>
        </w:rPr>
      </w:pPr>
      <w:r>
        <w:rPr>
          <w:rFonts w:hint="default" w:ascii="Arial" w:hAnsi="Arial" w:eastAsia="宋体" w:cs="Arial"/>
          <w:color w:val="auto"/>
          <w:sz w:val="24"/>
          <w:szCs w:val="24"/>
          <w:lang w:val="en-US" w:eastAsia="zh-CN"/>
        </w:rPr>
        <w:t>①项目采用干清粪工艺，在牛舍设置通风口，采用自然通风的方式换气，加快排除有害气体。</w:t>
      </w: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default" w:ascii="Arial" w:hAnsi="Arial" w:eastAsia="宋体" w:cs="Arial"/>
          <w:color w:val="auto"/>
          <w:sz w:val="24"/>
          <w:szCs w:val="24"/>
          <w:lang w:val="en-US" w:eastAsia="zh-CN"/>
        </w:rPr>
      </w:pPr>
      <w:r>
        <w:rPr>
          <w:rFonts w:hint="default" w:ascii="Arial" w:hAnsi="Arial" w:eastAsia="宋体" w:cs="Arial"/>
          <w:color w:val="auto"/>
          <w:sz w:val="24"/>
          <w:szCs w:val="24"/>
          <w:lang w:val="en-US" w:eastAsia="zh-CN"/>
        </w:rPr>
        <w:t>②养殖区等消毒应采用环境友好的消毒剂和消毒措施，防止产生氯代有机物及其他二次污染物。</w:t>
      </w: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default" w:ascii="Arial" w:hAnsi="Arial" w:eastAsia="宋体" w:cs="Arial"/>
          <w:color w:val="auto"/>
          <w:sz w:val="24"/>
          <w:szCs w:val="24"/>
          <w:lang w:val="en-US" w:eastAsia="zh-CN"/>
        </w:rPr>
      </w:pPr>
      <w:r>
        <w:rPr>
          <w:rFonts w:hint="default" w:ascii="Arial" w:hAnsi="Arial" w:eastAsia="宋体" w:cs="Arial"/>
          <w:color w:val="auto"/>
          <w:sz w:val="24"/>
          <w:szCs w:val="24"/>
          <w:lang w:val="en-US" w:eastAsia="zh-CN"/>
        </w:rPr>
        <w:t>③加强场区及场界的绿化，场区绿化以完全消灭裸露地面为原则，选择适宜吸臭植物种类，广种花草树木，场界边缘地带种植双季槐等高大树种形成多层防护林带，以降低恶臭污染的影响程度。</w:t>
      </w: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default" w:ascii="Arial" w:hAnsi="Arial" w:eastAsia="宋体" w:cs="Arial"/>
          <w:color w:val="auto"/>
          <w:sz w:val="24"/>
          <w:szCs w:val="24"/>
          <w:lang w:val="en-US" w:eastAsia="zh-CN"/>
        </w:rPr>
      </w:pPr>
      <w:r>
        <w:rPr>
          <w:rFonts w:hint="default" w:ascii="Arial" w:hAnsi="Arial" w:eastAsia="宋体" w:cs="Arial"/>
          <w:color w:val="auto"/>
          <w:sz w:val="24"/>
          <w:szCs w:val="24"/>
          <w:lang w:val="en-US" w:eastAsia="zh-CN"/>
        </w:rPr>
        <w:t>④对牛舍、运动场、堆肥场喷洒除臭剂。</w:t>
      </w:r>
    </w:p>
    <w:p>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default" w:ascii="Arial" w:hAnsi="Arial" w:eastAsia="宋体" w:cs="Arial"/>
          <w:color w:val="auto"/>
          <w:sz w:val="24"/>
          <w:szCs w:val="24"/>
        </w:rPr>
      </w:pPr>
      <w:r>
        <w:rPr>
          <w:rFonts w:hint="default" w:ascii="Arial" w:hAnsi="Arial" w:eastAsia="宋体" w:cs="Arial"/>
          <w:color w:val="auto"/>
          <w:sz w:val="24"/>
          <w:szCs w:val="24"/>
          <w:lang w:val="en-US" w:eastAsia="zh-CN"/>
        </w:rPr>
        <w:fldChar w:fldCharType="begin"/>
      </w:r>
      <w:r>
        <w:rPr>
          <w:rFonts w:hint="default" w:ascii="Arial" w:hAnsi="Arial" w:eastAsia="宋体" w:cs="Arial"/>
          <w:color w:val="auto"/>
          <w:sz w:val="24"/>
          <w:szCs w:val="24"/>
          <w:lang w:val="en-US" w:eastAsia="zh-CN"/>
        </w:rPr>
        <w:instrText xml:space="preserve"> = 5 \* GB3 \* MERGEFORMAT </w:instrText>
      </w:r>
      <w:r>
        <w:rPr>
          <w:rFonts w:hint="default" w:ascii="Arial" w:hAnsi="Arial" w:eastAsia="宋体" w:cs="Arial"/>
          <w:color w:val="auto"/>
          <w:sz w:val="24"/>
          <w:szCs w:val="24"/>
          <w:lang w:val="en-US" w:eastAsia="zh-CN"/>
        </w:rPr>
        <w:fldChar w:fldCharType="separate"/>
      </w:r>
      <w:r>
        <w:rPr>
          <w:rFonts w:hint="default" w:ascii="Arial" w:hAnsi="Arial" w:eastAsia="宋体" w:cs="Arial"/>
          <w:color w:val="auto"/>
        </w:rPr>
        <w:t>⑤</w:t>
      </w:r>
      <w:r>
        <w:rPr>
          <w:rFonts w:hint="default" w:ascii="Arial" w:hAnsi="Arial" w:eastAsia="宋体" w:cs="Arial"/>
          <w:color w:val="auto"/>
          <w:sz w:val="24"/>
          <w:szCs w:val="24"/>
          <w:lang w:val="en-US" w:eastAsia="zh-CN"/>
        </w:rPr>
        <w:fldChar w:fldCharType="end"/>
      </w:r>
      <w:r>
        <w:rPr>
          <w:rFonts w:hint="default" w:ascii="Arial" w:hAnsi="Arial" w:eastAsia="宋体" w:cs="Arial"/>
          <w:color w:val="auto"/>
          <w:sz w:val="24"/>
          <w:szCs w:val="24"/>
          <w:lang w:val="en-US" w:eastAsia="zh-CN"/>
        </w:rPr>
        <w:t>合理</w:t>
      </w:r>
      <w:r>
        <w:rPr>
          <w:rFonts w:hint="default" w:ascii="Arial" w:hAnsi="Arial" w:eastAsia="宋体" w:cs="Arial"/>
          <w:color w:val="auto"/>
          <w:kern w:val="0"/>
          <w:sz w:val="24"/>
          <w:szCs w:val="24"/>
        </w:rPr>
        <w:t>控制饲养密度</w:t>
      </w:r>
      <w:r>
        <w:rPr>
          <w:rFonts w:hint="default" w:ascii="Arial" w:hAnsi="Arial" w:eastAsia="宋体" w:cs="Arial"/>
          <w:color w:val="auto"/>
          <w:kern w:val="0"/>
          <w:sz w:val="24"/>
          <w:szCs w:val="24"/>
          <w:lang w:eastAsia="zh-CN"/>
        </w:rPr>
        <w:t>，进行科学喂养，可以有效降低恶臭气体的产生</w:t>
      </w:r>
      <w:r>
        <w:rPr>
          <w:rFonts w:hint="default" w:ascii="Arial" w:hAnsi="Arial" w:eastAsia="宋体" w:cs="Arial"/>
          <w:color w:val="auto"/>
          <w:sz w:val="24"/>
          <w:szCs w:val="24"/>
          <w:lang w:val="en-US" w:eastAsia="zh-CN"/>
        </w:rPr>
        <w:t xml:space="preserve">。 </w:t>
      </w:r>
    </w:p>
    <w:p>
      <w:pPr>
        <w:pStyle w:val="6"/>
        <w:keepNext w:val="0"/>
        <w:keepLines w:val="0"/>
        <w:pageBreakBefore w:val="0"/>
        <w:widowControl w:val="0"/>
        <w:kinsoku/>
        <w:wordWrap/>
        <w:overflowPunct/>
        <w:autoSpaceDN/>
        <w:bidi w:val="0"/>
        <w:adjustRightInd/>
        <w:snapToGrid/>
        <w:spacing w:before="0" w:after="0" w:line="480" w:lineRule="exact"/>
        <w:textAlignment w:val="auto"/>
        <w:rPr>
          <w:rFonts w:hint="default" w:ascii="Arial" w:hAnsi="Arial" w:eastAsia="宋体" w:cs="Arial"/>
          <w:color w:val="auto"/>
          <w:sz w:val="24"/>
          <w:szCs w:val="24"/>
          <w:lang w:eastAsia="zh-CN"/>
        </w:rPr>
      </w:pPr>
      <w:bookmarkStart w:id="236" w:name="_Toc1578"/>
      <w:bookmarkStart w:id="237" w:name="_Toc20707"/>
      <w:r>
        <w:rPr>
          <w:rFonts w:hint="default" w:ascii="Arial" w:hAnsi="Arial" w:eastAsia="宋体" w:cs="Arial"/>
          <w:color w:val="auto"/>
          <w:sz w:val="24"/>
          <w:szCs w:val="24"/>
          <w:lang w:val="en-US" w:eastAsia="zh-CN"/>
        </w:rPr>
        <w:t>3</w:t>
      </w:r>
      <w:r>
        <w:rPr>
          <w:rFonts w:hint="default" w:ascii="Arial" w:hAnsi="Arial" w:eastAsia="宋体" w:cs="Arial"/>
          <w:color w:val="auto"/>
          <w:sz w:val="24"/>
          <w:szCs w:val="24"/>
        </w:rPr>
        <w:t>.2.</w:t>
      </w:r>
      <w:bookmarkEnd w:id="223"/>
      <w:bookmarkEnd w:id="224"/>
      <w:bookmarkEnd w:id="225"/>
      <w:bookmarkEnd w:id="226"/>
      <w:bookmarkEnd w:id="227"/>
      <w:bookmarkEnd w:id="228"/>
      <w:bookmarkEnd w:id="229"/>
      <w:bookmarkEnd w:id="230"/>
      <w:bookmarkEnd w:id="231"/>
      <w:bookmarkEnd w:id="232"/>
      <w:bookmarkEnd w:id="233"/>
      <w:bookmarkEnd w:id="234"/>
      <w:bookmarkEnd w:id="235"/>
      <w:r>
        <w:rPr>
          <w:rFonts w:hint="default" w:ascii="Arial" w:hAnsi="Arial" w:eastAsia="宋体" w:cs="Arial"/>
          <w:color w:val="auto"/>
          <w:sz w:val="24"/>
          <w:szCs w:val="24"/>
          <w:lang w:val="en-US" w:eastAsia="zh-CN"/>
        </w:rPr>
        <w:t>6</w:t>
      </w:r>
      <w:r>
        <w:rPr>
          <w:rFonts w:hint="default" w:ascii="Arial" w:hAnsi="Arial" w:eastAsia="宋体" w:cs="Arial"/>
          <w:color w:val="auto"/>
          <w:sz w:val="24"/>
          <w:szCs w:val="24"/>
          <w:lang w:eastAsia="zh-CN"/>
        </w:rPr>
        <w:t>卫生防疫系统</w:t>
      </w:r>
      <w:bookmarkEnd w:id="236"/>
      <w:bookmarkEnd w:id="237"/>
    </w:p>
    <w:p>
      <w:pPr>
        <w:keepNext w:val="0"/>
        <w:keepLines w:val="0"/>
        <w:pageBreakBefore w:val="0"/>
        <w:widowControl/>
        <w:kinsoku/>
        <w:wordWrap/>
        <w:overflowPunct/>
        <w:topLinePunct w:val="0"/>
        <w:autoSpaceDE/>
        <w:autoSpaceDN/>
        <w:bidi w:val="0"/>
        <w:adjustRightInd/>
        <w:snapToGrid/>
        <w:spacing w:line="480" w:lineRule="exact"/>
        <w:ind w:firstLine="480" w:firstLineChars="200"/>
        <w:textAlignment w:val="auto"/>
        <w:rPr>
          <w:rFonts w:hint="default" w:ascii="Arial" w:hAnsi="Arial" w:eastAsia="宋体" w:cs="Arial"/>
          <w:color w:val="auto"/>
          <w:sz w:val="24"/>
          <w:szCs w:val="28"/>
        </w:rPr>
      </w:pPr>
      <w:r>
        <w:rPr>
          <w:rFonts w:hint="default" w:ascii="Arial" w:hAnsi="Arial" w:eastAsia="宋体" w:cs="Arial"/>
          <w:color w:val="auto"/>
          <w:sz w:val="24"/>
          <w:szCs w:val="28"/>
        </w:rPr>
        <w:t>肉牛疫病防控包括消毒和灭菌、免疫接种。按规程进行免疫接种、卫生消毒、定期保健护理、病牛隔离治疗，重点做好消化系统疾病、代谢病、蹄病和犊牛腹泻病的预防治疗。</w:t>
      </w:r>
    </w:p>
    <w:p>
      <w:pPr>
        <w:keepNext w:val="0"/>
        <w:keepLines w:val="0"/>
        <w:pageBreakBefore w:val="0"/>
        <w:widowControl/>
        <w:kinsoku/>
        <w:wordWrap/>
        <w:overflowPunct/>
        <w:topLinePunct w:val="0"/>
        <w:autoSpaceDE/>
        <w:autoSpaceDN/>
        <w:bidi w:val="0"/>
        <w:adjustRightInd/>
        <w:snapToGrid/>
        <w:spacing w:line="480" w:lineRule="exact"/>
        <w:ind w:firstLine="480" w:firstLineChars="200"/>
        <w:textAlignment w:val="auto"/>
        <w:rPr>
          <w:rFonts w:hint="default" w:ascii="Arial" w:hAnsi="Arial" w:eastAsia="宋体" w:cs="Arial"/>
          <w:color w:val="auto"/>
          <w:sz w:val="24"/>
          <w:szCs w:val="28"/>
        </w:rPr>
      </w:pPr>
      <w:r>
        <w:rPr>
          <w:rFonts w:hint="default" w:ascii="Arial" w:hAnsi="Arial" w:eastAsia="宋体" w:cs="Arial"/>
          <w:color w:val="auto"/>
          <w:sz w:val="24"/>
          <w:szCs w:val="28"/>
        </w:rPr>
        <w:t>（1）环境消毒</w:t>
      </w:r>
    </w:p>
    <w:p>
      <w:pPr>
        <w:keepNext w:val="0"/>
        <w:keepLines w:val="0"/>
        <w:pageBreakBefore w:val="0"/>
        <w:widowControl/>
        <w:kinsoku/>
        <w:wordWrap/>
        <w:overflowPunct/>
        <w:topLinePunct w:val="0"/>
        <w:autoSpaceDE/>
        <w:autoSpaceDN/>
        <w:bidi w:val="0"/>
        <w:adjustRightInd/>
        <w:snapToGrid/>
        <w:spacing w:line="480" w:lineRule="exact"/>
        <w:ind w:firstLine="480" w:firstLineChars="200"/>
        <w:textAlignment w:val="auto"/>
        <w:rPr>
          <w:rFonts w:hint="default" w:ascii="Arial" w:hAnsi="Arial" w:eastAsia="宋体" w:cs="Arial"/>
          <w:color w:val="auto"/>
          <w:sz w:val="24"/>
          <w:szCs w:val="28"/>
        </w:rPr>
      </w:pPr>
      <w:r>
        <w:rPr>
          <w:rFonts w:hint="default" w:ascii="Arial" w:hAnsi="Arial" w:eastAsia="宋体" w:cs="Arial"/>
          <w:color w:val="auto"/>
          <w:sz w:val="24"/>
          <w:szCs w:val="28"/>
        </w:rPr>
        <w:t>牛舍周围环境定期撒生石灰消毒。</w:t>
      </w:r>
      <w:r>
        <w:rPr>
          <w:rFonts w:hint="default" w:ascii="Arial" w:hAnsi="Arial" w:eastAsia="宋体" w:cs="Arial"/>
          <w:color w:val="auto"/>
          <w:sz w:val="24"/>
          <w:szCs w:val="28"/>
          <w:lang w:eastAsia="zh-CN"/>
        </w:rPr>
        <w:t>养殖区</w:t>
      </w:r>
      <w:r>
        <w:rPr>
          <w:rFonts w:hint="default" w:ascii="Arial" w:hAnsi="Arial" w:eastAsia="宋体" w:cs="Arial"/>
          <w:color w:val="auto"/>
          <w:sz w:val="24"/>
          <w:szCs w:val="28"/>
        </w:rPr>
        <w:t>周围及场内污染地、排粪坑、下水道出口，每月用</w:t>
      </w:r>
      <w:r>
        <w:rPr>
          <w:rFonts w:hint="default" w:ascii="Arial" w:hAnsi="Arial" w:eastAsia="宋体" w:cs="Arial"/>
          <w:color w:val="auto"/>
          <w:sz w:val="24"/>
          <w:szCs w:val="28"/>
          <w:lang w:eastAsia="zh-CN"/>
        </w:rPr>
        <w:t>消毒水</w:t>
      </w:r>
      <w:r>
        <w:rPr>
          <w:rFonts w:hint="default" w:ascii="Arial" w:hAnsi="Arial" w:eastAsia="宋体" w:cs="Arial"/>
          <w:color w:val="auto"/>
          <w:sz w:val="24"/>
          <w:szCs w:val="28"/>
        </w:rPr>
        <w:t>消毒1次。在牛场、牛舍入口设消毒池。</w:t>
      </w:r>
    </w:p>
    <w:p>
      <w:pPr>
        <w:keepNext w:val="0"/>
        <w:keepLines w:val="0"/>
        <w:pageBreakBefore w:val="0"/>
        <w:widowControl/>
        <w:kinsoku/>
        <w:wordWrap/>
        <w:overflowPunct/>
        <w:topLinePunct w:val="0"/>
        <w:autoSpaceDE/>
        <w:autoSpaceDN/>
        <w:bidi w:val="0"/>
        <w:adjustRightInd/>
        <w:snapToGrid/>
        <w:spacing w:line="480" w:lineRule="exact"/>
        <w:ind w:firstLine="480" w:firstLineChars="200"/>
        <w:textAlignment w:val="auto"/>
        <w:rPr>
          <w:rFonts w:hint="default" w:ascii="Arial" w:hAnsi="Arial" w:eastAsia="宋体" w:cs="Arial"/>
          <w:color w:val="auto"/>
          <w:sz w:val="24"/>
          <w:szCs w:val="28"/>
        </w:rPr>
      </w:pPr>
      <w:r>
        <w:rPr>
          <w:rFonts w:hint="default" w:ascii="Arial" w:hAnsi="Arial" w:eastAsia="宋体" w:cs="Arial"/>
          <w:color w:val="auto"/>
          <w:sz w:val="24"/>
          <w:szCs w:val="28"/>
        </w:rPr>
        <w:t>（2）人员消毒</w:t>
      </w:r>
    </w:p>
    <w:p>
      <w:pPr>
        <w:keepNext w:val="0"/>
        <w:keepLines w:val="0"/>
        <w:pageBreakBefore w:val="0"/>
        <w:widowControl/>
        <w:kinsoku/>
        <w:wordWrap/>
        <w:overflowPunct/>
        <w:topLinePunct w:val="0"/>
        <w:autoSpaceDE/>
        <w:autoSpaceDN/>
        <w:bidi w:val="0"/>
        <w:adjustRightInd/>
        <w:snapToGrid/>
        <w:spacing w:line="480" w:lineRule="exact"/>
        <w:ind w:firstLine="480" w:firstLineChars="200"/>
        <w:textAlignment w:val="auto"/>
        <w:rPr>
          <w:rFonts w:hint="default" w:ascii="Arial" w:hAnsi="Arial" w:eastAsia="宋体" w:cs="Arial"/>
          <w:color w:val="auto"/>
          <w:sz w:val="24"/>
          <w:szCs w:val="28"/>
        </w:rPr>
      </w:pPr>
      <w:r>
        <w:rPr>
          <w:rFonts w:hint="default" w:ascii="Arial" w:hAnsi="Arial" w:eastAsia="宋体" w:cs="Arial"/>
          <w:color w:val="auto"/>
          <w:sz w:val="24"/>
          <w:szCs w:val="28"/>
        </w:rPr>
        <w:t>工作人员进入生产区净道和牛舍，要更换工作服、工作鞋，并经</w:t>
      </w:r>
      <w:r>
        <w:rPr>
          <w:rFonts w:hint="default" w:ascii="Arial" w:hAnsi="Arial" w:eastAsia="宋体" w:cs="Arial"/>
          <w:color w:val="auto"/>
          <w:sz w:val="24"/>
          <w:szCs w:val="28"/>
          <w:lang w:eastAsia="zh-CN"/>
        </w:rPr>
        <w:t>消毒液</w:t>
      </w:r>
      <w:r>
        <w:rPr>
          <w:rFonts w:hint="default" w:ascii="Arial" w:hAnsi="Arial" w:eastAsia="宋体" w:cs="Arial"/>
          <w:color w:val="auto"/>
          <w:sz w:val="24"/>
          <w:szCs w:val="28"/>
        </w:rPr>
        <w:t>进行消毒。外来人员必须进入生产区时，应更换场内工作服、工作鞋，并经</w:t>
      </w:r>
      <w:r>
        <w:rPr>
          <w:rFonts w:hint="default" w:ascii="Arial" w:hAnsi="Arial" w:eastAsia="宋体" w:cs="Arial"/>
          <w:color w:val="auto"/>
          <w:sz w:val="24"/>
          <w:szCs w:val="28"/>
          <w:lang w:eastAsia="zh-CN"/>
        </w:rPr>
        <w:t>消毒液</w:t>
      </w:r>
      <w:r>
        <w:rPr>
          <w:rFonts w:hint="default" w:ascii="Arial" w:hAnsi="Arial" w:eastAsia="宋体" w:cs="Arial"/>
          <w:color w:val="auto"/>
          <w:sz w:val="24"/>
          <w:szCs w:val="28"/>
        </w:rPr>
        <w:t>进行消毒，并遵守场内防疫制度，按指定路线行走。</w:t>
      </w:r>
    </w:p>
    <w:p>
      <w:pPr>
        <w:keepNext w:val="0"/>
        <w:keepLines w:val="0"/>
        <w:pageBreakBefore w:val="0"/>
        <w:widowControl/>
        <w:kinsoku/>
        <w:wordWrap/>
        <w:overflowPunct/>
        <w:topLinePunct w:val="0"/>
        <w:autoSpaceDE/>
        <w:autoSpaceDN/>
        <w:bidi w:val="0"/>
        <w:adjustRightInd/>
        <w:snapToGrid/>
        <w:spacing w:line="480" w:lineRule="exact"/>
        <w:ind w:firstLine="480" w:firstLineChars="200"/>
        <w:textAlignment w:val="auto"/>
        <w:rPr>
          <w:rFonts w:hint="default" w:ascii="Arial" w:hAnsi="Arial" w:eastAsia="宋体" w:cs="Arial"/>
          <w:color w:val="auto"/>
          <w:sz w:val="24"/>
          <w:szCs w:val="28"/>
        </w:rPr>
      </w:pPr>
      <w:r>
        <w:rPr>
          <w:rFonts w:hint="default" w:ascii="Arial" w:hAnsi="Arial" w:eastAsia="宋体" w:cs="Arial"/>
          <w:color w:val="auto"/>
          <w:sz w:val="24"/>
          <w:szCs w:val="28"/>
        </w:rPr>
        <w:t>（3）牛舍消毒：每天清扫，定期喷雾消毒。</w:t>
      </w:r>
    </w:p>
    <w:p>
      <w:pPr>
        <w:keepNext w:val="0"/>
        <w:keepLines w:val="0"/>
        <w:pageBreakBefore w:val="0"/>
        <w:widowControl/>
        <w:kinsoku/>
        <w:wordWrap/>
        <w:overflowPunct/>
        <w:topLinePunct w:val="0"/>
        <w:autoSpaceDE/>
        <w:autoSpaceDN/>
        <w:bidi w:val="0"/>
        <w:adjustRightInd/>
        <w:snapToGrid/>
        <w:spacing w:line="480" w:lineRule="exact"/>
        <w:ind w:firstLine="480" w:firstLineChars="200"/>
        <w:textAlignment w:val="auto"/>
        <w:rPr>
          <w:rFonts w:hint="default" w:ascii="Arial" w:hAnsi="Arial" w:eastAsia="宋体" w:cs="Arial"/>
          <w:color w:val="auto"/>
          <w:sz w:val="24"/>
          <w:szCs w:val="28"/>
          <w:lang w:eastAsia="zh-CN"/>
        </w:rPr>
      </w:pPr>
      <w:r>
        <w:rPr>
          <w:rFonts w:hint="default" w:ascii="Arial" w:hAnsi="Arial" w:eastAsia="宋体" w:cs="Arial"/>
          <w:color w:val="auto"/>
          <w:sz w:val="24"/>
          <w:szCs w:val="28"/>
        </w:rPr>
        <w:t>（4）用具消毒：定期对水槽、饲料车、料桶等饲养用具进行消毒</w:t>
      </w:r>
      <w:r>
        <w:rPr>
          <w:rFonts w:hint="default" w:ascii="Arial" w:hAnsi="Arial" w:eastAsia="宋体" w:cs="Arial"/>
          <w:color w:val="auto"/>
          <w:sz w:val="24"/>
          <w:szCs w:val="28"/>
          <w:lang w:eastAsia="zh-CN"/>
        </w:rPr>
        <w:t>。</w:t>
      </w:r>
    </w:p>
    <w:p>
      <w:pPr>
        <w:keepNext w:val="0"/>
        <w:keepLines w:val="0"/>
        <w:pageBreakBefore w:val="0"/>
        <w:kinsoku/>
        <w:wordWrap/>
        <w:overflowPunct/>
        <w:autoSpaceDN/>
        <w:bidi w:val="0"/>
        <w:adjustRightInd/>
        <w:snapToGrid/>
        <w:spacing w:line="480" w:lineRule="exact"/>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根据项目流程及建设内容可知，项目主要污染物见下表。</w:t>
      </w:r>
    </w:p>
    <w:p>
      <w:pPr>
        <w:pStyle w:val="8"/>
        <w:pageBreakBefore w:val="0"/>
        <w:kinsoku/>
        <w:wordWrap/>
        <w:overflowPunct/>
        <w:autoSpaceDN/>
        <w:bidi w:val="0"/>
        <w:adjustRightInd/>
        <w:snapToGrid/>
        <w:spacing w:line="480" w:lineRule="exact"/>
        <w:textAlignment w:val="auto"/>
        <w:rPr>
          <w:rFonts w:hint="default" w:ascii="Arial" w:hAnsi="Arial" w:eastAsia="宋体" w:cs="Arial"/>
          <w:color w:val="auto"/>
          <w:highlight w:val="none"/>
        </w:rPr>
      </w:pPr>
      <w:r>
        <w:rPr>
          <w:rFonts w:hint="default" w:ascii="Arial" w:hAnsi="Arial" w:eastAsia="宋体" w:cs="Arial"/>
          <w:color w:val="auto"/>
          <w:highlight w:val="none"/>
        </w:rPr>
        <w:t>表3.2-1    项目排污环节分析一览表</w:t>
      </w:r>
    </w:p>
    <w:tbl>
      <w:tblPr>
        <w:tblStyle w:val="39"/>
        <w:tblW w:w="9014"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59"/>
        <w:gridCol w:w="460"/>
        <w:gridCol w:w="1839"/>
        <w:gridCol w:w="1360"/>
        <w:gridCol w:w="4896"/>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51" w:type="dxa"/>
            <w:tcMar>
              <w:left w:w="28" w:type="dxa"/>
              <w:right w:w="28" w:type="dxa"/>
            </w:tcMar>
            <w:vAlign w:val="center"/>
          </w:tcPr>
          <w:p>
            <w:pPr>
              <w:pStyle w:val="63"/>
              <w:keepNext w:val="0"/>
              <w:keepLines w:val="0"/>
              <w:pageBreakBefore w:val="0"/>
              <w:widowControl w:val="0"/>
              <w:kinsoku/>
              <w:wordWrap/>
              <w:overflowPunct/>
              <w:topLinePunct/>
              <w:autoSpaceDE w:val="0"/>
              <w:autoSpaceDN/>
              <w:bidi w:val="0"/>
              <w:adjustRightInd/>
              <w:snapToGrid/>
              <w:ind w:firstLine="0" w:firstLineChars="0"/>
              <w:jc w:val="center"/>
              <w:textAlignment w:val="center"/>
              <w:rPr>
                <w:rFonts w:hint="default" w:ascii="Arial" w:hAnsi="Arial" w:eastAsia="宋体" w:cs="Arial"/>
                <w:color w:val="auto"/>
                <w:highlight w:val="none"/>
              </w:rPr>
            </w:pPr>
            <w:r>
              <w:rPr>
                <w:rFonts w:hint="default" w:ascii="Arial" w:hAnsi="Arial" w:eastAsia="宋体" w:cs="Arial"/>
                <w:color w:val="auto"/>
                <w:highlight w:val="none"/>
              </w:rPr>
              <w:t>类别</w:t>
            </w:r>
          </w:p>
        </w:tc>
        <w:tc>
          <w:tcPr>
            <w:tcW w:w="451" w:type="dxa"/>
            <w:tcMar>
              <w:left w:w="28" w:type="dxa"/>
              <w:right w:w="28" w:type="dxa"/>
            </w:tcMar>
            <w:vAlign w:val="center"/>
          </w:tcPr>
          <w:p>
            <w:pPr>
              <w:pStyle w:val="63"/>
              <w:keepNext w:val="0"/>
              <w:keepLines w:val="0"/>
              <w:pageBreakBefore w:val="0"/>
              <w:widowControl w:val="0"/>
              <w:kinsoku/>
              <w:wordWrap/>
              <w:overflowPunct/>
              <w:topLinePunct/>
              <w:autoSpaceDE w:val="0"/>
              <w:autoSpaceDN/>
              <w:bidi w:val="0"/>
              <w:adjustRightInd/>
              <w:snapToGrid/>
              <w:ind w:firstLine="0" w:firstLineChars="0"/>
              <w:jc w:val="center"/>
              <w:textAlignment w:val="center"/>
              <w:rPr>
                <w:rFonts w:hint="default" w:ascii="Arial" w:hAnsi="Arial" w:eastAsia="宋体" w:cs="Arial"/>
                <w:color w:val="auto"/>
                <w:highlight w:val="none"/>
              </w:rPr>
            </w:pPr>
            <w:r>
              <w:rPr>
                <w:rFonts w:hint="default" w:ascii="Arial" w:hAnsi="Arial" w:eastAsia="宋体" w:cs="Arial"/>
                <w:color w:val="auto"/>
                <w:highlight w:val="none"/>
              </w:rPr>
              <w:t>编号</w:t>
            </w:r>
          </w:p>
        </w:tc>
        <w:tc>
          <w:tcPr>
            <w:tcW w:w="1804" w:type="dxa"/>
            <w:tcMar>
              <w:left w:w="28" w:type="dxa"/>
              <w:right w:w="28" w:type="dxa"/>
            </w:tcMar>
            <w:vAlign w:val="center"/>
          </w:tcPr>
          <w:p>
            <w:pPr>
              <w:pStyle w:val="63"/>
              <w:keepNext w:val="0"/>
              <w:keepLines w:val="0"/>
              <w:pageBreakBefore w:val="0"/>
              <w:widowControl w:val="0"/>
              <w:kinsoku/>
              <w:wordWrap/>
              <w:overflowPunct/>
              <w:topLinePunct/>
              <w:autoSpaceDE w:val="0"/>
              <w:autoSpaceDN/>
              <w:bidi w:val="0"/>
              <w:adjustRightInd/>
              <w:snapToGrid/>
              <w:ind w:firstLine="0" w:firstLineChars="0"/>
              <w:jc w:val="center"/>
              <w:textAlignment w:val="center"/>
              <w:rPr>
                <w:rFonts w:hint="default" w:ascii="Arial" w:hAnsi="Arial" w:eastAsia="宋体" w:cs="Arial"/>
                <w:color w:val="auto"/>
                <w:highlight w:val="none"/>
              </w:rPr>
            </w:pPr>
            <w:r>
              <w:rPr>
                <w:rFonts w:hint="default" w:ascii="Arial" w:hAnsi="Arial" w:eastAsia="宋体" w:cs="Arial"/>
                <w:color w:val="auto"/>
                <w:highlight w:val="none"/>
              </w:rPr>
              <w:t>污染工序</w:t>
            </w:r>
          </w:p>
        </w:tc>
        <w:tc>
          <w:tcPr>
            <w:tcW w:w="1334" w:type="dxa"/>
            <w:tcMar>
              <w:left w:w="28" w:type="dxa"/>
              <w:right w:w="28" w:type="dxa"/>
            </w:tcMar>
            <w:vAlign w:val="center"/>
          </w:tcPr>
          <w:p>
            <w:pPr>
              <w:pStyle w:val="63"/>
              <w:keepNext w:val="0"/>
              <w:keepLines w:val="0"/>
              <w:pageBreakBefore w:val="0"/>
              <w:widowControl w:val="0"/>
              <w:kinsoku/>
              <w:wordWrap/>
              <w:overflowPunct/>
              <w:topLinePunct/>
              <w:autoSpaceDE w:val="0"/>
              <w:autoSpaceDN/>
              <w:bidi w:val="0"/>
              <w:adjustRightInd/>
              <w:snapToGrid/>
              <w:ind w:firstLine="0" w:firstLineChars="0"/>
              <w:jc w:val="center"/>
              <w:textAlignment w:val="center"/>
              <w:rPr>
                <w:rFonts w:hint="default" w:ascii="Arial" w:hAnsi="Arial" w:eastAsia="宋体" w:cs="Arial"/>
                <w:color w:val="auto"/>
                <w:highlight w:val="none"/>
              </w:rPr>
            </w:pPr>
            <w:r>
              <w:rPr>
                <w:rFonts w:hint="default" w:ascii="Arial" w:hAnsi="Arial" w:eastAsia="宋体" w:cs="Arial"/>
                <w:color w:val="auto"/>
                <w:highlight w:val="none"/>
              </w:rPr>
              <w:t>主要污染物</w:t>
            </w:r>
          </w:p>
        </w:tc>
        <w:tc>
          <w:tcPr>
            <w:tcW w:w="4803" w:type="dxa"/>
            <w:tcMar>
              <w:left w:w="28" w:type="dxa"/>
              <w:right w:w="28" w:type="dxa"/>
            </w:tcMar>
            <w:vAlign w:val="center"/>
          </w:tcPr>
          <w:p>
            <w:pPr>
              <w:pStyle w:val="63"/>
              <w:keepNext w:val="0"/>
              <w:keepLines w:val="0"/>
              <w:pageBreakBefore w:val="0"/>
              <w:widowControl w:val="0"/>
              <w:kinsoku/>
              <w:wordWrap/>
              <w:overflowPunct/>
              <w:topLinePunct/>
              <w:autoSpaceDE w:val="0"/>
              <w:autoSpaceDN/>
              <w:bidi w:val="0"/>
              <w:adjustRightInd/>
              <w:snapToGrid/>
              <w:ind w:firstLine="0" w:firstLineChars="0"/>
              <w:jc w:val="center"/>
              <w:textAlignment w:val="center"/>
              <w:rPr>
                <w:rFonts w:hint="default" w:ascii="Arial" w:hAnsi="Arial" w:eastAsia="宋体" w:cs="Arial"/>
                <w:color w:val="auto"/>
                <w:highlight w:val="none"/>
              </w:rPr>
            </w:pPr>
            <w:r>
              <w:rPr>
                <w:rFonts w:hint="default" w:ascii="Arial" w:hAnsi="Arial" w:eastAsia="宋体" w:cs="Arial"/>
                <w:color w:val="auto"/>
                <w:highlight w:val="none"/>
              </w:rPr>
              <w:t>处理措施/去向</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51" w:type="dxa"/>
            <w:vMerge w:val="restart"/>
            <w:tcMar>
              <w:left w:w="28" w:type="dxa"/>
              <w:right w:w="28" w:type="dxa"/>
            </w:tcMar>
            <w:vAlign w:val="center"/>
          </w:tcPr>
          <w:p>
            <w:pPr>
              <w:pStyle w:val="63"/>
              <w:keepNext w:val="0"/>
              <w:keepLines w:val="0"/>
              <w:pageBreakBefore w:val="0"/>
              <w:widowControl w:val="0"/>
              <w:kinsoku/>
              <w:wordWrap/>
              <w:overflowPunct/>
              <w:topLinePunct/>
              <w:autoSpaceDE w:val="0"/>
              <w:autoSpaceDN/>
              <w:bidi w:val="0"/>
              <w:adjustRightInd/>
              <w:snapToGrid/>
              <w:ind w:firstLine="0" w:firstLineChars="0"/>
              <w:jc w:val="center"/>
              <w:textAlignment w:val="center"/>
              <w:rPr>
                <w:rFonts w:hint="default" w:ascii="Arial" w:hAnsi="Arial" w:eastAsia="宋体" w:cs="Arial"/>
                <w:color w:val="auto"/>
                <w:highlight w:val="none"/>
              </w:rPr>
            </w:pPr>
            <w:r>
              <w:rPr>
                <w:rFonts w:hint="default" w:ascii="Arial" w:hAnsi="Arial" w:eastAsia="宋体" w:cs="Arial"/>
                <w:color w:val="auto"/>
                <w:highlight w:val="none"/>
              </w:rPr>
              <w:t>废气</w:t>
            </w:r>
          </w:p>
        </w:tc>
        <w:tc>
          <w:tcPr>
            <w:tcW w:w="451" w:type="dxa"/>
            <w:tcMar>
              <w:left w:w="28" w:type="dxa"/>
              <w:right w:w="28" w:type="dxa"/>
            </w:tcMar>
            <w:vAlign w:val="center"/>
          </w:tcPr>
          <w:p>
            <w:pPr>
              <w:pStyle w:val="63"/>
              <w:keepNext w:val="0"/>
              <w:keepLines w:val="0"/>
              <w:pageBreakBefore w:val="0"/>
              <w:widowControl w:val="0"/>
              <w:kinsoku/>
              <w:wordWrap/>
              <w:overflowPunct/>
              <w:topLinePunct/>
              <w:autoSpaceDE w:val="0"/>
              <w:autoSpaceDN/>
              <w:bidi w:val="0"/>
              <w:adjustRightInd/>
              <w:snapToGrid/>
              <w:ind w:firstLine="0" w:firstLineChars="0"/>
              <w:jc w:val="center"/>
              <w:textAlignment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highlight w:val="none"/>
              </w:rPr>
              <w:t>G</w:t>
            </w:r>
            <w:r>
              <w:rPr>
                <w:rFonts w:hint="default" w:ascii="Arial" w:hAnsi="Arial" w:eastAsia="宋体" w:cs="Arial"/>
                <w:color w:val="auto"/>
                <w:highlight w:val="none"/>
                <w:lang w:val="en-US" w:eastAsia="zh-CN"/>
              </w:rPr>
              <w:t>1</w:t>
            </w:r>
          </w:p>
        </w:tc>
        <w:tc>
          <w:tcPr>
            <w:tcW w:w="1804" w:type="dxa"/>
            <w:tcMar>
              <w:left w:w="28" w:type="dxa"/>
              <w:right w:w="28" w:type="dxa"/>
            </w:tcMar>
            <w:vAlign w:val="center"/>
          </w:tcPr>
          <w:p>
            <w:pPr>
              <w:pStyle w:val="63"/>
              <w:keepNext w:val="0"/>
              <w:keepLines w:val="0"/>
              <w:pageBreakBefore w:val="0"/>
              <w:widowControl w:val="0"/>
              <w:kinsoku/>
              <w:wordWrap/>
              <w:overflowPunct/>
              <w:topLinePunct/>
              <w:autoSpaceDE w:val="0"/>
              <w:autoSpaceDN/>
              <w:bidi w:val="0"/>
              <w:adjustRightInd/>
              <w:snapToGrid/>
              <w:ind w:firstLine="0" w:firstLineChars="0"/>
              <w:jc w:val="center"/>
              <w:textAlignment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highlight w:val="none"/>
              </w:rPr>
              <w:t>牛舍</w:t>
            </w:r>
          </w:p>
        </w:tc>
        <w:tc>
          <w:tcPr>
            <w:tcW w:w="1334" w:type="dxa"/>
            <w:tcMar>
              <w:left w:w="28" w:type="dxa"/>
              <w:right w:w="28" w:type="dxa"/>
            </w:tcMar>
            <w:vAlign w:val="center"/>
          </w:tcPr>
          <w:p>
            <w:pPr>
              <w:pStyle w:val="63"/>
              <w:keepNext w:val="0"/>
              <w:keepLines w:val="0"/>
              <w:pageBreakBefore w:val="0"/>
              <w:widowControl w:val="0"/>
              <w:kinsoku/>
              <w:wordWrap/>
              <w:overflowPunct/>
              <w:topLinePunct/>
              <w:autoSpaceDE w:val="0"/>
              <w:autoSpaceDN/>
              <w:bidi w:val="0"/>
              <w:adjustRightInd/>
              <w:snapToGrid/>
              <w:ind w:firstLine="0" w:firstLineChars="0"/>
              <w:jc w:val="center"/>
              <w:textAlignment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highlight w:val="none"/>
              </w:rPr>
              <w:t>硫化氢、氨气、臭气浓度</w:t>
            </w:r>
          </w:p>
        </w:tc>
        <w:tc>
          <w:tcPr>
            <w:tcW w:w="4803" w:type="dxa"/>
            <w:tcMar>
              <w:left w:w="28" w:type="dxa"/>
              <w:right w:w="28" w:type="dxa"/>
            </w:tcMar>
            <w:vAlign w:val="center"/>
          </w:tcPr>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bCs/>
                <w:color w:val="auto"/>
                <w:sz w:val="21"/>
                <w:szCs w:val="21"/>
                <w:highlight w:val="none"/>
              </w:rPr>
              <w:t>通过日粮设计，</w:t>
            </w:r>
            <w:r>
              <w:rPr>
                <w:rFonts w:hint="default" w:ascii="Arial" w:hAnsi="Arial" w:eastAsia="宋体" w:cs="Arial"/>
                <w:color w:val="auto"/>
                <w:sz w:val="21"/>
                <w:szCs w:val="21"/>
                <w:highlight w:val="none"/>
              </w:rPr>
              <w:t>饲料添加EM复合微生物制剂，</w:t>
            </w:r>
            <w:r>
              <w:rPr>
                <w:rFonts w:hint="default" w:ascii="Arial" w:hAnsi="Arial" w:eastAsia="宋体" w:cs="Arial"/>
                <w:color w:val="auto"/>
                <w:kern w:val="0"/>
                <w:sz w:val="21"/>
                <w:szCs w:val="21"/>
                <w:highlight w:val="none"/>
              </w:rPr>
              <w:t>牛舍采用及时清理粪尿，加强牛舍通风（除冬季封闭保暖外，均为敞开式通风）</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51" w:type="dxa"/>
            <w:vMerge w:val="continue"/>
            <w:tcMar>
              <w:left w:w="28" w:type="dxa"/>
              <w:right w:w="28" w:type="dxa"/>
            </w:tcMar>
            <w:vAlign w:val="center"/>
          </w:tcPr>
          <w:p>
            <w:pPr>
              <w:pStyle w:val="63"/>
              <w:keepNext w:val="0"/>
              <w:keepLines w:val="0"/>
              <w:pageBreakBefore w:val="0"/>
              <w:widowControl w:val="0"/>
              <w:kinsoku/>
              <w:wordWrap/>
              <w:overflowPunct/>
              <w:topLinePunct/>
              <w:autoSpaceDE w:val="0"/>
              <w:autoSpaceDN/>
              <w:bidi w:val="0"/>
              <w:adjustRightInd/>
              <w:snapToGrid/>
              <w:ind w:firstLine="0" w:firstLineChars="0"/>
              <w:jc w:val="center"/>
              <w:textAlignment w:val="center"/>
              <w:rPr>
                <w:rFonts w:hint="default" w:ascii="Arial" w:hAnsi="Arial" w:eastAsia="宋体" w:cs="Arial"/>
                <w:color w:val="auto"/>
                <w:highlight w:val="none"/>
              </w:rPr>
            </w:pPr>
          </w:p>
        </w:tc>
        <w:tc>
          <w:tcPr>
            <w:tcW w:w="451" w:type="dxa"/>
            <w:tcMar>
              <w:left w:w="28" w:type="dxa"/>
              <w:right w:w="28" w:type="dxa"/>
            </w:tcMar>
            <w:vAlign w:val="center"/>
          </w:tcPr>
          <w:p>
            <w:pPr>
              <w:pStyle w:val="63"/>
              <w:keepNext w:val="0"/>
              <w:keepLines w:val="0"/>
              <w:pageBreakBefore w:val="0"/>
              <w:widowControl w:val="0"/>
              <w:kinsoku/>
              <w:wordWrap/>
              <w:overflowPunct/>
              <w:topLinePunct/>
              <w:autoSpaceDE w:val="0"/>
              <w:autoSpaceDN/>
              <w:bidi w:val="0"/>
              <w:adjustRightInd/>
              <w:snapToGrid/>
              <w:ind w:firstLine="0" w:firstLineChars="0"/>
              <w:jc w:val="center"/>
              <w:textAlignment w:val="center"/>
              <w:rPr>
                <w:rFonts w:hint="default" w:ascii="Arial" w:hAnsi="Arial" w:eastAsia="宋体" w:cs="Arial"/>
                <w:color w:val="auto"/>
                <w:highlight w:val="none"/>
                <w:lang w:eastAsia="zh-CN"/>
              </w:rPr>
            </w:pPr>
            <w:r>
              <w:rPr>
                <w:rFonts w:hint="default" w:ascii="Arial" w:hAnsi="Arial" w:eastAsia="宋体" w:cs="Arial"/>
                <w:color w:val="auto"/>
                <w:highlight w:val="none"/>
              </w:rPr>
              <w:t>G</w:t>
            </w:r>
            <w:r>
              <w:rPr>
                <w:rFonts w:hint="default" w:ascii="Arial" w:hAnsi="Arial" w:eastAsia="宋体" w:cs="Arial"/>
                <w:color w:val="auto"/>
                <w:highlight w:val="none"/>
                <w:lang w:val="en-US" w:eastAsia="zh-CN"/>
              </w:rPr>
              <w:t>2</w:t>
            </w:r>
          </w:p>
        </w:tc>
        <w:tc>
          <w:tcPr>
            <w:tcW w:w="1804" w:type="dxa"/>
            <w:tcMar>
              <w:left w:w="28" w:type="dxa"/>
              <w:right w:w="28" w:type="dxa"/>
            </w:tcMar>
            <w:vAlign w:val="center"/>
          </w:tcPr>
          <w:p>
            <w:pPr>
              <w:pStyle w:val="63"/>
              <w:keepNext w:val="0"/>
              <w:keepLines w:val="0"/>
              <w:pageBreakBefore w:val="0"/>
              <w:widowControl w:val="0"/>
              <w:kinsoku/>
              <w:wordWrap/>
              <w:overflowPunct/>
              <w:topLinePunct/>
              <w:autoSpaceDE w:val="0"/>
              <w:autoSpaceDN/>
              <w:bidi w:val="0"/>
              <w:adjustRightInd/>
              <w:snapToGrid/>
              <w:ind w:firstLine="0" w:firstLineChars="0"/>
              <w:jc w:val="center"/>
              <w:textAlignment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highlight w:val="none"/>
                <w:lang w:eastAsia="zh-CN"/>
              </w:rPr>
              <w:t>堆肥场</w:t>
            </w:r>
          </w:p>
        </w:tc>
        <w:tc>
          <w:tcPr>
            <w:tcW w:w="1334" w:type="dxa"/>
            <w:tcMar>
              <w:left w:w="28" w:type="dxa"/>
              <w:right w:w="28" w:type="dxa"/>
            </w:tcMar>
            <w:vAlign w:val="center"/>
          </w:tcPr>
          <w:p>
            <w:pPr>
              <w:pStyle w:val="63"/>
              <w:keepNext w:val="0"/>
              <w:keepLines w:val="0"/>
              <w:pageBreakBefore w:val="0"/>
              <w:widowControl w:val="0"/>
              <w:kinsoku/>
              <w:wordWrap/>
              <w:overflowPunct/>
              <w:topLinePunct/>
              <w:autoSpaceDE w:val="0"/>
              <w:autoSpaceDN/>
              <w:bidi w:val="0"/>
              <w:adjustRightInd/>
              <w:snapToGrid/>
              <w:ind w:firstLine="0" w:firstLineChars="0"/>
              <w:jc w:val="center"/>
              <w:textAlignment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highlight w:val="none"/>
              </w:rPr>
              <w:t>硫化氢、氨气、臭气浓度</w:t>
            </w:r>
          </w:p>
        </w:tc>
        <w:tc>
          <w:tcPr>
            <w:tcW w:w="4803" w:type="dxa"/>
            <w:tcMar>
              <w:left w:w="28" w:type="dxa"/>
              <w:right w:w="28" w:type="dxa"/>
            </w:tcMar>
            <w:vAlign w:val="center"/>
          </w:tcPr>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sz w:val="21"/>
                <w:szCs w:val="21"/>
                <w:highlight w:val="none"/>
                <w:lang w:eastAsia="zh-CN"/>
              </w:rPr>
              <w:t>牛粪便</w:t>
            </w:r>
            <w:r>
              <w:rPr>
                <w:rFonts w:hint="default" w:ascii="Arial" w:hAnsi="Arial" w:eastAsia="宋体" w:cs="Arial"/>
                <w:color w:val="auto"/>
                <w:sz w:val="21"/>
                <w:szCs w:val="21"/>
                <w:highlight w:val="none"/>
                <w:lang w:val="en-US" w:eastAsia="zh-CN"/>
              </w:rPr>
              <w:t>清运至</w:t>
            </w:r>
            <w:r>
              <w:rPr>
                <w:rFonts w:hint="default" w:ascii="Arial" w:hAnsi="Arial" w:eastAsia="宋体" w:cs="Arial"/>
                <w:color w:val="auto"/>
                <w:sz w:val="21"/>
                <w:szCs w:val="21"/>
                <w:highlight w:val="none"/>
                <w:lang w:eastAsia="zh-CN"/>
              </w:rPr>
              <w:t>堆肥场储存并堆肥，</w:t>
            </w:r>
            <w:r>
              <w:rPr>
                <w:rFonts w:hint="default" w:ascii="Arial" w:hAnsi="Arial" w:eastAsia="宋体" w:cs="Arial"/>
                <w:color w:val="auto"/>
                <w:sz w:val="21"/>
                <w:szCs w:val="21"/>
                <w:highlight w:val="none"/>
                <w:lang w:val="en-US" w:eastAsia="zh-CN"/>
              </w:rPr>
              <w:t>采取</w:t>
            </w:r>
            <w:r>
              <w:rPr>
                <w:rFonts w:hint="default" w:ascii="Arial" w:hAnsi="Arial" w:eastAsia="宋体" w:cs="Arial"/>
                <w:color w:val="auto"/>
                <w:kern w:val="0"/>
                <w:sz w:val="21"/>
                <w:szCs w:val="21"/>
                <w:highlight w:val="none"/>
              </w:rPr>
              <w:t>定期喷洒</w:t>
            </w:r>
            <w:r>
              <w:rPr>
                <w:rFonts w:hint="default" w:ascii="Arial" w:hAnsi="Arial" w:eastAsia="宋体" w:cs="Arial"/>
                <w:color w:val="auto"/>
                <w:sz w:val="21"/>
                <w:szCs w:val="21"/>
                <w:highlight w:val="none"/>
              </w:rPr>
              <w:t>减少氨释放和保氮的复合菌剂</w:t>
            </w:r>
            <w:r>
              <w:rPr>
                <w:rFonts w:hint="default" w:ascii="Arial" w:hAnsi="Arial" w:eastAsia="宋体" w:cs="Arial"/>
                <w:color w:val="auto"/>
                <w:sz w:val="21"/>
                <w:szCs w:val="21"/>
                <w:highlight w:val="none"/>
                <w:lang w:eastAsia="zh-CN"/>
              </w:rPr>
              <w:t>，</w:t>
            </w:r>
            <w:r>
              <w:rPr>
                <w:rFonts w:hint="default" w:ascii="Arial" w:hAnsi="Arial" w:eastAsia="宋体" w:cs="Arial"/>
                <w:color w:val="auto"/>
                <w:sz w:val="21"/>
                <w:szCs w:val="21"/>
                <w:highlight w:val="none"/>
              </w:rPr>
              <w:t>同时场区内加强绿化</w:t>
            </w:r>
            <w:r>
              <w:rPr>
                <w:rFonts w:hint="default" w:ascii="Arial" w:hAnsi="Arial" w:eastAsia="宋体" w:cs="Arial"/>
                <w:color w:val="auto"/>
                <w:sz w:val="21"/>
                <w:szCs w:val="21"/>
                <w:highlight w:val="none"/>
                <w:lang w:eastAsia="zh-CN"/>
              </w:rPr>
              <w:t>，</w:t>
            </w:r>
            <w:r>
              <w:rPr>
                <w:rFonts w:hint="default" w:ascii="Arial" w:hAnsi="Arial" w:eastAsia="宋体" w:cs="Arial"/>
                <w:color w:val="auto"/>
                <w:kern w:val="0"/>
                <w:sz w:val="21"/>
                <w:szCs w:val="21"/>
                <w:highlight w:val="none"/>
              </w:rPr>
              <w:t>可减少臭气的产生</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51" w:type="dxa"/>
            <w:vMerge w:val="continue"/>
            <w:tcMar>
              <w:left w:w="28" w:type="dxa"/>
              <w:right w:w="28" w:type="dxa"/>
            </w:tcMar>
            <w:vAlign w:val="center"/>
          </w:tcPr>
          <w:p>
            <w:pPr>
              <w:pStyle w:val="63"/>
              <w:keepNext w:val="0"/>
              <w:keepLines w:val="0"/>
              <w:pageBreakBefore w:val="0"/>
              <w:widowControl w:val="0"/>
              <w:kinsoku/>
              <w:wordWrap/>
              <w:overflowPunct/>
              <w:topLinePunct/>
              <w:autoSpaceDE w:val="0"/>
              <w:autoSpaceDN/>
              <w:bidi w:val="0"/>
              <w:adjustRightInd/>
              <w:snapToGrid/>
              <w:ind w:firstLine="0" w:firstLineChars="0"/>
              <w:jc w:val="center"/>
              <w:textAlignment w:val="center"/>
              <w:rPr>
                <w:rFonts w:hint="default" w:ascii="Arial" w:hAnsi="Arial" w:eastAsia="宋体" w:cs="Arial"/>
                <w:color w:val="auto"/>
                <w:highlight w:val="none"/>
              </w:rPr>
            </w:pPr>
          </w:p>
        </w:tc>
        <w:tc>
          <w:tcPr>
            <w:tcW w:w="451" w:type="dxa"/>
            <w:tcMar>
              <w:left w:w="28" w:type="dxa"/>
              <w:right w:w="28" w:type="dxa"/>
            </w:tcMar>
            <w:vAlign w:val="center"/>
          </w:tcPr>
          <w:p>
            <w:pPr>
              <w:pStyle w:val="63"/>
              <w:keepNext w:val="0"/>
              <w:keepLines w:val="0"/>
              <w:pageBreakBefore w:val="0"/>
              <w:widowControl w:val="0"/>
              <w:kinsoku/>
              <w:wordWrap/>
              <w:overflowPunct/>
              <w:topLinePunct/>
              <w:autoSpaceDE w:val="0"/>
              <w:autoSpaceDN/>
              <w:bidi w:val="0"/>
              <w:adjustRightInd/>
              <w:snapToGrid/>
              <w:ind w:firstLine="0" w:firstLineChars="0"/>
              <w:jc w:val="center"/>
              <w:textAlignment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highlight w:val="none"/>
              </w:rPr>
              <w:t>G</w:t>
            </w:r>
            <w:r>
              <w:rPr>
                <w:rFonts w:hint="default" w:ascii="Arial" w:hAnsi="Arial" w:eastAsia="宋体" w:cs="Arial"/>
                <w:color w:val="auto"/>
                <w:highlight w:val="none"/>
                <w:lang w:val="en-US" w:eastAsia="zh-CN"/>
              </w:rPr>
              <w:t>3</w:t>
            </w:r>
          </w:p>
        </w:tc>
        <w:tc>
          <w:tcPr>
            <w:tcW w:w="1804" w:type="dxa"/>
            <w:tcMar>
              <w:left w:w="28" w:type="dxa"/>
              <w:right w:w="28" w:type="dxa"/>
            </w:tcMar>
            <w:vAlign w:val="center"/>
          </w:tcPr>
          <w:p>
            <w:pPr>
              <w:pStyle w:val="63"/>
              <w:keepNext w:val="0"/>
              <w:keepLines w:val="0"/>
              <w:pageBreakBefore w:val="0"/>
              <w:widowControl w:val="0"/>
              <w:kinsoku/>
              <w:wordWrap/>
              <w:overflowPunct/>
              <w:topLinePunct/>
              <w:autoSpaceDE w:val="0"/>
              <w:autoSpaceDN/>
              <w:bidi w:val="0"/>
              <w:adjustRightInd/>
              <w:snapToGrid/>
              <w:ind w:firstLine="0" w:firstLineChars="0"/>
              <w:jc w:val="center"/>
              <w:textAlignment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highlight w:val="none"/>
              </w:rPr>
              <w:t>饲料配料</w:t>
            </w:r>
          </w:p>
        </w:tc>
        <w:tc>
          <w:tcPr>
            <w:tcW w:w="1334" w:type="dxa"/>
            <w:tcMar>
              <w:left w:w="28" w:type="dxa"/>
              <w:right w:w="28" w:type="dxa"/>
            </w:tcMar>
            <w:vAlign w:val="center"/>
          </w:tcPr>
          <w:p>
            <w:pPr>
              <w:pStyle w:val="63"/>
              <w:keepNext w:val="0"/>
              <w:keepLines w:val="0"/>
              <w:pageBreakBefore w:val="0"/>
              <w:widowControl w:val="0"/>
              <w:kinsoku/>
              <w:wordWrap/>
              <w:overflowPunct/>
              <w:topLinePunct/>
              <w:autoSpaceDE w:val="0"/>
              <w:autoSpaceDN/>
              <w:bidi w:val="0"/>
              <w:adjustRightInd/>
              <w:snapToGrid/>
              <w:ind w:firstLine="0" w:firstLineChars="0"/>
              <w:jc w:val="center"/>
              <w:textAlignment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highlight w:val="none"/>
                <w:lang w:eastAsia="zh-CN"/>
              </w:rPr>
              <w:t>颗粒物</w:t>
            </w:r>
          </w:p>
        </w:tc>
        <w:tc>
          <w:tcPr>
            <w:tcW w:w="4803" w:type="dxa"/>
            <w:tcMar>
              <w:left w:w="28" w:type="dxa"/>
              <w:right w:w="28" w:type="dxa"/>
            </w:tcMar>
            <w:vAlign w:val="center"/>
          </w:tcPr>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bCs/>
                <w:color w:val="auto"/>
                <w:sz w:val="21"/>
                <w:szCs w:val="21"/>
                <w:highlight w:val="none"/>
              </w:rPr>
              <w:t>优质饲草料及青贮玉米等原料粒度大，搅拌的过程</w:t>
            </w:r>
            <w:r>
              <w:rPr>
                <w:rFonts w:hint="default" w:ascii="Arial" w:hAnsi="Arial" w:eastAsia="宋体" w:cs="Arial"/>
                <w:bCs/>
                <w:color w:val="auto"/>
                <w:sz w:val="21"/>
                <w:szCs w:val="21"/>
                <w:highlight w:val="none"/>
                <w:lang w:val="en-US" w:eastAsia="zh-CN"/>
              </w:rPr>
              <w:t>加入定量水，</w:t>
            </w:r>
            <w:r>
              <w:rPr>
                <w:rFonts w:hint="default" w:ascii="Arial" w:hAnsi="Arial" w:eastAsia="宋体" w:cs="Arial"/>
                <w:bCs/>
                <w:color w:val="auto"/>
                <w:sz w:val="21"/>
                <w:szCs w:val="21"/>
                <w:highlight w:val="none"/>
              </w:rPr>
              <w:t>TMR日粮搅拌机</w:t>
            </w:r>
            <w:r>
              <w:rPr>
                <w:rFonts w:hint="default" w:ascii="Arial" w:hAnsi="Arial" w:eastAsia="宋体" w:cs="Arial"/>
                <w:bCs/>
                <w:color w:val="auto"/>
                <w:sz w:val="21"/>
                <w:szCs w:val="21"/>
                <w:highlight w:val="none"/>
                <w:lang w:val="en-US" w:eastAsia="zh-CN"/>
              </w:rPr>
              <w:t>位于</w:t>
            </w:r>
            <w:r>
              <w:rPr>
                <w:rFonts w:hint="default" w:ascii="Arial" w:hAnsi="Arial" w:eastAsia="宋体" w:cs="Arial"/>
                <w:bCs/>
                <w:color w:val="auto"/>
                <w:sz w:val="21"/>
                <w:szCs w:val="21"/>
                <w:highlight w:val="none"/>
              </w:rPr>
              <w:t>全封闭</w:t>
            </w:r>
            <w:r>
              <w:rPr>
                <w:rFonts w:hint="default" w:ascii="Arial" w:hAnsi="Arial" w:eastAsia="宋体" w:cs="Arial"/>
                <w:bCs/>
                <w:color w:val="auto"/>
                <w:sz w:val="21"/>
                <w:szCs w:val="21"/>
                <w:highlight w:val="none"/>
                <w:lang w:eastAsia="zh-CN"/>
              </w:rPr>
              <w:t>饲草料库房</w:t>
            </w:r>
            <w:r>
              <w:rPr>
                <w:rFonts w:hint="default" w:ascii="Arial" w:hAnsi="Arial" w:eastAsia="宋体" w:cs="Arial"/>
                <w:bCs/>
                <w:color w:val="auto"/>
                <w:sz w:val="21"/>
                <w:szCs w:val="21"/>
                <w:highlight w:val="none"/>
                <w:lang w:val="en-US" w:eastAsia="zh-CN"/>
              </w:rPr>
              <w:t>内</w:t>
            </w:r>
            <w:r>
              <w:rPr>
                <w:rFonts w:hint="default" w:ascii="Arial" w:hAnsi="Arial" w:eastAsia="宋体" w:cs="Arial"/>
                <w:bCs/>
                <w:color w:val="auto"/>
                <w:sz w:val="21"/>
                <w:szCs w:val="21"/>
                <w:highlight w:val="none"/>
              </w:rPr>
              <w:t>，</w:t>
            </w:r>
            <w:r>
              <w:rPr>
                <w:rFonts w:hint="default" w:ascii="Arial" w:hAnsi="Arial" w:eastAsia="宋体" w:cs="Arial"/>
                <w:bCs/>
                <w:color w:val="auto"/>
                <w:sz w:val="21"/>
                <w:szCs w:val="21"/>
                <w:highlight w:val="none"/>
                <w:lang w:val="en-US" w:eastAsia="zh-CN"/>
              </w:rPr>
              <w:t>搅拌</w:t>
            </w:r>
            <w:r>
              <w:rPr>
                <w:rFonts w:hint="default" w:ascii="Arial" w:hAnsi="Arial" w:eastAsia="宋体" w:cs="Arial"/>
                <w:bCs/>
                <w:color w:val="auto"/>
                <w:sz w:val="21"/>
                <w:szCs w:val="21"/>
                <w:highlight w:val="none"/>
              </w:rPr>
              <w:t>过程中产生的颗粒物在封闭车间内沉降</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51" w:type="dxa"/>
            <w:tcMar>
              <w:left w:w="28" w:type="dxa"/>
              <w:right w:w="28" w:type="dxa"/>
            </w:tcMar>
            <w:vAlign w:val="center"/>
          </w:tcPr>
          <w:p>
            <w:pPr>
              <w:pStyle w:val="63"/>
              <w:keepNext w:val="0"/>
              <w:keepLines w:val="0"/>
              <w:pageBreakBefore w:val="0"/>
              <w:widowControl w:val="0"/>
              <w:kinsoku/>
              <w:wordWrap/>
              <w:overflowPunct/>
              <w:topLinePunct/>
              <w:autoSpaceDE w:val="0"/>
              <w:autoSpaceDN/>
              <w:bidi w:val="0"/>
              <w:adjustRightInd/>
              <w:snapToGrid/>
              <w:ind w:firstLine="0" w:firstLineChars="0"/>
              <w:jc w:val="center"/>
              <w:textAlignment w:val="center"/>
              <w:rPr>
                <w:rFonts w:hint="default" w:ascii="Arial" w:hAnsi="Arial" w:eastAsia="宋体" w:cs="Arial"/>
                <w:color w:val="auto"/>
                <w:highlight w:val="none"/>
              </w:rPr>
            </w:pPr>
            <w:r>
              <w:rPr>
                <w:rFonts w:hint="default" w:ascii="Arial" w:hAnsi="Arial" w:eastAsia="宋体" w:cs="Arial"/>
                <w:color w:val="auto"/>
                <w:highlight w:val="none"/>
              </w:rPr>
              <w:t>废水</w:t>
            </w:r>
          </w:p>
        </w:tc>
        <w:tc>
          <w:tcPr>
            <w:tcW w:w="451" w:type="dxa"/>
            <w:tcMar>
              <w:left w:w="28" w:type="dxa"/>
              <w:right w:w="28" w:type="dxa"/>
            </w:tcMar>
            <w:vAlign w:val="center"/>
          </w:tcPr>
          <w:p>
            <w:pPr>
              <w:pStyle w:val="63"/>
              <w:keepNext w:val="0"/>
              <w:keepLines w:val="0"/>
              <w:pageBreakBefore w:val="0"/>
              <w:widowControl w:val="0"/>
              <w:kinsoku/>
              <w:wordWrap/>
              <w:overflowPunct/>
              <w:topLinePunct/>
              <w:autoSpaceDE w:val="0"/>
              <w:autoSpaceDN/>
              <w:bidi w:val="0"/>
              <w:adjustRightInd/>
              <w:snapToGrid/>
              <w:ind w:firstLine="0" w:firstLineChars="0"/>
              <w:jc w:val="center"/>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W1</w:t>
            </w:r>
          </w:p>
        </w:tc>
        <w:tc>
          <w:tcPr>
            <w:tcW w:w="1804" w:type="dxa"/>
            <w:tcMar>
              <w:left w:w="28" w:type="dxa"/>
              <w:right w:w="28" w:type="dxa"/>
            </w:tcMar>
            <w:vAlign w:val="center"/>
          </w:tcPr>
          <w:p>
            <w:pPr>
              <w:pStyle w:val="63"/>
              <w:keepNext w:val="0"/>
              <w:keepLines w:val="0"/>
              <w:pageBreakBefore w:val="0"/>
              <w:widowControl w:val="0"/>
              <w:kinsoku/>
              <w:wordWrap/>
              <w:overflowPunct/>
              <w:topLinePunct/>
              <w:autoSpaceDE w:val="0"/>
              <w:autoSpaceDN/>
              <w:bidi w:val="0"/>
              <w:adjustRightInd/>
              <w:snapToGrid/>
              <w:ind w:firstLine="0" w:firstLineChars="0"/>
              <w:jc w:val="center"/>
              <w:textAlignment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highlight w:val="none"/>
              </w:rPr>
              <w:t>生活污水</w:t>
            </w:r>
          </w:p>
        </w:tc>
        <w:tc>
          <w:tcPr>
            <w:tcW w:w="1334" w:type="dxa"/>
            <w:tcMar>
              <w:left w:w="28" w:type="dxa"/>
              <w:right w:w="28" w:type="dxa"/>
            </w:tcMar>
            <w:vAlign w:val="center"/>
          </w:tcPr>
          <w:p>
            <w:pPr>
              <w:pStyle w:val="63"/>
              <w:keepNext w:val="0"/>
              <w:keepLines w:val="0"/>
              <w:pageBreakBefore w:val="0"/>
              <w:widowControl w:val="0"/>
              <w:kinsoku/>
              <w:wordWrap/>
              <w:overflowPunct/>
              <w:topLinePunct/>
              <w:autoSpaceDE w:val="0"/>
              <w:autoSpaceDN/>
              <w:bidi w:val="0"/>
              <w:adjustRightInd/>
              <w:snapToGrid/>
              <w:ind w:firstLine="0" w:firstLineChars="0"/>
              <w:jc w:val="center"/>
              <w:textAlignment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highlight w:val="none"/>
              </w:rPr>
              <w:t>COD、BOD、氨氮、总氮、总磷、SS、动植物油</w:t>
            </w:r>
          </w:p>
        </w:tc>
        <w:tc>
          <w:tcPr>
            <w:tcW w:w="4803" w:type="dxa"/>
            <w:tcMar>
              <w:left w:w="28" w:type="dxa"/>
              <w:right w:w="28" w:type="dxa"/>
            </w:tcMar>
            <w:vAlign w:val="center"/>
          </w:tcPr>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highlight w:val="none"/>
              </w:rPr>
              <w:t>生活污水经化粪池暂存处理后，定期</w:t>
            </w:r>
            <w:r>
              <w:rPr>
                <w:rFonts w:hint="default" w:ascii="Arial" w:hAnsi="Arial" w:eastAsia="宋体" w:cs="Arial"/>
                <w:color w:val="auto"/>
                <w:highlight w:val="none"/>
                <w:lang w:eastAsia="zh-CN"/>
              </w:rPr>
              <w:t>清掏</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51" w:type="dxa"/>
            <w:vMerge w:val="restart"/>
            <w:tcMar>
              <w:left w:w="28" w:type="dxa"/>
              <w:right w:w="28" w:type="dxa"/>
            </w:tcMar>
            <w:vAlign w:val="center"/>
          </w:tcPr>
          <w:p>
            <w:pPr>
              <w:pStyle w:val="63"/>
              <w:keepNext w:val="0"/>
              <w:keepLines w:val="0"/>
              <w:pageBreakBefore w:val="0"/>
              <w:widowControl w:val="0"/>
              <w:kinsoku/>
              <w:wordWrap/>
              <w:overflowPunct/>
              <w:topLinePunct/>
              <w:autoSpaceDE w:val="0"/>
              <w:autoSpaceDN/>
              <w:bidi w:val="0"/>
              <w:adjustRightInd/>
              <w:snapToGrid/>
              <w:ind w:firstLine="0" w:firstLineChars="0"/>
              <w:jc w:val="center"/>
              <w:textAlignment w:val="center"/>
              <w:rPr>
                <w:rFonts w:hint="default" w:ascii="Arial" w:hAnsi="Arial" w:eastAsia="宋体" w:cs="Arial"/>
                <w:color w:val="auto"/>
                <w:highlight w:val="none"/>
              </w:rPr>
            </w:pPr>
            <w:r>
              <w:rPr>
                <w:rFonts w:hint="default" w:ascii="Arial" w:hAnsi="Arial" w:eastAsia="宋体" w:cs="Arial"/>
                <w:color w:val="auto"/>
                <w:highlight w:val="none"/>
              </w:rPr>
              <w:t>固废</w:t>
            </w:r>
          </w:p>
        </w:tc>
        <w:tc>
          <w:tcPr>
            <w:tcW w:w="451" w:type="dxa"/>
            <w:tcMar>
              <w:left w:w="28" w:type="dxa"/>
              <w:right w:w="28" w:type="dxa"/>
            </w:tcMar>
            <w:vAlign w:val="center"/>
          </w:tcPr>
          <w:p>
            <w:pPr>
              <w:pStyle w:val="63"/>
              <w:keepNext w:val="0"/>
              <w:keepLines w:val="0"/>
              <w:pageBreakBefore w:val="0"/>
              <w:widowControl w:val="0"/>
              <w:kinsoku/>
              <w:wordWrap/>
              <w:overflowPunct/>
              <w:topLinePunct/>
              <w:autoSpaceDE w:val="0"/>
              <w:autoSpaceDN/>
              <w:bidi w:val="0"/>
              <w:adjustRightInd/>
              <w:snapToGrid/>
              <w:ind w:firstLine="0" w:firstLineChars="0"/>
              <w:jc w:val="center"/>
              <w:textAlignment w:val="center"/>
              <w:rPr>
                <w:rFonts w:hint="default" w:ascii="Arial" w:hAnsi="Arial" w:eastAsia="宋体" w:cs="Arial"/>
                <w:color w:val="auto"/>
                <w:highlight w:val="none"/>
              </w:rPr>
            </w:pPr>
            <w:r>
              <w:rPr>
                <w:rFonts w:hint="default" w:ascii="Arial" w:hAnsi="Arial" w:eastAsia="宋体" w:cs="Arial"/>
                <w:color w:val="auto"/>
                <w:highlight w:val="none"/>
              </w:rPr>
              <w:t>S1</w:t>
            </w:r>
          </w:p>
        </w:tc>
        <w:tc>
          <w:tcPr>
            <w:tcW w:w="1804" w:type="dxa"/>
            <w:tcMar>
              <w:left w:w="28" w:type="dxa"/>
              <w:right w:w="28" w:type="dxa"/>
            </w:tcMar>
            <w:vAlign w:val="center"/>
          </w:tcPr>
          <w:p>
            <w:pPr>
              <w:pStyle w:val="63"/>
              <w:keepNext w:val="0"/>
              <w:keepLines w:val="0"/>
              <w:pageBreakBefore w:val="0"/>
              <w:widowControl w:val="0"/>
              <w:kinsoku/>
              <w:wordWrap/>
              <w:overflowPunct/>
              <w:topLinePunct/>
              <w:autoSpaceDE w:val="0"/>
              <w:autoSpaceDN/>
              <w:bidi w:val="0"/>
              <w:adjustRightInd/>
              <w:snapToGrid/>
              <w:ind w:firstLine="0" w:firstLineChars="0"/>
              <w:jc w:val="center"/>
              <w:textAlignment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lang w:eastAsia="zh-CN"/>
              </w:rPr>
              <w:t>牛粪便</w:t>
            </w:r>
          </w:p>
        </w:tc>
        <w:tc>
          <w:tcPr>
            <w:tcW w:w="1334" w:type="dxa"/>
            <w:tcMar>
              <w:left w:w="28" w:type="dxa"/>
              <w:right w:w="28" w:type="dxa"/>
            </w:tcMar>
            <w:vAlign w:val="center"/>
          </w:tcPr>
          <w:p>
            <w:pPr>
              <w:pStyle w:val="63"/>
              <w:keepNext w:val="0"/>
              <w:keepLines w:val="0"/>
              <w:pageBreakBefore w:val="0"/>
              <w:widowControl w:val="0"/>
              <w:kinsoku/>
              <w:wordWrap/>
              <w:overflowPunct/>
              <w:topLinePunct/>
              <w:autoSpaceDE w:val="0"/>
              <w:autoSpaceDN/>
              <w:bidi w:val="0"/>
              <w:adjustRightInd/>
              <w:snapToGrid/>
              <w:ind w:firstLine="0" w:firstLineChars="0"/>
              <w:jc w:val="center"/>
              <w:textAlignment w:val="center"/>
              <w:rPr>
                <w:rFonts w:hint="default" w:ascii="Arial" w:hAnsi="Arial" w:eastAsia="宋体" w:cs="Arial"/>
                <w:color w:val="auto"/>
                <w:highlight w:val="none"/>
              </w:rPr>
            </w:pPr>
            <w:r>
              <w:rPr>
                <w:rFonts w:hint="default" w:ascii="Arial" w:hAnsi="Arial" w:eastAsia="宋体" w:cs="Arial"/>
                <w:color w:val="auto"/>
                <w:sz w:val="21"/>
                <w:szCs w:val="21"/>
                <w:highlight w:val="none"/>
                <w:lang w:eastAsia="zh-CN"/>
              </w:rPr>
              <w:t>牛粪便</w:t>
            </w:r>
          </w:p>
        </w:tc>
        <w:tc>
          <w:tcPr>
            <w:tcW w:w="4803" w:type="dxa"/>
            <w:tcMar>
              <w:left w:w="28" w:type="dxa"/>
              <w:right w:w="28" w:type="dxa"/>
            </w:tcMar>
            <w:vAlign w:val="center"/>
          </w:tcPr>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highlight w:val="none"/>
              </w:rPr>
            </w:pPr>
            <w:r>
              <w:rPr>
                <w:rFonts w:hint="default" w:ascii="Arial" w:hAnsi="Arial" w:eastAsia="宋体" w:cs="Arial"/>
                <w:color w:val="auto"/>
                <w:sz w:val="21"/>
                <w:szCs w:val="21"/>
                <w:highlight w:val="none"/>
                <w:lang w:val="en-US" w:eastAsia="zh-CN"/>
              </w:rPr>
              <w:t>本项目</w:t>
            </w:r>
            <w:r>
              <w:rPr>
                <w:rFonts w:hint="default" w:ascii="Arial" w:hAnsi="Arial" w:eastAsia="宋体" w:cs="Arial"/>
                <w:color w:val="auto"/>
                <w:kern w:val="0"/>
                <w:sz w:val="21"/>
                <w:szCs w:val="21"/>
                <w:highlight w:val="none"/>
              </w:rPr>
              <w:t>清粪方式</w:t>
            </w:r>
            <w:r>
              <w:rPr>
                <w:rFonts w:hint="default" w:ascii="Arial" w:hAnsi="Arial" w:eastAsia="宋体" w:cs="Arial"/>
                <w:color w:val="auto"/>
                <w:sz w:val="21"/>
                <w:szCs w:val="21"/>
                <w:highlight w:val="none"/>
                <w:lang w:val="en-US" w:eastAsia="zh-CN"/>
              </w:rPr>
              <w:t>采用</w:t>
            </w:r>
            <w:r>
              <w:rPr>
                <w:rFonts w:hint="default" w:ascii="Arial" w:hAnsi="Arial" w:eastAsia="宋体" w:cs="Arial"/>
                <w:color w:val="auto"/>
                <w:sz w:val="21"/>
                <w:szCs w:val="21"/>
                <w:highlight w:val="none"/>
              </w:rPr>
              <w:t>干清粪工艺</w:t>
            </w:r>
            <w:r>
              <w:rPr>
                <w:rFonts w:hint="default" w:ascii="Arial" w:hAnsi="Arial" w:eastAsia="宋体" w:cs="Arial"/>
                <w:color w:val="auto"/>
                <w:sz w:val="21"/>
                <w:szCs w:val="21"/>
                <w:highlight w:val="none"/>
                <w:lang w:eastAsia="zh-CN"/>
              </w:rPr>
              <w:t>，</w:t>
            </w:r>
            <w:r>
              <w:rPr>
                <w:rFonts w:hint="default" w:ascii="Arial" w:hAnsi="Arial" w:eastAsia="宋体" w:cs="Arial"/>
                <w:color w:val="auto"/>
                <w:sz w:val="21"/>
                <w:szCs w:val="21"/>
                <w:highlight w:val="none"/>
              </w:rPr>
              <w:t>日产日清</w:t>
            </w:r>
            <w:r>
              <w:rPr>
                <w:rFonts w:hint="default" w:ascii="Arial" w:hAnsi="Arial" w:eastAsia="宋体" w:cs="Arial"/>
                <w:color w:val="auto"/>
                <w:sz w:val="21"/>
                <w:szCs w:val="21"/>
                <w:highlight w:val="none"/>
                <w:lang w:eastAsia="zh-CN"/>
              </w:rPr>
              <w:t>，</w:t>
            </w:r>
            <w:r>
              <w:rPr>
                <w:rFonts w:hint="default" w:ascii="Arial" w:hAnsi="Arial" w:eastAsia="宋体" w:cs="Arial"/>
                <w:color w:val="auto"/>
                <w:sz w:val="21"/>
                <w:szCs w:val="21"/>
                <w:highlight w:val="none"/>
                <w:lang w:val="en-US" w:eastAsia="zh-CN"/>
              </w:rPr>
              <w:t>采用</w:t>
            </w:r>
            <w:r>
              <w:rPr>
                <w:rFonts w:hint="default" w:ascii="Arial" w:hAnsi="Arial" w:eastAsia="宋体" w:cs="Arial"/>
                <w:color w:val="auto"/>
                <w:sz w:val="21"/>
                <w:szCs w:val="21"/>
                <w:highlight w:val="none"/>
              </w:rPr>
              <w:t>铲车</w:t>
            </w:r>
            <w:r>
              <w:rPr>
                <w:rFonts w:hint="default" w:ascii="Arial" w:hAnsi="Arial" w:eastAsia="宋体" w:cs="Arial"/>
                <w:color w:val="auto"/>
                <w:sz w:val="21"/>
                <w:szCs w:val="21"/>
                <w:highlight w:val="none"/>
                <w:lang w:val="en-US" w:eastAsia="zh-CN"/>
              </w:rPr>
              <w:t>将牛舍内和运动场的牛粪便和</w:t>
            </w:r>
            <w:r>
              <w:rPr>
                <w:rFonts w:hint="default" w:ascii="Arial" w:hAnsi="Arial" w:eastAsia="宋体" w:cs="Arial"/>
                <w:color w:val="auto"/>
                <w:sz w:val="21"/>
                <w:szCs w:val="21"/>
                <w:highlight w:val="none"/>
                <w:lang w:eastAsia="zh-CN"/>
              </w:rPr>
              <w:t>牛群尿液</w:t>
            </w:r>
            <w:r>
              <w:rPr>
                <w:rFonts w:hint="default" w:ascii="Arial" w:hAnsi="Arial" w:eastAsia="宋体" w:cs="Arial"/>
                <w:color w:val="auto"/>
                <w:kern w:val="0"/>
                <w:sz w:val="21"/>
                <w:szCs w:val="21"/>
                <w:highlight w:val="none"/>
              </w:rPr>
              <w:t>，定期清理</w:t>
            </w:r>
            <w:r>
              <w:rPr>
                <w:rFonts w:hint="default" w:ascii="Arial" w:hAnsi="Arial" w:eastAsia="宋体" w:cs="Arial"/>
                <w:color w:val="auto"/>
                <w:kern w:val="0"/>
                <w:sz w:val="21"/>
                <w:szCs w:val="21"/>
                <w:highlight w:val="none"/>
                <w:lang w:val="en-US" w:eastAsia="zh-CN"/>
              </w:rPr>
              <w:t>至堆肥场储存并堆肥，作为有机肥还田利用。</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51" w:type="dxa"/>
            <w:vMerge w:val="continue"/>
            <w:tcMar>
              <w:left w:w="28" w:type="dxa"/>
              <w:right w:w="28" w:type="dxa"/>
            </w:tcMar>
            <w:vAlign w:val="center"/>
          </w:tcPr>
          <w:p>
            <w:pPr>
              <w:pStyle w:val="63"/>
              <w:keepNext w:val="0"/>
              <w:keepLines w:val="0"/>
              <w:pageBreakBefore w:val="0"/>
              <w:widowControl w:val="0"/>
              <w:kinsoku/>
              <w:wordWrap/>
              <w:overflowPunct/>
              <w:topLinePunct/>
              <w:autoSpaceDE w:val="0"/>
              <w:autoSpaceDN/>
              <w:bidi w:val="0"/>
              <w:adjustRightInd/>
              <w:snapToGrid/>
              <w:ind w:firstLine="0" w:firstLineChars="0"/>
              <w:jc w:val="center"/>
              <w:textAlignment w:val="center"/>
              <w:rPr>
                <w:rFonts w:hint="default" w:ascii="Arial" w:hAnsi="Arial" w:eastAsia="宋体" w:cs="Arial"/>
                <w:color w:val="auto"/>
                <w:highlight w:val="none"/>
              </w:rPr>
            </w:pPr>
          </w:p>
        </w:tc>
        <w:tc>
          <w:tcPr>
            <w:tcW w:w="451" w:type="dxa"/>
            <w:tcMar>
              <w:left w:w="28" w:type="dxa"/>
              <w:right w:w="28" w:type="dxa"/>
            </w:tcMar>
            <w:vAlign w:val="center"/>
          </w:tcPr>
          <w:p>
            <w:pPr>
              <w:pStyle w:val="63"/>
              <w:keepNext w:val="0"/>
              <w:keepLines w:val="0"/>
              <w:pageBreakBefore w:val="0"/>
              <w:widowControl w:val="0"/>
              <w:kinsoku/>
              <w:wordWrap/>
              <w:overflowPunct/>
              <w:topLinePunct/>
              <w:autoSpaceDE w:val="0"/>
              <w:autoSpaceDN/>
              <w:bidi w:val="0"/>
              <w:adjustRightInd/>
              <w:snapToGrid/>
              <w:ind w:firstLine="0" w:firstLineChars="0"/>
              <w:jc w:val="center"/>
              <w:textAlignment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highlight w:val="none"/>
              </w:rPr>
              <w:t>S2</w:t>
            </w:r>
          </w:p>
        </w:tc>
        <w:tc>
          <w:tcPr>
            <w:tcW w:w="1804" w:type="dxa"/>
            <w:tcMar>
              <w:left w:w="28" w:type="dxa"/>
              <w:right w:w="28" w:type="dxa"/>
            </w:tcMar>
            <w:vAlign w:val="center"/>
          </w:tcPr>
          <w:p>
            <w:pPr>
              <w:pStyle w:val="63"/>
              <w:keepNext w:val="0"/>
              <w:keepLines w:val="0"/>
              <w:pageBreakBefore w:val="0"/>
              <w:widowControl w:val="0"/>
              <w:kinsoku/>
              <w:wordWrap/>
              <w:overflowPunct/>
              <w:topLinePunct/>
              <w:autoSpaceDE w:val="0"/>
              <w:autoSpaceDN/>
              <w:bidi w:val="0"/>
              <w:adjustRightInd/>
              <w:snapToGrid/>
              <w:ind w:firstLine="0" w:firstLineChars="0"/>
              <w:jc w:val="center"/>
              <w:textAlignment w:val="center"/>
              <w:rPr>
                <w:rFonts w:hint="default" w:ascii="Arial" w:hAnsi="Arial" w:eastAsia="宋体" w:cs="Arial"/>
                <w:color w:val="auto"/>
                <w:kern w:val="0"/>
                <w:sz w:val="21"/>
                <w:szCs w:val="21"/>
                <w:highlight w:val="none"/>
                <w:lang w:val="en-US" w:eastAsia="zh-CN" w:bidi="ar-SA"/>
              </w:rPr>
            </w:pPr>
            <w:r>
              <w:rPr>
                <w:rFonts w:hint="default" w:ascii="Arial" w:hAnsi="Arial" w:eastAsia="宋体" w:cs="Arial"/>
                <w:color w:val="auto"/>
                <w:highlight w:val="none"/>
                <w:lang w:eastAsia="zh-CN"/>
              </w:rPr>
              <w:t>病死牛</w:t>
            </w:r>
          </w:p>
        </w:tc>
        <w:tc>
          <w:tcPr>
            <w:tcW w:w="1334" w:type="dxa"/>
            <w:tcMar>
              <w:left w:w="28" w:type="dxa"/>
              <w:right w:w="28" w:type="dxa"/>
            </w:tcMar>
            <w:vAlign w:val="center"/>
          </w:tcPr>
          <w:p>
            <w:pPr>
              <w:pStyle w:val="63"/>
              <w:keepNext w:val="0"/>
              <w:keepLines w:val="0"/>
              <w:pageBreakBefore w:val="0"/>
              <w:widowControl w:val="0"/>
              <w:kinsoku/>
              <w:wordWrap/>
              <w:overflowPunct/>
              <w:topLinePunct/>
              <w:autoSpaceDE w:val="0"/>
              <w:autoSpaceDN/>
              <w:bidi w:val="0"/>
              <w:adjustRightInd/>
              <w:snapToGrid/>
              <w:ind w:firstLine="0" w:firstLineChars="0"/>
              <w:jc w:val="center"/>
              <w:textAlignment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highlight w:val="none"/>
                <w:lang w:eastAsia="zh-CN"/>
              </w:rPr>
              <w:t>病死牛</w:t>
            </w:r>
          </w:p>
        </w:tc>
        <w:tc>
          <w:tcPr>
            <w:tcW w:w="4803" w:type="dxa"/>
            <w:tcMar>
              <w:left w:w="28" w:type="dxa"/>
              <w:right w:w="28" w:type="dxa"/>
            </w:tcMar>
            <w:vAlign w:val="center"/>
          </w:tcPr>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sz w:val="21"/>
                <w:szCs w:val="21"/>
                <w:highlight w:val="none"/>
                <w:lang w:eastAsia="zh-CN"/>
              </w:rPr>
              <w:t>病死牛暂存于</w:t>
            </w:r>
            <w:r>
              <w:rPr>
                <w:rFonts w:hint="default" w:ascii="Arial" w:hAnsi="Arial" w:eastAsia="宋体" w:cs="Arial"/>
                <w:color w:val="auto"/>
                <w:kern w:val="2"/>
                <w:sz w:val="21"/>
                <w:szCs w:val="21"/>
                <w:highlight w:val="none"/>
                <w:lang w:val="en-US" w:eastAsia="zh-CN" w:bidi="ar-SA"/>
              </w:rPr>
              <w:t>冷藏间</w:t>
            </w:r>
            <w:r>
              <w:rPr>
                <w:rFonts w:hint="default" w:ascii="Arial" w:hAnsi="Arial" w:eastAsia="宋体" w:cs="Arial"/>
                <w:color w:val="auto"/>
                <w:sz w:val="21"/>
                <w:szCs w:val="21"/>
                <w:highlight w:val="none"/>
                <w:lang w:eastAsia="zh-CN"/>
              </w:rPr>
              <w:t>，</w:t>
            </w:r>
            <w:r>
              <w:rPr>
                <w:rFonts w:hint="default" w:ascii="Arial" w:hAnsi="Arial" w:eastAsia="宋体" w:cs="Arial"/>
                <w:color w:val="auto"/>
                <w:sz w:val="21"/>
                <w:szCs w:val="21"/>
                <w:highlight w:val="none"/>
              </w:rPr>
              <w:t>交由巴彦淖尔市绿之源生物技术发展有限公司进行无害化处理</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51" w:type="dxa"/>
            <w:vMerge w:val="continue"/>
            <w:tcMar>
              <w:left w:w="28" w:type="dxa"/>
              <w:right w:w="28" w:type="dxa"/>
            </w:tcMar>
            <w:vAlign w:val="center"/>
          </w:tcPr>
          <w:p>
            <w:pPr>
              <w:pStyle w:val="63"/>
              <w:keepNext w:val="0"/>
              <w:keepLines w:val="0"/>
              <w:pageBreakBefore w:val="0"/>
              <w:widowControl w:val="0"/>
              <w:kinsoku/>
              <w:wordWrap/>
              <w:overflowPunct/>
              <w:topLinePunct/>
              <w:autoSpaceDE w:val="0"/>
              <w:autoSpaceDN/>
              <w:bidi w:val="0"/>
              <w:adjustRightInd/>
              <w:snapToGrid/>
              <w:ind w:firstLine="0" w:firstLineChars="0"/>
              <w:jc w:val="center"/>
              <w:textAlignment w:val="center"/>
              <w:rPr>
                <w:rFonts w:hint="default" w:ascii="Arial" w:hAnsi="Arial" w:eastAsia="宋体" w:cs="Arial"/>
                <w:color w:val="auto"/>
                <w:highlight w:val="none"/>
              </w:rPr>
            </w:pPr>
          </w:p>
        </w:tc>
        <w:tc>
          <w:tcPr>
            <w:tcW w:w="451" w:type="dxa"/>
            <w:tcMar>
              <w:left w:w="28" w:type="dxa"/>
              <w:right w:w="28" w:type="dxa"/>
            </w:tcMar>
            <w:vAlign w:val="center"/>
          </w:tcPr>
          <w:p>
            <w:pPr>
              <w:pStyle w:val="63"/>
              <w:keepNext w:val="0"/>
              <w:keepLines w:val="0"/>
              <w:pageBreakBefore w:val="0"/>
              <w:widowControl w:val="0"/>
              <w:kinsoku/>
              <w:wordWrap/>
              <w:overflowPunct/>
              <w:topLinePunct/>
              <w:autoSpaceDE w:val="0"/>
              <w:autoSpaceDN/>
              <w:bidi w:val="0"/>
              <w:adjustRightInd/>
              <w:snapToGrid/>
              <w:ind w:firstLine="0" w:firstLineChars="0"/>
              <w:jc w:val="center"/>
              <w:textAlignment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highlight w:val="none"/>
              </w:rPr>
              <w:t>S3</w:t>
            </w:r>
          </w:p>
        </w:tc>
        <w:tc>
          <w:tcPr>
            <w:tcW w:w="1804" w:type="dxa"/>
            <w:tcMar>
              <w:left w:w="28" w:type="dxa"/>
              <w:right w:w="28" w:type="dxa"/>
            </w:tcMar>
            <w:vAlign w:val="center"/>
          </w:tcPr>
          <w:p>
            <w:pPr>
              <w:pStyle w:val="63"/>
              <w:keepNext w:val="0"/>
              <w:keepLines w:val="0"/>
              <w:pageBreakBefore w:val="0"/>
              <w:widowControl w:val="0"/>
              <w:kinsoku/>
              <w:wordWrap/>
              <w:overflowPunct/>
              <w:topLinePunct/>
              <w:autoSpaceDE w:val="0"/>
              <w:autoSpaceDN/>
              <w:bidi w:val="0"/>
              <w:adjustRightInd/>
              <w:snapToGrid/>
              <w:ind w:firstLine="0" w:firstLineChars="0"/>
              <w:jc w:val="center"/>
              <w:textAlignment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highlight w:val="none"/>
              </w:rPr>
              <w:t>医疗废物</w:t>
            </w:r>
          </w:p>
        </w:tc>
        <w:tc>
          <w:tcPr>
            <w:tcW w:w="1334" w:type="dxa"/>
            <w:tcMar>
              <w:left w:w="28" w:type="dxa"/>
              <w:right w:w="28" w:type="dxa"/>
            </w:tcMar>
            <w:vAlign w:val="center"/>
          </w:tcPr>
          <w:p>
            <w:pPr>
              <w:pStyle w:val="63"/>
              <w:keepNext w:val="0"/>
              <w:keepLines w:val="0"/>
              <w:pageBreakBefore w:val="0"/>
              <w:widowControl w:val="0"/>
              <w:kinsoku/>
              <w:wordWrap/>
              <w:overflowPunct/>
              <w:topLinePunct/>
              <w:autoSpaceDE w:val="0"/>
              <w:autoSpaceDN/>
              <w:bidi w:val="0"/>
              <w:adjustRightInd/>
              <w:snapToGrid/>
              <w:ind w:firstLine="0" w:firstLineChars="0"/>
              <w:jc w:val="center"/>
              <w:textAlignment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highlight w:val="none"/>
              </w:rPr>
              <w:t>医疗废物</w:t>
            </w:r>
          </w:p>
        </w:tc>
        <w:tc>
          <w:tcPr>
            <w:tcW w:w="4803" w:type="dxa"/>
            <w:tcMar>
              <w:left w:w="28" w:type="dxa"/>
              <w:right w:w="28" w:type="dxa"/>
            </w:tcMar>
            <w:vAlign w:val="center"/>
          </w:tcPr>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highlight w:val="none"/>
              </w:rPr>
              <w:t>医疗废物（废弃的消毒器具及针筒等）</w:t>
            </w:r>
            <w:r>
              <w:rPr>
                <w:rFonts w:hint="default" w:ascii="Arial" w:hAnsi="Arial" w:eastAsia="宋体" w:cs="Arial"/>
                <w:color w:val="auto"/>
                <w:highlight w:val="none"/>
                <w:lang w:eastAsia="zh-CN"/>
              </w:rPr>
              <w:t>，</w:t>
            </w:r>
            <w:r>
              <w:rPr>
                <w:rFonts w:hint="default" w:ascii="Arial" w:hAnsi="Arial" w:eastAsia="宋体" w:cs="Arial"/>
                <w:color w:val="auto"/>
                <w:highlight w:val="none"/>
              </w:rPr>
              <w:t>密封装袋暂存于危险废物暂存间，危险废物暂存间按照《危险废物贮存污染控制标准》（GB18597-2001）及2013修改单要求管理、建设，定期由有资质单位接收处理</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51" w:type="dxa"/>
            <w:vMerge w:val="continue"/>
            <w:tcMar>
              <w:left w:w="28" w:type="dxa"/>
              <w:right w:w="28" w:type="dxa"/>
            </w:tcMar>
            <w:vAlign w:val="center"/>
          </w:tcPr>
          <w:p>
            <w:pPr>
              <w:pStyle w:val="63"/>
              <w:keepNext w:val="0"/>
              <w:keepLines w:val="0"/>
              <w:pageBreakBefore w:val="0"/>
              <w:widowControl w:val="0"/>
              <w:kinsoku/>
              <w:wordWrap/>
              <w:overflowPunct/>
              <w:topLinePunct/>
              <w:autoSpaceDE w:val="0"/>
              <w:autoSpaceDN/>
              <w:bidi w:val="0"/>
              <w:adjustRightInd/>
              <w:snapToGrid/>
              <w:ind w:firstLine="0" w:firstLineChars="0"/>
              <w:jc w:val="center"/>
              <w:textAlignment w:val="center"/>
              <w:rPr>
                <w:rFonts w:hint="default" w:ascii="Arial" w:hAnsi="Arial" w:eastAsia="宋体" w:cs="Arial"/>
                <w:color w:val="auto"/>
                <w:highlight w:val="none"/>
              </w:rPr>
            </w:pPr>
          </w:p>
        </w:tc>
        <w:tc>
          <w:tcPr>
            <w:tcW w:w="451" w:type="dxa"/>
            <w:tcMar>
              <w:left w:w="28" w:type="dxa"/>
              <w:right w:w="28" w:type="dxa"/>
            </w:tcMar>
            <w:vAlign w:val="center"/>
          </w:tcPr>
          <w:p>
            <w:pPr>
              <w:pStyle w:val="63"/>
              <w:keepNext w:val="0"/>
              <w:keepLines w:val="0"/>
              <w:pageBreakBefore w:val="0"/>
              <w:widowControl w:val="0"/>
              <w:kinsoku/>
              <w:wordWrap/>
              <w:overflowPunct/>
              <w:topLinePunct/>
              <w:autoSpaceDE w:val="0"/>
              <w:autoSpaceDN/>
              <w:bidi w:val="0"/>
              <w:adjustRightInd/>
              <w:snapToGrid/>
              <w:ind w:firstLine="0" w:firstLineChars="0"/>
              <w:jc w:val="center"/>
              <w:textAlignment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highlight w:val="none"/>
              </w:rPr>
              <w:t>S</w:t>
            </w:r>
            <w:r>
              <w:rPr>
                <w:rFonts w:hint="default" w:ascii="Arial" w:hAnsi="Arial" w:eastAsia="宋体" w:cs="Arial"/>
                <w:color w:val="auto"/>
                <w:highlight w:val="none"/>
                <w:lang w:val="en-US" w:eastAsia="zh-CN"/>
              </w:rPr>
              <w:t>4</w:t>
            </w:r>
          </w:p>
        </w:tc>
        <w:tc>
          <w:tcPr>
            <w:tcW w:w="1804" w:type="dxa"/>
            <w:tcMar>
              <w:left w:w="28" w:type="dxa"/>
              <w:right w:w="28" w:type="dxa"/>
            </w:tcMar>
            <w:vAlign w:val="center"/>
          </w:tcPr>
          <w:p>
            <w:pPr>
              <w:pStyle w:val="63"/>
              <w:keepNext w:val="0"/>
              <w:keepLines w:val="0"/>
              <w:pageBreakBefore w:val="0"/>
              <w:widowControl w:val="0"/>
              <w:kinsoku/>
              <w:wordWrap/>
              <w:overflowPunct/>
              <w:topLinePunct/>
              <w:autoSpaceDE w:val="0"/>
              <w:autoSpaceDN/>
              <w:bidi w:val="0"/>
              <w:adjustRightInd/>
              <w:snapToGrid/>
              <w:ind w:firstLine="0" w:firstLineChars="0"/>
              <w:jc w:val="center"/>
              <w:textAlignment w:val="center"/>
              <w:rPr>
                <w:rFonts w:hint="default" w:ascii="Arial" w:hAnsi="Arial" w:eastAsia="宋体" w:cs="Arial"/>
                <w:color w:val="auto"/>
                <w:kern w:val="0"/>
                <w:sz w:val="21"/>
                <w:szCs w:val="21"/>
                <w:highlight w:val="none"/>
                <w:lang w:val="en-US" w:eastAsia="zh-CN" w:bidi="ar-SA"/>
              </w:rPr>
            </w:pPr>
            <w:r>
              <w:rPr>
                <w:rFonts w:hint="default" w:ascii="Arial" w:hAnsi="Arial" w:eastAsia="宋体" w:cs="Arial"/>
                <w:color w:val="auto"/>
                <w:kern w:val="0"/>
                <w:sz w:val="21"/>
                <w:szCs w:val="21"/>
                <w:highlight w:val="none"/>
              </w:rPr>
              <w:t>生活垃圾</w:t>
            </w:r>
          </w:p>
        </w:tc>
        <w:tc>
          <w:tcPr>
            <w:tcW w:w="1334" w:type="dxa"/>
            <w:tcMar>
              <w:left w:w="28" w:type="dxa"/>
              <w:right w:w="28" w:type="dxa"/>
            </w:tcMar>
            <w:vAlign w:val="center"/>
          </w:tcPr>
          <w:p>
            <w:pPr>
              <w:pStyle w:val="63"/>
              <w:keepNext w:val="0"/>
              <w:keepLines w:val="0"/>
              <w:pageBreakBefore w:val="0"/>
              <w:widowControl w:val="0"/>
              <w:kinsoku/>
              <w:wordWrap/>
              <w:overflowPunct/>
              <w:topLinePunct/>
              <w:autoSpaceDE w:val="0"/>
              <w:autoSpaceDN/>
              <w:bidi w:val="0"/>
              <w:adjustRightInd/>
              <w:snapToGrid/>
              <w:ind w:firstLine="0" w:firstLineChars="0"/>
              <w:jc w:val="center"/>
              <w:textAlignment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0"/>
                <w:sz w:val="21"/>
                <w:szCs w:val="21"/>
                <w:highlight w:val="none"/>
              </w:rPr>
              <w:t>生活垃圾</w:t>
            </w:r>
          </w:p>
        </w:tc>
        <w:tc>
          <w:tcPr>
            <w:tcW w:w="4803" w:type="dxa"/>
            <w:tcMar>
              <w:left w:w="28" w:type="dxa"/>
              <w:right w:w="28" w:type="dxa"/>
            </w:tcMar>
            <w:vAlign w:val="center"/>
          </w:tcPr>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sz w:val="21"/>
                <w:szCs w:val="21"/>
                <w:highlight w:val="none"/>
                <w:lang w:val="en-US" w:bidi="zh-CN"/>
              </w:rPr>
              <w:t>场区</w:t>
            </w:r>
            <w:r>
              <w:rPr>
                <w:rFonts w:hint="default" w:ascii="Arial" w:hAnsi="Arial" w:eastAsia="宋体" w:cs="Arial"/>
                <w:color w:val="auto"/>
                <w:sz w:val="21"/>
                <w:szCs w:val="21"/>
                <w:highlight w:val="none"/>
                <w:lang w:bidi="zh-CN"/>
              </w:rPr>
              <w:t>设置垃圾桶分类收集</w:t>
            </w:r>
            <w:r>
              <w:rPr>
                <w:rFonts w:hint="default" w:ascii="Arial" w:hAnsi="Arial" w:eastAsia="宋体" w:cs="Arial"/>
                <w:color w:val="auto"/>
                <w:sz w:val="21"/>
                <w:szCs w:val="21"/>
                <w:highlight w:val="none"/>
                <w:lang w:val="en-US" w:bidi="zh-CN"/>
              </w:rPr>
              <w:t>工作人员产生的生活垃圾</w:t>
            </w:r>
            <w:r>
              <w:rPr>
                <w:rFonts w:hint="default" w:ascii="Arial" w:hAnsi="Arial" w:eastAsia="宋体" w:cs="Arial"/>
                <w:color w:val="auto"/>
                <w:sz w:val="21"/>
                <w:szCs w:val="21"/>
                <w:highlight w:val="none"/>
                <w:lang w:bidi="zh-CN"/>
              </w:rPr>
              <w:t>，</w:t>
            </w:r>
            <w:r>
              <w:rPr>
                <w:rFonts w:hint="default" w:ascii="Arial" w:hAnsi="Arial" w:eastAsia="宋体" w:cs="Arial"/>
                <w:color w:val="auto"/>
                <w:sz w:val="21"/>
                <w:szCs w:val="21"/>
                <w:highlight w:val="none"/>
                <w:lang w:val="en-US" w:bidi="zh-CN"/>
              </w:rPr>
              <w:t>定期</w:t>
            </w:r>
            <w:r>
              <w:rPr>
                <w:rFonts w:hint="default" w:ascii="Arial" w:hAnsi="Arial" w:eastAsia="宋体" w:cs="Arial"/>
                <w:color w:val="auto"/>
                <w:sz w:val="21"/>
                <w:szCs w:val="21"/>
                <w:highlight w:val="none"/>
                <w:lang w:bidi="zh-CN"/>
              </w:rPr>
              <w:t>清运到环卫部门指定的地点集中处理</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51" w:type="dxa"/>
            <w:tcMar>
              <w:left w:w="28" w:type="dxa"/>
              <w:right w:w="28" w:type="dxa"/>
            </w:tcMar>
            <w:vAlign w:val="center"/>
          </w:tcPr>
          <w:p>
            <w:pPr>
              <w:pStyle w:val="63"/>
              <w:keepNext w:val="0"/>
              <w:keepLines w:val="0"/>
              <w:pageBreakBefore w:val="0"/>
              <w:widowControl w:val="0"/>
              <w:kinsoku/>
              <w:wordWrap/>
              <w:overflowPunct/>
              <w:topLinePunct/>
              <w:autoSpaceDE w:val="0"/>
              <w:autoSpaceDN/>
              <w:bidi w:val="0"/>
              <w:adjustRightInd/>
              <w:snapToGrid/>
              <w:ind w:firstLine="0" w:firstLineChars="0"/>
              <w:jc w:val="center"/>
              <w:textAlignment w:val="center"/>
              <w:rPr>
                <w:rFonts w:hint="default" w:ascii="Arial" w:hAnsi="Arial" w:eastAsia="宋体" w:cs="Arial"/>
                <w:color w:val="auto"/>
                <w:highlight w:val="none"/>
              </w:rPr>
            </w:pPr>
            <w:r>
              <w:rPr>
                <w:rFonts w:hint="default" w:ascii="Arial" w:hAnsi="Arial" w:eastAsia="宋体" w:cs="Arial"/>
                <w:color w:val="auto"/>
                <w:highlight w:val="none"/>
              </w:rPr>
              <w:t>噪声</w:t>
            </w:r>
          </w:p>
        </w:tc>
        <w:tc>
          <w:tcPr>
            <w:tcW w:w="451" w:type="dxa"/>
            <w:tcMar>
              <w:left w:w="28" w:type="dxa"/>
              <w:right w:w="28" w:type="dxa"/>
            </w:tcMar>
            <w:vAlign w:val="center"/>
          </w:tcPr>
          <w:p>
            <w:pPr>
              <w:pStyle w:val="63"/>
              <w:keepNext w:val="0"/>
              <w:keepLines w:val="0"/>
              <w:pageBreakBefore w:val="0"/>
              <w:widowControl w:val="0"/>
              <w:kinsoku/>
              <w:wordWrap/>
              <w:overflowPunct/>
              <w:topLinePunct/>
              <w:autoSpaceDE w:val="0"/>
              <w:autoSpaceDN/>
              <w:bidi w:val="0"/>
              <w:adjustRightInd/>
              <w:snapToGrid/>
              <w:ind w:firstLine="0" w:firstLineChars="0"/>
              <w:jc w:val="center"/>
              <w:textAlignment w:val="center"/>
              <w:rPr>
                <w:rFonts w:hint="default" w:ascii="Arial" w:hAnsi="Arial" w:eastAsia="宋体" w:cs="Arial"/>
                <w:color w:val="auto"/>
                <w:highlight w:val="none"/>
              </w:rPr>
            </w:pPr>
            <w:r>
              <w:rPr>
                <w:rFonts w:hint="default" w:ascii="Arial" w:hAnsi="Arial" w:eastAsia="宋体" w:cs="Arial"/>
                <w:color w:val="auto"/>
                <w:highlight w:val="none"/>
              </w:rPr>
              <w:t>N</w:t>
            </w:r>
          </w:p>
        </w:tc>
        <w:tc>
          <w:tcPr>
            <w:tcW w:w="1804" w:type="dxa"/>
            <w:tcMar>
              <w:left w:w="28" w:type="dxa"/>
              <w:right w:w="28" w:type="dxa"/>
            </w:tcMar>
            <w:vAlign w:val="center"/>
          </w:tcPr>
          <w:p>
            <w:pPr>
              <w:pStyle w:val="63"/>
              <w:keepNext w:val="0"/>
              <w:keepLines w:val="0"/>
              <w:pageBreakBefore w:val="0"/>
              <w:widowControl w:val="0"/>
              <w:kinsoku/>
              <w:wordWrap/>
              <w:overflowPunct/>
              <w:topLinePunct/>
              <w:autoSpaceDE w:val="0"/>
              <w:autoSpaceDN/>
              <w:bidi w:val="0"/>
              <w:adjustRightInd/>
              <w:snapToGrid/>
              <w:ind w:firstLine="0" w:firstLineChars="0"/>
              <w:jc w:val="center"/>
              <w:textAlignment w:val="center"/>
              <w:rPr>
                <w:rFonts w:hint="default" w:ascii="Arial" w:hAnsi="Arial" w:eastAsia="宋体" w:cs="Arial"/>
                <w:color w:val="auto"/>
                <w:highlight w:val="none"/>
              </w:rPr>
            </w:pPr>
            <w:r>
              <w:rPr>
                <w:rFonts w:hint="default" w:ascii="Arial" w:hAnsi="Arial" w:eastAsia="宋体" w:cs="Arial"/>
                <w:color w:val="auto"/>
                <w:highlight w:val="none"/>
              </w:rPr>
              <w:t>各工段</w:t>
            </w:r>
          </w:p>
        </w:tc>
        <w:tc>
          <w:tcPr>
            <w:tcW w:w="1334" w:type="dxa"/>
            <w:tcMar>
              <w:left w:w="28" w:type="dxa"/>
              <w:right w:w="28" w:type="dxa"/>
            </w:tcMar>
            <w:vAlign w:val="center"/>
          </w:tcPr>
          <w:p>
            <w:pPr>
              <w:pStyle w:val="63"/>
              <w:keepNext w:val="0"/>
              <w:keepLines w:val="0"/>
              <w:pageBreakBefore w:val="0"/>
              <w:widowControl w:val="0"/>
              <w:kinsoku/>
              <w:wordWrap/>
              <w:overflowPunct/>
              <w:topLinePunct/>
              <w:autoSpaceDE w:val="0"/>
              <w:autoSpaceDN/>
              <w:bidi w:val="0"/>
              <w:adjustRightInd/>
              <w:snapToGrid/>
              <w:ind w:firstLine="0" w:firstLineChars="0"/>
              <w:jc w:val="center"/>
              <w:textAlignment w:val="center"/>
              <w:rPr>
                <w:rFonts w:hint="default" w:ascii="Arial" w:hAnsi="Arial" w:eastAsia="宋体" w:cs="Arial"/>
                <w:color w:val="auto"/>
                <w:highlight w:val="none"/>
              </w:rPr>
            </w:pPr>
            <w:r>
              <w:rPr>
                <w:rFonts w:hint="default" w:ascii="Arial" w:hAnsi="Arial" w:eastAsia="宋体" w:cs="Arial"/>
                <w:color w:val="auto"/>
                <w:highlight w:val="none"/>
              </w:rPr>
              <w:t>噪声</w:t>
            </w:r>
          </w:p>
        </w:tc>
        <w:tc>
          <w:tcPr>
            <w:tcW w:w="4803" w:type="dxa"/>
            <w:tcMar>
              <w:left w:w="28" w:type="dxa"/>
              <w:right w:w="28" w:type="dxa"/>
            </w:tcMar>
            <w:vAlign w:val="center"/>
          </w:tcPr>
          <w:p>
            <w:pPr>
              <w:pStyle w:val="63"/>
              <w:keepNext w:val="0"/>
              <w:keepLines w:val="0"/>
              <w:pageBreakBefore w:val="0"/>
              <w:widowControl w:val="0"/>
              <w:kinsoku/>
              <w:wordWrap/>
              <w:overflowPunct/>
              <w:topLinePunct/>
              <w:autoSpaceDE w:val="0"/>
              <w:autoSpaceDN/>
              <w:bidi w:val="0"/>
              <w:adjustRightInd/>
              <w:snapToGrid/>
              <w:ind w:firstLine="420" w:firstLineChars="200"/>
              <w:jc w:val="left"/>
              <w:textAlignment w:val="center"/>
              <w:rPr>
                <w:rFonts w:hint="default" w:ascii="Arial" w:hAnsi="Arial" w:eastAsia="宋体" w:cs="Arial"/>
                <w:color w:val="auto"/>
                <w:highlight w:val="none"/>
              </w:rPr>
            </w:pPr>
            <w:r>
              <w:rPr>
                <w:rFonts w:hint="default" w:ascii="Arial" w:hAnsi="Arial" w:eastAsia="宋体" w:cs="Arial"/>
                <w:color w:val="auto"/>
                <w:highlight w:val="none"/>
              </w:rPr>
              <w:t>采取减振、隔声、合理布局等降噪措施</w:t>
            </w:r>
          </w:p>
        </w:tc>
      </w:tr>
    </w:tbl>
    <w:p>
      <w:pPr>
        <w:pStyle w:val="5"/>
        <w:pageBreakBefore w:val="0"/>
        <w:widowControl w:val="0"/>
        <w:kinsoku/>
        <w:wordWrap/>
        <w:topLinePunct/>
        <w:autoSpaceDN/>
        <w:bidi w:val="0"/>
        <w:adjustRightInd/>
        <w:snapToGrid/>
        <w:spacing w:line="480" w:lineRule="exact"/>
        <w:textAlignment w:val="auto"/>
        <w:rPr>
          <w:rFonts w:hint="default" w:ascii="Arial" w:hAnsi="Arial" w:eastAsia="宋体" w:cs="Arial"/>
          <w:color w:val="auto"/>
          <w:highlight w:val="none"/>
        </w:rPr>
      </w:pPr>
      <w:bookmarkStart w:id="238" w:name="_Toc46421098"/>
      <w:bookmarkStart w:id="239" w:name="_Toc523322300"/>
      <w:bookmarkStart w:id="240" w:name="_Toc8845"/>
      <w:r>
        <w:rPr>
          <w:rFonts w:hint="default" w:ascii="Arial" w:hAnsi="Arial" w:eastAsia="宋体" w:cs="Arial"/>
          <w:color w:val="auto"/>
          <w:highlight w:val="none"/>
        </w:rPr>
        <w:t>3.3项目污染源源强核算</w:t>
      </w:r>
      <w:bookmarkEnd w:id="238"/>
      <w:bookmarkEnd w:id="239"/>
      <w:bookmarkEnd w:id="240"/>
    </w:p>
    <w:p>
      <w:pPr>
        <w:pageBreakBefore w:val="0"/>
        <w:widowControl w:val="0"/>
        <w:kinsoku/>
        <w:wordWrap/>
        <w:overflowPunct w:val="0"/>
        <w:topLinePunct/>
        <w:autoSpaceDE/>
        <w:autoSpaceDN/>
        <w:bidi w:val="0"/>
        <w:adjustRightInd/>
        <w:snapToGrid/>
        <w:spacing w:line="480" w:lineRule="exact"/>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根据工艺流程，通过产排污分析，本工程污染物产排情况按工序分别进行论述。</w:t>
      </w:r>
    </w:p>
    <w:p>
      <w:pPr>
        <w:pStyle w:val="6"/>
        <w:pageBreakBefore w:val="0"/>
        <w:widowControl w:val="0"/>
        <w:kinsoku/>
        <w:wordWrap/>
        <w:topLinePunct/>
        <w:autoSpaceDN/>
        <w:bidi w:val="0"/>
        <w:adjustRightInd/>
        <w:snapToGrid/>
        <w:spacing w:line="480" w:lineRule="exact"/>
        <w:textAlignment w:val="auto"/>
        <w:rPr>
          <w:rFonts w:hint="default" w:ascii="Arial" w:hAnsi="Arial" w:eastAsia="宋体" w:cs="Arial"/>
          <w:color w:val="auto"/>
          <w:highlight w:val="none"/>
        </w:rPr>
      </w:pPr>
      <w:bookmarkStart w:id="241" w:name="_Toc46421099"/>
      <w:bookmarkStart w:id="242" w:name="_Toc25677"/>
      <w:r>
        <w:rPr>
          <w:rFonts w:hint="default" w:ascii="Arial" w:hAnsi="Arial" w:eastAsia="宋体" w:cs="Arial"/>
          <w:color w:val="auto"/>
          <w:highlight w:val="none"/>
        </w:rPr>
        <w:t>3.3.1大气污染物</w:t>
      </w:r>
      <w:bookmarkEnd w:id="241"/>
      <w:bookmarkEnd w:id="242"/>
    </w:p>
    <w:p>
      <w:pPr>
        <w:pageBreakBefore w:val="0"/>
        <w:widowControl w:val="0"/>
        <w:kinsoku/>
        <w:wordWrap/>
        <w:topLinePunct/>
        <w:autoSpaceDN/>
        <w:bidi w:val="0"/>
        <w:adjustRightInd/>
        <w:snapToGrid/>
        <w:spacing w:line="480" w:lineRule="exact"/>
        <w:ind w:firstLine="480"/>
        <w:textAlignment w:val="auto"/>
        <w:rPr>
          <w:rFonts w:hint="default" w:ascii="Arial" w:hAnsi="Arial" w:eastAsia="宋体" w:cs="Arial"/>
          <w:color w:val="auto"/>
          <w:highlight w:val="none"/>
          <w:lang w:eastAsia="zh-CN"/>
        </w:rPr>
      </w:pPr>
      <w:r>
        <w:rPr>
          <w:rFonts w:hint="default" w:ascii="Arial" w:hAnsi="Arial" w:eastAsia="宋体" w:cs="Arial"/>
          <w:color w:val="auto"/>
          <w:highlight w:val="none"/>
          <w:lang w:eastAsia="zh-CN"/>
        </w:rPr>
        <w:t>项目运营期废气污染物主要包括养殖区（牛舍及运动场）</w:t>
      </w:r>
      <w:r>
        <w:rPr>
          <w:rFonts w:hint="default" w:ascii="Arial" w:hAnsi="Arial" w:eastAsia="宋体" w:cs="Arial"/>
          <w:color w:val="auto"/>
          <w:highlight w:val="none"/>
        </w:rPr>
        <w:t>恶臭气体</w:t>
      </w:r>
      <w:r>
        <w:rPr>
          <w:rFonts w:hint="default" w:ascii="Arial" w:hAnsi="Arial" w:eastAsia="宋体" w:cs="Arial"/>
          <w:color w:val="auto"/>
          <w:highlight w:val="none"/>
          <w:lang w:eastAsia="zh-CN"/>
        </w:rPr>
        <w:t>、堆肥场</w:t>
      </w:r>
      <w:r>
        <w:rPr>
          <w:rFonts w:hint="default" w:ascii="Arial" w:hAnsi="Arial" w:eastAsia="宋体" w:cs="Arial"/>
          <w:color w:val="auto"/>
          <w:highlight w:val="none"/>
        </w:rPr>
        <w:t>恶臭气体</w:t>
      </w:r>
      <w:r>
        <w:rPr>
          <w:rFonts w:hint="default" w:ascii="Arial" w:hAnsi="Arial" w:eastAsia="宋体" w:cs="Arial"/>
          <w:color w:val="auto"/>
          <w:highlight w:val="none"/>
          <w:lang w:eastAsia="zh-CN"/>
        </w:rPr>
        <w:t>、饲料配料产生的粉尘等。</w:t>
      </w:r>
    </w:p>
    <w:p>
      <w:pPr>
        <w:pageBreakBefore w:val="0"/>
        <w:widowControl w:val="0"/>
        <w:kinsoku/>
        <w:wordWrap/>
        <w:topLinePunct/>
        <w:autoSpaceDN/>
        <w:bidi w:val="0"/>
        <w:adjustRightInd/>
        <w:snapToGrid/>
        <w:spacing w:line="480" w:lineRule="exact"/>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lang w:eastAsia="zh-CN"/>
        </w:rPr>
        <w:t>（</w:t>
      </w:r>
      <w:r>
        <w:rPr>
          <w:rFonts w:hint="default" w:ascii="Arial" w:hAnsi="Arial" w:eastAsia="宋体" w:cs="Arial"/>
          <w:color w:val="auto"/>
          <w:highlight w:val="none"/>
          <w:lang w:val="en-US" w:eastAsia="zh-CN"/>
        </w:rPr>
        <w:t>1</w:t>
      </w:r>
      <w:r>
        <w:rPr>
          <w:rFonts w:hint="default" w:ascii="Arial" w:hAnsi="Arial" w:eastAsia="宋体" w:cs="Arial"/>
          <w:color w:val="auto"/>
          <w:highlight w:val="none"/>
          <w:lang w:eastAsia="zh-CN"/>
        </w:rPr>
        <w:t>）</w:t>
      </w:r>
      <w:r>
        <w:rPr>
          <w:rFonts w:hint="default" w:ascii="Arial" w:hAnsi="Arial" w:eastAsia="宋体" w:cs="Arial"/>
          <w:color w:val="auto"/>
          <w:highlight w:val="none"/>
        </w:rPr>
        <w:t>恶臭气体（G</w:t>
      </w:r>
      <w:r>
        <w:rPr>
          <w:rFonts w:hint="default" w:ascii="Arial" w:hAnsi="Arial" w:eastAsia="宋体" w:cs="Arial"/>
          <w:color w:val="auto"/>
          <w:highlight w:val="none"/>
          <w:lang w:val="en-US" w:eastAsia="zh-CN"/>
        </w:rPr>
        <w:t>1</w:t>
      </w:r>
      <w:r>
        <w:rPr>
          <w:rFonts w:hint="default" w:ascii="Arial" w:hAnsi="Arial" w:eastAsia="宋体" w:cs="Arial"/>
          <w:color w:val="auto"/>
          <w:highlight w:val="none"/>
        </w:rPr>
        <w:t>、G</w:t>
      </w:r>
      <w:r>
        <w:rPr>
          <w:rFonts w:hint="default" w:ascii="Arial" w:hAnsi="Arial" w:eastAsia="宋体" w:cs="Arial"/>
          <w:color w:val="auto"/>
          <w:highlight w:val="none"/>
          <w:lang w:val="en-US" w:eastAsia="zh-CN"/>
        </w:rPr>
        <w:t>2</w:t>
      </w:r>
      <w:r>
        <w:rPr>
          <w:rFonts w:hint="default" w:ascii="Arial" w:hAnsi="Arial" w:eastAsia="宋体" w:cs="Arial"/>
          <w:color w:val="auto"/>
          <w:highlight w:val="none"/>
        </w:rPr>
        <w:t>）</w:t>
      </w:r>
    </w:p>
    <w:p>
      <w:pPr>
        <w:pageBreakBefore w:val="0"/>
        <w:widowControl w:val="0"/>
        <w:kinsoku/>
        <w:wordWrap/>
        <w:topLinePunct/>
        <w:autoSpaceDN/>
        <w:bidi w:val="0"/>
        <w:adjustRightInd/>
        <w:snapToGrid/>
        <w:spacing w:line="480" w:lineRule="exact"/>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养殖恶臭</w:t>
      </w:r>
      <w:r>
        <w:rPr>
          <w:rFonts w:hint="default" w:ascii="Arial" w:hAnsi="Arial" w:eastAsia="宋体" w:cs="Arial"/>
          <w:color w:val="auto"/>
          <w:highlight w:val="none"/>
          <w:lang w:eastAsia="zh-CN"/>
        </w:rPr>
        <w:t>气体</w:t>
      </w:r>
      <w:r>
        <w:rPr>
          <w:rFonts w:hint="default" w:ascii="Arial" w:hAnsi="Arial" w:eastAsia="宋体" w:cs="Arial"/>
          <w:color w:val="auto"/>
          <w:highlight w:val="none"/>
        </w:rPr>
        <w:t>来自牲畜的粪便、饲料等的腐败分解。新鲜粪便，消化道排出的气体、皮脂腺和汗腺的分泌物、畜体的外激素、粘附在体表的污染物等，呼出气中的CO</w:t>
      </w:r>
      <w:r>
        <w:rPr>
          <w:rFonts w:hint="default" w:ascii="Arial" w:hAnsi="Arial" w:eastAsia="宋体" w:cs="Arial"/>
          <w:color w:val="auto"/>
          <w:highlight w:val="none"/>
          <w:vertAlign w:val="subscript"/>
        </w:rPr>
        <w:t>2</w:t>
      </w:r>
      <w:r>
        <w:rPr>
          <w:rFonts w:hint="default" w:ascii="Arial" w:hAnsi="Arial" w:eastAsia="宋体" w:cs="Arial"/>
          <w:color w:val="auto"/>
          <w:highlight w:val="none"/>
        </w:rPr>
        <w:t>（含量比大气中高约100倍）等也会散发特有的难闻气味，但恶臭主要来源为粪便排出体外之后的腐败分解。但是实验表明，只要加强牛舍管理，采取粪便及时清理干净等措施，可以很好的限制臭气的产生。</w:t>
      </w:r>
    </w:p>
    <w:p>
      <w:pPr>
        <w:pageBreakBefore w:val="0"/>
        <w:widowControl w:val="0"/>
        <w:kinsoku/>
        <w:wordWrap/>
        <w:topLinePunct/>
        <w:autoSpaceDN/>
        <w:bidi w:val="0"/>
        <w:adjustRightInd/>
        <w:snapToGrid/>
        <w:spacing w:line="480" w:lineRule="exact"/>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1）养殖区恶臭污染物</w:t>
      </w:r>
    </w:p>
    <w:p>
      <w:pPr>
        <w:pageBreakBefore w:val="0"/>
        <w:widowControl w:val="0"/>
        <w:kinsoku/>
        <w:wordWrap/>
        <w:topLinePunct/>
        <w:autoSpaceDN/>
        <w:bidi w:val="0"/>
        <w:adjustRightInd/>
        <w:snapToGrid/>
        <w:spacing w:line="480" w:lineRule="exact"/>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牛舍本身是</w:t>
      </w:r>
      <w:r>
        <w:rPr>
          <w:rFonts w:hint="default" w:ascii="Arial" w:hAnsi="Arial" w:eastAsia="宋体" w:cs="Arial"/>
          <w:color w:val="auto"/>
          <w:highlight w:val="none"/>
          <w:lang w:eastAsia="zh-CN"/>
        </w:rPr>
        <w:t>养殖场</w:t>
      </w:r>
      <w:r>
        <w:rPr>
          <w:rFonts w:hint="default" w:ascii="Arial" w:hAnsi="Arial" w:eastAsia="宋体" w:cs="Arial"/>
          <w:color w:val="auto"/>
          <w:highlight w:val="none"/>
        </w:rPr>
        <w:t>恶臭气体的</w:t>
      </w:r>
      <w:r>
        <w:rPr>
          <w:rFonts w:hint="default" w:ascii="Arial" w:hAnsi="Arial" w:eastAsia="宋体" w:cs="Arial"/>
          <w:color w:val="auto"/>
          <w:highlight w:val="none"/>
          <w:lang w:eastAsia="zh-CN"/>
        </w:rPr>
        <w:t>主要</w:t>
      </w:r>
      <w:r>
        <w:rPr>
          <w:rFonts w:hint="default" w:ascii="Arial" w:hAnsi="Arial" w:eastAsia="宋体" w:cs="Arial"/>
          <w:color w:val="auto"/>
          <w:highlight w:val="none"/>
        </w:rPr>
        <w:t>产生源，由于粪尿处置过程中粪污的转移增多了养殖场恶臭气体的散发面，从而使恶臭气体的排放源广泛分布在场内和</w:t>
      </w:r>
      <w:r>
        <w:rPr>
          <w:rFonts w:hint="default" w:ascii="Arial" w:hAnsi="Arial" w:eastAsia="宋体" w:cs="Arial"/>
          <w:color w:val="auto"/>
          <w:highlight w:val="none"/>
          <w:lang w:eastAsia="zh-CN"/>
        </w:rPr>
        <w:t>堆肥场</w:t>
      </w:r>
      <w:r>
        <w:rPr>
          <w:rFonts w:hint="default" w:ascii="Arial" w:hAnsi="Arial" w:eastAsia="宋体" w:cs="Arial"/>
          <w:color w:val="auto"/>
          <w:highlight w:val="none"/>
        </w:rPr>
        <w:t>，恶臭中的污染物主要为NH</w:t>
      </w:r>
      <w:r>
        <w:rPr>
          <w:rFonts w:hint="default" w:ascii="Arial" w:hAnsi="Arial" w:eastAsia="宋体" w:cs="Arial"/>
          <w:color w:val="auto"/>
          <w:highlight w:val="none"/>
          <w:vertAlign w:val="subscript"/>
        </w:rPr>
        <w:t>3</w:t>
      </w:r>
      <w:r>
        <w:rPr>
          <w:rFonts w:hint="default" w:ascii="Arial" w:hAnsi="Arial" w:eastAsia="宋体" w:cs="Arial"/>
          <w:color w:val="auto"/>
          <w:highlight w:val="none"/>
        </w:rPr>
        <w:t>和H</w:t>
      </w:r>
      <w:r>
        <w:rPr>
          <w:rFonts w:hint="default" w:ascii="Arial" w:hAnsi="Arial" w:eastAsia="宋体" w:cs="Arial"/>
          <w:color w:val="auto"/>
          <w:highlight w:val="none"/>
          <w:vertAlign w:val="subscript"/>
        </w:rPr>
        <w:t>2</w:t>
      </w:r>
      <w:r>
        <w:rPr>
          <w:rFonts w:hint="default" w:ascii="Arial" w:hAnsi="Arial" w:eastAsia="宋体" w:cs="Arial"/>
          <w:color w:val="auto"/>
          <w:highlight w:val="none"/>
        </w:rPr>
        <w:t>S。</w:t>
      </w:r>
    </w:p>
    <w:p>
      <w:pPr>
        <w:pageBreakBefore w:val="0"/>
        <w:widowControl w:val="0"/>
        <w:kinsoku/>
        <w:wordWrap/>
        <w:topLinePunct/>
        <w:autoSpaceDN/>
        <w:bidi w:val="0"/>
        <w:adjustRightInd/>
        <w:snapToGrid/>
        <w:spacing w:line="480" w:lineRule="exact"/>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根据《畜禽养殖业产污系数与排污系数-氨氮》中规模化畜禽养殖场华北地区牛养殖污染物TN的排污系数为66.6g/头-天，本项目日常存栏</w:t>
      </w:r>
      <w:r>
        <w:rPr>
          <w:rFonts w:hint="default" w:ascii="Arial" w:hAnsi="Arial" w:eastAsia="宋体" w:cs="Arial"/>
          <w:color w:val="auto"/>
          <w:highlight w:val="none"/>
          <w:lang w:val="en-US" w:eastAsia="zh-CN"/>
        </w:rPr>
        <w:t>10</w:t>
      </w:r>
      <w:r>
        <w:rPr>
          <w:rFonts w:hint="default" w:ascii="Arial" w:hAnsi="Arial" w:eastAsia="宋体" w:cs="Arial"/>
          <w:color w:val="auto"/>
          <w:highlight w:val="none"/>
        </w:rPr>
        <w:t>000头牛，则项目牛舍TN产生量为</w:t>
      </w:r>
      <w:r>
        <w:rPr>
          <w:rFonts w:hint="default" w:ascii="Arial" w:hAnsi="Arial" w:eastAsia="宋体" w:cs="Arial"/>
          <w:color w:val="auto"/>
          <w:highlight w:val="none"/>
          <w:lang w:val="en-US" w:eastAsia="zh-CN"/>
        </w:rPr>
        <w:t>666</w:t>
      </w:r>
      <w:r>
        <w:rPr>
          <w:rFonts w:hint="default" w:ascii="Arial" w:hAnsi="Arial" w:eastAsia="宋体" w:cs="Arial"/>
          <w:color w:val="auto"/>
          <w:highlight w:val="none"/>
        </w:rPr>
        <w:t>kg/d，氮挥发量约占总量的10％，其中氨态氮占氮挥发总量的25％，则本项目NH</w:t>
      </w:r>
      <w:r>
        <w:rPr>
          <w:rFonts w:hint="default" w:ascii="Arial" w:hAnsi="Arial" w:eastAsia="宋体" w:cs="Arial"/>
          <w:color w:val="auto"/>
          <w:highlight w:val="none"/>
          <w:vertAlign w:val="subscript"/>
        </w:rPr>
        <w:t>3</w:t>
      </w:r>
      <w:r>
        <w:rPr>
          <w:rFonts w:hint="default" w:ascii="Arial" w:hAnsi="Arial" w:eastAsia="宋体" w:cs="Arial"/>
          <w:color w:val="auto"/>
          <w:highlight w:val="none"/>
        </w:rPr>
        <w:t>总产生量为</w:t>
      </w:r>
      <w:r>
        <w:rPr>
          <w:rFonts w:hint="default" w:ascii="Arial" w:hAnsi="Arial" w:eastAsia="宋体" w:cs="Arial"/>
          <w:color w:val="auto"/>
          <w:highlight w:val="none"/>
          <w:lang w:val="en-US" w:eastAsia="zh-CN"/>
        </w:rPr>
        <w:t>16.65</w:t>
      </w:r>
      <w:r>
        <w:rPr>
          <w:rFonts w:hint="default" w:ascii="Arial" w:hAnsi="Arial" w:eastAsia="宋体" w:cs="Arial"/>
          <w:color w:val="auto"/>
          <w:highlight w:val="none"/>
        </w:rPr>
        <w:t>kg/d（即</w:t>
      </w:r>
      <w:r>
        <w:rPr>
          <w:rFonts w:hint="default" w:ascii="Arial" w:hAnsi="Arial" w:eastAsia="宋体" w:cs="Arial"/>
          <w:color w:val="auto"/>
          <w:highlight w:val="none"/>
          <w:lang w:val="en-US" w:eastAsia="zh-CN"/>
        </w:rPr>
        <w:t>0.6938</w:t>
      </w:r>
      <w:r>
        <w:rPr>
          <w:rFonts w:hint="default" w:ascii="Arial" w:hAnsi="Arial" w:eastAsia="宋体" w:cs="Arial"/>
          <w:color w:val="auto"/>
          <w:highlight w:val="none"/>
        </w:rPr>
        <w:t>kg/h）。氨态氮转化为氨气释放主要集中在一次发酵阶段完成，即主要在新鲜粪便产生后的15d内转化。由于牛舍内的</w:t>
      </w:r>
      <w:r>
        <w:rPr>
          <w:rFonts w:hint="default" w:ascii="Arial" w:hAnsi="Arial" w:eastAsia="宋体" w:cs="Arial"/>
          <w:color w:val="auto"/>
          <w:highlight w:val="none"/>
          <w:lang w:eastAsia="zh-CN"/>
        </w:rPr>
        <w:t>牛粪便</w:t>
      </w:r>
      <w:r>
        <w:rPr>
          <w:rFonts w:hint="default" w:ascii="Arial" w:hAnsi="Arial" w:eastAsia="宋体" w:cs="Arial"/>
          <w:color w:val="auto"/>
          <w:highlight w:val="none"/>
        </w:rPr>
        <w:t>日产日清，氨气的释放量按转化1d计，根据相关资料显示，</w:t>
      </w:r>
      <w:r>
        <w:rPr>
          <w:rFonts w:hint="default" w:ascii="Arial" w:hAnsi="Arial" w:eastAsia="宋体" w:cs="Arial"/>
          <w:color w:val="auto"/>
          <w:highlight w:val="none"/>
          <w:lang w:eastAsia="zh-CN"/>
        </w:rPr>
        <w:t>牛粪便</w:t>
      </w:r>
      <w:r>
        <w:rPr>
          <w:rFonts w:hint="default" w:ascii="Arial" w:hAnsi="Arial" w:eastAsia="宋体" w:cs="Arial"/>
          <w:color w:val="auto"/>
          <w:highlight w:val="none"/>
        </w:rPr>
        <w:t>中氨气释放速率呈对数函数形式递减，第1天释放量为总量的</w:t>
      </w:r>
      <w:r>
        <w:rPr>
          <w:rFonts w:hint="default" w:ascii="Arial" w:hAnsi="Arial" w:eastAsia="宋体" w:cs="Arial"/>
          <w:color w:val="auto"/>
          <w:highlight w:val="none"/>
          <w:lang w:val="en-US" w:eastAsia="zh-CN"/>
        </w:rPr>
        <w:t>6</w:t>
      </w:r>
      <w:r>
        <w:rPr>
          <w:rFonts w:hint="default" w:ascii="Arial" w:hAnsi="Arial" w:eastAsia="宋体" w:cs="Arial"/>
          <w:color w:val="auto"/>
          <w:highlight w:val="none"/>
        </w:rPr>
        <w:t>0%，其余14天释放量为总量的</w:t>
      </w:r>
      <w:r>
        <w:rPr>
          <w:rFonts w:hint="default" w:ascii="Arial" w:hAnsi="Arial" w:eastAsia="宋体" w:cs="Arial"/>
          <w:color w:val="auto"/>
          <w:highlight w:val="none"/>
          <w:lang w:val="en-US" w:eastAsia="zh-CN"/>
        </w:rPr>
        <w:t>4</w:t>
      </w:r>
      <w:r>
        <w:rPr>
          <w:rFonts w:hint="default" w:ascii="Arial" w:hAnsi="Arial" w:eastAsia="宋体" w:cs="Arial"/>
          <w:color w:val="auto"/>
          <w:highlight w:val="none"/>
        </w:rPr>
        <w:t>0%。本项目牛舍内粪便采取干清粪工艺，日产日清，氨气释放速率按转化1天计，释放总氨气量的</w:t>
      </w:r>
      <w:r>
        <w:rPr>
          <w:rFonts w:hint="default" w:ascii="Arial" w:hAnsi="Arial" w:eastAsia="宋体" w:cs="Arial"/>
          <w:color w:val="auto"/>
          <w:highlight w:val="none"/>
          <w:lang w:val="en-US" w:eastAsia="zh-CN"/>
        </w:rPr>
        <w:t>6</w:t>
      </w:r>
      <w:r>
        <w:rPr>
          <w:rFonts w:hint="default" w:ascii="Arial" w:hAnsi="Arial" w:eastAsia="宋体" w:cs="Arial"/>
          <w:color w:val="auto"/>
          <w:highlight w:val="none"/>
        </w:rPr>
        <w:t>0%，则牛舍NH</w:t>
      </w:r>
      <w:r>
        <w:rPr>
          <w:rFonts w:hint="default" w:ascii="Arial" w:hAnsi="Arial" w:eastAsia="宋体" w:cs="Arial"/>
          <w:color w:val="auto"/>
          <w:highlight w:val="none"/>
          <w:vertAlign w:val="subscript"/>
        </w:rPr>
        <w:t>3</w:t>
      </w:r>
      <w:r>
        <w:rPr>
          <w:rFonts w:hint="default" w:ascii="Arial" w:hAnsi="Arial" w:eastAsia="宋体" w:cs="Arial"/>
          <w:color w:val="auto"/>
          <w:highlight w:val="none"/>
        </w:rPr>
        <w:t>产生量为</w:t>
      </w:r>
      <w:r>
        <w:rPr>
          <w:rFonts w:hint="default" w:ascii="Arial" w:hAnsi="Arial" w:eastAsia="宋体" w:cs="Arial"/>
          <w:color w:val="auto"/>
          <w:highlight w:val="none"/>
          <w:lang w:val="en-US" w:eastAsia="zh-CN"/>
        </w:rPr>
        <w:t>9.99</w:t>
      </w:r>
      <w:r>
        <w:rPr>
          <w:rFonts w:hint="default" w:ascii="Arial" w:hAnsi="Arial" w:eastAsia="宋体" w:cs="Arial"/>
          <w:color w:val="auto"/>
          <w:highlight w:val="none"/>
        </w:rPr>
        <w:t>kg/d，产生速率为</w:t>
      </w:r>
      <w:r>
        <w:rPr>
          <w:rFonts w:hint="default" w:ascii="Arial" w:hAnsi="Arial" w:eastAsia="宋体" w:cs="Arial"/>
          <w:color w:val="auto"/>
          <w:highlight w:val="none"/>
          <w:lang w:val="en-US" w:eastAsia="zh-CN"/>
        </w:rPr>
        <w:t>0.4163</w:t>
      </w:r>
      <w:r>
        <w:rPr>
          <w:rFonts w:hint="default" w:ascii="Arial" w:hAnsi="Arial" w:eastAsia="宋体" w:cs="Arial"/>
          <w:color w:val="auto"/>
          <w:highlight w:val="none"/>
        </w:rPr>
        <w:t>kg/h。</w:t>
      </w:r>
    </w:p>
    <w:p>
      <w:pPr>
        <w:pageBreakBefore w:val="0"/>
        <w:widowControl w:val="0"/>
        <w:kinsoku/>
        <w:wordWrap/>
        <w:topLinePunct/>
        <w:autoSpaceDN/>
        <w:bidi w:val="0"/>
        <w:adjustRightInd/>
        <w:snapToGrid/>
        <w:spacing w:line="480" w:lineRule="exact"/>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硫化氢产生量引用《</w:t>
      </w:r>
      <w:r>
        <w:rPr>
          <w:rFonts w:hint="default" w:ascii="Arial" w:hAnsi="Arial" w:eastAsia="宋体" w:cs="Arial"/>
          <w:color w:val="auto"/>
          <w:highlight w:val="none"/>
          <w:lang w:eastAsia="zh-CN"/>
        </w:rPr>
        <w:t>牛粪便</w:t>
      </w:r>
      <w:r>
        <w:rPr>
          <w:rFonts w:hint="default" w:ascii="Arial" w:hAnsi="Arial" w:eastAsia="宋体" w:cs="Arial"/>
          <w:color w:val="auto"/>
          <w:highlight w:val="none"/>
        </w:rPr>
        <w:t>尿中含氮量、NH</w:t>
      </w:r>
      <w:r>
        <w:rPr>
          <w:rFonts w:hint="default" w:ascii="Arial" w:hAnsi="Arial" w:eastAsia="宋体" w:cs="Arial"/>
          <w:color w:val="auto"/>
          <w:highlight w:val="none"/>
          <w:vertAlign w:val="subscript"/>
        </w:rPr>
        <w:t>3</w:t>
      </w:r>
      <w:r>
        <w:rPr>
          <w:rFonts w:hint="default" w:ascii="Arial" w:hAnsi="Arial" w:eastAsia="宋体" w:cs="Arial"/>
          <w:color w:val="auto"/>
          <w:highlight w:val="none"/>
        </w:rPr>
        <w:t>和H</w:t>
      </w:r>
      <w:r>
        <w:rPr>
          <w:rFonts w:hint="default" w:ascii="Arial" w:hAnsi="Arial" w:eastAsia="宋体" w:cs="Arial"/>
          <w:color w:val="auto"/>
          <w:highlight w:val="none"/>
          <w:vertAlign w:val="subscript"/>
        </w:rPr>
        <w:t>2</w:t>
      </w:r>
      <w:r>
        <w:rPr>
          <w:rFonts w:hint="default" w:ascii="Arial" w:hAnsi="Arial" w:eastAsia="宋体" w:cs="Arial"/>
          <w:color w:val="auto"/>
          <w:highlight w:val="none"/>
        </w:rPr>
        <w:t>S散发量的比较》文章中，</w:t>
      </w:r>
      <w:r>
        <w:rPr>
          <w:rFonts w:hint="default" w:ascii="Arial" w:hAnsi="Arial" w:eastAsia="宋体" w:cs="Arial"/>
          <w:color w:val="auto"/>
          <w:highlight w:val="none"/>
          <w:lang w:eastAsia="zh-CN"/>
        </w:rPr>
        <w:t>肉牛粪便</w:t>
      </w:r>
      <w:r>
        <w:rPr>
          <w:rFonts w:hint="default" w:ascii="Arial" w:hAnsi="Arial" w:eastAsia="宋体" w:cs="Arial"/>
          <w:color w:val="auto"/>
          <w:highlight w:val="none"/>
        </w:rPr>
        <w:t>中硫化氢散发量为0.002mg/g，本次评价H</w:t>
      </w:r>
      <w:r>
        <w:rPr>
          <w:rFonts w:hint="default" w:ascii="Arial" w:hAnsi="Arial" w:eastAsia="宋体" w:cs="Arial"/>
          <w:color w:val="auto"/>
          <w:highlight w:val="none"/>
          <w:vertAlign w:val="subscript"/>
        </w:rPr>
        <w:t>2</w:t>
      </w:r>
      <w:r>
        <w:rPr>
          <w:rFonts w:hint="default" w:ascii="Arial" w:hAnsi="Arial" w:eastAsia="宋体" w:cs="Arial"/>
          <w:color w:val="auto"/>
          <w:highlight w:val="none"/>
        </w:rPr>
        <w:t>S产生量以0.002mg/g计，本项目粪便产生量为</w:t>
      </w:r>
      <w:r>
        <w:rPr>
          <w:rFonts w:hint="default" w:ascii="Arial" w:hAnsi="Arial" w:eastAsia="宋体" w:cs="Arial"/>
          <w:color w:val="auto"/>
          <w:highlight w:val="none"/>
          <w:lang w:val="en-US" w:eastAsia="zh-CN"/>
        </w:rPr>
        <w:t>108.8</w:t>
      </w:r>
      <w:r>
        <w:rPr>
          <w:rFonts w:hint="default" w:ascii="Arial" w:hAnsi="Arial" w:eastAsia="宋体" w:cs="Arial"/>
          <w:color w:val="auto"/>
          <w:highlight w:val="none"/>
        </w:rPr>
        <w:t>t/d，则本项目H</w:t>
      </w:r>
      <w:r>
        <w:rPr>
          <w:rFonts w:hint="default" w:ascii="Arial" w:hAnsi="Arial" w:eastAsia="宋体" w:cs="Arial"/>
          <w:color w:val="auto"/>
          <w:highlight w:val="none"/>
          <w:vertAlign w:val="subscript"/>
        </w:rPr>
        <w:t>2</w:t>
      </w:r>
      <w:r>
        <w:rPr>
          <w:rFonts w:hint="default" w:ascii="Arial" w:hAnsi="Arial" w:eastAsia="宋体" w:cs="Arial"/>
          <w:color w:val="auto"/>
          <w:highlight w:val="none"/>
        </w:rPr>
        <w:t>S总产生量为</w:t>
      </w:r>
      <w:r>
        <w:rPr>
          <w:rFonts w:hint="default" w:ascii="Arial" w:hAnsi="Arial" w:eastAsia="宋体" w:cs="Arial"/>
          <w:color w:val="auto"/>
          <w:highlight w:val="none"/>
          <w:lang w:val="en-US" w:eastAsia="zh-CN"/>
        </w:rPr>
        <w:t>0.2176</w:t>
      </w:r>
      <w:r>
        <w:rPr>
          <w:rFonts w:hint="default" w:ascii="Arial" w:hAnsi="Arial" w:eastAsia="宋体" w:cs="Arial"/>
          <w:color w:val="auto"/>
          <w:highlight w:val="none"/>
        </w:rPr>
        <w:t>kg/d（即</w:t>
      </w:r>
      <w:r>
        <w:rPr>
          <w:rFonts w:hint="default" w:ascii="Arial" w:hAnsi="Arial" w:eastAsia="宋体" w:cs="Arial"/>
          <w:color w:val="auto"/>
          <w:highlight w:val="none"/>
          <w:lang w:val="en-US" w:eastAsia="zh-CN"/>
        </w:rPr>
        <w:t>0.0091</w:t>
      </w:r>
      <w:r>
        <w:rPr>
          <w:rFonts w:hint="default" w:ascii="Arial" w:hAnsi="Arial" w:eastAsia="宋体" w:cs="Arial"/>
          <w:color w:val="auto"/>
          <w:highlight w:val="none"/>
        </w:rPr>
        <w:t>kg/h）。第1天释放量为总量的</w:t>
      </w:r>
      <w:r>
        <w:rPr>
          <w:rFonts w:hint="default" w:ascii="Arial" w:hAnsi="Arial" w:eastAsia="宋体" w:cs="Arial"/>
          <w:color w:val="auto"/>
          <w:highlight w:val="none"/>
          <w:lang w:val="en-US" w:eastAsia="zh-CN"/>
        </w:rPr>
        <w:t>6</w:t>
      </w:r>
      <w:r>
        <w:rPr>
          <w:rFonts w:hint="default" w:ascii="Arial" w:hAnsi="Arial" w:eastAsia="宋体" w:cs="Arial"/>
          <w:color w:val="auto"/>
          <w:highlight w:val="none"/>
        </w:rPr>
        <w:t>0%，其余14天释放量为总量的</w:t>
      </w:r>
      <w:r>
        <w:rPr>
          <w:rFonts w:hint="default" w:ascii="Arial" w:hAnsi="Arial" w:eastAsia="宋体" w:cs="Arial"/>
          <w:color w:val="auto"/>
          <w:highlight w:val="none"/>
          <w:lang w:val="en-US" w:eastAsia="zh-CN"/>
        </w:rPr>
        <w:t>4</w:t>
      </w:r>
      <w:r>
        <w:rPr>
          <w:rFonts w:hint="default" w:ascii="Arial" w:hAnsi="Arial" w:eastAsia="宋体" w:cs="Arial"/>
          <w:color w:val="auto"/>
          <w:highlight w:val="none"/>
        </w:rPr>
        <w:t>0%。则牛舍H</w:t>
      </w:r>
      <w:r>
        <w:rPr>
          <w:rFonts w:hint="default" w:ascii="Arial" w:hAnsi="Arial" w:eastAsia="宋体" w:cs="Arial"/>
          <w:color w:val="auto"/>
          <w:highlight w:val="none"/>
          <w:vertAlign w:val="subscript"/>
        </w:rPr>
        <w:t>2</w:t>
      </w:r>
      <w:r>
        <w:rPr>
          <w:rFonts w:hint="default" w:ascii="Arial" w:hAnsi="Arial" w:eastAsia="宋体" w:cs="Arial"/>
          <w:color w:val="auto"/>
          <w:highlight w:val="none"/>
        </w:rPr>
        <w:t>S产生量为</w:t>
      </w:r>
      <w:r>
        <w:rPr>
          <w:rFonts w:hint="default" w:ascii="Arial" w:hAnsi="Arial" w:eastAsia="宋体" w:cs="Arial"/>
          <w:color w:val="auto"/>
          <w:highlight w:val="none"/>
          <w:lang w:val="en-US" w:eastAsia="zh-CN"/>
        </w:rPr>
        <w:t>0.1306</w:t>
      </w:r>
      <w:r>
        <w:rPr>
          <w:rFonts w:hint="default" w:ascii="Arial" w:hAnsi="Arial" w:eastAsia="宋体" w:cs="Arial"/>
          <w:color w:val="auto"/>
          <w:highlight w:val="none"/>
        </w:rPr>
        <w:t>kg/d（0.0</w:t>
      </w:r>
      <w:r>
        <w:rPr>
          <w:rFonts w:hint="default" w:ascii="Arial" w:hAnsi="Arial" w:eastAsia="宋体" w:cs="Arial"/>
          <w:color w:val="auto"/>
          <w:highlight w:val="none"/>
          <w:lang w:val="en-US" w:eastAsia="zh-CN"/>
        </w:rPr>
        <w:t>054</w:t>
      </w:r>
      <w:r>
        <w:rPr>
          <w:rFonts w:hint="default" w:ascii="Arial" w:hAnsi="Arial" w:eastAsia="宋体" w:cs="Arial"/>
          <w:color w:val="auto"/>
          <w:highlight w:val="none"/>
        </w:rPr>
        <w:t>kg/h）。</w:t>
      </w:r>
    </w:p>
    <w:p>
      <w:pPr>
        <w:pageBreakBefore w:val="0"/>
        <w:widowControl w:val="0"/>
        <w:kinsoku/>
        <w:wordWrap/>
        <w:topLinePunct/>
        <w:autoSpaceDN/>
        <w:bidi w:val="0"/>
        <w:adjustRightInd/>
        <w:snapToGrid/>
        <w:spacing w:line="480" w:lineRule="exact"/>
        <w:ind w:firstLine="480"/>
        <w:textAlignment w:val="auto"/>
        <w:rPr>
          <w:rFonts w:hint="default" w:ascii="Arial" w:hAnsi="Arial" w:eastAsia="宋体" w:cs="Arial"/>
          <w:bCs/>
          <w:color w:val="auto"/>
          <w:highlight w:val="none"/>
        </w:rPr>
      </w:pPr>
      <w:r>
        <w:rPr>
          <w:rFonts w:hint="default" w:ascii="Arial" w:hAnsi="Arial" w:eastAsia="宋体" w:cs="Arial"/>
          <w:bCs/>
          <w:color w:val="auto"/>
          <w:highlight w:val="none"/>
        </w:rPr>
        <w:t>根据《EM制剂在农业清洁生产上的应用》（福建省农业科学院）中的相关研究报告，使用EM制剂的养牛场等禽类养殖场，氨气及硫化氢等臭气浓度可以降低70-80%，使用EM制剂的养牛等兽类养殖场养殖舍内臭气基本可消除，本次评价EM制剂除臭以</w:t>
      </w:r>
      <w:r>
        <w:rPr>
          <w:rFonts w:hint="default" w:ascii="Arial" w:hAnsi="Arial" w:eastAsia="宋体" w:cs="Arial"/>
          <w:bCs/>
          <w:color w:val="auto"/>
          <w:highlight w:val="none"/>
          <w:lang w:val="en-US" w:eastAsia="zh-CN"/>
        </w:rPr>
        <w:t>8</w:t>
      </w:r>
      <w:r>
        <w:rPr>
          <w:rFonts w:hint="default" w:ascii="Arial" w:hAnsi="Arial" w:eastAsia="宋体" w:cs="Arial"/>
          <w:bCs/>
          <w:color w:val="auto"/>
          <w:highlight w:val="none"/>
        </w:rPr>
        <w:t>0%计算。</w:t>
      </w:r>
    </w:p>
    <w:p>
      <w:pPr>
        <w:pageBreakBefore w:val="0"/>
        <w:widowControl w:val="0"/>
        <w:kinsoku/>
        <w:wordWrap/>
        <w:topLinePunct/>
        <w:autoSpaceDN/>
        <w:bidi w:val="0"/>
        <w:adjustRightInd/>
        <w:snapToGrid/>
        <w:spacing w:line="480" w:lineRule="exact"/>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本项目养殖饲料在采用TMR饲喂的同时，还应采用理想蛋白质体系配方，使肠内的有益细菌增殖，使肠的活动能力增强，以提高蛋白质及其它营养的吸收效率，从而达到抑制粪尿恶臭的目的。但值得注意的是，使用饲料添加剂时，应选择微生物、低聚糖等无公害添加剂，以保证畜产品的安全和无公害。</w:t>
      </w:r>
    </w:p>
    <w:p>
      <w:pPr>
        <w:pageBreakBefore w:val="0"/>
        <w:widowControl w:val="0"/>
        <w:kinsoku/>
        <w:wordWrap/>
        <w:topLinePunct/>
        <w:autoSpaceDN/>
        <w:bidi w:val="0"/>
        <w:adjustRightInd/>
        <w:snapToGrid/>
        <w:spacing w:line="480" w:lineRule="exact"/>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采取上述措施后，牛舍恶臭污染物NH</w:t>
      </w:r>
      <w:r>
        <w:rPr>
          <w:rFonts w:hint="default" w:ascii="Arial" w:hAnsi="Arial" w:eastAsia="宋体" w:cs="Arial"/>
          <w:color w:val="auto"/>
          <w:highlight w:val="none"/>
          <w:vertAlign w:val="subscript"/>
        </w:rPr>
        <w:t>3</w:t>
      </w:r>
      <w:r>
        <w:rPr>
          <w:rFonts w:hint="default" w:ascii="Arial" w:hAnsi="Arial" w:eastAsia="宋体" w:cs="Arial"/>
          <w:color w:val="auto"/>
          <w:highlight w:val="none"/>
        </w:rPr>
        <w:t>排放速率为</w:t>
      </w:r>
      <w:r>
        <w:rPr>
          <w:rFonts w:hint="default" w:ascii="Arial" w:hAnsi="Arial" w:eastAsia="宋体" w:cs="Arial"/>
          <w:color w:val="auto"/>
          <w:szCs w:val="21"/>
          <w:highlight w:val="none"/>
          <w:lang w:val="en-US" w:eastAsia="zh-CN"/>
        </w:rPr>
        <w:t>0.0833</w:t>
      </w:r>
      <w:r>
        <w:rPr>
          <w:rFonts w:hint="default" w:ascii="Arial" w:hAnsi="Arial" w:eastAsia="宋体" w:cs="Arial"/>
          <w:color w:val="auto"/>
          <w:szCs w:val="21"/>
          <w:highlight w:val="none"/>
        </w:rPr>
        <w:t>kg/h，排放量为</w:t>
      </w:r>
      <w:r>
        <w:rPr>
          <w:rFonts w:hint="default" w:ascii="Arial" w:hAnsi="Arial" w:eastAsia="宋体" w:cs="Arial"/>
          <w:color w:val="auto"/>
          <w:szCs w:val="21"/>
          <w:highlight w:val="none"/>
          <w:lang w:val="en-US" w:eastAsia="zh-CN"/>
        </w:rPr>
        <w:t>0.7297</w:t>
      </w:r>
      <w:r>
        <w:rPr>
          <w:rFonts w:hint="default" w:ascii="Arial" w:hAnsi="Arial" w:eastAsia="宋体" w:cs="Arial"/>
          <w:color w:val="auto"/>
          <w:szCs w:val="21"/>
          <w:highlight w:val="none"/>
        </w:rPr>
        <w:t>t/a；</w:t>
      </w:r>
      <w:r>
        <w:rPr>
          <w:rFonts w:hint="default" w:ascii="Arial" w:hAnsi="Arial" w:eastAsia="宋体" w:cs="Arial"/>
          <w:color w:val="auto"/>
          <w:highlight w:val="none"/>
        </w:rPr>
        <w:t>H</w:t>
      </w:r>
      <w:r>
        <w:rPr>
          <w:rFonts w:hint="default" w:ascii="Arial" w:hAnsi="Arial" w:eastAsia="宋体" w:cs="Arial"/>
          <w:color w:val="auto"/>
          <w:highlight w:val="none"/>
          <w:vertAlign w:val="subscript"/>
        </w:rPr>
        <w:t>2</w:t>
      </w:r>
      <w:r>
        <w:rPr>
          <w:rFonts w:hint="default" w:ascii="Arial" w:hAnsi="Arial" w:eastAsia="宋体" w:cs="Arial"/>
          <w:color w:val="auto"/>
          <w:highlight w:val="none"/>
        </w:rPr>
        <w:t>S排放速率为0.00</w:t>
      </w:r>
      <w:r>
        <w:rPr>
          <w:rFonts w:hint="default" w:ascii="Arial" w:hAnsi="Arial" w:eastAsia="宋体" w:cs="Arial"/>
          <w:color w:val="auto"/>
          <w:highlight w:val="none"/>
          <w:lang w:val="en-US" w:eastAsia="zh-CN"/>
        </w:rPr>
        <w:t>11</w:t>
      </w:r>
      <w:r>
        <w:rPr>
          <w:rFonts w:hint="default" w:ascii="Arial" w:hAnsi="Arial" w:eastAsia="宋体" w:cs="Arial"/>
          <w:color w:val="auto"/>
          <w:highlight w:val="none"/>
        </w:rPr>
        <w:t>kg/h，排放量为0.0</w:t>
      </w:r>
      <w:r>
        <w:rPr>
          <w:rFonts w:hint="default" w:ascii="Arial" w:hAnsi="Arial" w:eastAsia="宋体" w:cs="Arial"/>
          <w:color w:val="auto"/>
          <w:highlight w:val="none"/>
          <w:lang w:val="en-US" w:eastAsia="zh-CN"/>
        </w:rPr>
        <w:t>096</w:t>
      </w:r>
      <w:r>
        <w:rPr>
          <w:rFonts w:hint="default" w:ascii="Arial" w:hAnsi="Arial" w:eastAsia="宋体" w:cs="Arial"/>
          <w:color w:val="auto"/>
          <w:highlight w:val="none"/>
        </w:rPr>
        <w:t>t/a。</w:t>
      </w:r>
    </w:p>
    <w:p>
      <w:pPr>
        <w:pageBreakBefore w:val="0"/>
        <w:widowControl w:val="0"/>
        <w:kinsoku/>
        <w:wordWrap/>
        <w:topLinePunct/>
        <w:autoSpaceDN/>
        <w:bidi w:val="0"/>
        <w:adjustRightInd/>
        <w:snapToGrid/>
        <w:spacing w:line="480" w:lineRule="exact"/>
        <w:ind w:firstLine="480"/>
        <w:textAlignment w:val="auto"/>
        <w:rPr>
          <w:rFonts w:hint="default" w:ascii="Arial" w:hAnsi="Arial" w:eastAsia="宋体" w:cs="Arial"/>
          <w:color w:val="auto"/>
          <w:highlight w:val="none"/>
          <w:lang w:eastAsia="zh-CN"/>
        </w:rPr>
      </w:pPr>
      <w:r>
        <w:rPr>
          <w:rFonts w:hint="default" w:ascii="Arial" w:hAnsi="Arial" w:eastAsia="宋体" w:cs="Arial"/>
          <w:color w:val="auto"/>
          <w:highlight w:val="none"/>
        </w:rPr>
        <w:t>2）</w:t>
      </w:r>
      <w:r>
        <w:rPr>
          <w:rFonts w:hint="default" w:ascii="Arial" w:hAnsi="Arial" w:eastAsia="宋体" w:cs="Arial"/>
          <w:color w:val="auto"/>
          <w:highlight w:val="none"/>
          <w:lang w:eastAsia="zh-CN"/>
        </w:rPr>
        <w:t>堆肥场</w:t>
      </w:r>
    </w:p>
    <w:p>
      <w:pPr>
        <w:pageBreakBefore w:val="0"/>
        <w:widowControl w:val="0"/>
        <w:kinsoku/>
        <w:wordWrap/>
        <w:topLinePunct/>
        <w:autoSpaceDN/>
        <w:bidi w:val="0"/>
        <w:adjustRightInd/>
        <w:snapToGrid/>
        <w:spacing w:line="480" w:lineRule="exact"/>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项目牛舍</w:t>
      </w:r>
      <w:r>
        <w:rPr>
          <w:rFonts w:hint="default" w:ascii="Arial" w:hAnsi="Arial" w:eastAsia="宋体" w:cs="Arial"/>
          <w:color w:val="auto"/>
          <w:highlight w:val="none"/>
          <w:lang w:eastAsia="zh-CN"/>
        </w:rPr>
        <w:t>牛粪便</w:t>
      </w:r>
      <w:r>
        <w:rPr>
          <w:rFonts w:hint="default" w:ascii="Arial" w:hAnsi="Arial" w:eastAsia="宋体" w:cs="Arial"/>
          <w:color w:val="auto"/>
          <w:highlight w:val="none"/>
        </w:rPr>
        <w:t>日产日清至</w:t>
      </w:r>
      <w:r>
        <w:rPr>
          <w:rFonts w:hint="default" w:ascii="Arial" w:hAnsi="Arial" w:eastAsia="宋体" w:cs="Arial"/>
          <w:color w:val="auto"/>
          <w:highlight w:val="none"/>
          <w:lang w:eastAsia="zh-CN"/>
        </w:rPr>
        <w:t>堆肥场堆肥</w:t>
      </w:r>
      <w:r>
        <w:rPr>
          <w:rFonts w:hint="default" w:ascii="Arial" w:hAnsi="Arial" w:eastAsia="宋体" w:cs="Arial"/>
          <w:color w:val="auto"/>
          <w:highlight w:val="none"/>
        </w:rPr>
        <w:t>，</w:t>
      </w:r>
      <w:r>
        <w:rPr>
          <w:rFonts w:hint="default" w:ascii="Arial" w:hAnsi="Arial" w:eastAsia="宋体" w:cs="Arial"/>
          <w:color w:val="auto"/>
          <w:highlight w:val="none"/>
          <w:lang w:eastAsia="zh-CN"/>
        </w:rPr>
        <w:t>牛粪便</w:t>
      </w:r>
      <w:r>
        <w:rPr>
          <w:rFonts w:hint="default" w:ascii="Arial" w:hAnsi="Arial" w:eastAsia="宋体" w:cs="Arial"/>
          <w:color w:val="auto"/>
          <w:highlight w:val="none"/>
        </w:rPr>
        <w:t>中氨气释放速率呈对数函数形式递减，第1天释放量为总量的</w:t>
      </w:r>
      <w:r>
        <w:rPr>
          <w:rFonts w:hint="default" w:ascii="Arial" w:hAnsi="Arial" w:eastAsia="宋体" w:cs="Arial"/>
          <w:color w:val="auto"/>
          <w:highlight w:val="none"/>
          <w:lang w:val="en-US" w:eastAsia="zh-CN"/>
        </w:rPr>
        <w:t>6</w:t>
      </w:r>
      <w:r>
        <w:rPr>
          <w:rFonts w:hint="default" w:ascii="Arial" w:hAnsi="Arial" w:eastAsia="宋体" w:cs="Arial"/>
          <w:color w:val="auto"/>
          <w:highlight w:val="none"/>
        </w:rPr>
        <w:t>0%，其余14天释放量为总量的</w:t>
      </w:r>
      <w:r>
        <w:rPr>
          <w:rFonts w:hint="default" w:ascii="Arial" w:hAnsi="Arial" w:eastAsia="宋体" w:cs="Arial"/>
          <w:color w:val="auto"/>
          <w:highlight w:val="none"/>
          <w:lang w:val="en-US" w:eastAsia="zh-CN"/>
        </w:rPr>
        <w:t>4</w:t>
      </w:r>
      <w:r>
        <w:rPr>
          <w:rFonts w:hint="default" w:ascii="Arial" w:hAnsi="Arial" w:eastAsia="宋体" w:cs="Arial"/>
          <w:color w:val="auto"/>
          <w:highlight w:val="none"/>
        </w:rPr>
        <w:t>0%。</w:t>
      </w:r>
    </w:p>
    <w:p>
      <w:pPr>
        <w:pageBreakBefore w:val="0"/>
        <w:widowControl w:val="0"/>
        <w:kinsoku/>
        <w:wordWrap/>
        <w:topLinePunct/>
        <w:autoSpaceDN/>
        <w:bidi w:val="0"/>
        <w:adjustRightInd/>
        <w:snapToGrid/>
        <w:spacing w:line="480" w:lineRule="exact"/>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lang w:eastAsia="zh-CN"/>
        </w:rPr>
        <w:t>堆肥场处</w:t>
      </w:r>
      <w:r>
        <w:rPr>
          <w:rFonts w:hint="default" w:ascii="Arial" w:hAnsi="Arial" w:eastAsia="宋体" w:cs="Arial"/>
          <w:color w:val="auto"/>
          <w:highlight w:val="none"/>
        </w:rPr>
        <w:t>NH</w:t>
      </w:r>
      <w:r>
        <w:rPr>
          <w:rFonts w:hint="default" w:ascii="Arial" w:hAnsi="Arial" w:eastAsia="宋体" w:cs="Arial"/>
          <w:color w:val="auto"/>
          <w:highlight w:val="none"/>
          <w:vertAlign w:val="subscript"/>
        </w:rPr>
        <w:t>3</w:t>
      </w:r>
      <w:r>
        <w:rPr>
          <w:rFonts w:hint="default" w:ascii="Arial" w:hAnsi="Arial" w:eastAsia="宋体" w:cs="Arial"/>
          <w:color w:val="auto"/>
          <w:highlight w:val="none"/>
        </w:rPr>
        <w:t>产生量为</w:t>
      </w:r>
      <w:r>
        <w:rPr>
          <w:rFonts w:hint="default" w:ascii="Arial" w:hAnsi="Arial" w:eastAsia="宋体" w:cs="Arial"/>
          <w:color w:val="auto"/>
          <w:highlight w:val="none"/>
          <w:lang w:val="en-US" w:eastAsia="zh-CN"/>
        </w:rPr>
        <w:t>6.66</w:t>
      </w:r>
      <w:r>
        <w:rPr>
          <w:rFonts w:hint="default" w:ascii="Arial" w:hAnsi="Arial" w:eastAsia="宋体" w:cs="Arial"/>
          <w:color w:val="auto"/>
          <w:highlight w:val="none"/>
        </w:rPr>
        <w:t>kg/d（即</w:t>
      </w:r>
      <w:r>
        <w:rPr>
          <w:rFonts w:hint="default" w:ascii="Arial" w:hAnsi="Arial" w:eastAsia="宋体" w:cs="Arial"/>
          <w:color w:val="auto"/>
          <w:highlight w:val="none"/>
          <w:lang w:val="en-US" w:eastAsia="zh-CN"/>
        </w:rPr>
        <w:t>0.2775</w:t>
      </w:r>
      <w:r>
        <w:rPr>
          <w:rFonts w:hint="default" w:ascii="Arial" w:hAnsi="Arial" w:eastAsia="宋体" w:cs="Arial"/>
          <w:color w:val="auto"/>
          <w:highlight w:val="none"/>
        </w:rPr>
        <w:t>kg/h），H</w:t>
      </w:r>
      <w:r>
        <w:rPr>
          <w:rFonts w:hint="default" w:ascii="Arial" w:hAnsi="Arial" w:eastAsia="宋体" w:cs="Arial"/>
          <w:color w:val="auto"/>
          <w:highlight w:val="none"/>
          <w:vertAlign w:val="subscript"/>
        </w:rPr>
        <w:t>2</w:t>
      </w:r>
      <w:r>
        <w:rPr>
          <w:rFonts w:hint="default" w:ascii="Arial" w:hAnsi="Arial" w:eastAsia="宋体" w:cs="Arial"/>
          <w:color w:val="auto"/>
          <w:highlight w:val="none"/>
        </w:rPr>
        <w:t>S产生量为</w:t>
      </w:r>
      <w:r>
        <w:rPr>
          <w:rFonts w:hint="default" w:ascii="Arial" w:hAnsi="Arial" w:eastAsia="宋体" w:cs="Arial"/>
          <w:color w:val="auto"/>
          <w:highlight w:val="none"/>
          <w:lang w:val="en-US" w:eastAsia="zh-CN"/>
        </w:rPr>
        <w:t>0.0870</w:t>
      </w:r>
      <w:r>
        <w:rPr>
          <w:rFonts w:hint="default" w:ascii="Arial" w:hAnsi="Arial" w:eastAsia="宋体" w:cs="Arial"/>
          <w:color w:val="auto"/>
          <w:highlight w:val="none"/>
        </w:rPr>
        <w:t>kg/d（即0.0</w:t>
      </w:r>
      <w:r>
        <w:rPr>
          <w:rFonts w:hint="default" w:ascii="Arial" w:hAnsi="Arial" w:eastAsia="宋体" w:cs="Arial"/>
          <w:color w:val="auto"/>
          <w:highlight w:val="none"/>
          <w:lang w:val="en-US" w:eastAsia="zh-CN"/>
        </w:rPr>
        <w:t>036</w:t>
      </w:r>
      <w:r>
        <w:rPr>
          <w:rFonts w:hint="default" w:ascii="Arial" w:hAnsi="Arial" w:eastAsia="宋体" w:cs="Arial"/>
          <w:color w:val="auto"/>
          <w:highlight w:val="none"/>
        </w:rPr>
        <w:t>kg/h）；饲料中加入EM菌液，在添加0.2kgEM/吨（饲料）的情况下，可从源头上减少约</w:t>
      </w:r>
      <w:r>
        <w:rPr>
          <w:rFonts w:hint="default" w:ascii="Arial" w:hAnsi="Arial" w:eastAsia="宋体" w:cs="Arial"/>
          <w:color w:val="auto"/>
          <w:highlight w:val="none"/>
          <w:lang w:val="en-US" w:eastAsia="zh-CN"/>
        </w:rPr>
        <w:t>8</w:t>
      </w:r>
      <w:r>
        <w:rPr>
          <w:rFonts w:hint="default" w:ascii="Arial" w:hAnsi="Arial" w:eastAsia="宋体" w:cs="Arial"/>
          <w:color w:val="auto"/>
          <w:highlight w:val="none"/>
        </w:rPr>
        <w:t>0%的粪污恶臭产生量</w:t>
      </w:r>
      <w:r>
        <w:rPr>
          <w:rFonts w:hint="default" w:ascii="Arial" w:hAnsi="Arial" w:eastAsia="宋体" w:cs="Arial"/>
          <w:color w:val="auto"/>
          <w:highlight w:val="none"/>
          <w:lang w:eastAsia="zh-CN"/>
        </w:rPr>
        <w:t>；</w:t>
      </w:r>
      <w:r>
        <w:rPr>
          <w:rFonts w:hint="default" w:ascii="Arial" w:hAnsi="Arial" w:eastAsia="宋体" w:cs="Arial"/>
          <w:color w:val="auto"/>
          <w:highlight w:val="none"/>
        </w:rPr>
        <w:t>并在</w:t>
      </w:r>
      <w:r>
        <w:rPr>
          <w:rFonts w:hint="default" w:ascii="Arial" w:hAnsi="Arial" w:eastAsia="宋体" w:cs="Arial"/>
          <w:color w:val="auto"/>
          <w:highlight w:val="none"/>
          <w:lang w:eastAsia="zh-CN"/>
        </w:rPr>
        <w:t>堆肥场</w:t>
      </w:r>
      <w:r>
        <w:rPr>
          <w:rFonts w:hint="default" w:ascii="Arial" w:hAnsi="Arial" w:eastAsia="宋体" w:cs="Arial"/>
          <w:color w:val="auto"/>
          <w:highlight w:val="none"/>
        </w:rPr>
        <w:t>喷洒植物型除臭剂，定期喷洒植物型除臭剂，并加强</w:t>
      </w:r>
      <w:r>
        <w:rPr>
          <w:rFonts w:hint="default" w:ascii="Arial" w:hAnsi="Arial" w:eastAsia="宋体" w:cs="Arial"/>
          <w:color w:val="auto"/>
          <w:highlight w:val="none"/>
          <w:lang w:eastAsia="zh-CN"/>
        </w:rPr>
        <w:t>堆肥场</w:t>
      </w:r>
      <w:r>
        <w:rPr>
          <w:rFonts w:hint="default" w:ascii="Arial" w:hAnsi="Arial" w:eastAsia="宋体" w:cs="Arial"/>
          <w:color w:val="auto"/>
          <w:highlight w:val="none"/>
        </w:rPr>
        <w:t>四周场地的绿化，可有效减小恶臭气体的排放量，去除效率为</w:t>
      </w:r>
      <w:r>
        <w:rPr>
          <w:rFonts w:hint="default" w:ascii="Arial" w:hAnsi="Arial" w:eastAsia="宋体" w:cs="Arial"/>
          <w:color w:val="auto"/>
          <w:highlight w:val="none"/>
          <w:lang w:val="en-US" w:eastAsia="zh-CN"/>
        </w:rPr>
        <w:t>7</w:t>
      </w:r>
      <w:r>
        <w:rPr>
          <w:rFonts w:hint="default" w:ascii="Arial" w:hAnsi="Arial" w:eastAsia="宋体" w:cs="Arial"/>
          <w:color w:val="auto"/>
          <w:highlight w:val="none"/>
        </w:rPr>
        <w:t>0%</w:t>
      </w:r>
      <w:r>
        <w:rPr>
          <w:rFonts w:hint="default" w:ascii="Arial" w:hAnsi="Arial" w:eastAsia="宋体" w:cs="Arial"/>
          <w:color w:val="auto"/>
          <w:highlight w:val="none"/>
          <w:lang w:eastAsia="zh-CN"/>
        </w:rPr>
        <w:t>；</w:t>
      </w:r>
      <w:r>
        <w:rPr>
          <w:rFonts w:hint="default" w:ascii="Arial" w:hAnsi="Arial" w:eastAsia="宋体" w:cs="Arial"/>
          <w:bCs/>
          <w:color w:val="auto"/>
          <w:highlight w:val="none"/>
        </w:rPr>
        <w:t>本次评价EM制剂除臭以</w:t>
      </w:r>
      <w:r>
        <w:rPr>
          <w:rFonts w:hint="default" w:ascii="Arial" w:hAnsi="Arial" w:eastAsia="宋体" w:cs="Arial"/>
          <w:bCs/>
          <w:color w:val="auto"/>
          <w:highlight w:val="none"/>
          <w:lang w:val="en-US" w:eastAsia="zh-CN"/>
        </w:rPr>
        <w:t>8</w:t>
      </w:r>
      <w:r>
        <w:rPr>
          <w:rFonts w:hint="default" w:ascii="Arial" w:hAnsi="Arial" w:eastAsia="宋体" w:cs="Arial"/>
          <w:bCs/>
          <w:color w:val="auto"/>
          <w:highlight w:val="none"/>
        </w:rPr>
        <w:t>0%计算</w:t>
      </w:r>
      <w:r>
        <w:rPr>
          <w:rFonts w:hint="default" w:ascii="Arial" w:hAnsi="Arial" w:eastAsia="宋体" w:cs="Arial"/>
          <w:color w:val="auto"/>
          <w:highlight w:val="none"/>
        </w:rPr>
        <w:t>。</w:t>
      </w:r>
    </w:p>
    <w:p>
      <w:pPr>
        <w:pageBreakBefore w:val="0"/>
        <w:widowControl w:val="0"/>
        <w:kinsoku/>
        <w:wordWrap/>
        <w:topLinePunct/>
        <w:autoSpaceDN/>
        <w:bidi w:val="0"/>
        <w:adjustRightInd/>
        <w:snapToGrid/>
        <w:spacing w:line="480" w:lineRule="exact"/>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采取上述措施后，</w:t>
      </w:r>
      <w:r>
        <w:rPr>
          <w:rFonts w:hint="default" w:ascii="Arial" w:hAnsi="Arial" w:eastAsia="宋体" w:cs="Arial"/>
          <w:color w:val="auto"/>
          <w:highlight w:val="none"/>
          <w:lang w:eastAsia="zh-CN"/>
        </w:rPr>
        <w:t>堆肥场</w:t>
      </w:r>
      <w:r>
        <w:rPr>
          <w:rFonts w:hint="default" w:ascii="Arial" w:hAnsi="Arial" w:eastAsia="宋体" w:cs="Arial"/>
          <w:color w:val="auto"/>
          <w:highlight w:val="none"/>
        </w:rPr>
        <w:t>恶臭污染物NH</w:t>
      </w:r>
      <w:r>
        <w:rPr>
          <w:rFonts w:hint="default" w:ascii="Arial" w:hAnsi="Arial" w:eastAsia="宋体" w:cs="Arial"/>
          <w:color w:val="auto"/>
          <w:highlight w:val="none"/>
          <w:vertAlign w:val="subscript"/>
        </w:rPr>
        <w:t>3</w:t>
      </w:r>
      <w:r>
        <w:rPr>
          <w:rFonts w:hint="default" w:ascii="Arial" w:hAnsi="Arial" w:eastAsia="宋体" w:cs="Arial"/>
          <w:color w:val="auto"/>
          <w:highlight w:val="none"/>
        </w:rPr>
        <w:t>排放速率为</w:t>
      </w:r>
      <w:r>
        <w:rPr>
          <w:rFonts w:hint="default" w:ascii="Arial" w:hAnsi="Arial" w:eastAsia="宋体" w:cs="Arial"/>
          <w:color w:val="auto"/>
          <w:szCs w:val="21"/>
          <w:highlight w:val="none"/>
        </w:rPr>
        <w:t>0.</w:t>
      </w:r>
      <w:r>
        <w:rPr>
          <w:rFonts w:hint="default" w:ascii="Arial" w:hAnsi="Arial" w:eastAsia="宋体" w:cs="Arial"/>
          <w:color w:val="auto"/>
          <w:szCs w:val="21"/>
          <w:highlight w:val="none"/>
          <w:lang w:val="en-US" w:eastAsia="zh-CN"/>
        </w:rPr>
        <w:t>0555</w:t>
      </w:r>
      <w:r>
        <w:rPr>
          <w:rFonts w:hint="default" w:ascii="Arial" w:hAnsi="Arial" w:eastAsia="宋体" w:cs="Arial"/>
          <w:color w:val="auto"/>
          <w:szCs w:val="21"/>
          <w:highlight w:val="none"/>
        </w:rPr>
        <w:t>kg/h，排放量为</w:t>
      </w:r>
      <w:r>
        <w:rPr>
          <w:rFonts w:hint="default" w:ascii="Arial" w:hAnsi="Arial" w:eastAsia="宋体" w:cs="Arial"/>
          <w:color w:val="auto"/>
          <w:szCs w:val="21"/>
          <w:highlight w:val="none"/>
          <w:lang w:val="en-US" w:eastAsia="zh-CN"/>
        </w:rPr>
        <w:t>0.4862</w:t>
      </w:r>
      <w:r>
        <w:rPr>
          <w:rFonts w:hint="default" w:ascii="Arial" w:hAnsi="Arial" w:eastAsia="宋体" w:cs="Arial"/>
          <w:color w:val="auto"/>
          <w:szCs w:val="21"/>
          <w:highlight w:val="none"/>
        </w:rPr>
        <w:t>t/a；</w:t>
      </w:r>
      <w:r>
        <w:rPr>
          <w:rFonts w:hint="default" w:ascii="Arial" w:hAnsi="Arial" w:eastAsia="宋体" w:cs="Arial"/>
          <w:color w:val="auto"/>
          <w:highlight w:val="none"/>
        </w:rPr>
        <w:t>H</w:t>
      </w:r>
      <w:r>
        <w:rPr>
          <w:rFonts w:hint="default" w:ascii="Arial" w:hAnsi="Arial" w:eastAsia="宋体" w:cs="Arial"/>
          <w:color w:val="auto"/>
          <w:highlight w:val="none"/>
          <w:vertAlign w:val="subscript"/>
        </w:rPr>
        <w:t>2</w:t>
      </w:r>
      <w:r>
        <w:rPr>
          <w:rFonts w:hint="default" w:ascii="Arial" w:hAnsi="Arial" w:eastAsia="宋体" w:cs="Arial"/>
          <w:color w:val="auto"/>
          <w:highlight w:val="none"/>
        </w:rPr>
        <w:t>S排放速率为0.00</w:t>
      </w:r>
      <w:r>
        <w:rPr>
          <w:rFonts w:hint="default" w:ascii="Arial" w:hAnsi="Arial" w:eastAsia="宋体" w:cs="Arial"/>
          <w:color w:val="auto"/>
          <w:highlight w:val="none"/>
          <w:lang w:val="en-US" w:eastAsia="zh-CN"/>
        </w:rPr>
        <w:t>07</w:t>
      </w:r>
      <w:r>
        <w:rPr>
          <w:rFonts w:hint="default" w:ascii="Arial" w:hAnsi="Arial" w:eastAsia="宋体" w:cs="Arial"/>
          <w:color w:val="auto"/>
          <w:highlight w:val="none"/>
        </w:rPr>
        <w:t>kg/h</w:t>
      </w:r>
      <w:r>
        <w:rPr>
          <w:rFonts w:hint="default" w:ascii="Arial" w:hAnsi="Arial" w:eastAsia="宋体" w:cs="Arial"/>
          <w:color w:val="auto"/>
          <w:szCs w:val="21"/>
          <w:highlight w:val="none"/>
        </w:rPr>
        <w:t>，排放量为</w:t>
      </w:r>
      <w:r>
        <w:rPr>
          <w:rFonts w:hint="default" w:ascii="Arial" w:hAnsi="Arial" w:eastAsia="宋体" w:cs="Arial"/>
          <w:color w:val="auto"/>
          <w:szCs w:val="21"/>
          <w:highlight w:val="none"/>
          <w:lang w:val="en-US" w:eastAsia="zh-CN"/>
        </w:rPr>
        <w:t>0.0061</w:t>
      </w:r>
      <w:r>
        <w:rPr>
          <w:rFonts w:hint="default" w:ascii="Arial" w:hAnsi="Arial" w:eastAsia="宋体" w:cs="Arial"/>
          <w:color w:val="auto"/>
          <w:szCs w:val="21"/>
          <w:highlight w:val="none"/>
        </w:rPr>
        <w:t>t/a</w:t>
      </w:r>
      <w:r>
        <w:rPr>
          <w:rFonts w:hint="default" w:ascii="Arial" w:hAnsi="Arial" w:eastAsia="宋体" w:cs="Arial"/>
          <w:color w:val="auto"/>
          <w:highlight w:val="none"/>
        </w:rPr>
        <w:t>。</w:t>
      </w:r>
    </w:p>
    <w:p>
      <w:pPr>
        <w:pageBreakBefore w:val="0"/>
        <w:widowControl w:val="0"/>
        <w:kinsoku/>
        <w:wordWrap/>
        <w:topLinePunct/>
        <w:autoSpaceDN/>
        <w:bidi w:val="0"/>
        <w:adjustRightInd/>
        <w:snapToGrid/>
        <w:spacing w:line="480" w:lineRule="exact"/>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本项目拟采取以下防治措施减小恶臭污染，内容包括：</w:t>
      </w:r>
    </w:p>
    <w:p>
      <w:pPr>
        <w:pageBreakBefore w:val="0"/>
        <w:widowControl w:val="0"/>
        <w:kinsoku/>
        <w:wordWrap/>
        <w:topLinePunct/>
        <w:autoSpaceDN/>
        <w:bidi w:val="0"/>
        <w:adjustRightInd/>
        <w:snapToGrid/>
        <w:spacing w:line="480" w:lineRule="exact"/>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①牛舍及</w:t>
      </w:r>
      <w:r>
        <w:rPr>
          <w:rFonts w:hint="default" w:ascii="Arial" w:hAnsi="Arial" w:eastAsia="宋体" w:cs="Arial"/>
          <w:color w:val="auto"/>
          <w:highlight w:val="none"/>
          <w:lang w:eastAsia="zh-CN"/>
        </w:rPr>
        <w:t>堆肥场</w:t>
      </w:r>
      <w:r>
        <w:rPr>
          <w:rFonts w:hint="default" w:ascii="Arial" w:hAnsi="Arial" w:eastAsia="宋体" w:cs="Arial"/>
          <w:color w:val="auto"/>
          <w:highlight w:val="none"/>
        </w:rPr>
        <w:t>恶臭污染防治措施</w:t>
      </w:r>
    </w:p>
    <w:p>
      <w:pPr>
        <w:pageBreakBefore w:val="0"/>
        <w:widowControl w:val="0"/>
        <w:kinsoku/>
        <w:wordWrap/>
        <w:topLinePunct/>
        <w:autoSpaceDN/>
        <w:bidi w:val="0"/>
        <w:adjustRightInd/>
        <w:snapToGrid/>
        <w:spacing w:line="480" w:lineRule="exact"/>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A、牛舍内粪污日产日清。夏季应酌情增加清理频次，缩短粪污停留时间。同时要保持牛舍内通风良好，保证舍内干燥、温度适宜，从源头上控制恶臭气体的散发；</w:t>
      </w:r>
    </w:p>
    <w:p>
      <w:pPr>
        <w:pageBreakBefore w:val="0"/>
        <w:widowControl w:val="0"/>
        <w:kinsoku/>
        <w:wordWrap/>
        <w:topLinePunct/>
        <w:autoSpaceDN/>
        <w:bidi w:val="0"/>
        <w:adjustRightInd/>
        <w:snapToGrid/>
        <w:spacing w:line="480" w:lineRule="exact"/>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B、定期喷洒植物型除臭剂，并加强牛舍四周场地的绿化，可有效减小恶臭气体的排放量；</w:t>
      </w:r>
    </w:p>
    <w:p>
      <w:pPr>
        <w:pageBreakBefore w:val="0"/>
        <w:widowControl w:val="0"/>
        <w:kinsoku/>
        <w:wordWrap/>
        <w:topLinePunct/>
        <w:autoSpaceDN/>
        <w:bidi w:val="0"/>
        <w:adjustRightInd/>
        <w:snapToGrid/>
        <w:spacing w:line="480" w:lineRule="exact"/>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②</w:t>
      </w:r>
      <w:r>
        <w:rPr>
          <w:rFonts w:hint="default" w:ascii="Arial" w:hAnsi="Arial" w:eastAsia="宋体" w:cs="Arial"/>
          <w:color w:val="auto"/>
          <w:highlight w:val="none"/>
          <w:lang w:eastAsia="zh-CN"/>
        </w:rPr>
        <w:t>堆肥场</w:t>
      </w:r>
      <w:r>
        <w:rPr>
          <w:rFonts w:hint="default" w:ascii="Arial" w:hAnsi="Arial" w:eastAsia="宋体" w:cs="Arial"/>
          <w:color w:val="auto"/>
          <w:highlight w:val="none"/>
        </w:rPr>
        <w:t>防治措施</w:t>
      </w:r>
    </w:p>
    <w:p>
      <w:pPr>
        <w:pageBreakBefore w:val="0"/>
        <w:widowControl w:val="0"/>
        <w:kinsoku/>
        <w:wordWrap/>
        <w:topLinePunct/>
        <w:autoSpaceDN/>
        <w:bidi w:val="0"/>
        <w:adjustRightInd/>
        <w:snapToGrid/>
        <w:spacing w:line="480" w:lineRule="exact"/>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定期在</w:t>
      </w:r>
      <w:r>
        <w:rPr>
          <w:rFonts w:hint="default" w:ascii="Arial" w:hAnsi="Arial" w:eastAsia="宋体" w:cs="Arial"/>
          <w:color w:val="auto"/>
          <w:highlight w:val="none"/>
          <w:lang w:eastAsia="zh-CN"/>
        </w:rPr>
        <w:t>堆肥场</w:t>
      </w:r>
      <w:r>
        <w:rPr>
          <w:rFonts w:hint="default" w:ascii="Arial" w:hAnsi="Arial" w:eastAsia="宋体" w:cs="Arial"/>
          <w:color w:val="auto"/>
          <w:highlight w:val="none"/>
        </w:rPr>
        <w:t>喷洒植物型除臭剂。</w:t>
      </w:r>
    </w:p>
    <w:p>
      <w:pPr>
        <w:pageBreakBefore w:val="0"/>
        <w:widowControl w:val="0"/>
        <w:kinsoku/>
        <w:wordWrap/>
        <w:topLinePunct/>
        <w:autoSpaceDN/>
        <w:bidi w:val="0"/>
        <w:adjustRightInd/>
        <w:snapToGrid/>
        <w:spacing w:line="480" w:lineRule="exact"/>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综上所述，本项目恶臭气体的排放源强详见下表。</w:t>
      </w:r>
    </w:p>
    <w:p>
      <w:pPr>
        <w:pStyle w:val="8"/>
        <w:pageBreakBefore w:val="0"/>
        <w:widowControl w:val="0"/>
        <w:kinsoku/>
        <w:wordWrap/>
        <w:topLinePunct/>
        <w:autoSpaceDN/>
        <w:bidi w:val="0"/>
        <w:adjustRightInd/>
        <w:snapToGrid/>
        <w:spacing w:line="480" w:lineRule="exact"/>
        <w:textAlignment w:val="auto"/>
        <w:rPr>
          <w:rFonts w:hint="default" w:ascii="Arial" w:hAnsi="Arial" w:eastAsia="宋体" w:cs="Arial"/>
          <w:color w:val="auto"/>
          <w:highlight w:val="none"/>
        </w:rPr>
      </w:pPr>
      <w:r>
        <w:rPr>
          <w:rFonts w:hint="default" w:ascii="Arial" w:hAnsi="Arial" w:eastAsia="宋体" w:cs="Arial"/>
          <w:color w:val="auto"/>
          <w:highlight w:val="none"/>
        </w:rPr>
        <w:t>表3.3-2    项目恶臭气体排放源强</w:t>
      </w:r>
    </w:p>
    <w:tbl>
      <w:tblPr>
        <w:tblStyle w:val="40"/>
        <w:tblW w:w="9003" w:type="dxa"/>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1099"/>
        <w:gridCol w:w="1135"/>
        <w:gridCol w:w="1623"/>
        <w:gridCol w:w="1286"/>
        <w:gridCol w:w="1286"/>
        <w:gridCol w:w="1286"/>
        <w:gridCol w:w="1288"/>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099" w:type="dxa"/>
            <w:vMerge w:val="restart"/>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排放方式</w:t>
            </w:r>
          </w:p>
        </w:tc>
        <w:tc>
          <w:tcPr>
            <w:tcW w:w="1135" w:type="dxa"/>
            <w:vMerge w:val="restart"/>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污染源</w:t>
            </w:r>
          </w:p>
        </w:tc>
        <w:tc>
          <w:tcPr>
            <w:tcW w:w="1623" w:type="dxa"/>
            <w:vMerge w:val="restart"/>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污染源</w:t>
            </w:r>
          </w:p>
          <w:p>
            <w:pPr>
              <w:pStyle w:val="63"/>
              <w:rPr>
                <w:rFonts w:hint="default" w:ascii="Arial" w:hAnsi="Arial" w:eastAsia="宋体" w:cs="Arial"/>
                <w:color w:val="auto"/>
                <w:highlight w:val="none"/>
              </w:rPr>
            </w:pPr>
            <w:r>
              <w:rPr>
                <w:rFonts w:hint="default" w:ascii="Arial" w:hAnsi="Arial" w:eastAsia="宋体" w:cs="Arial"/>
                <w:color w:val="auto"/>
                <w:highlight w:val="none"/>
              </w:rPr>
              <w:t>面积</w:t>
            </w:r>
          </w:p>
        </w:tc>
        <w:tc>
          <w:tcPr>
            <w:tcW w:w="2572" w:type="dxa"/>
            <w:gridSpan w:val="2"/>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NH</w:t>
            </w:r>
            <w:r>
              <w:rPr>
                <w:rFonts w:hint="default" w:ascii="Arial" w:hAnsi="Arial" w:eastAsia="宋体" w:cs="Arial"/>
                <w:color w:val="auto"/>
                <w:highlight w:val="none"/>
                <w:vertAlign w:val="subscript"/>
              </w:rPr>
              <w:t>3</w:t>
            </w:r>
          </w:p>
        </w:tc>
        <w:tc>
          <w:tcPr>
            <w:tcW w:w="2574" w:type="dxa"/>
            <w:gridSpan w:val="2"/>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H</w:t>
            </w:r>
            <w:r>
              <w:rPr>
                <w:rFonts w:hint="default" w:ascii="Arial" w:hAnsi="Arial" w:eastAsia="宋体" w:cs="Arial"/>
                <w:color w:val="auto"/>
                <w:highlight w:val="none"/>
                <w:vertAlign w:val="subscript"/>
              </w:rPr>
              <w:t>2</w:t>
            </w:r>
            <w:r>
              <w:rPr>
                <w:rFonts w:hint="default" w:ascii="Arial" w:hAnsi="Arial" w:eastAsia="宋体" w:cs="Arial"/>
                <w:color w:val="auto"/>
                <w:highlight w:val="none"/>
              </w:rPr>
              <w:t>S</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099" w:type="dxa"/>
            <w:vMerge w:val="continue"/>
            <w:vAlign w:val="center"/>
          </w:tcPr>
          <w:p>
            <w:pPr>
              <w:pStyle w:val="63"/>
              <w:rPr>
                <w:rFonts w:hint="default" w:ascii="Arial" w:hAnsi="Arial" w:eastAsia="宋体" w:cs="Arial"/>
                <w:color w:val="auto"/>
                <w:highlight w:val="none"/>
              </w:rPr>
            </w:pPr>
          </w:p>
        </w:tc>
        <w:tc>
          <w:tcPr>
            <w:tcW w:w="1135" w:type="dxa"/>
            <w:vMerge w:val="continue"/>
            <w:vAlign w:val="center"/>
          </w:tcPr>
          <w:p>
            <w:pPr>
              <w:pStyle w:val="63"/>
              <w:rPr>
                <w:rFonts w:hint="default" w:ascii="Arial" w:hAnsi="Arial" w:eastAsia="宋体" w:cs="Arial"/>
                <w:color w:val="auto"/>
                <w:highlight w:val="none"/>
              </w:rPr>
            </w:pPr>
          </w:p>
        </w:tc>
        <w:tc>
          <w:tcPr>
            <w:tcW w:w="1623" w:type="dxa"/>
            <w:vMerge w:val="continue"/>
            <w:vAlign w:val="center"/>
          </w:tcPr>
          <w:p>
            <w:pPr>
              <w:pStyle w:val="63"/>
              <w:rPr>
                <w:rFonts w:hint="default" w:ascii="Arial" w:hAnsi="Arial" w:eastAsia="宋体" w:cs="Arial"/>
                <w:color w:val="auto"/>
                <w:highlight w:val="none"/>
              </w:rPr>
            </w:pPr>
          </w:p>
        </w:tc>
        <w:tc>
          <w:tcPr>
            <w:tcW w:w="1286" w:type="dxa"/>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速率(kg/h)</w:t>
            </w:r>
          </w:p>
        </w:tc>
        <w:tc>
          <w:tcPr>
            <w:tcW w:w="1286" w:type="dxa"/>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排放量（t/a）</w:t>
            </w:r>
          </w:p>
        </w:tc>
        <w:tc>
          <w:tcPr>
            <w:tcW w:w="1286" w:type="dxa"/>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速率(kg/h)</w:t>
            </w:r>
          </w:p>
        </w:tc>
        <w:tc>
          <w:tcPr>
            <w:tcW w:w="1288" w:type="dxa"/>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排放量（t/a）</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099" w:type="dxa"/>
            <w:vMerge w:val="restart"/>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无组织</w:t>
            </w:r>
          </w:p>
        </w:tc>
        <w:tc>
          <w:tcPr>
            <w:tcW w:w="1135" w:type="dxa"/>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牛舍及运动场</w:t>
            </w:r>
          </w:p>
        </w:tc>
        <w:tc>
          <w:tcPr>
            <w:tcW w:w="1623" w:type="dxa"/>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lang w:val="en-US" w:eastAsia="zh-CN"/>
              </w:rPr>
              <w:t>680</w:t>
            </w:r>
            <w:r>
              <w:rPr>
                <w:rFonts w:hint="default" w:ascii="Arial" w:hAnsi="Arial" w:eastAsia="宋体" w:cs="Arial"/>
                <w:color w:val="auto"/>
                <w:highlight w:val="none"/>
              </w:rPr>
              <w:t>m×</w:t>
            </w:r>
            <w:r>
              <w:rPr>
                <w:rFonts w:hint="default" w:ascii="Arial" w:hAnsi="Arial" w:eastAsia="宋体" w:cs="Arial"/>
                <w:color w:val="auto"/>
                <w:highlight w:val="none"/>
                <w:lang w:val="en-US" w:eastAsia="zh-CN"/>
              </w:rPr>
              <w:t>550</w:t>
            </w:r>
            <w:r>
              <w:rPr>
                <w:rFonts w:hint="default" w:ascii="Arial" w:hAnsi="Arial" w:eastAsia="宋体" w:cs="Arial"/>
                <w:color w:val="auto"/>
                <w:highlight w:val="none"/>
              </w:rPr>
              <w:t>m</w:t>
            </w:r>
          </w:p>
        </w:tc>
        <w:tc>
          <w:tcPr>
            <w:tcW w:w="1286" w:type="dxa"/>
            <w:vAlign w:val="center"/>
          </w:tcPr>
          <w:p>
            <w:pPr>
              <w:pStyle w:val="63"/>
              <w:rPr>
                <w:rFonts w:hint="default" w:ascii="Arial" w:hAnsi="Arial" w:eastAsia="宋体" w:cs="Arial"/>
                <w:color w:val="auto"/>
                <w:highlight w:val="none"/>
                <w:lang w:val="en-US" w:eastAsia="zh-CN"/>
              </w:rPr>
            </w:pPr>
            <w:r>
              <w:rPr>
                <w:rFonts w:hint="default" w:ascii="Arial" w:hAnsi="Arial" w:eastAsia="宋体" w:cs="Arial"/>
                <w:color w:val="auto"/>
                <w:szCs w:val="21"/>
                <w:highlight w:val="none"/>
                <w:lang w:val="en-US" w:eastAsia="zh-CN"/>
              </w:rPr>
              <w:t>0.0833</w:t>
            </w:r>
          </w:p>
        </w:tc>
        <w:tc>
          <w:tcPr>
            <w:tcW w:w="1286" w:type="dxa"/>
            <w:vAlign w:val="center"/>
          </w:tcPr>
          <w:p>
            <w:pPr>
              <w:pStyle w:val="63"/>
              <w:rPr>
                <w:rFonts w:hint="default" w:ascii="Arial" w:hAnsi="Arial" w:eastAsia="宋体" w:cs="Arial"/>
                <w:color w:val="auto"/>
                <w:highlight w:val="none"/>
                <w:lang w:val="en-US" w:eastAsia="zh-CN"/>
              </w:rPr>
            </w:pPr>
            <w:r>
              <w:rPr>
                <w:rFonts w:hint="default" w:ascii="Arial" w:hAnsi="Arial" w:eastAsia="宋体" w:cs="Arial"/>
                <w:color w:val="auto"/>
                <w:szCs w:val="21"/>
                <w:highlight w:val="none"/>
                <w:lang w:val="en-US" w:eastAsia="zh-CN"/>
              </w:rPr>
              <w:t>0.7297</w:t>
            </w:r>
          </w:p>
        </w:tc>
        <w:tc>
          <w:tcPr>
            <w:tcW w:w="1286" w:type="dxa"/>
            <w:vAlign w:val="center"/>
          </w:tcPr>
          <w:p>
            <w:pPr>
              <w:pStyle w:val="63"/>
              <w:rPr>
                <w:rFonts w:hint="default" w:ascii="Arial" w:hAnsi="Arial" w:eastAsia="宋体" w:cs="Arial"/>
                <w:color w:val="auto"/>
                <w:highlight w:val="none"/>
                <w:lang w:val="en-US" w:eastAsia="zh-CN"/>
              </w:rPr>
            </w:pPr>
            <w:r>
              <w:rPr>
                <w:rFonts w:hint="default" w:ascii="Arial" w:hAnsi="Arial" w:eastAsia="宋体" w:cs="Arial"/>
                <w:color w:val="auto"/>
                <w:highlight w:val="none"/>
              </w:rPr>
              <w:t>0.00</w:t>
            </w:r>
            <w:r>
              <w:rPr>
                <w:rFonts w:hint="default" w:ascii="Arial" w:hAnsi="Arial" w:eastAsia="宋体" w:cs="Arial"/>
                <w:color w:val="auto"/>
                <w:highlight w:val="none"/>
                <w:lang w:val="en-US" w:eastAsia="zh-CN"/>
              </w:rPr>
              <w:t>11</w:t>
            </w:r>
          </w:p>
        </w:tc>
        <w:tc>
          <w:tcPr>
            <w:tcW w:w="1288" w:type="dxa"/>
            <w:vAlign w:val="center"/>
          </w:tcPr>
          <w:p>
            <w:pPr>
              <w:pStyle w:val="63"/>
              <w:rPr>
                <w:rFonts w:hint="default" w:ascii="Arial" w:hAnsi="Arial" w:eastAsia="宋体" w:cs="Arial"/>
                <w:color w:val="auto"/>
                <w:highlight w:val="none"/>
                <w:lang w:val="en-US" w:eastAsia="zh-CN"/>
              </w:rPr>
            </w:pPr>
            <w:r>
              <w:rPr>
                <w:rFonts w:hint="default" w:ascii="Arial" w:hAnsi="Arial" w:eastAsia="宋体" w:cs="Arial"/>
                <w:color w:val="auto"/>
                <w:highlight w:val="none"/>
              </w:rPr>
              <w:t>0.0</w:t>
            </w:r>
            <w:r>
              <w:rPr>
                <w:rFonts w:hint="default" w:ascii="Arial" w:hAnsi="Arial" w:eastAsia="宋体" w:cs="Arial"/>
                <w:color w:val="auto"/>
                <w:highlight w:val="none"/>
                <w:lang w:val="en-US" w:eastAsia="zh-CN"/>
              </w:rPr>
              <w:t>096</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099" w:type="dxa"/>
            <w:vMerge w:val="continue"/>
            <w:vAlign w:val="center"/>
          </w:tcPr>
          <w:p>
            <w:pPr>
              <w:pStyle w:val="63"/>
              <w:rPr>
                <w:rFonts w:hint="default" w:ascii="Arial" w:hAnsi="Arial" w:eastAsia="宋体" w:cs="Arial"/>
                <w:color w:val="auto"/>
                <w:highlight w:val="none"/>
              </w:rPr>
            </w:pPr>
          </w:p>
        </w:tc>
        <w:tc>
          <w:tcPr>
            <w:tcW w:w="1135" w:type="dxa"/>
            <w:vAlign w:val="center"/>
          </w:tcPr>
          <w:p>
            <w:pPr>
              <w:pStyle w:val="63"/>
              <w:rPr>
                <w:rFonts w:hint="default" w:ascii="Arial" w:hAnsi="Arial" w:eastAsia="宋体" w:cs="Arial"/>
                <w:color w:val="auto"/>
                <w:highlight w:val="none"/>
                <w:lang w:eastAsia="zh-CN"/>
              </w:rPr>
            </w:pPr>
            <w:r>
              <w:rPr>
                <w:rFonts w:hint="default" w:ascii="Arial" w:hAnsi="Arial" w:eastAsia="宋体" w:cs="Arial"/>
                <w:color w:val="auto"/>
                <w:sz w:val="21"/>
                <w:szCs w:val="21"/>
                <w:highlight w:val="none"/>
                <w:lang w:eastAsia="zh-CN"/>
              </w:rPr>
              <w:t>堆肥场</w:t>
            </w:r>
          </w:p>
        </w:tc>
        <w:tc>
          <w:tcPr>
            <w:tcW w:w="1623" w:type="dxa"/>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lang w:val="en-US" w:eastAsia="zh-CN"/>
              </w:rPr>
              <w:t>50</w:t>
            </w:r>
            <w:r>
              <w:rPr>
                <w:rFonts w:hint="default" w:ascii="Arial" w:hAnsi="Arial" w:eastAsia="宋体" w:cs="Arial"/>
                <w:color w:val="auto"/>
                <w:highlight w:val="none"/>
              </w:rPr>
              <w:t>m×</w:t>
            </w:r>
            <w:r>
              <w:rPr>
                <w:rFonts w:hint="default" w:ascii="Arial" w:hAnsi="Arial" w:eastAsia="宋体" w:cs="Arial"/>
                <w:color w:val="auto"/>
                <w:highlight w:val="none"/>
                <w:lang w:val="en-US" w:eastAsia="zh-CN"/>
              </w:rPr>
              <w:t>30</w:t>
            </w:r>
            <w:r>
              <w:rPr>
                <w:rFonts w:hint="default" w:ascii="Arial" w:hAnsi="Arial" w:eastAsia="宋体" w:cs="Arial"/>
                <w:color w:val="auto"/>
                <w:highlight w:val="none"/>
              </w:rPr>
              <w:t>m</w:t>
            </w:r>
          </w:p>
        </w:tc>
        <w:tc>
          <w:tcPr>
            <w:tcW w:w="1286" w:type="dxa"/>
            <w:vAlign w:val="center"/>
          </w:tcPr>
          <w:p>
            <w:pPr>
              <w:pStyle w:val="63"/>
              <w:rPr>
                <w:rFonts w:hint="default" w:ascii="Arial" w:hAnsi="Arial" w:eastAsia="宋体" w:cs="Arial"/>
                <w:color w:val="auto"/>
                <w:highlight w:val="none"/>
                <w:lang w:val="en-US" w:eastAsia="zh-CN"/>
              </w:rPr>
            </w:pPr>
            <w:r>
              <w:rPr>
                <w:rFonts w:hint="default" w:ascii="Arial" w:hAnsi="Arial" w:eastAsia="宋体" w:cs="Arial"/>
                <w:color w:val="auto"/>
                <w:szCs w:val="21"/>
                <w:highlight w:val="none"/>
              </w:rPr>
              <w:t>0.</w:t>
            </w:r>
            <w:r>
              <w:rPr>
                <w:rFonts w:hint="default" w:ascii="Arial" w:hAnsi="Arial" w:eastAsia="宋体" w:cs="Arial"/>
                <w:color w:val="auto"/>
                <w:szCs w:val="21"/>
                <w:highlight w:val="none"/>
                <w:lang w:val="en-US" w:eastAsia="zh-CN"/>
              </w:rPr>
              <w:t>0555</w:t>
            </w:r>
          </w:p>
        </w:tc>
        <w:tc>
          <w:tcPr>
            <w:tcW w:w="1286" w:type="dxa"/>
            <w:vAlign w:val="center"/>
          </w:tcPr>
          <w:p>
            <w:pPr>
              <w:pStyle w:val="63"/>
              <w:rPr>
                <w:rFonts w:hint="default" w:ascii="Arial" w:hAnsi="Arial" w:eastAsia="宋体" w:cs="Arial"/>
                <w:color w:val="auto"/>
                <w:highlight w:val="none"/>
                <w:lang w:val="en-US" w:eastAsia="zh-CN"/>
              </w:rPr>
            </w:pPr>
            <w:r>
              <w:rPr>
                <w:rFonts w:hint="default" w:ascii="Arial" w:hAnsi="Arial" w:eastAsia="宋体" w:cs="Arial"/>
                <w:color w:val="auto"/>
                <w:szCs w:val="21"/>
                <w:highlight w:val="none"/>
                <w:lang w:val="en-US" w:eastAsia="zh-CN"/>
              </w:rPr>
              <w:t>0.4862</w:t>
            </w:r>
          </w:p>
        </w:tc>
        <w:tc>
          <w:tcPr>
            <w:tcW w:w="1286" w:type="dxa"/>
            <w:vAlign w:val="center"/>
          </w:tcPr>
          <w:p>
            <w:pPr>
              <w:pStyle w:val="63"/>
              <w:rPr>
                <w:rFonts w:hint="default" w:ascii="Arial" w:hAnsi="Arial" w:eastAsia="宋体" w:cs="Arial"/>
                <w:color w:val="auto"/>
                <w:highlight w:val="none"/>
                <w:lang w:val="en-US" w:eastAsia="zh-CN"/>
              </w:rPr>
            </w:pPr>
            <w:r>
              <w:rPr>
                <w:rFonts w:hint="default" w:ascii="Arial" w:hAnsi="Arial" w:eastAsia="宋体" w:cs="Arial"/>
                <w:color w:val="auto"/>
                <w:highlight w:val="none"/>
              </w:rPr>
              <w:t>0.00</w:t>
            </w:r>
            <w:r>
              <w:rPr>
                <w:rFonts w:hint="default" w:ascii="Arial" w:hAnsi="Arial" w:eastAsia="宋体" w:cs="Arial"/>
                <w:color w:val="auto"/>
                <w:highlight w:val="none"/>
                <w:lang w:val="en-US" w:eastAsia="zh-CN"/>
              </w:rPr>
              <w:t>07</w:t>
            </w:r>
          </w:p>
        </w:tc>
        <w:tc>
          <w:tcPr>
            <w:tcW w:w="1288" w:type="dxa"/>
            <w:vAlign w:val="center"/>
          </w:tcPr>
          <w:p>
            <w:pPr>
              <w:pStyle w:val="63"/>
              <w:rPr>
                <w:rFonts w:hint="default" w:ascii="Arial" w:hAnsi="Arial" w:eastAsia="宋体" w:cs="Arial"/>
                <w:color w:val="auto"/>
                <w:highlight w:val="none"/>
                <w:lang w:val="en-US" w:eastAsia="zh-CN"/>
              </w:rPr>
            </w:pPr>
            <w:r>
              <w:rPr>
                <w:rFonts w:hint="default" w:ascii="Arial" w:hAnsi="Arial" w:eastAsia="宋体" w:cs="Arial"/>
                <w:color w:val="auto"/>
                <w:szCs w:val="21"/>
                <w:highlight w:val="none"/>
                <w:lang w:val="en-US" w:eastAsia="zh-CN"/>
              </w:rPr>
              <w:t>0.0061</w:t>
            </w:r>
          </w:p>
        </w:tc>
      </w:tr>
    </w:tbl>
    <w:p>
      <w:pPr>
        <w:ind w:firstLine="480"/>
        <w:rPr>
          <w:rFonts w:hint="default" w:ascii="Arial" w:hAnsi="Arial" w:eastAsia="宋体" w:cs="Arial"/>
          <w:color w:val="auto"/>
          <w:highlight w:val="none"/>
        </w:rPr>
      </w:pPr>
      <w:r>
        <w:rPr>
          <w:rFonts w:hint="default" w:ascii="Arial" w:hAnsi="Arial" w:eastAsia="宋体" w:cs="Arial"/>
          <w:color w:val="auto"/>
          <w:highlight w:val="none"/>
          <w:lang w:eastAsia="zh-CN"/>
        </w:rPr>
        <w:t>（</w:t>
      </w:r>
      <w:r>
        <w:rPr>
          <w:rFonts w:hint="default" w:ascii="Arial" w:hAnsi="Arial" w:eastAsia="宋体" w:cs="Arial"/>
          <w:color w:val="auto"/>
          <w:highlight w:val="none"/>
          <w:lang w:val="en-US" w:eastAsia="zh-CN"/>
        </w:rPr>
        <w:t>2</w:t>
      </w:r>
      <w:r>
        <w:rPr>
          <w:rFonts w:hint="default" w:ascii="Arial" w:hAnsi="Arial" w:eastAsia="宋体" w:cs="Arial"/>
          <w:color w:val="auto"/>
          <w:highlight w:val="none"/>
          <w:lang w:eastAsia="zh-CN"/>
        </w:rPr>
        <w:t>）</w:t>
      </w:r>
      <w:r>
        <w:rPr>
          <w:rFonts w:hint="default" w:ascii="Arial" w:hAnsi="Arial" w:eastAsia="宋体" w:cs="Arial"/>
          <w:color w:val="auto"/>
          <w:highlight w:val="none"/>
        </w:rPr>
        <w:t>饲料配料产生的粉尘（G</w:t>
      </w:r>
      <w:r>
        <w:rPr>
          <w:rFonts w:hint="default" w:ascii="Arial" w:hAnsi="Arial" w:eastAsia="宋体" w:cs="Arial"/>
          <w:color w:val="auto"/>
          <w:highlight w:val="none"/>
          <w:lang w:val="en-US" w:eastAsia="zh-CN"/>
        </w:rPr>
        <w:t>3</w:t>
      </w:r>
      <w:r>
        <w:rPr>
          <w:rFonts w:hint="default" w:ascii="Arial" w:hAnsi="Arial" w:eastAsia="宋体" w:cs="Arial"/>
          <w:color w:val="auto"/>
          <w:highlight w:val="none"/>
        </w:rPr>
        <w:t>）</w:t>
      </w:r>
    </w:p>
    <w:p>
      <w:pPr>
        <w:ind w:firstLine="480"/>
        <w:rPr>
          <w:rFonts w:hint="default" w:ascii="Arial" w:hAnsi="Arial" w:eastAsia="宋体" w:cs="Arial"/>
          <w:color w:val="auto"/>
          <w:highlight w:val="none"/>
        </w:rPr>
      </w:pPr>
      <w:r>
        <w:rPr>
          <w:rFonts w:hint="default" w:ascii="Arial" w:hAnsi="Arial" w:eastAsia="宋体" w:cs="Arial"/>
          <w:color w:val="auto"/>
          <w:highlight w:val="none"/>
        </w:rPr>
        <w:t>本项目饲料</w:t>
      </w:r>
      <w:r>
        <w:rPr>
          <w:rFonts w:hint="default" w:ascii="Arial" w:hAnsi="Arial" w:eastAsia="宋体" w:cs="Arial"/>
          <w:color w:val="auto"/>
          <w:highlight w:val="none"/>
          <w:lang w:eastAsia="zh-CN"/>
        </w:rPr>
        <w:t>总</w:t>
      </w:r>
      <w:r>
        <w:rPr>
          <w:rFonts w:hint="default" w:ascii="Arial" w:hAnsi="Arial" w:eastAsia="宋体" w:cs="Arial"/>
          <w:color w:val="auto"/>
          <w:highlight w:val="none"/>
        </w:rPr>
        <w:t>用量</w:t>
      </w:r>
      <w:r>
        <w:rPr>
          <w:rFonts w:hint="default" w:ascii="Arial" w:hAnsi="Arial" w:eastAsia="宋体" w:cs="Arial"/>
          <w:color w:val="auto"/>
          <w:highlight w:val="none"/>
          <w:lang w:val="en-US" w:eastAsia="zh-CN"/>
        </w:rPr>
        <w:t>40000</w:t>
      </w:r>
      <w:r>
        <w:rPr>
          <w:rFonts w:hint="default" w:ascii="Arial" w:hAnsi="Arial" w:eastAsia="宋体" w:cs="Arial"/>
          <w:color w:val="auto"/>
          <w:highlight w:val="none"/>
        </w:rPr>
        <w:t>t/a，项目饲料粉尘产生量参照《第二次全国污染源普查工业污染源系数手册》进行核算，详见下表。</w:t>
      </w:r>
    </w:p>
    <w:p>
      <w:pPr>
        <w:pStyle w:val="8"/>
        <w:rPr>
          <w:rFonts w:hint="default" w:ascii="Arial" w:hAnsi="Arial" w:eastAsia="宋体" w:cs="Arial"/>
          <w:color w:val="auto"/>
          <w:highlight w:val="none"/>
        </w:rPr>
      </w:pPr>
      <w:r>
        <w:rPr>
          <w:rFonts w:hint="default" w:ascii="Arial" w:hAnsi="Arial" w:eastAsia="宋体" w:cs="Arial"/>
          <w:color w:val="auto"/>
          <w:highlight w:val="none"/>
        </w:rPr>
        <w:t>表3.3-3    第二次全国污染源普查工业污染源系数手册系数</w:t>
      </w:r>
    </w:p>
    <w:tbl>
      <w:tblPr>
        <w:tblStyle w:val="39"/>
        <w:tblW w:w="9003"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42"/>
        <w:gridCol w:w="2323"/>
        <w:gridCol w:w="2080"/>
        <w:gridCol w:w="903"/>
        <w:gridCol w:w="531"/>
        <w:gridCol w:w="637"/>
        <w:gridCol w:w="913"/>
        <w:gridCol w:w="874"/>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shd w:val="clear" w:color="auto" w:fill="auto"/>
            <w:vAlign w:val="center"/>
          </w:tcPr>
          <w:p>
            <w:pPr>
              <w:pStyle w:val="63"/>
              <w:jc w:val="center"/>
              <w:rPr>
                <w:rFonts w:hint="default" w:ascii="Arial" w:hAnsi="Arial" w:eastAsia="宋体" w:cs="Arial"/>
                <w:color w:val="auto"/>
                <w:highlight w:val="none"/>
              </w:rPr>
            </w:pPr>
            <w:r>
              <w:rPr>
                <w:rFonts w:hint="default" w:ascii="Arial" w:hAnsi="Arial" w:eastAsia="宋体" w:cs="Arial"/>
                <w:color w:val="auto"/>
                <w:highlight w:val="none"/>
              </w:rPr>
              <w:t>产品名称</w:t>
            </w:r>
          </w:p>
        </w:tc>
        <w:tc>
          <w:tcPr>
            <w:tcW w:w="2323" w:type="dxa"/>
            <w:shd w:val="clear" w:color="auto" w:fill="auto"/>
            <w:vAlign w:val="center"/>
          </w:tcPr>
          <w:p>
            <w:pPr>
              <w:pStyle w:val="63"/>
              <w:jc w:val="center"/>
              <w:rPr>
                <w:rFonts w:hint="default" w:ascii="Arial" w:hAnsi="Arial" w:eastAsia="宋体" w:cs="Arial"/>
                <w:color w:val="auto"/>
                <w:highlight w:val="none"/>
              </w:rPr>
            </w:pPr>
            <w:r>
              <w:rPr>
                <w:rFonts w:hint="default" w:ascii="Arial" w:hAnsi="Arial" w:eastAsia="宋体" w:cs="Arial"/>
                <w:color w:val="auto"/>
                <w:highlight w:val="none"/>
              </w:rPr>
              <w:t>原料名称</w:t>
            </w:r>
          </w:p>
        </w:tc>
        <w:tc>
          <w:tcPr>
            <w:tcW w:w="2080" w:type="dxa"/>
            <w:shd w:val="clear" w:color="auto" w:fill="auto"/>
            <w:vAlign w:val="center"/>
          </w:tcPr>
          <w:p>
            <w:pPr>
              <w:pStyle w:val="63"/>
              <w:jc w:val="center"/>
              <w:rPr>
                <w:rFonts w:hint="default" w:ascii="Arial" w:hAnsi="Arial" w:eastAsia="宋体" w:cs="Arial"/>
                <w:color w:val="auto"/>
                <w:highlight w:val="none"/>
              </w:rPr>
            </w:pPr>
            <w:r>
              <w:rPr>
                <w:rFonts w:hint="default" w:ascii="Arial" w:hAnsi="Arial" w:eastAsia="宋体" w:cs="Arial"/>
                <w:color w:val="auto"/>
                <w:highlight w:val="none"/>
              </w:rPr>
              <w:t>工艺名称</w:t>
            </w:r>
          </w:p>
        </w:tc>
        <w:tc>
          <w:tcPr>
            <w:tcW w:w="903" w:type="dxa"/>
            <w:vAlign w:val="center"/>
          </w:tcPr>
          <w:p>
            <w:pPr>
              <w:pStyle w:val="63"/>
              <w:jc w:val="center"/>
              <w:rPr>
                <w:rFonts w:hint="default" w:ascii="Arial" w:hAnsi="Arial" w:eastAsia="宋体" w:cs="Arial"/>
                <w:color w:val="auto"/>
                <w:highlight w:val="none"/>
              </w:rPr>
            </w:pPr>
            <w:r>
              <w:rPr>
                <w:rFonts w:hint="default" w:ascii="Arial" w:hAnsi="Arial" w:eastAsia="宋体" w:cs="Arial"/>
                <w:color w:val="auto"/>
                <w:highlight w:val="none"/>
              </w:rPr>
              <w:t>规模</w:t>
            </w:r>
          </w:p>
        </w:tc>
        <w:tc>
          <w:tcPr>
            <w:tcW w:w="1168" w:type="dxa"/>
            <w:gridSpan w:val="2"/>
            <w:shd w:val="clear" w:color="auto" w:fill="auto"/>
            <w:vAlign w:val="center"/>
          </w:tcPr>
          <w:p>
            <w:pPr>
              <w:pStyle w:val="63"/>
              <w:jc w:val="center"/>
              <w:rPr>
                <w:rFonts w:hint="default" w:ascii="Arial" w:hAnsi="Arial" w:eastAsia="宋体" w:cs="Arial"/>
                <w:color w:val="auto"/>
                <w:highlight w:val="none"/>
              </w:rPr>
            </w:pPr>
            <w:r>
              <w:rPr>
                <w:rFonts w:hint="default" w:ascii="Arial" w:hAnsi="Arial" w:eastAsia="宋体" w:cs="Arial"/>
                <w:color w:val="auto"/>
                <w:highlight w:val="none"/>
              </w:rPr>
              <w:t>污染物指标</w:t>
            </w:r>
          </w:p>
        </w:tc>
        <w:tc>
          <w:tcPr>
            <w:tcW w:w="913" w:type="dxa"/>
            <w:shd w:val="clear" w:color="auto" w:fill="auto"/>
            <w:vAlign w:val="center"/>
          </w:tcPr>
          <w:p>
            <w:pPr>
              <w:pStyle w:val="63"/>
              <w:jc w:val="center"/>
              <w:rPr>
                <w:rFonts w:hint="default" w:ascii="Arial" w:hAnsi="Arial" w:eastAsia="宋体" w:cs="Arial"/>
                <w:color w:val="auto"/>
                <w:highlight w:val="none"/>
              </w:rPr>
            </w:pPr>
            <w:r>
              <w:rPr>
                <w:rFonts w:hint="default" w:ascii="Arial" w:hAnsi="Arial" w:eastAsia="宋体" w:cs="Arial"/>
                <w:color w:val="auto"/>
                <w:highlight w:val="none"/>
              </w:rPr>
              <w:t>系数单位</w:t>
            </w:r>
          </w:p>
        </w:tc>
        <w:tc>
          <w:tcPr>
            <w:tcW w:w="874" w:type="dxa"/>
            <w:shd w:val="clear" w:color="auto" w:fill="auto"/>
            <w:vAlign w:val="center"/>
          </w:tcPr>
          <w:p>
            <w:pPr>
              <w:pStyle w:val="63"/>
              <w:jc w:val="center"/>
              <w:rPr>
                <w:rFonts w:hint="default" w:ascii="Arial" w:hAnsi="Arial" w:eastAsia="宋体" w:cs="Arial"/>
                <w:color w:val="auto"/>
                <w:highlight w:val="none"/>
              </w:rPr>
            </w:pPr>
            <w:r>
              <w:rPr>
                <w:rFonts w:hint="default" w:ascii="Arial" w:hAnsi="Arial" w:eastAsia="宋体" w:cs="Arial"/>
                <w:color w:val="auto"/>
                <w:highlight w:val="none"/>
              </w:rPr>
              <w:t>产污系数</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42" w:type="dxa"/>
            <w:shd w:val="clear" w:color="auto" w:fill="auto"/>
            <w:vAlign w:val="center"/>
          </w:tcPr>
          <w:p>
            <w:pPr>
              <w:pStyle w:val="63"/>
              <w:jc w:val="center"/>
              <w:rPr>
                <w:rFonts w:hint="default" w:ascii="Arial" w:hAnsi="Arial" w:eastAsia="宋体" w:cs="Arial"/>
                <w:color w:val="auto"/>
                <w:highlight w:val="none"/>
              </w:rPr>
            </w:pPr>
            <w:r>
              <w:rPr>
                <w:rFonts w:hint="default" w:ascii="Arial" w:hAnsi="Arial" w:eastAsia="宋体" w:cs="Arial"/>
                <w:color w:val="auto"/>
                <w:highlight w:val="none"/>
              </w:rPr>
              <w:t>配合饲料</w:t>
            </w:r>
          </w:p>
        </w:tc>
        <w:tc>
          <w:tcPr>
            <w:tcW w:w="2323" w:type="dxa"/>
            <w:shd w:val="clear" w:color="auto" w:fill="auto"/>
            <w:vAlign w:val="center"/>
          </w:tcPr>
          <w:p>
            <w:pPr>
              <w:pStyle w:val="63"/>
              <w:jc w:val="center"/>
              <w:rPr>
                <w:rFonts w:hint="default" w:ascii="Arial" w:hAnsi="Arial" w:eastAsia="宋体" w:cs="Arial"/>
                <w:color w:val="auto"/>
                <w:highlight w:val="none"/>
              </w:rPr>
            </w:pPr>
            <w:r>
              <w:rPr>
                <w:rFonts w:hint="default" w:ascii="Arial" w:hAnsi="Arial" w:eastAsia="宋体" w:cs="Arial"/>
                <w:color w:val="auto"/>
                <w:highlight w:val="none"/>
              </w:rPr>
              <w:t>玉米、蛋白质类原料（豆粕等）维生素等</w:t>
            </w:r>
          </w:p>
        </w:tc>
        <w:tc>
          <w:tcPr>
            <w:tcW w:w="2080" w:type="dxa"/>
            <w:shd w:val="clear" w:color="auto" w:fill="auto"/>
            <w:vAlign w:val="center"/>
          </w:tcPr>
          <w:p>
            <w:pPr>
              <w:pStyle w:val="63"/>
              <w:jc w:val="center"/>
              <w:rPr>
                <w:rFonts w:hint="default" w:ascii="Arial" w:hAnsi="Arial" w:eastAsia="宋体" w:cs="Arial"/>
                <w:color w:val="auto"/>
                <w:highlight w:val="none"/>
              </w:rPr>
            </w:pPr>
            <w:r>
              <w:rPr>
                <w:rFonts w:hint="default" w:ascii="Arial" w:hAnsi="Arial" w:eastAsia="宋体" w:cs="Arial"/>
                <w:color w:val="auto"/>
                <w:highlight w:val="none"/>
              </w:rPr>
              <w:t>粉碎+混合+制粒（可不制粒）+除尘</w:t>
            </w:r>
          </w:p>
        </w:tc>
        <w:tc>
          <w:tcPr>
            <w:tcW w:w="903" w:type="dxa"/>
            <w:vAlign w:val="center"/>
          </w:tcPr>
          <w:p>
            <w:pPr>
              <w:pStyle w:val="63"/>
              <w:jc w:val="center"/>
              <w:rPr>
                <w:rFonts w:hint="default" w:ascii="Arial" w:hAnsi="Arial" w:eastAsia="宋体" w:cs="Arial"/>
                <w:color w:val="auto"/>
                <w:highlight w:val="none"/>
              </w:rPr>
            </w:pPr>
            <w:r>
              <w:rPr>
                <w:rFonts w:hint="default" w:ascii="Arial" w:hAnsi="Arial" w:eastAsia="宋体" w:cs="Arial"/>
                <w:color w:val="auto"/>
                <w:highlight w:val="none"/>
              </w:rPr>
              <w:t>＜10万吨/年</w:t>
            </w:r>
          </w:p>
        </w:tc>
        <w:tc>
          <w:tcPr>
            <w:tcW w:w="531" w:type="dxa"/>
            <w:shd w:val="clear" w:color="auto" w:fill="auto"/>
            <w:vAlign w:val="center"/>
          </w:tcPr>
          <w:p>
            <w:pPr>
              <w:pStyle w:val="63"/>
              <w:jc w:val="center"/>
              <w:rPr>
                <w:rFonts w:hint="default" w:ascii="Arial" w:hAnsi="Arial" w:eastAsia="宋体" w:cs="Arial"/>
                <w:color w:val="auto"/>
                <w:highlight w:val="none"/>
              </w:rPr>
            </w:pPr>
            <w:r>
              <w:rPr>
                <w:rFonts w:hint="default" w:ascii="Arial" w:hAnsi="Arial" w:eastAsia="宋体" w:cs="Arial"/>
                <w:color w:val="auto"/>
                <w:highlight w:val="none"/>
              </w:rPr>
              <w:t>废气</w:t>
            </w:r>
          </w:p>
        </w:tc>
        <w:tc>
          <w:tcPr>
            <w:tcW w:w="637" w:type="dxa"/>
            <w:shd w:val="clear" w:color="auto" w:fill="auto"/>
            <w:vAlign w:val="center"/>
          </w:tcPr>
          <w:p>
            <w:pPr>
              <w:pStyle w:val="63"/>
              <w:jc w:val="center"/>
              <w:rPr>
                <w:rFonts w:hint="default" w:ascii="Arial" w:hAnsi="Arial" w:eastAsia="宋体" w:cs="Arial"/>
                <w:color w:val="auto"/>
                <w:highlight w:val="none"/>
              </w:rPr>
            </w:pPr>
            <w:r>
              <w:rPr>
                <w:rFonts w:hint="default" w:ascii="Arial" w:hAnsi="Arial" w:eastAsia="宋体" w:cs="Arial"/>
                <w:color w:val="auto"/>
                <w:highlight w:val="none"/>
              </w:rPr>
              <w:t>颗粒物</w:t>
            </w:r>
          </w:p>
        </w:tc>
        <w:tc>
          <w:tcPr>
            <w:tcW w:w="913" w:type="dxa"/>
            <w:shd w:val="clear" w:color="auto" w:fill="auto"/>
            <w:vAlign w:val="center"/>
          </w:tcPr>
          <w:p>
            <w:pPr>
              <w:pStyle w:val="63"/>
              <w:jc w:val="center"/>
              <w:rPr>
                <w:rFonts w:hint="default" w:ascii="Arial" w:hAnsi="Arial" w:eastAsia="宋体" w:cs="Arial"/>
                <w:color w:val="auto"/>
                <w:highlight w:val="none"/>
              </w:rPr>
            </w:pPr>
            <w:r>
              <w:rPr>
                <w:rFonts w:hint="default" w:ascii="Arial" w:hAnsi="Arial" w:eastAsia="宋体" w:cs="Arial"/>
                <w:color w:val="auto"/>
                <w:highlight w:val="none"/>
              </w:rPr>
              <w:t>千克/吨-产品</w:t>
            </w:r>
          </w:p>
        </w:tc>
        <w:tc>
          <w:tcPr>
            <w:tcW w:w="874" w:type="dxa"/>
            <w:shd w:val="clear" w:color="auto" w:fill="auto"/>
            <w:vAlign w:val="center"/>
          </w:tcPr>
          <w:p>
            <w:pPr>
              <w:pStyle w:val="63"/>
              <w:jc w:val="center"/>
              <w:rPr>
                <w:rFonts w:hint="default" w:ascii="Arial" w:hAnsi="Arial" w:eastAsia="宋体" w:cs="Arial"/>
                <w:color w:val="auto"/>
                <w:highlight w:val="none"/>
              </w:rPr>
            </w:pPr>
            <w:r>
              <w:rPr>
                <w:rFonts w:hint="default" w:ascii="Arial" w:hAnsi="Arial" w:eastAsia="宋体" w:cs="Arial"/>
                <w:color w:val="auto"/>
                <w:highlight w:val="none"/>
              </w:rPr>
              <w:t>0.043</w:t>
            </w:r>
          </w:p>
        </w:tc>
      </w:tr>
    </w:tbl>
    <w:p>
      <w:pPr>
        <w:ind w:firstLine="480"/>
        <w:rPr>
          <w:rFonts w:hint="default" w:ascii="Arial" w:hAnsi="Arial" w:eastAsia="宋体" w:cs="Arial"/>
          <w:color w:val="auto"/>
          <w:highlight w:val="none"/>
        </w:rPr>
      </w:pPr>
      <w:r>
        <w:rPr>
          <w:rFonts w:hint="default" w:ascii="Arial" w:hAnsi="Arial" w:eastAsia="宋体" w:cs="Arial"/>
          <w:color w:val="auto"/>
          <w:highlight w:val="none"/>
        </w:rPr>
        <w:t>项目每日将精饲料以及项目储存的</w:t>
      </w:r>
      <w:r>
        <w:rPr>
          <w:rFonts w:hint="default" w:ascii="Arial" w:hAnsi="Arial" w:eastAsia="宋体" w:cs="Arial"/>
          <w:color w:val="auto"/>
          <w:highlight w:val="none"/>
          <w:lang w:eastAsia="zh-CN"/>
        </w:rPr>
        <w:t>青贮</w:t>
      </w:r>
      <w:r>
        <w:rPr>
          <w:rFonts w:hint="default" w:ascii="Arial" w:hAnsi="Arial" w:eastAsia="宋体" w:cs="Arial"/>
          <w:color w:val="auto"/>
          <w:highlight w:val="none"/>
        </w:rPr>
        <w:t>料、干草投入</w:t>
      </w:r>
      <w:r>
        <w:rPr>
          <w:rFonts w:hint="default" w:ascii="Arial" w:hAnsi="Arial" w:eastAsia="宋体" w:cs="Arial"/>
          <w:color w:val="auto"/>
          <w:highlight w:val="none"/>
          <w:lang w:eastAsia="zh-CN"/>
        </w:rPr>
        <w:t>TMR日粮搅拌机</w:t>
      </w:r>
      <w:r>
        <w:rPr>
          <w:rFonts w:hint="default" w:ascii="Arial" w:hAnsi="Arial" w:eastAsia="宋体" w:cs="Arial"/>
          <w:color w:val="auto"/>
          <w:highlight w:val="none"/>
        </w:rPr>
        <w:t>搅拌成</w:t>
      </w:r>
      <w:r>
        <w:rPr>
          <w:rFonts w:hint="default" w:ascii="Arial" w:hAnsi="Arial" w:eastAsia="宋体" w:cs="Arial"/>
          <w:color w:val="auto"/>
          <w:highlight w:val="none"/>
          <w:lang w:eastAsia="zh-CN"/>
        </w:rPr>
        <w:t>肉牛</w:t>
      </w:r>
      <w:r>
        <w:rPr>
          <w:rFonts w:hint="default" w:ascii="Arial" w:hAnsi="Arial" w:eastAsia="宋体" w:cs="Arial"/>
          <w:color w:val="auto"/>
          <w:highlight w:val="none"/>
        </w:rPr>
        <w:t>口粮，由于精饲料主要成分豆粕、棉籽、玉米粉等具有一定的粒度，而</w:t>
      </w:r>
      <w:r>
        <w:rPr>
          <w:rFonts w:hint="default" w:ascii="Arial" w:hAnsi="Arial" w:eastAsia="宋体" w:cs="Arial"/>
          <w:color w:val="auto"/>
          <w:highlight w:val="none"/>
          <w:lang w:eastAsia="zh-CN"/>
        </w:rPr>
        <w:t>青贮</w:t>
      </w:r>
      <w:r>
        <w:rPr>
          <w:rFonts w:hint="default" w:ascii="Arial" w:hAnsi="Arial" w:eastAsia="宋体" w:cs="Arial"/>
          <w:color w:val="auto"/>
          <w:highlight w:val="none"/>
        </w:rPr>
        <w:t>、苜蓿等均为短段，各物料一般都有一定的湿度，不会是绝干的，由于粉尘产生量非常少，项目配料时间为3h/天，且</w:t>
      </w:r>
      <w:r>
        <w:rPr>
          <w:rFonts w:hint="default" w:ascii="Arial" w:hAnsi="Arial" w:eastAsia="宋体" w:cs="Arial"/>
          <w:color w:val="auto"/>
          <w:highlight w:val="none"/>
          <w:lang w:eastAsia="zh-CN"/>
        </w:rPr>
        <w:t>饲草料库房</w:t>
      </w:r>
      <w:r>
        <w:rPr>
          <w:rFonts w:hint="default" w:ascii="Arial" w:hAnsi="Arial" w:eastAsia="宋体" w:cs="Arial"/>
          <w:color w:val="auto"/>
          <w:highlight w:val="none"/>
        </w:rPr>
        <w:t>全密闭无通风口饲料配制期间门窗紧闭并在配制过程中喷水抑尘，排放粉尘</w:t>
      </w:r>
      <w:r>
        <w:rPr>
          <w:rFonts w:hint="default" w:ascii="Arial" w:hAnsi="Arial" w:eastAsia="宋体" w:cs="Arial"/>
          <w:color w:val="auto"/>
          <w:highlight w:val="none"/>
          <w:lang w:val="en-US" w:eastAsia="zh-CN"/>
        </w:rPr>
        <w:t>90</w:t>
      </w:r>
      <w:r>
        <w:rPr>
          <w:rFonts w:hint="default" w:ascii="Arial" w:hAnsi="Arial" w:eastAsia="宋体" w:cs="Arial"/>
          <w:color w:val="auto"/>
          <w:highlight w:val="none"/>
        </w:rPr>
        <w:t>%沉降于车间内，项目粉尘产排污情况见下表。</w:t>
      </w:r>
    </w:p>
    <w:p>
      <w:pPr>
        <w:pStyle w:val="8"/>
        <w:rPr>
          <w:rFonts w:hint="default" w:ascii="Arial" w:hAnsi="Arial" w:eastAsia="宋体" w:cs="Arial"/>
          <w:color w:val="auto"/>
          <w:highlight w:val="none"/>
        </w:rPr>
      </w:pPr>
      <w:r>
        <w:rPr>
          <w:rFonts w:hint="default" w:ascii="Arial" w:hAnsi="Arial" w:eastAsia="宋体" w:cs="Arial"/>
          <w:color w:val="auto"/>
          <w:highlight w:val="none"/>
        </w:rPr>
        <w:t>表3.3-4    项目粉尘产排污情况列表</w:t>
      </w:r>
    </w:p>
    <w:tbl>
      <w:tblPr>
        <w:tblStyle w:val="39"/>
        <w:tblW w:w="8817"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1763"/>
        <w:gridCol w:w="1763"/>
        <w:gridCol w:w="1763"/>
        <w:gridCol w:w="1764"/>
        <w:gridCol w:w="1764"/>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763" w:type="dxa"/>
            <w:noWrap/>
            <w:tcMar>
              <w:top w:w="15" w:type="dxa"/>
              <w:left w:w="15" w:type="dxa"/>
              <w:right w:w="15" w:type="dxa"/>
            </w:tcMar>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产生速率kg/h</w:t>
            </w:r>
          </w:p>
        </w:tc>
        <w:tc>
          <w:tcPr>
            <w:tcW w:w="1763" w:type="dxa"/>
            <w:noWrap/>
            <w:tcMar>
              <w:top w:w="15" w:type="dxa"/>
              <w:left w:w="15" w:type="dxa"/>
              <w:right w:w="15" w:type="dxa"/>
            </w:tcMar>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产生量t/a</w:t>
            </w:r>
          </w:p>
        </w:tc>
        <w:tc>
          <w:tcPr>
            <w:tcW w:w="1763" w:type="dxa"/>
            <w:noWrap/>
            <w:tcMar>
              <w:top w:w="15" w:type="dxa"/>
              <w:left w:w="15" w:type="dxa"/>
              <w:right w:w="15" w:type="dxa"/>
            </w:tcMar>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无组织排放比例</w:t>
            </w:r>
          </w:p>
        </w:tc>
        <w:tc>
          <w:tcPr>
            <w:tcW w:w="1764" w:type="dxa"/>
            <w:noWrap/>
            <w:tcMar>
              <w:top w:w="15" w:type="dxa"/>
              <w:left w:w="15" w:type="dxa"/>
              <w:right w:w="15" w:type="dxa"/>
            </w:tcMar>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排放速率kg/h</w:t>
            </w:r>
          </w:p>
        </w:tc>
        <w:tc>
          <w:tcPr>
            <w:tcW w:w="1764" w:type="dxa"/>
            <w:noWrap/>
            <w:tcMar>
              <w:top w:w="15" w:type="dxa"/>
              <w:left w:w="15" w:type="dxa"/>
              <w:right w:w="15" w:type="dxa"/>
            </w:tcMar>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排放量t/a</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1763" w:type="dxa"/>
            <w:noWrap/>
            <w:tcMar>
              <w:top w:w="15" w:type="dxa"/>
              <w:left w:w="15" w:type="dxa"/>
              <w:right w:w="15" w:type="dxa"/>
            </w:tcMar>
            <w:vAlign w:val="center"/>
          </w:tcPr>
          <w:p>
            <w:pPr>
              <w:pStyle w:val="63"/>
              <w:rPr>
                <w:rFonts w:hint="default" w:ascii="Arial" w:hAnsi="Arial" w:eastAsia="宋体" w:cs="Arial"/>
                <w:color w:val="auto"/>
                <w:highlight w:val="none"/>
                <w:lang w:val="en-US" w:eastAsia="zh-CN"/>
              </w:rPr>
            </w:pPr>
            <w:r>
              <w:rPr>
                <w:rFonts w:hint="default" w:ascii="Arial" w:hAnsi="Arial" w:eastAsia="宋体" w:cs="Arial"/>
                <w:color w:val="auto"/>
                <w:highlight w:val="none"/>
                <w:lang w:val="en-US" w:eastAsia="zh-CN"/>
              </w:rPr>
              <w:t>1.571</w:t>
            </w:r>
          </w:p>
        </w:tc>
        <w:tc>
          <w:tcPr>
            <w:tcW w:w="1763" w:type="dxa"/>
            <w:noWrap/>
            <w:tcMar>
              <w:top w:w="15" w:type="dxa"/>
              <w:left w:w="15" w:type="dxa"/>
              <w:right w:w="15" w:type="dxa"/>
            </w:tcMar>
            <w:vAlign w:val="center"/>
          </w:tcPr>
          <w:p>
            <w:pPr>
              <w:pStyle w:val="63"/>
              <w:rPr>
                <w:rFonts w:hint="default" w:ascii="Arial" w:hAnsi="Arial" w:eastAsia="宋体" w:cs="Arial"/>
                <w:color w:val="auto"/>
                <w:highlight w:val="none"/>
                <w:lang w:val="en-US" w:eastAsia="zh-CN"/>
              </w:rPr>
            </w:pPr>
            <w:r>
              <w:rPr>
                <w:rFonts w:hint="default" w:ascii="Arial" w:hAnsi="Arial" w:eastAsia="宋体" w:cs="Arial"/>
                <w:color w:val="auto"/>
                <w:highlight w:val="none"/>
                <w:lang w:val="en-US" w:eastAsia="zh-CN"/>
              </w:rPr>
              <w:t>1.72</w:t>
            </w:r>
          </w:p>
        </w:tc>
        <w:tc>
          <w:tcPr>
            <w:tcW w:w="1763" w:type="dxa"/>
            <w:noWrap/>
            <w:tcMar>
              <w:top w:w="15" w:type="dxa"/>
              <w:left w:w="15" w:type="dxa"/>
              <w:right w:w="15" w:type="dxa"/>
            </w:tcMar>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lang w:val="en-US" w:eastAsia="zh-CN"/>
              </w:rPr>
              <w:t>10</w:t>
            </w:r>
            <w:r>
              <w:rPr>
                <w:rFonts w:hint="default" w:ascii="Arial" w:hAnsi="Arial" w:eastAsia="宋体" w:cs="Arial"/>
                <w:color w:val="auto"/>
                <w:highlight w:val="none"/>
              </w:rPr>
              <w:t>%</w:t>
            </w:r>
          </w:p>
        </w:tc>
        <w:tc>
          <w:tcPr>
            <w:tcW w:w="1764" w:type="dxa"/>
            <w:noWrap/>
            <w:tcMar>
              <w:top w:w="15" w:type="dxa"/>
              <w:left w:w="15" w:type="dxa"/>
              <w:right w:w="15" w:type="dxa"/>
            </w:tcMar>
            <w:vAlign w:val="center"/>
          </w:tcPr>
          <w:p>
            <w:pPr>
              <w:pStyle w:val="63"/>
              <w:rPr>
                <w:rFonts w:hint="default" w:ascii="Arial" w:hAnsi="Arial" w:eastAsia="宋体" w:cs="Arial"/>
                <w:color w:val="auto"/>
                <w:highlight w:val="none"/>
                <w:lang w:val="en-US" w:eastAsia="zh-CN"/>
              </w:rPr>
            </w:pPr>
            <w:r>
              <w:rPr>
                <w:rFonts w:hint="default" w:ascii="Arial" w:hAnsi="Arial" w:eastAsia="宋体" w:cs="Arial"/>
                <w:color w:val="auto"/>
                <w:highlight w:val="none"/>
                <w:lang w:val="en-US" w:eastAsia="zh-CN"/>
              </w:rPr>
              <w:t>0.157</w:t>
            </w:r>
          </w:p>
        </w:tc>
        <w:tc>
          <w:tcPr>
            <w:tcW w:w="1764" w:type="dxa"/>
            <w:noWrap/>
            <w:tcMar>
              <w:top w:w="15" w:type="dxa"/>
              <w:left w:w="15" w:type="dxa"/>
              <w:right w:w="15" w:type="dxa"/>
            </w:tcMar>
            <w:vAlign w:val="center"/>
          </w:tcPr>
          <w:p>
            <w:pPr>
              <w:pStyle w:val="63"/>
              <w:rPr>
                <w:rFonts w:hint="default" w:ascii="Arial" w:hAnsi="Arial" w:eastAsia="宋体" w:cs="Arial"/>
                <w:color w:val="auto"/>
                <w:highlight w:val="none"/>
                <w:lang w:val="en-US" w:eastAsia="zh-CN"/>
              </w:rPr>
            </w:pPr>
            <w:r>
              <w:rPr>
                <w:rFonts w:hint="default" w:ascii="Arial" w:hAnsi="Arial" w:eastAsia="宋体" w:cs="Arial"/>
                <w:color w:val="auto"/>
                <w:highlight w:val="none"/>
                <w:lang w:val="en-US" w:eastAsia="zh-CN"/>
              </w:rPr>
              <w:t>0.172</w:t>
            </w:r>
          </w:p>
        </w:tc>
      </w:tr>
    </w:tbl>
    <w:p>
      <w:pPr>
        <w:ind w:firstLine="480"/>
        <w:rPr>
          <w:rFonts w:hint="default" w:ascii="Arial" w:hAnsi="Arial" w:eastAsia="宋体" w:cs="Arial"/>
          <w:color w:val="auto"/>
          <w:highlight w:val="none"/>
        </w:rPr>
      </w:pPr>
      <w:bookmarkStart w:id="243" w:name="_Toc46421100"/>
      <w:r>
        <w:rPr>
          <w:rFonts w:hint="default" w:ascii="Arial" w:hAnsi="Arial" w:eastAsia="宋体" w:cs="Arial"/>
          <w:color w:val="auto"/>
          <w:highlight w:val="none"/>
          <w:lang w:eastAsia="zh-CN"/>
        </w:rPr>
        <w:t>（</w:t>
      </w:r>
      <w:r>
        <w:rPr>
          <w:rFonts w:hint="default" w:ascii="Arial" w:hAnsi="Arial" w:eastAsia="宋体" w:cs="Arial"/>
          <w:color w:val="auto"/>
          <w:highlight w:val="none"/>
          <w:lang w:val="en-US" w:eastAsia="zh-CN"/>
        </w:rPr>
        <w:t>3</w:t>
      </w:r>
      <w:r>
        <w:rPr>
          <w:rFonts w:hint="default" w:ascii="Arial" w:hAnsi="Arial" w:eastAsia="宋体" w:cs="Arial"/>
          <w:color w:val="auto"/>
          <w:highlight w:val="none"/>
          <w:lang w:eastAsia="zh-CN"/>
        </w:rPr>
        <w:t>）</w:t>
      </w:r>
      <w:r>
        <w:rPr>
          <w:rFonts w:hint="default" w:ascii="Arial" w:hAnsi="Arial" w:eastAsia="宋体" w:cs="Arial"/>
          <w:color w:val="auto"/>
          <w:highlight w:val="none"/>
        </w:rPr>
        <w:t>食堂废气</w:t>
      </w:r>
    </w:p>
    <w:p>
      <w:pPr>
        <w:ind w:firstLine="480"/>
        <w:rPr>
          <w:rFonts w:hint="default" w:ascii="Arial" w:hAnsi="Arial" w:eastAsia="宋体" w:cs="Arial"/>
          <w:color w:val="auto"/>
          <w:highlight w:val="none"/>
          <w:lang w:val="zh-CN"/>
        </w:rPr>
      </w:pPr>
      <w:r>
        <w:rPr>
          <w:rFonts w:hint="default" w:ascii="Arial" w:hAnsi="Arial" w:eastAsia="宋体" w:cs="Arial"/>
          <w:color w:val="auto"/>
          <w:highlight w:val="none"/>
          <w:lang w:val="zh-CN"/>
        </w:rPr>
        <w:t>①食堂油烟</w:t>
      </w:r>
    </w:p>
    <w:p>
      <w:pPr>
        <w:ind w:firstLine="480"/>
        <w:rPr>
          <w:rFonts w:hint="default" w:ascii="Arial" w:hAnsi="Arial" w:eastAsia="宋体" w:cs="Arial"/>
          <w:color w:val="auto"/>
          <w:highlight w:val="none"/>
          <w:lang w:val="zh-CN"/>
        </w:rPr>
      </w:pPr>
      <w:r>
        <w:rPr>
          <w:rFonts w:hint="default" w:ascii="Arial" w:hAnsi="Arial" w:eastAsia="宋体" w:cs="Arial"/>
          <w:color w:val="auto"/>
          <w:highlight w:val="none"/>
          <w:lang w:val="zh-CN"/>
        </w:rPr>
        <w:t>项目食堂设有2个基准灶头。根据类比经验数据，食用油消耗系数以3kg/100人·d计，项目最大劳动定员</w:t>
      </w:r>
      <w:r>
        <w:rPr>
          <w:rFonts w:hint="default" w:ascii="Arial" w:hAnsi="Arial" w:eastAsia="宋体" w:cs="Arial"/>
          <w:color w:val="auto"/>
          <w:highlight w:val="none"/>
          <w:lang w:val="en-US" w:eastAsia="zh-CN"/>
        </w:rPr>
        <w:t>3</w:t>
      </w:r>
      <w:r>
        <w:rPr>
          <w:rFonts w:hint="default" w:ascii="Arial" w:hAnsi="Arial" w:eastAsia="宋体" w:cs="Arial"/>
          <w:color w:val="auto"/>
          <w:highlight w:val="none"/>
          <w:lang w:val="zh-CN"/>
        </w:rPr>
        <w:t>0人，食用油消耗量为</w:t>
      </w:r>
      <w:r>
        <w:rPr>
          <w:rFonts w:hint="default" w:ascii="Arial" w:hAnsi="Arial" w:eastAsia="宋体" w:cs="Arial"/>
          <w:color w:val="auto"/>
          <w:highlight w:val="none"/>
          <w:lang w:val="en-US" w:eastAsia="zh-CN"/>
        </w:rPr>
        <w:t>0.9</w:t>
      </w:r>
      <w:r>
        <w:rPr>
          <w:rFonts w:hint="default" w:ascii="Arial" w:hAnsi="Arial" w:eastAsia="宋体" w:cs="Arial"/>
          <w:color w:val="auto"/>
          <w:highlight w:val="none"/>
          <w:lang w:val="zh-CN"/>
        </w:rPr>
        <w:t>kg/d，年耗油量为</w:t>
      </w:r>
      <w:r>
        <w:rPr>
          <w:rFonts w:hint="default" w:ascii="Arial" w:hAnsi="Arial" w:eastAsia="宋体" w:cs="Arial"/>
          <w:color w:val="auto"/>
          <w:highlight w:val="none"/>
          <w:lang w:val="en-US" w:eastAsia="zh-CN"/>
        </w:rPr>
        <w:t>0.3285t</w:t>
      </w:r>
      <w:r>
        <w:rPr>
          <w:rFonts w:hint="default" w:ascii="Arial" w:hAnsi="Arial" w:eastAsia="宋体" w:cs="Arial"/>
          <w:color w:val="auto"/>
          <w:highlight w:val="none"/>
          <w:lang w:val="zh-CN"/>
        </w:rPr>
        <w:t>/a。根据不同的炒炸工况，油的挥发量不同，平均约占总耗油量的3%，则油烟的产生量为</w:t>
      </w:r>
      <w:r>
        <w:rPr>
          <w:rFonts w:hint="default" w:ascii="Arial" w:hAnsi="Arial" w:eastAsia="宋体" w:cs="Arial"/>
          <w:color w:val="auto"/>
          <w:highlight w:val="none"/>
          <w:lang w:val="en-US" w:eastAsia="zh-CN"/>
        </w:rPr>
        <w:t>0.0099</w:t>
      </w:r>
      <w:r>
        <w:rPr>
          <w:rFonts w:hint="default" w:ascii="Arial" w:hAnsi="Arial" w:eastAsia="宋体" w:cs="Arial"/>
          <w:color w:val="auto"/>
          <w:highlight w:val="none"/>
          <w:lang w:val="zh-CN"/>
        </w:rPr>
        <w:t>t/a。日工作时间按4小时计算，则高峰期该项目所产油烟速率为0.0</w:t>
      </w:r>
      <w:r>
        <w:rPr>
          <w:rFonts w:hint="default" w:ascii="Arial" w:hAnsi="Arial" w:eastAsia="宋体" w:cs="Arial"/>
          <w:color w:val="auto"/>
          <w:highlight w:val="none"/>
          <w:lang w:val="en-US" w:eastAsia="zh-CN"/>
        </w:rPr>
        <w:t>068</w:t>
      </w:r>
      <w:r>
        <w:rPr>
          <w:rFonts w:hint="default" w:ascii="Arial" w:hAnsi="Arial" w:eastAsia="宋体" w:cs="Arial"/>
          <w:color w:val="auto"/>
          <w:highlight w:val="none"/>
          <w:lang w:val="zh-CN"/>
        </w:rPr>
        <w:t>kg/h。</w:t>
      </w:r>
    </w:p>
    <w:p>
      <w:pPr>
        <w:ind w:firstLine="480"/>
        <w:rPr>
          <w:rFonts w:hint="default" w:ascii="Arial" w:hAnsi="Arial" w:eastAsia="宋体" w:cs="Arial"/>
          <w:color w:val="auto"/>
          <w:highlight w:val="none"/>
          <w:lang w:val="zh-CN"/>
        </w:rPr>
      </w:pPr>
      <w:r>
        <w:rPr>
          <w:rFonts w:hint="default" w:ascii="Arial" w:hAnsi="Arial" w:eastAsia="宋体" w:cs="Arial"/>
          <w:color w:val="auto"/>
          <w:highlight w:val="none"/>
          <w:lang w:val="zh-CN"/>
        </w:rPr>
        <w:t>根据《饮食业油烟排放标准》（GB18483-2001）规定，项目采用一套静电型油烟净化设备对油烟进行净化处理，净化效率达到60%以上，风量为</w:t>
      </w:r>
      <w:r>
        <w:rPr>
          <w:rFonts w:hint="default" w:ascii="Arial" w:hAnsi="Arial" w:eastAsia="宋体" w:cs="Arial"/>
          <w:color w:val="auto"/>
          <w:highlight w:val="none"/>
          <w:lang w:val="en-US" w:eastAsia="zh-CN"/>
        </w:rPr>
        <w:t>3</w:t>
      </w:r>
      <w:r>
        <w:rPr>
          <w:rFonts w:hint="default" w:ascii="Arial" w:hAnsi="Arial" w:eastAsia="宋体" w:cs="Arial"/>
          <w:color w:val="auto"/>
          <w:highlight w:val="none"/>
          <w:lang w:val="zh-CN"/>
        </w:rPr>
        <w:t>000m</w:t>
      </w:r>
      <w:r>
        <w:rPr>
          <w:rFonts w:hint="default" w:ascii="Arial" w:hAnsi="Arial" w:eastAsia="宋体" w:cs="Arial"/>
          <w:color w:val="auto"/>
          <w:highlight w:val="none"/>
          <w:vertAlign w:val="superscript"/>
          <w:lang w:val="zh-CN"/>
        </w:rPr>
        <w:t>3</w:t>
      </w:r>
      <w:r>
        <w:rPr>
          <w:rFonts w:hint="default" w:ascii="Arial" w:hAnsi="Arial" w:eastAsia="宋体" w:cs="Arial"/>
          <w:color w:val="auto"/>
          <w:highlight w:val="none"/>
          <w:lang w:val="zh-CN"/>
        </w:rPr>
        <w:t>/h，产生速率为0.0</w:t>
      </w:r>
      <w:r>
        <w:rPr>
          <w:rFonts w:hint="default" w:ascii="Arial" w:hAnsi="Arial" w:eastAsia="宋体" w:cs="Arial"/>
          <w:color w:val="auto"/>
          <w:highlight w:val="none"/>
          <w:lang w:val="en-US" w:eastAsia="zh-CN"/>
        </w:rPr>
        <w:t>068</w:t>
      </w:r>
      <w:r>
        <w:rPr>
          <w:rFonts w:hint="default" w:ascii="Arial" w:hAnsi="Arial" w:eastAsia="宋体" w:cs="Arial"/>
          <w:color w:val="auto"/>
          <w:highlight w:val="none"/>
          <w:lang w:val="zh-CN"/>
        </w:rPr>
        <w:t>kg/h，产生浓度为</w:t>
      </w:r>
      <w:r>
        <w:rPr>
          <w:rFonts w:hint="default" w:ascii="Arial" w:hAnsi="Arial" w:eastAsia="宋体" w:cs="Arial"/>
          <w:color w:val="auto"/>
          <w:highlight w:val="none"/>
          <w:lang w:val="en-US" w:eastAsia="zh-CN"/>
        </w:rPr>
        <w:t>2.3</w:t>
      </w:r>
      <w:r>
        <w:rPr>
          <w:rFonts w:hint="default" w:ascii="Arial" w:hAnsi="Arial" w:eastAsia="宋体" w:cs="Arial"/>
          <w:color w:val="auto"/>
          <w:highlight w:val="none"/>
          <w:lang w:val="zh-CN"/>
        </w:rPr>
        <w:t>mg/m</w:t>
      </w:r>
      <w:r>
        <w:rPr>
          <w:rFonts w:hint="default" w:ascii="Arial" w:hAnsi="Arial" w:eastAsia="宋体" w:cs="Arial"/>
          <w:color w:val="auto"/>
          <w:highlight w:val="none"/>
          <w:vertAlign w:val="superscript"/>
          <w:lang w:val="zh-CN"/>
        </w:rPr>
        <w:t>3</w:t>
      </w:r>
      <w:r>
        <w:rPr>
          <w:rFonts w:hint="default" w:ascii="Arial" w:hAnsi="Arial" w:eastAsia="宋体" w:cs="Arial"/>
          <w:color w:val="auto"/>
          <w:highlight w:val="none"/>
          <w:lang w:val="zh-CN"/>
        </w:rPr>
        <w:t>；排放量为</w:t>
      </w:r>
      <w:r>
        <w:rPr>
          <w:rFonts w:hint="default" w:ascii="Arial" w:hAnsi="Arial" w:eastAsia="宋体" w:cs="Arial"/>
          <w:color w:val="auto"/>
          <w:highlight w:val="none"/>
          <w:lang w:val="en-US" w:eastAsia="zh-CN"/>
        </w:rPr>
        <w:t>0.0039t/a</w:t>
      </w:r>
      <w:r>
        <w:rPr>
          <w:rFonts w:hint="default" w:ascii="Arial" w:hAnsi="Arial" w:eastAsia="宋体" w:cs="Arial"/>
          <w:color w:val="auto"/>
          <w:highlight w:val="none"/>
          <w:lang w:val="zh-CN"/>
        </w:rPr>
        <w:t>，排放速率为0.0</w:t>
      </w:r>
      <w:r>
        <w:rPr>
          <w:rFonts w:hint="default" w:ascii="Arial" w:hAnsi="Arial" w:eastAsia="宋体" w:cs="Arial"/>
          <w:color w:val="auto"/>
          <w:highlight w:val="none"/>
          <w:lang w:val="en-US" w:eastAsia="zh-CN"/>
        </w:rPr>
        <w:t>027</w:t>
      </w:r>
      <w:r>
        <w:rPr>
          <w:rFonts w:hint="default" w:ascii="Arial" w:hAnsi="Arial" w:eastAsia="宋体" w:cs="Arial"/>
          <w:color w:val="auto"/>
          <w:highlight w:val="none"/>
          <w:lang w:val="zh-CN"/>
        </w:rPr>
        <w:t>kg/h，排放浓度为</w:t>
      </w:r>
      <w:r>
        <w:rPr>
          <w:rFonts w:hint="default" w:ascii="Arial" w:hAnsi="Arial" w:eastAsia="宋体" w:cs="Arial"/>
          <w:color w:val="auto"/>
          <w:highlight w:val="none"/>
          <w:lang w:val="en-US" w:eastAsia="zh-CN"/>
        </w:rPr>
        <w:t>0.9</w:t>
      </w:r>
      <w:r>
        <w:rPr>
          <w:rFonts w:hint="default" w:ascii="Arial" w:hAnsi="Arial" w:eastAsia="宋体" w:cs="Arial"/>
          <w:color w:val="auto"/>
          <w:highlight w:val="none"/>
          <w:lang w:val="zh-CN"/>
        </w:rPr>
        <w:t>mg/m</w:t>
      </w:r>
      <w:r>
        <w:rPr>
          <w:rFonts w:hint="default" w:ascii="Arial" w:hAnsi="Arial" w:eastAsia="宋体" w:cs="Arial"/>
          <w:color w:val="auto"/>
          <w:highlight w:val="none"/>
          <w:vertAlign w:val="superscript"/>
          <w:lang w:val="zh-CN"/>
        </w:rPr>
        <w:t>3</w:t>
      </w:r>
      <w:r>
        <w:rPr>
          <w:rFonts w:hint="default" w:ascii="Arial" w:hAnsi="Arial" w:eastAsia="宋体" w:cs="Arial"/>
          <w:color w:val="auto"/>
          <w:highlight w:val="none"/>
          <w:lang w:val="zh-CN"/>
        </w:rPr>
        <w:t>。同时，排气筒出口不朝向敏感建筑，经采取以上措施后项目油烟排放满足《饮食业油烟排放标准》（GB18483-2001）中最的相关规定。项目食用油消耗和油烟废气产生情况见下表：</w:t>
      </w:r>
    </w:p>
    <w:p>
      <w:pPr>
        <w:pStyle w:val="8"/>
        <w:rPr>
          <w:rFonts w:hint="default" w:ascii="Arial" w:hAnsi="Arial" w:eastAsia="宋体" w:cs="Arial"/>
          <w:color w:val="auto"/>
          <w:highlight w:val="none"/>
          <w:lang w:val="zh-CN"/>
        </w:rPr>
      </w:pPr>
      <w:r>
        <w:rPr>
          <w:rFonts w:hint="default" w:ascii="Arial" w:hAnsi="Arial" w:eastAsia="宋体" w:cs="Arial"/>
          <w:color w:val="auto"/>
          <w:highlight w:val="none"/>
          <w:lang w:val="zh-CN"/>
        </w:rPr>
        <w:t>表3.3-5    食堂食用油消耗和油烟产生、排放情况</w:t>
      </w:r>
    </w:p>
    <w:tbl>
      <w:tblPr>
        <w:tblStyle w:val="40"/>
        <w:tblW w:w="9003" w:type="dxa"/>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1500"/>
        <w:gridCol w:w="1500"/>
        <w:gridCol w:w="1500"/>
        <w:gridCol w:w="1501"/>
        <w:gridCol w:w="1501"/>
        <w:gridCol w:w="1501"/>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500" w:type="dxa"/>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灶头</w:t>
            </w:r>
          </w:p>
        </w:tc>
        <w:tc>
          <w:tcPr>
            <w:tcW w:w="1500" w:type="dxa"/>
            <w:vAlign w:val="center"/>
          </w:tcPr>
          <w:p>
            <w:pPr>
              <w:pStyle w:val="63"/>
              <w:rPr>
                <w:rFonts w:hint="default" w:ascii="Arial" w:hAnsi="Arial" w:eastAsia="宋体" w:cs="Arial"/>
                <w:color w:val="auto"/>
                <w:kern w:val="0"/>
                <w:szCs w:val="24"/>
                <w:highlight w:val="none"/>
                <w:lang w:val="zh-CN"/>
              </w:rPr>
            </w:pPr>
            <w:r>
              <w:rPr>
                <w:rFonts w:hint="default" w:ascii="Arial" w:hAnsi="Arial" w:eastAsia="宋体" w:cs="Arial"/>
                <w:color w:val="auto"/>
                <w:kern w:val="0"/>
                <w:szCs w:val="24"/>
                <w:highlight w:val="none"/>
                <w:lang w:val="zh-CN"/>
              </w:rPr>
              <w:t>排风量</w:t>
            </w:r>
          </w:p>
          <w:p>
            <w:pPr>
              <w:pStyle w:val="63"/>
              <w:rPr>
                <w:rFonts w:hint="default" w:ascii="Arial" w:hAnsi="Arial" w:eastAsia="宋体" w:cs="Arial"/>
                <w:color w:val="auto"/>
                <w:highlight w:val="none"/>
              </w:rPr>
            </w:pPr>
            <w:r>
              <w:rPr>
                <w:rFonts w:hint="default" w:ascii="Arial" w:hAnsi="Arial" w:eastAsia="宋体" w:cs="Arial"/>
                <w:color w:val="auto"/>
                <w:kern w:val="0"/>
                <w:szCs w:val="24"/>
                <w:highlight w:val="none"/>
                <w:lang w:val="zh-CN"/>
              </w:rPr>
              <w:t>（m</w:t>
            </w:r>
            <w:r>
              <w:rPr>
                <w:rFonts w:hint="default" w:ascii="Arial" w:hAnsi="Arial" w:eastAsia="宋体" w:cs="Arial"/>
                <w:color w:val="auto"/>
                <w:kern w:val="0"/>
                <w:szCs w:val="24"/>
                <w:highlight w:val="none"/>
                <w:vertAlign w:val="superscript"/>
                <w:lang w:val="zh-CN"/>
              </w:rPr>
              <w:t>3</w:t>
            </w:r>
            <w:r>
              <w:rPr>
                <w:rFonts w:hint="default" w:ascii="Arial" w:hAnsi="Arial" w:eastAsia="宋体" w:cs="Arial"/>
                <w:color w:val="auto"/>
                <w:kern w:val="0"/>
                <w:szCs w:val="24"/>
                <w:highlight w:val="none"/>
                <w:lang w:val="zh-CN"/>
              </w:rPr>
              <w:t>/h）</w:t>
            </w:r>
          </w:p>
        </w:tc>
        <w:tc>
          <w:tcPr>
            <w:tcW w:w="1500" w:type="dxa"/>
            <w:vAlign w:val="center"/>
          </w:tcPr>
          <w:p>
            <w:pPr>
              <w:pStyle w:val="63"/>
              <w:rPr>
                <w:rFonts w:hint="default" w:ascii="Arial" w:hAnsi="Arial" w:eastAsia="宋体" w:cs="Arial"/>
                <w:color w:val="auto"/>
                <w:kern w:val="0"/>
                <w:szCs w:val="24"/>
                <w:highlight w:val="none"/>
                <w:lang w:val="zh-CN"/>
              </w:rPr>
            </w:pPr>
            <w:r>
              <w:rPr>
                <w:rFonts w:hint="default" w:ascii="Arial" w:hAnsi="Arial" w:eastAsia="宋体" w:cs="Arial"/>
                <w:color w:val="auto"/>
                <w:kern w:val="0"/>
                <w:szCs w:val="24"/>
                <w:highlight w:val="none"/>
                <w:lang w:val="zh-CN"/>
              </w:rPr>
              <w:t>油烟产生浓度</w:t>
            </w:r>
          </w:p>
          <w:p>
            <w:pPr>
              <w:pStyle w:val="63"/>
              <w:rPr>
                <w:rFonts w:hint="default" w:ascii="Arial" w:hAnsi="Arial" w:eastAsia="宋体" w:cs="Arial"/>
                <w:color w:val="auto"/>
                <w:highlight w:val="none"/>
              </w:rPr>
            </w:pPr>
            <w:r>
              <w:rPr>
                <w:rFonts w:hint="default" w:ascii="Arial" w:hAnsi="Arial" w:eastAsia="宋体" w:cs="Arial"/>
                <w:color w:val="auto"/>
                <w:kern w:val="0"/>
                <w:szCs w:val="24"/>
                <w:highlight w:val="none"/>
                <w:lang w:val="zh-CN"/>
              </w:rPr>
              <w:t>（mg/m</w:t>
            </w:r>
            <w:r>
              <w:rPr>
                <w:rFonts w:hint="default" w:ascii="Arial" w:hAnsi="Arial" w:eastAsia="宋体" w:cs="Arial"/>
                <w:color w:val="auto"/>
                <w:kern w:val="0"/>
                <w:szCs w:val="24"/>
                <w:highlight w:val="none"/>
                <w:vertAlign w:val="superscript"/>
                <w:lang w:val="zh-CN"/>
              </w:rPr>
              <w:t>3</w:t>
            </w:r>
            <w:r>
              <w:rPr>
                <w:rFonts w:hint="default" w:ascii="Arial" w:hAnsi="Arial" w:eastAsia="宋体" w:cs="Arial"/>
                <w:color w:val="auto"/>
                <w:kern w:val="0"/>
                <w:szCs w:val="24"/>
                <w:highlight w:val="none"/>
                <w:lang w:val="zh-CN"/>
              </w:rPr>
              <w:t>）</w:t>
            </w:r>
          </w:p>
        </w:tc>
        <w:tc>
          <w:tcPr>
            <w:tcW w:w="1501" w:type="dxa"/>
            <w:vAlign w:val="center"/>
          </w:tcPr>
          <w:p>
            <w:pPr>
              <w:pStyle w:val="63"/>
              <w:rPr>
                <w:rFonts w:hint="default" w:ascii="Arial" w:hAnsi="Arial" w:eastAsia="宋体" w:cs="Arial"/>
                <w:color w:val="auto"/>
                <w:kern w:val="0"/>
                <w:szCs w:val="24"/>
                <w:highlight w:val="none"/>
                <w:lang w:val="zh-CN"/>
              </w:rPr>
            </w:pPr>
            <w:r>
              <w:rPr>
                <w:rFonts w:hint="default" w:ascii="Arial" w:hAnsi="Arial" w:eastAsia="宋体" w:cs="Arial"/>
                <w:color w:val="auto"/>
                <w:kern w:val="0"/>
                <w:szCs w:val="24"/>
                <w:highlight w:val="none"/>
                <w:lang w:val="zh-CN"/>
              </w:rPr>
              <w:t>净化器</w:t>
            </w:r>
          </w:p>
          <w:p>
            <w:pPr>
              <w:pStyle w:val="63"/>
              <w:rPr>
                <w:rFonts w:hint="default" w:ascii="Arial" w:hAnsi="Arial" w:eastAsia="宋体" w:cs="Arial"/>
                <w:color w:val="auto"/>
                <w:highlight w:val="none"/>
              </w:rPr>
            </w:pPr>
            <w:r>
              <w:rPr>
                <w:rFonts w:hint="default" w:ascii="Arial" w:hAnsi="Arial" w:eastAsia="宋体" w:cs="Arial"/>
                <w:color w:val="auto"/>
                <w:kern w:val="0"/>
                <w:szCs w:val="24"/>
                <w:highlight w:val="none"/>
                <w:lang w:val="zh-CN"/>
              </w:rPr>
              <w:t>效率</w:t>
            </w:r>
          </w:p>
        </w:tc>
        <w:tc>
          <w:tcPr>
            <w:tcW w:w="1501" w:type="dxa"/>
            <w:vAlign w:val="center"/>
          </w:tcPr>
          <w:p>
            <w:pPr>
              <w:pStyle w:val="63"/>
              <w:rPr>
                <w:rFonts w:hint="default" w:ascii="Arial" w:hAnsi="Arial" w:eastAsia="宋体" w:cs="Arial"/>
                <w:color w:val="auto"/>
                <w:kern w:val="0"/>
                <w:szCs w:val="24"/>
                <w:highlight w:val="none"/>
                <w:lang w:val="zh-CN"/>
              </w:rPr>
            </w:pPr>
            <w:r>
              <w:rPr>
                <w:rFonts w:hint="default" w:ascii="Arial" w:hAnsi="Arial" w:eastAsia="宋体" w:cs="Arial"/>
                <w:color w:val="auto"/>
                <w:kern w:val="0"/>
                <w:szCs w:val="24"/>
                <w:highlight w:val="none"/>
                <w:lang w:val="zh-CN"/>
              </w:rPr>
              <w:t>油烟排放浓度</w:t>
            </w:r>
          </w:p>
          <w:p>
            <w:pPr>
              <w:pStyle w:val="63"/>
              <w:rPr>
                <w:rFonts w:hint="default" w:ascii="Arial" w:hAnsi="Arial" w:eastAsia="宋体" w:cs="Arial"/>
                <w:color w:val="auto"/>
                <w:highlight w:val="none"/>
              </w:rPr>
            </w:pPr>
            <w:r>
              <w:rPr>
                <w:rFonts w:hint="default" w:ascii="Arial" w:hAnsi="Arial" w:eastAsia="宋体" w:cs="Arial"/>
                <w:color w:val="auto"/>
                <w:kern w:val="0"/>
                <w:szCs w:val="24"/>
                <w:highlight w:val="none"/>
                <w:lang w:val="zh-CN"/>
              </w:rPr>
              <w:t>（mg/m</w:t>
            </w:r>
            <w:r>
              <w:rPr>
                <w:rFonts w:hint="default" w:ascii="Arial" w:hAnsi="Arial" w:eastAsia="宋体" w:cs="Arial"/>
                <w:color w:val="auto"/>
                <w:kern w:val="0"/>
                <w:szCs w:val="24"/>
                <w:highlight w:val="none"/>
                <w:vertAlign w:val="superscript"/>
                <w:lang w:val="zh-CN"/>
              </w:rPr>
              <w:t>3</w:t>
            </w:r>
            <w:r>
              <w:rPr>
                <w:rFonts w:hint="default" w:ascii="Arial" w:hAnsi="Arial" w:eastAsia="宋体" w:cs="Arial"/>
                <w:color w:val="auto"/>
                <w:kern w:val="0"/>
                <w:szCs w:val="24"/>
                <w:highlight w:val="none"/>
                <w:lang w:val="zh-CN"/>
              </w:rPr>
              <w:t>）</w:t>
            </w:r>
          </w:p>
        </w:tc>
        <w:tc>
          <w:tcPr>
            <w:tcW w:w="1501" w:type="dxa"/>
            <w:vAlign w:val="center"/>
          </w:tcPr>
          <w:p>
            <w:pPr>
              <w:pStyle w:val="63"/>
              <w:rPr>
                <w:rFonts w:hint="default" w:ascii="Arial" w:hAnsi="Arial" w:eastAsia="宋体" w:cs="Arial"/>
                <w:color w:val="auto"/>
                <w:kern w:val="0"/>
                <w:szCs w:val="24"/>
                <w:highlight w:val="none"/>
                <w:lang w:val="zh-CN"/>
              </w:rPr>
            </w:pPr>
            <w:r>
              <w:rPr>
                <w:rFonts w:hint="default" w:ascii="Arial" w:hAnsi="Arial" w:eastAsia="宋体" w:cs="Arial"/>
                <w:color w:val="auto"/>
                <w:kern w:val="0"/>
                <w:szCs w:val="24"/>
                <w:highlight w:val="none"/>
                <w:lang w:val="zh-CN"/>
              </w:rPr>
              <w:t>油烟排放量</w:t>
            </w:r>
          </w:p>
          <w:p>
            <w:pPr>
              <w:pStyle w:val="63"/>
              <w:rPr>
                <w:rFonts w:hint="default" w:ascii="Arial" w:hAnsi="Arial" w:eastAsia="宋体" w:cs="Arial"/>
                <w:color w:val="auto"/>
                <w:highlight w:val="none"/>
              </w:rPr>
            </w:pPr>
            <w:r>
              <w:rPr>
                <w:rFonts w:hint="default" w:ascii="Arial" w:hAnsi="Arial" w:eastAsia="宋体" w:cs="Arial"/>
                <w:color w:val="auto"/>
                <w:kern w:val="0"/>
                <w:szCs w:val="24"/>
                <w:highlight w:val="none"/>
                <w:lang w:val="zh-CN"/>
              </w:rPr>
              <w:t>（t/a）</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500" w:type="dxa"/>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2</w:t>
            </w:r>
          </w:p>
        </w:tc>
        <w:tc>
          <w:tcPr>
            <w:tcW w:w="1500" w:type="dxa"/>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lang w:val="en-US" w:eastAsia="zh-CN"/>
              </w:rPr>
              <w:t>3</w:t>
            </w:r>
            <w:r>
              <w:rPr>
                <w:rFonts w:hint="default" w:ascii="Arial" w:hAnsi="Arial" w:eastAsia="宋体" w:cs="Arial"/>
                <w:color w:val="auto"/>
                <w:highlight w:val="none"/>
              </w:rPr>
              <w:t>000</w:t>
            </w:r>
          </w:p>
        </w:tc>
        <w:tc>
          <w:tcPr>
            <w:tcW w:w="1500" w:type="dxa"/>
            <w:vAlign w:val="center"/>
          </w:tcPr>
          <w:p>
            <w:pPr>
              <w:pStyle w:val="63"/>
              <w:rPr>
                <w:rFonts w:hint="default" w:ascii="Arial" w:hAnsi="Arial" w:eastAsia="宋体" w:cs="Arial"/>
                <w:color w:val="auto"/>
                <w:highlight w:val="none"/>
                <w:lang w:val="en-US"/>
              </w:rPr>
            </w:pPr>
            <w:r>
              <w:rPr>
                <w:rFonts w:hint="default" w:ascii="Arial" w:hAnsi="Arial" w:eastAsia="宋体" w:cs="Arial"/>
                <w:color w:val="auto"/>
                <w:highlight w:val="none"/>
                <w:lang w:val="en-US" w:eastAsia="zh-CN"/>
              </w:rPr>
              <w:t>2.3</w:t>
            </w:r>
          </w:p>
        </w:tc>
        <w:tc>
          <w:tcPr>
            <w:tcW w:w="1501" w:type="dxa"/>
            <w:vAlign w:val="center"/>
          </w:tcPr>
          <w:p>
            <w:pPr>
              <w:pStyle w:val="63"/>
              <w:rPr>
                <w:rFonts w:hint="default" w:ascii="Arial" w:hAnsi="Arial" w:eastAsia="宋体" w:cs="Arial"/>
                <w:color w:val="auto"/>
                <w:highlight w:val="none"/>
              </w:rPr>
            </w:pPr>
            <w:r>
              <w:rPr>
                <w:rFonts w:hint="default" w:ascii="Arial" w:hAnsi="Arial" w:eastAsia="宋体" w:cs="Arial"/>
                <w:color w:val="auto"/>
                <w:kern w:val="0"/>
                <w:szCs w:val="24"/>
                <w:highlight w:val="none"/>
                <w:lang w:val="zh-CN"/>
              </w:rPr>
              <w:t>60%</w:t>
            </w:r>
          </w:p>
        </w:tc>
        <w:tc>
          <w:tcPr>
            <w:tcW w:w="1501" w:type="dxa"/>
            <w:vAlign w:val="center"/>
          </w:tcPr>
          <w:p>
            <w:pPr>
              <w:pStyle w:val="63"/>
              <w:rPr>
                <w:rFonts w:hint="default" w:ascii="Arial" w:hAnsi="Arial" w:eastAsia="宋体" w:cs="Arial"/>
                <w:color w:val="auto"/>
                <w:highlight w:val="none"/>
                <w:lang w:val="en-US" w:eastAsia="zh-CN"/>
              </w:rPr>
            </w:pPr>
            <w:r>
              <w:rPr>
                <w:rFonts w:hint="default" w:ascii="Arial" w:hAnsi="Arial" w:eastAsia="宋体" w:cs="Arial"/>
                <w:color w:val="auto"/>
                <w:highlight w:val="none"/>
                <w:lang w:val="en-US" w:eastAsia="zh-CN"/>
              </w:rPr>
              <w:t>0.9</w:t>
            </w:r>
          </w:p>
        </w:tc>
        <w:tc>
          <w:tcPr>
            <w:tcW w:w="1501" w:type="dxa"/>
            <w:vAlign w:val="center"/>
          </w:tcPr>
          <w:p>
            <w:pPr>
              <w:pStyle w:val="63"/>
              <w:rPr>
                <w:rFonts w:hint="default" w:ascii="Arial" w:hAnsi="Arial" w:eastAsia="宋体" w:cs="Arial"/>
                <w:color w:val="auto"/>
                <w:highlight w:val="none"/>
                <w:lang w:val="en-US"/>
              </w:rPr>
            </w:pPr>
            <w:r>
              <w:rPr>
                <w:rFonts w:hint="default" w:ascii="Arial" w:hAnsi="Arial" w:eastAsia="宋体" w:cs="Arial"/>
                <w:color w:val="auto"/>
                <w:highlight w:val="none"/>
                <w:lang w:val="en-US" w:eastAsia="zh-CN"/>
              </w:rPr>
              <w:t>0.0039</w:t>
            </w:r>
          </w:p>
        </w:tc>
      </w:tr>
    </w:tbl>
    <w:p>
      <w:pPr>
        <w:ind w:firstLine="480"/>
        <w:rPr>
          <w:rFonts w:hint="default" w:ascii="Arial" w:hAnsi="Arial" w:eastAsia="宋体" w:cs="Arial"/>
          <w:color w:val="auto"/>
          <w:highlight w:val="none"/>
          <w:lang w:val="zh-CN"/>
        </w:rPr>
      </w:pPr>
      <w:r>
        <w:rPr>
          <w:rFonts w:hint="default" w:ascii="Arial" w:hAnsi="Arial" w:eastAsia="宋体" w:cs="Arial"/>
          <w:color w:val="auto"/>
          <w:highlight w:val="none"/>
          <w:lang w:val="zh-CN"/>
        </w:rPr>
        <w:t>②液化石油气的燃烧废气</w:t>
      </w:r>
    </w:p>
    <w:p>
      <w:pPr>
        <w:ind w:firstLine="480"/>
        <w:rPr>
          <w:rFonts w:hint="default" w:ascii="Arial" w:hAnsi="Arial" w:eastAsia="宋体" w:cs="Arial"/>
          <w:color w:val="auto"/>
          <w:highlight w:val="none"/>
          <w:lang w:val="zh-CN"/>
        </w:rPr>
      </w:pPr>
      <w:r>
        <w:rPr>
          <w:rFonts w:hint="default" w:ascii="Arial" w:hAnsi="Arial" w:eastAsia="宋体" w:cs="Arial"/>
          <w:color w:val="auto"/>
          <w:highlight w:val="none"/>
          <w:lang w:val="zh-CN"/>
        </w:rPr>
        <w:t>煮食燃料为罐装液化石油气，按照煮食人均耗0.2Nm</w:t>
      </w:r>
      <w:r>
        <w:rPr>
          <w:rFonts w:hint="default" w:ascii="Arial" w:hAnsi="Arial" w:eastAsia="宋体" w:cs="Arial"/>
          <w:color w:val="auto"/>
          <w:highlight w:val="none"/>
          <w:vertAlign w:val="superscript"/>
          <w:lang w:val="zh-CN"/>
        </w:rPr>
        <w:t>2</w:t>
      </w:r>
      <w:r>
        <w:rPr>
          <w:rFonts w:hint="default" w:ascii="Arial" w:hAnsi="Arial" w:eastAsia="宋体" w:cs="Arial"/>
          <w:color w:val="auto"/>
          <w:highlight w:val="none"/>
          <w:lang w:val="zh-CN"/>
        </w:rPr>
        <w:t>/d，劳动定员为</w:t>
      </w:r>
      <w:r>
        <w:rPr>
          <w:rFonts w:hint="default" w:ascii="Arial" w:hAnsi="Arial" w:eastAsia="宋体" w:cs="Arial"/>
          <w:color w:val="auto"/>
          <w:highlight w:val="none"/>
          <w:lang w:val="en-US" w:eastAsia="zh-CN"/>
        </w:rPr>
        <w:t>3</w:t>
      </w:r>
      <w:r>
        <w:rPr>
          <w:rFonts w:hint="default" w:ascii="Arial" w:hAnsi="Arial" w:eastAsia="宋体" w:cs="Arial"/>
          <w:color w:val="auto"/>
          <w:highlight w:val="none"/>
          <w:lang w:val="zh-CN"/>
        </w:rPr>
        <w:t>0人，耗气量为</w:t>
      </w:r>
      <w:r>
        <w:rPr>
          <w:rFonts w:hint="default" w:ascii="Arial" w:hAnsi="Arial" w:eastAsia="宋体" w:cs="Arial"/>
          <w:color w:val="auto"/>
          <w:highlight w:val="none"/>
          <w:lang w:val="en-US" w:eastAsia="zh-CN"/>
        </w:rPr>
        <w:t>2190</w:t>
      </w:r>
      <w:r>
        <w:rPr>
          <w:rFonts w:hint="default" w:ascii="Arial" w:hAnsi="Arial" w:eastAsia="宋体" w:cs="Arial"/>
          <w:color w:val="auto"/>
          <w:highlight w:val="none"/>
          <w:lang w:val="zh-CN"/>
        </w:rPr>
        <w:t>m</w:t>
      </w:r>
      <w:r>
        <w:rPr>
          <w:rFonts w:hint="default" w:ascii="Arial" w:hAnsi="Arial" w:eastAsia="宋体" w:cs="Arial"/>
          <w:color w:val="auto"/>
          <w:highlight w:val="none"/>
          <w:vertAlign w:val="superscript"/>
          <w:lang w:val="zh-CN"/>
        </w:rPr>
        <w:t>3</w:t>
      </w:r>
      <w:r>
        <w:rPr>
          <w:rFonts w:hint="default" w:ascii="Arial" w:hAnsi="Arial" w:eastAsia="宋体" w:cs="Arial"/>
          <w:color w:val="auto"/>
          <w:highlight w:val="none"/>
          <w:lang w:val="zh-CN"/>
        </w:rPr>
        <w:t>/a，标准状态下液化气密度为1.977kg/m</w:t>
      </w:r>
      <w:r>
        <w:rPr>
          <w:rFonts w:hint="default" w:ascii="Arial" w:hAnsi="Arial" w:eastAsia="宋体" w:cs="Arial"/>
          <w:color w:val="auto"/>
          <w:highlight w:val="none"/>
          <w:vertAlign w:val="superscript"/>
          <w:lang w:val="zh-CN"/>
        </w:rPr>
        <w:t>3</w:t>
      </w:r>
      <w:r>
        <w:rPr>
          <w:rFonts w:hint="default" w:ascii="Arial" w:hAnsi="Arial" w:eastAsia="宋体" w:cs="Arial"/>
          <w:color w:val="auto"/>
          <w:highlight w:val="none"/>
          <w:lang w:val="zh-CN"/>
        </w:rPr>
        <w:t>，耗气量为</w:t>
      </w:r>
      <w:r>
        <w:rPr>
          <w:rFonts w:hint="default" w:ascii="Arial" w:hAnsi="Arial" w:eastAsia="宋体" w:cs="Arial"/>
          <w:color w:val="auto"/>
          <w:highlight w:val="none"/>
          <w:lang w:val="en-US" w:eastAsia="zh-CN"/>
        </w:rPr>
        <w:t>4.33</w:t>
      </w:r>
      <w:r>
        <w:rPr>
          <w:rFonts w:hint="default" w:ascii="Arial" w:hAnsi="Arial" w:eastAsia="宋体" w:cs="Arial"/>
          <w:color w:val="auto"/>
          <w:highlight w:val="none"/>
          <w:lang w:val="zh-CN"/>
        </w:rPr>
        <w:t>t/a。本项目燃烧废气参照《第一次全国污染源普查城镇生活源产排污系数手册》中的排放系数，燃料的污染物排放因子及本项目废气污染物排放量见下表：</w:t>
      </w:r>
    </w:p>
    <w:p>
      <w:pPr>
        <w:pStyle w:val="8"/>
        <w:rPr>
          <w:rFonts w:hint="default" w:ascii="Arial" w:hAnsi="Arial" w:eastAsia="宋体" w:cs="Arial"/>
          <w:color w:val="auto"/>
          <w:highlight w:val="none"/>
          <w:lang w:val="zh-CN"/>
        </w:rPr>
      </w:pPr>
      <w:r>
        <w:rPr>
          <w:rFonts w:hint="default" w:ascii="Arial" w:hAnsi="Arial" w:eastAsia="宋体" w:cs="Arial"/>
          <w:color w:val="auto"/>
          <w:highlight w:val="none"/>
          <w:lang w:val="zh-CN"/>
        </w:rPr>
        <w:t>表3.3-6    食堂燃料燃烧废气污染物排放情况表</w:t>
      </w:r>
    </w:p>
    <w:tbl>
      <w:tblPr>
        <w:tblStyle w:val="40"/>
        <w:tblW w:w="9003" w:type="dxa"/>
        <w:tblInd w:w="0" w:type="dxa"/>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1800"/>
        <w:gridCol w:w="1800"/>
        <w:gridCol w:w="1801"/>
        <w:gridCol w:w="1801"/>
        <w:gridCol w:w="1801"/>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800" w:type="dxa"/>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lang w:val="zh-CN"/>
              </w:rPr>
              <w:t>污染物</w:t>
            </w:r>
          </w:p>
        </w:tc>
        <w:tc>
          <w:tcPr>
            <w:tcW w:w="1800" w:type="dxa"/>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lang w:val="zh-CN"/>
              </w:rPr>
              <w:t>废气量</w:t>
            </w:r>
          </w:p>
        </w:tc>
        <w:tc>
          <w:tcPr>
            <w:tcW w:w="1801" w:type="dxa"/>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lang w:val="zh-CN"/>
              </w:rPr>
              <w:t>颗粒物</w:t>
            </w:r>
          </w:p>
        </w:tc>
        <w:tc>
          <w:tcPr>
            <w:tcW w:w="1801" w:type="dxa"/>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lang w:val="zh-CN"/>
              </w:rPr>
              <w:t>SO</w:t>
            </w:r>
            <w:r>
              <w:rPr>
                <w:rFonts w:hint="default" w:ascii="Arial" w:hAnsi="Arial" w:eastAsia="宋体" w:cs="Arial"/>
                <w:color w:val="auto"/>
                <w:highlight w:val="none"/>
                <w:vertAlign w:val="subscript"/>
                <w:lang w:val="zh-CN"/>
              </w:rPr>
              <w:t>2</w:t>
            </w:r>
          </w:p>
        </w:tc>
        <w:tc>
          <w:tcPr>
            <w:tcW w:w="1801" w:type="dxa"/>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lang w:val="zh-CN"/>
              </w:rPr>
              <w:t>NO</w:t>
            </w:r>
            <w:r>
              <w:rPr>
                <w:rFonts w:hint="default" w:ascii="Arial" w:hAnsi="Arial" w:eastAsia="宋体" w:cs="Arial"/>
                <w:color w:val="auto"/>
                <w:highlight w:val="none"/>
                <w:vertAlign w:val="subscript"/>
                <w:lang w:val="zh-CN"/>
              </w:rPr>
              <w:t>x</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800" w:type="dxa"/>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lang w:val="zh-CN"/>
              </w:rPr>
              <w:t>产污系数</w:t>
            </w:r>
          </w:p>
        </w:tc>
        <w:tc>
          <w:tcPr>
            <w:tcW w:w="1800" w:type="dxa"/>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lang w:val="zh-CN"/>
              </w:rPr>
              <w:t>17000Nm</w:t>
            </w:r>
            <w:r>
              <w:rPr>
                <w:rFonts w:hint="default" w:ascii="Arial" w:hAnsi="Arial" w:eastAsia="宋体" w:cs="Arial"/>
                <w:color w:val="auto"/>
                <w:highlight w:val="none"/>
                <w:vertAlign w:val="superscript"/>
                <w:lang w:val="zh-CN"/>
              </w:rPr>
              <w:t>2</w:t>
            </w:r>
            <w:r>
              <w:rPr>
                <w:rFonts w:hint="default" w:ascii="Arial" w:hAnsi="Arial" w:eastAsia="宋体" w:cs="Arial"/>
                <w:color w:val="auto"/>
                <w:highlight w:val="none"/>
                <w:lang w:val="zh-CN"/>
              </w:rPr>
              <w:t>/t气</w:t>
            </w:r>
          </w:p>
        </w:tc>
        <w:tc>
          <w:tcPr>
            <w:tcW w:w="1801" w:type="dxa"/>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lang w:val="zh-CN"/>
              </w:rPr>
              <w:t>4.68g/t气</w:t>
            </w:r>
          </w:p>
        </w:tc>
        <w:tc>
          <w:tcPr>
            <w:tcW w:w="1801" w:type="dxa"/>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lang w:val="zh-CN"/>
              </w:rPr>
              <w:t>1.36g/t气</w:t>
            </w:r>
          </w:p>
        </w:tc>
        <w:tc>
          <w:tcPr>
            <w:tcW w:w="1801" w:type="dxa"/>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lang w:val="zh-CN"/>
              </w:rPr>
              <w:t>4.51kg/t气</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800" w:type="dxa"/>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lang w:val="zh-CN"/>
              </w:rPr>
              <w:t>年排放量</w:t>
            </w:r>
          </w:p>
        </w:tc>
        <w:tc>
          <w:tcPr>
            <w:tcW w:w="1800" w:type="dxa"/>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lang w:val="en-US" w:eastAsia="zh-CN"/>
              </w:rPr>
              <w:t>73610</w:t>
            </w:r>
            <w:r>
              <w:rPr>
                <w:rFonts w:hint="default" w:ascii="Arial" w:hAnsi="Arial" w:eastAsia="宋体" w:cs="Arial"/>
                <w:color w:val="auto"/>
                <w:highlight w:val="none"/>
              </w:rPr>
              <w:t>m</w:t>
            </w:r>
            <w:r>
              <w:rPr>
                <w:rFonts w:hint="default" w:ascii="Arial" w:hAnsi="Arial" w:eastAsia="宋体" w:cs="Arial"/>
                <w:color w:val="auto"/>
                <w:highlight w:val="none"/>
                <w:vertAlign w:val="superscript"/>
              </w:rPr>
              <w:t>3</w:t>
            </w:r>
            <w:r>
              <w:rPr>
                <w:rFonts w:hint="default" w:ascii="Arial" w:hAnsi="Arial" w:eastAsia="宋体" w:cs="Arial"/>
                <w:color w:val="auto"/>
                <w:highlight w:val="none"/>
              </w:rPr>
              <w:t>/a</w:t>
            </w:r>
          </w:p>
        </w:tc>
        <w:tc>
          <w:tcPr>
            <w:tcW w:w="1801" w:type="dxa"/>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lang w:val="en-US" w:eastAsia="zh-CN"/>
              </w:rPr>
              <w:t>0.0203</w:t>
            </w:r>
            <w:r>
              <w:rPr>
                <w:rFonts w:hint="default" w:ascii="Arial" w:hAnsi="Arial" w:eastAsia="宋体" w:cs="Arial"/>
                <w:color w:val="auto"/>
                <w:highlight w:val="none"/>
              </w:rPr>
              <w:t>kg/a</w:t>
            </w:r>
          </w:p>
        </w:tc>
        <w:tc>
          <w:tcPr>
            <w:tcW w:w="1801" w:type="dxa"/>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lang w:val="en-US" w:eastAsia="zh-CN"/>
              </w:rPr>
              <w:t>0.0059</w:t>
            </w:r>
            <w:r>
              <w:rPr>
                <w:rFonts w:hint="default" w:ascii="Arial" w:hAnsi="Arial" w:eastAsia="宋体" w:cs="Arial"/>
                <w:color w:val="auto"/>
                <w:highlight w:val="none"/>
              </w:rPr>
              <w:t>kg/a</w:t>
            </w:r>
          </w:p>
        </w:tc>
        <w:tc>
          <w:tcPr>
            <w:tcW w:w="1801" w:type="dxa"/>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lang w:val="en-US" w:eastAsia="zh-CN"/>
              </w:rPr>
              <w:t>0.0195</w:t>
            </w:r>
            <w:r>
              <w:rPr>
                <w:rFonts w:hint="default" w:ascii="Arial" w:hAnsi="Arial" w:eastAsia="宋体" w:cs="Arial"/>
                <w:color w:val="auto"/>
                <w:highlight w:val="none"/>
              </w:rPr>
              <w:t>kg/a</w:t>
            </w:r>
          </w:p>
        </w:tc>
      </w:tr>
    </w:tbl>
    <w:p>
      <w:pPr>
        <w:pStyle w:val="6"/>
        <w:pageBreakBefore w:val="0"/>
        <w:widowControl w:val="0"/>
        <w:kinsoku/>
        <w:wordWrap/>
        <w:overflowPunct/>
        <w:topLinePunct/>
        <w:autoSpaceDE w:val="0"/>
        <w:autoSpaceDN/>
        <w:bidi w:val="0"/>
        <w:adjustRightInd/>
        <w:snapToGrid/>
        <w:textAlignment w:val="auto"/>
        <w:rPr>
          <w:rFonts w:hint="default" w:ascii="Arial" w:hAnsi="Arial" w:eastAsia="宋体" w:cs="Arial"/>
          <w:color w:val="auto"/>
          <w:highlight w:val="none"/>
        </w:rPr>
      </w:pPr>
      <w:bookmarkStart w:id="244" w:name="_Toc29381"/>
      <w:r>
        <w:rPr>
          <w:rFonts w:hint="default" w:ascii="Arial" w:hAnsi="Arial" w:eastAsia="宋体" w:cs="Arial"/>
          <w:color w:val="auto"/>
          <w:highlight w:val="none"/>
        </w:rPr>
        <w:t>3.3.2水污染物</w:t>
      </w:r>
      <w:bookmarkEnd w:id="243"/>
      <w:bookmarkEnd w:id="244"/>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lang w:eastAsia="zh-CN"/>
        </w:rPr>
      </w:pPr>
      <w:r>
        <w:rPr>
          <w:rFonts w:hint="default" w:ascii="Arial" w:hAnsi="Arial" w:eastAsia="宋体" w:cs="Arial"/>
          <w:color w:val="auto"/>
          <w:highlight w:val="none"/>
          <w:lang w:eastAsia="zh-CN"/>
        </w:rPr>
        <w:t>（</w:t>
      </w:r>
      <w:r>
        <w:rPr>
          <w:rFonts w:hint="default" w:ascii="Arial" w:hAnsi="Arial" w:eastAsia="宋体" w:cs="Arial"/>
          <w:color w:val="auto"/>
          <w:highlight w:val="none"/>
          <w:lang w:val="en-US" w:eastAsia="zh-CN"/>
        </w:rPr>
        <w:t>1</w:t>
      </w:r>
      <w:r>
        <w:rPr>
          <w:rFonts w:hint="default" w:ascii="Arial" w:hAnsi="Arial" w:eastAsia="宋体" w:cs="Arial"/>
          <w:color w:val="auto"/>
          <w:highlight w:val="none"/>
          <w:lang w:eastAsia="zh-CN"/>
        </w:rPr>
        <w:t>）牛尿</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牛群饮用水部分用于自身生长及运动消耗，其余部分以尿液的形式排出。根据《畜禽养殖业污染治理工程技术规范》（HJ 497－2009）附录A</w:t>
      </w:r>
      <w:r>
        <w:rPr>
          <w:rFonts w:hint="default" w:ascii="Arial" w:hAnsi="Arial" w:eastAsia="宋体" w:cs="Arial"/>
          <w:color w:val="auto"/>
          <w:highlight w:val="none"/>
          <w:lang w:eastAsia="zh-CN"/>
        </w:rPr>
        <w:t>牛群尿液</w:t>
      </w:r>
      <w:r>
        <w:rPr>
          <w:rFonts w:hint="default" w:ascii="Arial" w:hAnsi="Arial" w:eastAsia="宋体" w:cs="Arial"/>
          <w:color w:val="auto"/>
          <w:highlight w:val="none"/>
        </w:rPr>
        <w:t>产生量以</w:t>
      </w:r>
      <w:r>
        <w:rPr>
          <w:rFonts w:hint="default" w:ascii="Arial" w:hAnsi="Arial" w:eastAsia="宋体" w:cs="Arial"/>
          <w:color w:val="auto"/>
          <w:highlight w:val="none"/>
          <w:lang w:val="en-US" w:eastAsia="zh-CN"/>
        </w:rPr>
        <w:t>1</w:t>
      </w:r>
      <w:r>
        <w:rPr>
          <w:rFonts w:hint="default" w:ascii="Arial" w:hAnsi="Arial" w:eastAsia="宋体" w:cs="Arial"/>
          <w:color w:val="auto"/>
          <w:highlight w:val="none"/>
        </w:rPr>
        <w:t>0kg/头•d计，</w:t>
      </w:r>
      <w:r>
        <w:rPr>
          <w:rFonts w:hint="default" w:ascii="Arial" w:hAnsi="Arial" w:eastAsia="宋体" w:cs="Arial"/>
          <w:color w:val="auto"/>
          <w:highlight w:val="none"/>
          <w:lang w:eastAsia="zh-CN"/>
        </w:rPr>
        <w:t>牛尿产生量为36500</w:t>
      </w:r>
      <w:r>
        <w:rPr>
          <w:rFonts w:hint="default" w:ascii="Arial" w:hAnsi="Arial" w:eastAsia="宋体" w:cs="Arial"/>
          <w:color w:val="auto"/>
          <w:highlight w:val="none"/>
          <w:lang w:val="en-US" w:eastAsia="zh-CN"/>
        </w:rPr>
        <w:t>m</w:t>
      </w:r>
      <w:r>
        <w:rPr>
          <w:rFonts w:hint="default" w:ascii="Arial" w:hAnsi="Arial" w:eastAsia="宋体" w:cs="Arial"/>
          <w:color w:val="auto"/>
          <w:highlight w:val="none"/>
          <w:vertAlign w:val="superscript"/>
          <w:lang w:val="en-US" w:eastAsia="zh-CN"/>
        </w:rPr>
        <w:t>3</w:t>
      </w:r>
      <w:r>
        <w:rPr>
          <w:rFonts w:hint="default" w:ascii="Arial" w:hAnsi="Arial" w:eastAsia="宋体" w:cs="Arial"/>
          <w:color w:val="auto"/>
          <w:highlight w:val="none"/>
          <w:lang w:val="en-US" w:eastAsia="zh-CN"/>
        </w:rPr>
        <w:t>/a</w:t>
      </w:r>
      <w:r>
        <w:rPr>
          <w:rFonts w:hint="default" w:ascii="Arial" w:hAnsi="Arial" w:eastAsia="宋体" w:cs="Arial"/>
          <w:color w:val="auto"/>
          <w:highlight w:val="none"/>
        </w:rPr>
        <w:t>。</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sz w:val="24"/>
          <w:szCs w:val="28"/>
        </w:rPr>
        <w:t>本项目</w:t>
      </w:r>
      <w:r>
        <w:rPr>
          <w:rFonts w:hint="default" w:ascii="Arial" w:hAnsi="Arial" w:eastAsia="宋体" w:cs="Arial"/>
          <w:color w:val="auto"/>
          <w:kern w:val="0"/>
          <w:sz w:val="24"/>
          <w:szCs w:val="24"/>
          <w:lang w:eastAsia="zh-CN"/>
        </w:rPr>
        <w:t>肉牛饲养过程中饮用水量较少，排放的尿液较少，并且牛粪较为干燥，在</w:t>
      </w:r>
      <w:r>
        <w:rPr>
          <w:rFonts w:hint="default" w:ascii="Arial" w:hAnsi="Arial" w:eastAsia="宋体" w:cs="Arial"/>
          <w:color w:val="auto"/>
          <w:kern w:val="0"/>
          <w:sz w:val="24"/>
          <w:szCs w:val="24"/>
        </w:rPr>
        <w:t>养殖区</w:t>
      </w:r>
      <w:r>
        <w:rPr>
          <w:rFonts w:hint="default" w:ascii="Arial" w:hAnsi="Arial" w:eastAsia="宋体" w:cs="Arial"/>
          <w:color w:val="auto"/>
          <w:kern w:val="0"/>
          <w:sz w:val="24"/>
          <w:szCs w:val="24"/>
          <w:lang w:eastAsia="zh-CN"/>
        </w:rPr>
        <w:t>（</w:t>
      </w:r>
      <w:r>
        <w:rPr>
          <w:rFonts w:hint="default" w:ascii="Arial" w:hAnsi="Arial" w:eastAsia="宋体" w:cs="Arial"/>
          <w:color w:val="auto"/>
          <w:kern w:val="0"/>
          <w:sz w:val="24"/>
          <w:szCs w:val="24"/>
        </w:rPr>
        <w:t>牛舍</w:t>
      </w:r>
      <w:r>
        <w:rPr>
          <w:rFonts w:hint="default" w:ascii="Arial" w:hAnsi="Arial" w:eastAsia="宋体" w:cs="Arial"/>
          <w:color w:val="auto"/>
          <w:kern w:val="0"/>
          <w:sz w:val="24"/>
          <w:szCs w:val="24"/>
          <w:lang w:eastAsia="zh-CN"/>
        </w:rPr>
        <w:t>、运动场）排放的尿液大部分由于当地气候干燥挥发，剩余尿液与粪便完全粘结混合在一起，一起运往堆粪场</w:t>
      </w:r>
      <w:r>
        <w:rPr>
          <w:rFonts w:hint="default" w:ascii="Arial" w:hAnsi="Arial" w:eastAsia="宋体" w:cs="Arial"/>
          <w:color w:val="auto"/>
          <w:kern w:val="0"/>
          <w:sz w:val="24"/>
          <w:szCs w:val="24"/>
        </w:rPr>
        <w:t>储存并堆肥</w:t>
      </w:r>
      <w:r>
        <w:rPr>
          <w:rFonts w:hint="default" w:ascii="Arial" w:hAnsi="Arial" w:eastAsia="宋体" w:cs="Arial"/>
          <w:color w:val="auto"/>
          <w:kern w:val="0"/>
          <w:sz w:val="24"/>
          <w:szCs w:val="24"/>
          <w:lang w:eastAsia="zh-CN"/>
        </w:rPr>
        <w:t>，因此，没有尿液排放；</w:t>
      </w:r>
      <w:r>
        <w:rPr>
          <w:rFonts w:hint="default" w:ascii="Arial" w:hAnsi="Arial" w:eastAsia="宋体" w:cs="Arial"/>
          <w:color w:val="auto"/>
          <w:kern w:val="0"/>
          <w:sz w:val="24"/>
          <w:szCs w:val="24"/>
        </w:rPr>
        <w:t>养殖区</w:t>
      </w:r>
      <w:r>
        <w:rPr>
          <w:rFonts w:hint="default" w:ascii="Arial" w:hAnsi="Arial" w:eastAsia="宋体" w:cs="Arial"/>
          <w:color w:val="auto"/>
          <w:kern w:val="0"/>
          <w:sz w:val="24"/>
          <w:szCs w:val="24"/>
          <w:lang w:eastAsia="zh-CN"/>
        </w:rPr>
        <w:t>（</w:t>
      </w:r>
      <w:r>
        <w:rPr>
          <w:rFonts w:hint="default" w:ascii="Arial" w:hAnsi="Arial" w:eastAsia="宋体" w:cs="Arial"/>
          <w:color w:val="auto"/>
          <w:kern w:val="0"/>
          <w:sz w:val="24"/>
          <w:szCs w:val="24"/>
        </w:rPr>
        <w:t>牛舍</w:t>
      </w:r>
      <w:r>
        <w:rPr>
          <w:rFonts w:hint="default" w:ascii="Arial" w:hAnsi="Arial" w:eastAsia="宋体" w:cs="Arial"/>
          <w:color w:val="auto"/>
          <w:kern w:val="0"/>
          <w:sz w:val="24"/>
          <w:szCs w:val="24"/>
          <w:lang w:eastAsia="zh-CN"/>
        </w:rPr>
        <w:t>、运动场）场地不采取水冲洗方式清理，采用生石灰或者消毒水每周喷洒消毒</w:t>
      </w:r>
      <w:r>
        <w:rPr>
          <w:rFonts w:hint="default" w:ascii="Arial" w:hAnsi="Arial" w:eastAsia="宋体" w:cs="Arial"/>
          <w:color w:val="auto"/>
          <w:kern w:val="0"/>
          <w:sz w:val="24"/>
          <w:szCs w:val="24"/>
          <w:lang w:val="en-US" w:eastAsia="zh-CN"/>
        </w:rPr>
        <w:t>2~3次</w:t>
      </w:r>
      <w:r>
        <w:rPr>
          <w:rFonts w:hint="default" w:ascii="Arial" w:hAnsi="Arial" w:eastAsia="宋体" w:cs="Arial"/>
          <w:color w:val="auto"/>
          <w:kern w:val="0"/>
          <w:sz w:val="24"/>
          <w:szCs w:val="24"/>
          <w:lang w:eastAsia="zh-CN"/>
        </w:rPr>
        <w:t>，因此，</w:t>
      </w:r>
      <w:r>
        <w:rPr>
          <w:rFonts w:hint="default" w:ascii="Arial" w:hAnsi="Arial" w:eastAsia="宋体" w:cs="Arial"/>
          <w:color w:val="auto"/>
          <w:kern w:val="0"/>
          <w:sz w:val="24"/>
          <w:szCs w:val="24"/>
        </w:rPr>
        <w:t>养殖区</w:t>
      </w:r>
      <w:r>
        <w:rPr>
          <w:rFonts w:hint="default" w:ascii="Arial" w:hAnsi="Arial" w:eastAsia="宋体" w:cs="Arial"/>
          <w:color w:val="auto"/>
          <w:kern w:val="0"/>
          <w:sz w:val="24"/>
          <w:szCs w:val="24"/>
          <w:lang w:eastAsia="zh-CN"/>
        </w:rPr>
        <w:t>（</w:t>
      </w:r>
      <w:r>
        <w:rPr>
          <w:rFonts w:hint="default" w:ascii="Arial" w:hAnsi="Arial" w:eastAsia="宋体" w:cs="Arial"/>
          <w:color w:val="auto"/>
          <w:kern w:val="0"/>
          <w:sz w:val="24"/>
          <w:szCs w:val="24"/>
        </w:rPr>
        <w:t>牛舍</w:t>
      </w:r>
      <w:r>
        <w:rPr>
          <w:rFonts w:hint="default" w:ascii="Arial" w:hAnsi="Arial" w:eastAsia="宋体" w:cs="Arial"/>
          <w:color w:val="auto"/>
          <w:kern w:val="0"/>
          <w:sz w:val="24"/>
          <w:szCs w:val="24"/>
          <w:lang w:eastAsia="zh-CN"/>
        </w:rPr>
        <w:t>、运动场）</w:t>
      </w:r>
      <w:r>
        <w:rPr>
          <w:rFonts w:hint="default" w:ascii="Arial" w:hAnsi="Arial" w:eastAsia="宋体" w:cs="Arial"/>
          <w:color w:val="auto"/>
          <w:kern w:val="0"/>
          <w:sz w:val="24"/>
          <w:szCs w:val="24"/>
        </w:rPr>
        <w:t>不产生冲洗废水</w:t>
      </w:r>
      <w:r>
        <w:rPr>
          <w:rFonts w:hint="default" w:ascii="Arial" w:hAnsi="Arial" w:eastAsia="宋体" w:cs="Arial"/>
          <w:color w:val="auto"/>
          <w:sz w:val="24"/>
          <w:szCs w:val="24"/>
          <w:highlight w:val="none"/>
        </w:rPr>
        <w:t>。</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lang w:eastAsia="zh-CN"/>
        </w:rPr>
      </w:pPr>
      <w:r>
        <w:rPr>
          <w:rFonts w:hint="default" w:ascii="Arial" w:hAnsi="Arial" w:eastAsia="宋体" w:cs="Arial"/>
          <w:color w:val="auto"/>
          <w:highlight w:val="none"/>
          <w:lang w:eastAsia="zh-CN"/>
        </w:rPr>
        <w:t>（</w:t>
      </w:r>
      <w:r>
        <w:rPr>
          <w:rFonts w:hint="default" w:ascii="Arial" w:hAnsi="Arial" w:eastAsia="宋体" w:cs="Arial"/>
          <w:color w:val="auto"/>
          <w:highlight w:val="none"/>
          <w:lang w:val="en-US" w:eastAsia="zh-CN"/>
        </w:rPr>
        <w:t>2</w:t>
      </w:r>
      <w:r>
        <w:rPr>
          <w:rFonts w:hint="default" w:ascii="Arial" w:hAnsi="Arial" w:eastAsia="宋体" w:cs="Arial"/>
          <w:color w:val="auto"/>
          <w:highlight w:val="none"/>
          <w:lang w:eastAsia="zh-CN"/>
        </w:rPr>
        <w:t>）生活污水</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项目生活污水主要为职工生活污水，排水量</w:t>
      </w:r>
      <w:r>
        <w:rPr>
          <w:rFonts w:hint="default" w:ascii="Arial" w:hAnsi="Arial" w:eastAsia="宋体" w:cs="Arial"/>
          <w:color w:val="auto"/>
          <w:highlight w:val="none"/>
          <w:lang w:val="en-US" w:eastAsia="zh-CN"/>
        </w:rPr>
        <w:t>1.44</w:t>
      </w:r>
      <w:r>
        <w:rPr>
          <w:rFonts w:hint="default" w:ascii="Arial" w:hAnsi="Arial" w:eastAsia="宋体" w:cs="Arial"/>
          <w:color w:val="auto"/>
          <w:highlight w:val="none"/>
        </w:rPr>
        <w:t>m</w:t>
      </w:r>
      <w:r>
        <w:rPr>
          <w:rFonts w:hint="default" w:ascii="Arial" w:hAnsi="Arial" w:eastAsia="宋体" w:cs="Arial"/>
          <w:color w:val="auto"/>
          <w:highlight w:val="none"/>
          <w:vertAlign w:val="superscript"/>
        </w:rPr>
        <w:t>3</w:t>
      </w:r>
      <w:r>
        <w:rPr>
          <w:rFonts w:hint="default" w:ascii="Arial" w:hAnsi="Arial" w:eastAsia="宋体" w:cs="Arial"/>
          <w:color w:val="auto"/>
          <w:highlight w:val="none"/>
        </w:rPr>
        <w:t>/d</w:t>
      </w:r>
      <w:r>
        <w:rPr>
          <w:rFonts w:hint="default" w:ascii="Arial" w:hAnsi="Arial" w:eastAsia="宋体" w:cs="Arial"/>
          <w:color w:val="auto"/>
          <w:highlight w:val="none"/>
          <w:lang w:eastAsia="zh-CN"/>
        </w:rPr>
        <w:t>（</w:t>
      </w:r>
      <w:r>
        <w:rPr>
          <w:rFonts w:hint="default" w:ascii="Arial" w:hAnsi="Arial" w:eastAsia="宋体" w:cs="Arial"/>
          <w:color w:val="auto"/>
          <w:highlight w:val="none"/>
          <w:lang w:val="en-US" w:eastAsia="zh-CN"/>
        </w:rPr>
        <w:t>525.6</w:t>
      </w:r>
      <w:r>
        <w:rPr>
          <w:rFonts w:hint="default" w:ascii="Arial" w:hAnsi="Arial" w:eastAsia="宋体" w:cs="Arial"/>
          <w:color w:val="auto"/>
          <w:highlight w:val="none"/>
        </w:rPr>
        <w:t>m</w:t>
      </w:r>
      <w:r>
        <w:rPr>
          <w:rFonts w:hint="default" w:ascii="Arial" w:hAnsi="Arial" w:eastAsia="宋体" w:cs="Arial"/>
          <w:color w:val="auto"/>
          <w:highlight w:val="none"/>
          <w:vertAlign w:val="superscript"/>
        </w:rPr>
        <w:t>3</w:t>
      </w:r>
      <w:r>
        <w:rPr>
          <w:rFonts w:hint="default" w:ascii="Arial" w:hAnsi="Arial" w:eastAsia="宋体" w:cs="Arial"/>
          <w:color w:val="auto"/>
          <w:highlight w:val="none"/>
        </w:rPr>
        <w:t>/a</w:t>
      </w:r>
      <w:r>
        <w:rPr>
          <w:rFonts w:hint="default" w:ascii="Arial" w:hAnsi="Arial" w:eastAsia="宋体" w:cs="Arial"/>
          <w:color w:val="auto"/>
          <w:highlight w:val="none"/>
          <w:lang w:eastAsia="zh-CN"/>
        </w:rPr>
        <w:t>），经化粪池暂存处理后，定期清掏</w:t>
      </w:r>
      <w:r>
        <w:rPr>
          <w:rFonts w:hint="default" w:ascii="Arial" w:hAnsi="Arial" w:eastAsia="宋体" w:cs="Arial"/>
          <w:color w:val="auto"/>
          <w:highlight w:val="none"/>
        </w:rPr>
        <w:t>。</w:t>
      </w:r>
    </w:p>
    <w:p>
      <w:pPr>
        <w:pStyle w:val="6"/>
        <w:pageBreakBefore w:val="0"/>
        <w:widowControl w:val="0"/>
        <w:kinsoku/>
        <w:wordWrap/>
        <w:overflowPunct/>
        <w:topLinePunct/>
        <w:autoSpaceDE w:val="0"/>
        <w:autoSpaceDN/>
        <w:bidi w:val="0"/>
        <w:adjustRightInd/>
        <w:snapToGrid/>
        <w:textAlignment w:val="auto"/>
        <w:rPr>
          <w:rFonts w:hint="default" w:ascii="Arial" w:hAnsi="Arial" w:eastAsia="宋体" w:cs="Arial"/>
          <w:color w:val="auto"/>
          <w:highlight w:val="none"/>
        </w:rPr>
      </w:pPr>
      <w:bookmarkStart w:id="245" w:name="_Toc46421101"/>
      <w:bookmarkStart w:id="246" w:name="_Toc9316"/>
      <w:r>
        <w:rPr>
          <w:rFonts w:hint="default" w:ascii="Arial" w:hAnsi="Arial" w:eastAsia="宋体" w:cs="Arial"/>
          <w:color w:val="auto"/>
          <w:highlight w:val="none"/>
        </w:rPr>
        <w:t>3.3.3噪声</w:t>
      </w:r>
      <w:bookmarkEnd w:id="245"/>
      <w:bookmarkEnd w:id="246"/>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本项目噪声源主要为</w:t>
      </w:r>
      <w:r>
        <w:rPr>
          <w:rFonts w:hint="default" w:ascii="Arial" w:hAnsi="Arial" w:eastAsia="宋体" w:cs="Arial"/>
          <w:color w:val="auto"/>
          <w:highlight w:val="none"/>
          <w:lang w:eastAsia="zh-CN"/>
        </w:rPr>
        <w:t>TMR日粮搅拌机</w:t>
      </w:r>
      <w:r>
        <w:rPr>
          <w:rFonts w:hint="default" w:ascii="Arial" w:hAnsi="Arial" w:eastAsia="宋体" w:cs="Arial"/>
          <w:color w:val="auto"/>
          <w:highlight w:val="none"/>
        </w:rPr>
        <w:t>、</w:t>
      </w:r>
      <w:r>
        <w:rPr>
          <w:rFonts w:hint="default" w:ascii="Arial" w:hAnsi="Arial" w:eastAsia="宋体" w:cs="Arial"/>
          <w:color w:val="auto"/>
          <w:highlight w:val="none"/>
          <w:lang w:eastAsia="zh-CN"/>
        </w:rPr>
        <w:t>铲车</w:t>
      </w:r>
      <w:r>
        <w:rPr>
          <w:rFonts w:hint="default" w:ascii="Arial" w:hAnsi="Arial" w:eastAsia="宋体" w:cs="Arial"/>
          <w:color w:val="auto"/>
          <w:highlight w:val="none"/>
        </w:rPr>
        <w:t>、风机、水泵等。噪声声级在</w:t>
      </w:r>
      <w:r>
        <w:rPr>
          <w:rFonts w:hint="default" w:ascii="Arial" w:hAnsi="Arial" w:eastAsia="宋体" w:cs="Arial"/>
          <w:color w:val="auto"/>
          <w:highlight w:val="none"/>
          <w:lang w:val="en-US" w:eastAsia="zh-CN"/>
        </w:rPr>
        <w:t>5</w:t>
      </w:r>
      <w:r>
        <w:rPr>
          <w:rFonts w:hint="default" w:ascii="Arial" w:hAnsi="Arial" w:eastAsia="宋体" w:cs="Arial"/>
          <w:color w:val="auto"/>
          <w:highlight w:val="none"/>
        </w:rPr>
        <w:t>0~</w:t>
      </w:r>
      <w:r>
        <w:rPr>
          <w:rFonts w:hint="default" w:ascii="Arial" w:hAnsi="Arial" w:eastAsia="宋体" w:cs="Arial"/>
          <w:color w:val="auto"/>
          <w:highlight w:val="none"/>
          <w:lang w:val="en-US" w:eastAsia="zh-CN"/>
        </w:rPr>
        <w:t>85</w:t>
      </w:r>
      <w:r>
        <w:rPr>
          <w:rFonts w:hint="default" w:ascii="Arial" w:hAnsi="Arial" w:eastAsia="宋体" w:cs="Arial"/>
          <w:color w:val="auto"/>
          <w:highlight w:val="none"/>
        </w:rPr>
        <w:t>dB（A）。本项目的噪声产生源强情况见下表。</w:t>
      </w:r>
    </w:p>
    <w:p>
      <w:pPr>
        <w:pStyle w:val="8"/>
        <w:pageBreakBefore w:val="0"/>
        <w:widowControl w:val="0"/>
        <w:kinsoku/>
        <w:wordWrap/>
        <w:overflowPunct/>
        <w:topLinePunct/>
        <w:autoSpaceDE w:val="0"/>
        <w:autoSpaceDN/>
        <w:bidi w:val="0"/>
        <w:adjustRightInd/>
        <w:snapToGrid/>
        <w:textAlignment w:val="auto"/>
        <w:rPr>
          <w:rFonts w:hint="default" w:ascii="Arial" w:hAnsi="Arial" w:eastAsia="宋体" w:cs="Arial"/>
          <w:color w:val="auto"/>
          <w:highlight w:val="none"/>
        </w:rPr>
      </w:pPr>
      <w:r>
        <w:rPr>
          <w:rFonts w:hint="default" w:ascii="Arial" w:hAnsi="Arial" w:eastAsia="宋体" w:cs="Arial"/>
          <w:color w:val="auto"/>
          <w:highlight w:val="none"/>
        </w:rPr>
        <w:t>表3.3-</w:t>
      </w:r>
      <w:r>
        <w:rPr>
          <w:rFonts w:hint="default" w:ascii="Arial" w:hAnsi="Arial" w:eastAsia="宋体" w:cs="Arial"/>
          <w:color w:val="auto"/>
          <w:highlight w:val="none"/>
          <w:lang w:val="en-US" w:eastAsia="zh-CN"/>
        </w:rPr>
        <w:t>7</w:t>
      </w:r>
      <w:r>
        <w:rPr>
          <w:rFonts w:hint="default" w:ascii="Arial" w:hAnsi="Arial" w:eastAsia="宋体" w:cs="Arial"/>
          <w:color w:val="auto"/>
          <w:highlight w:val="none"/>
        </w:rPr>
        <w:t xml:space="preserve">    噪声产生源强一览表</w:t>
      </w:r>
    </w:p>
    <w:tbl>
      <w:tblPr>
        <w:tblStyle w:val="39"/>
        <w:tblW w:w="9014" w:type="dxa"/>
        <w:jc w:val="center"/>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Layout w:type="fixed"/>
        <w:tblCellMar>
          <w:top w:w="0" w:type="dxa"/>
          <w:left w:w="0" w:type="dxa"/>
          <w:bottom w:w="0" w:type="dxa"/>
          <w:right w:w="0" w:type="dxa"/>
        </w:tblCellMar>
      </w:tblPr>
      <w:tblGrid>
        <w:gridCol w:w="442"/>
        <w:gridCol w:w="1154"/>
        <w:gridCol w:w="1234"/>
        <w:gridCol w:w="1191"/>
        <w:gridCol w:w="2426"/>
        <w:gridCol w:w="1071"/>
        <w:gridCol w:w="1496"/>
      </w:tblGrid>
      <w:tr>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PrEx>
        <w:trPr>
          <w:trHeight w:val="340" w:hRule="atLeast"/>
          <w:tblHeader/>
          <w:jc w:val="center"/>
        </w:trPr>
        <w:tc>
          <w:tcPr>
            <w:tcW w:w="431"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序号</w:t>
            </w:r>
          </w:p>
        </w:tc>
        <w:tc>
          <w:tcPr>
            <w:tcW w:w="2328" w:type="dxa"/>
            <w:gridSpan w:val="2"/>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噪声源</w:t>
            </w:r>
          </w:p>
        </w:tc>
        <w:tc>
          <w:tcPr>
            <w:tcW w:w="1161"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数量</w:t>
            </w:r>
          </w:p>
        </w:tc>
        <w:tc>
          <w:tcPr>
            <w:tcW w:w="2365"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治理措施</w:t>
            </w:r>
          </w:p>
        </w:tc>
        <w:tc>
          <w:tcPr>
            <w:tcW w:w="1044"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源强dB(A)</w:t>
            </w:r>
          </w:p>
        </w:tc>
        <w:tc>
          <w:tcPr>
            <w:tcW w:w="1458"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排放强度dB(A)</w:t>
            </w:r>
          </w:p>
        </w:tc>
      </w:tr>
      <w:tr>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340" w:hRule="atLeast"/>
          <w:jc w:val="center"/>
        </w:trPr>
        <w:tc>
          <w:tcPr>
            <w:tcW w:w="431"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1</w:t>
            </w:r>
          </w:p>
        </w:tc>
        <w:tc>
          <w:tcPr>
            <w:tcW w:w="1125"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牛舍</w:t>
            </w:r>
          </w:p>
        </w:tc>
        <w:tc>
          <w:tcPr>
            <w:tcW w:w="1203"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降温风扇</w:t>
            </w:r>
          </w:p>
        </w:tc>
        <w:tc>
          <w:tcPr>
            <w:tcW w:w="1161"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highlight w:val="none"/>
                <w:lang w:val="en-US" w:eastAsia="zh-CN"/>
              </w:rPr>
              <w:t>25</w:t>
            </w:r>
          </w:p>
        </w:tc>
        <w:tc>
          <w:tcPr>
            <w:tcW w:w="2365"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置于室内</w:t>
            </w:r>
          </w:p>
        </w:tc>
        <w:tc>
          <w:tcPr>
            <w:tcW w:w="1044"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50</w:t>
            </w:r>
          </w:p>
        </w:tc>
        <w:tc>
          <w:tcPr>
            <w:tcW w:w="1458"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40</w:t>
            </w:r>
          </w:p>
        </w:tc>
      </w:tr>
      <w:tr>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PrEx>
        <w:trPr>
          <w:trHeight w:val="340" w:hRule="atLeast"/>
          <w:jc w:val="center"/>
        </w:trPr>
        <w:tc>
          <w:tcPr>
            <w:tcW w:w="431"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highlight w:val="none"/>
                <w:lang w:val="en-US" w:eastAsia="zh-CN"/>
              </w:rPr>
              <w:t>2</w:t>
            </w:r>
          </w:p>
        </w:tc>
        <w:tc>
          <w:tcPr>
            <w:tcW w:w="1125"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饲料配料</w:t>
            </w:r>
          </w:p>
        </w:tc>
        <w:tc>
          <w:tcPr>
            <w:tcW w:w="1203"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highlight w:val="none"/>
              </w:rPr>
            </w:pPr>
            <w:r>
              <w:rPr>
                <w:rFonts w:hint="default" w:ascii="Arial" w:hAnsi="Arial" w:eastAsia="宋体" w:cs="Arial"/>
                <w:color w:val="auto"/>
                <w:kern w:val="2"/>
                <w:sz w:val="21"/>
                <w:szCs w:val="22"/>
                <w:highlight w:val="none"/>
                <w:lang w:val="en-US" w:eastAsia="zh-CN" w:bidi="ar-SA"/>
              </w:rPr>
              <w:t>TMR日粮搅拌机</w:t>
            </w:r>
          </w:p>
        </w:tc>
        <w:tc>
          <w:tcPr>
            <w:tcW w:w="1161"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highlight w:val="none"/>
                <w:lang w:val="en-US" w:eastAsia="zh-CN"/>
              </w:rPr>
              <w:t>8</w:t>
            </w:r>
          </w:p>
        </w:tc>
        <w:tc>
          <w:tcPr>
            <w:tcW w:w="2365"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基础减振、建筑隔声</w:t>
            </w:r>
          </w:p>
        </w:tc>
        <w:tc>
          <w:tcPr>
            <w:tcW w:w="1044"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85</w:t>
            </w:r>
          </w:p>
        </w:tc>
        <w:tc>
          <w:tcPr>
            <w:tcW w:w="1458"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60</w:t>
            </w:r>
          </w:p>
        </w:tc>
      </w:tr>
      <w:tr>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PrEx>
        <w:trPr>
          <w:trHeight w:val="340" w:hRule="atLeast"/>
          <w:jc w:val="center"/>
        </w:trPr>
        <w:tc>
          <w:tcPr>
            <w:tcW w:w="431"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highlight w:val="none"/>
                <w:lang w:val="en-US" w:eastAsia="zh-CN"/>
              </w:rPr>
              <w:t>3</w:t>
            </w:r>
          </w:p>
        </w:tc>
        <w:tc>
          <w:tcPr>
            <w:tcW w:w="1125"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highlight w:val="none"/>
              </w:rPr>
              <w:t>移动声源</w:t>
            </w:r>
          </w:p>
        </w:tc>
        <w:tc>
          <w:tcPr>
            <w:tcW w:w="1203"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highlight w:val="none"/>
              </w:rPr>
              <w:t>装载机</w:t>
            </w:r>
          </w:p>
        </w:tc>
        <w:tc>
          <w:tcPr>
            <w:tcW w:w="1161"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highlight w:val="none"/>
                <w:lang w:val="en-US" w:eastAsia="zh-CN"/>
              </w:rPr>
              <w:t>8</w:t>
            </w:r>
          </w:p>
        </w:tc>
        <w:tc>
          <w:tcPr>
            <w:tcW w:w="2365"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highlight w:val="none"/>
              </w:rPr>
              <w:t>选用低噪声设备，定期维护保养</w:t>
            </w:r>
          </w:p>
        </w:tc>
        <w:tc>
          <w:tcPr>
            <w:tcW w:w="1044"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highlight w:val="none"/>
              </w:rPr>
              <w:t>85</w:t>
            </w:r>
          </w:p>
        </w:tc>
        <w:tc>
          <w:tcPr>
            <w:tcW w:w="1458"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highlight w:val="none"/>
              </w:rPr>
              <w:t>75</w:t>
            </w:r>
          </w:p>
        </w:tc>
      </w:tr>
      <w:tr>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PrEx>
        <w:trPr>
          <w:trHeight w:val="340" w:hRule="atLeast"/>
          <w:jc w:val="center"/>
        </w:trPr>
        <w:tc>
          <w:tcPr>
            <w:tcW w:w="431"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highlight w:val="none"/>
                <w:lang w:val="en-US" w:eastAsia="zh-CN"/>
              </w:rPr>
              <w:t>4</w:t>
            </w:r>
          </w:p>
        </w:tc>
        <w:tc>
          <w:tcPr>
            <w:tcW w:w="1125"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highlight w:val="none"/>
              </w:rPr>
              <w:t>水泵室</w:t>
            </w:r>
          </w:p>
        </w:tc>
        <w:tc>
          <w:tcPr>
            <w:tcW w:w="1203"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highlight w:val="none"/>
              </w:rPr>
              <w:t>水泵</w:t>
            </w:r>
          </w:p>
        </w:tc>
        <w:tc>
          <w:tcPr>
            <w:tcW w:w="1161"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highlight w:val="none"/>
              </w:rPr>
              <w:t>2</w:t>
            </w:r>
          </w:p>
        </w:tc>
        <w:tc>
          <w:tcPr>
            <w:tcW w:w="2365"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highlight w:val="none"/>
              </w:rPr>
              <w:t>基础减振、建筑隔声</w:t>
            </w:r>
          </w:p>
        </w:tc>
        <w:tc>
          <w:tcPr>
            <w:tcW w:w="1044"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highlight w:val="none"/>
              </w:rPr>
              <w:t>85</w:t>
            </w:r>
          </w:p>
        </w:tc>
        <w:tc>
          <w:tcPr>
            <w:tcW w:w="1458"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highlight w:val="none"/>
              </w:rPr>
              <w:t>65</w:t>
            </w:r>
          </w:p>
        </w:tc>
      </w:tr>
    </w:tbl>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本项目在选用低噪声新型设备基础上，将生产设备安置在厂房内，并对设备进行基础减振、封闭门窗等，可使噪声排放减少20~25dB(A)。</w:t>
      </w:r>
    </w:p>
    <w:p>
      <w:pPr>
        <w:pStyle w:val="6"/>
        <w:pageBreakBefore w:val="0"/>
        <w:widowControl w:val="0"/>
        <w:kinsoku/>
        <w:wordWrap/>
        <w:overflowPunct/>
        <w:topLinePunct/>
        <w:autoSpaceDE w:val="0"/>
        <w:autoSpaceDN/>
        <w:bidi w:val="0"/>
        <w:adjustRightInd/>
        <w:snapToGrid/>
        <w:textAlignment w:val="auto"/>
        <w:rPr>
          <w:rFonts w:hint="default" w:ascii="Arial" w:hAnsi="Arial" w:eastAsia="宋体" w:cs="Arial"/>
          <w:color w:val="auto"/>
          <w:highlight w:val="none"/>
        </w:rPr>
      </w:pPr>
      <w:bookmarkStart w:id="247" w:name="_Toc46421102"/>
      <w:bookmarkStart w:id="248" w:name="_Toc12257"/>
      <w:r>
        <w:rPr>
          <w:rFonts w:hint="default" w:ascii="Arial" w:hAnsi="Arial" w:eastAsia="宋体" w:cs="Arial"/>
          <w:color w:val="auto"/>
          <w:highlight w:val="none"/>
        </w:rPr>
        <w:t>3.3.4固体废弃物</w:t>
      </w:r>
      <w:bookmarkEnd w:id="247"/>
      <w:bookmarkEnd w:id="248"/>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lang w:eastAsia="zh-CN"/>
        </w:rPr>
      </w:pPr>
      <w:r>
        <w:rPr>
          <w:rFonts w:hint="default" w:ascii="Arial" w:hAnsi="Arial" w:eastAsia="宋体" w:cs="Arial"/>
          <w:color w:val="auto"/>
          <w:highlight w:val="none"/>
        </w:rPr>
        <w:t>项目产生的固体废</w:t>
      </w:r>
      <w:r>
        <w:rPr>
          <w:rFonts w:hint="default" w:ascii="Arial" w:hAnsi="Arial" w:eastAsia="宋体" w:cs="Arial"/>
          <w:color w:val="auto"/>
          <w:sz w:val="24"/>
          <w:szCs w:val="24"/>
          <w:highlight w:val="none"/>
        </w:rPr>
        <w:t>弃物主要包括</w:t>
      </w:r>
      <w:r>
        <w:rPr>
          <w:rFonts w:hint="default" w:ascii="Arial" w:hAnsi="Arial" w:eastAsia="宋体" w:cs="Arial"/>
          <w:color w:val="auto"/>
          <w:sz w:val="24"/>
          <w:szCs w:val="24"/>
          <w:highlight w:val="none"/>
          <w:lang w:eastAsia="zh-CN"/>
        </w:rPr>
        <w:t>牛粪便</w:t>
      </w:r>
      <w:r>
        <w:rPr>
          <w:rFonts w:hint="default" w:ascii="Arial" w:hAnsi="Arial" w:eastAsia="宋体" w:cs="Arial"/>
          <w:color w:val="auto"/>
          <w:kern w:val="0"/>
          <w:sz w:val="24"/>
          <w:szCs w:val="24"/>
          <w:highlight w:val="none"/>
          <w:lang w:val="en-US" w:eastAsia="zh-CN"/>
        </w:rPr>
        <w:t>、</w:t>
      </w:r>
      <w:r>
        <w:rPr>
          <w:rFonts w:hint="default" w:ascii="Arial" w:hAnsi="Arial" w:eastAsia="宋体" w:cs="Arial"/>
          <w:color w:val="auto"/>
          <w:sz w:val="24"/>
          <w:szCs w:val="24"/>
          <w:highlight w:val="none"/>
          <w:lang w:eastAsia="zh-CN"/>
        </w:rPr>
        <w:t>病死牛、</w:t>
      </w:r>
      <w:r>
        <w:rPr>
          <w:rFonts w:hint="default" w:ascii="Arial" w:hAnsi="Arial" w:eastAsia="宋体" w:cs="Arial"/>
          <w:color w:val="auto"/>
          <w:sz w:val="24"/>
          <w:szCs w:val="24"/>
          <w:highlight w:val="none"/>
        </w:rPr>
        <w:t>医疗废弃物</w:t>
      </w:r>
      <w:r>
        <w:rPr>
          <w:rFonts w:hint="default" w:ascii="Arial" w:hAnsi="Arial" w:eastAsia="宋体" w:cs="Arial"/>
          <w:color w:val="auto"/>
          <w:sz w:val="24"/>
          <w:szCs w:val="24"/>
          <w:highlight w:val="none"/>
          <w:lang w:eastAsia="zh-CN"/>
        </w:rPr>
        <w:t>、</w:t>
      </w:r>
      <w:r>
        <w:rPr>
          <w:rFonts w:hint="default" w:ascii="Arial" w:hAnsi="Arial" w:eastAsia="宋体" w:cs="Arial"/>
          <w:color w:val="auto"/>
          <w:sz w:val="24"/>
          <w:szCs w:val="24"/>
          <w:highlight w:val="none"/>
        </w:rPr>
        <w:t>生活垃圾等。</w:t>
      </w:r>
    </w:p>
    <w:p>
      <w:pPr>
        <w:pStyle w:val="7"/>
        <w:pageBreakBefore w:val="0"/>
        <w:widowControl w:val="0"/>
        <w:kinsoku/>
        <w:wordWrap/>
        <w:overflowPunct/>
        <w:topLinePunct/>
        <w:autoSpaceDE w:val="0"/>
        <w:autoSpaceDN/>
        <w:bidi w:val="0"/>
        <w:adjustRightInd/>
        <w:snapToGrid/>
        <w:textAlignment w:val="auto"/>
        <w:rPr>
          <w:rFonts w:hint="default" w:ascii="Arial" w:hAnsi="Arial" w:eastAsia="宋体" w:cs="Arial"/>
          <w:color w:val="auto"/>
          <w:szCs w:val="22"/>
          <w:highlight w:val="none"/>
        </w:rPr>
      </w:pPr>
      <w:r>
        <w:rPr>
          <w:rFonts w:hint="default" w:ascii="Arial" w:hAnsi="Arial" w:eastAsia="宋体" w:cs="Arial"/>
          <w:color w:val="auto"/>
          <w:highlight w:val="none"/>
        </w:rPr>
        <w:t>3.3.4.1</w:t>
      </w:r>
      <w:r>
        <w:rPr>
          <w:rFonts w:hint="default" w:ascii="Arial" w:hAnsi="Arial" w:eastAsia="宋体" w:cs="Arial"/>
          <w:color w:val="auto"/>
          <w:szCs w:val="22"/>
          <w:highlight w:val="none"/>
        </w:rPr>
        <w:t>一般固废</w:t>
      </w:r>
    </w:p>
    <w:p>
      <w:pPr>
        <w:keepNext w:val="0"/>
        <w:keepLines w:val="0"/>
        <w:pageBreakBefore w:val="0"/>
        <w:widowControl w:val="0"/>
        <w:kinsoku/>
        <w:wordWrap/>
        <w:overflowPunct/>
        <w:topLinePunct/>
        <w:autoSpaceDE w:val="0"/>
        <w:autoSpaceDN/>
        <w:bidi w:val="0"/>
        <w:adjustRightInd/>
        <w:snapToGrid/>
        <w:spacing w:line="480" w:lineRule="exact"/>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lang w:eastAsia="zh-CN"/>
        </w:rPr>
        <w:t>（</w:t>
      </w:r>
      <w:r>
        <w:rPr>
          <w:rFonts w:hint="default" w:ascii="Arial" w:hAnsi="Arial" w:eastAsia="宋体" w:cs="Arial"/>
          <w:color w:val="auto"/>
          <w:highlight w:val="none"/>
          <w:lang w:val="en-US" w:eastAsia="zh-CN"/>
        </w:rPr>
        <w:t>1</w:t>
      </w:r>
      <w:r>
        <w:rPr>
          <w:rFonts w:hint="default" w:ascii="Arial" w:hAnsi="Arial" w:eastAsia="宋体" w:cs="Arial"/>
          <w:color w:val="auto"/>
          <w:highlight w:val="none"/>
          <w:lang w:eastAsia="zh-CN"/>
        </w:rPr>
        <w:t>）</w:t>
      </w:r>
      <w:r>
        <w:rPr>
          <w:rFonts w:hint="default" w:ascii="Arial" w:hAnsi="Arial" w:eastAsia="宋体" w:cs="Arial"/>
          <w:color w:val="auto"/>
          <w:sz w:val="24"/>
          <w:szCs w:val="24"/>
          <w:highlight w:val="none"/>
          <w:lang w:eastAsia="zh-CN"/>
        </w:rPr>
        <w:t>牛粪便</w:t>
      </w:r>
    </w:p>
    <w:p>
      <w:pPr>
        <w:keepNext w:val="0"/>
        <w:keepLines w:val="0"/>
        <w:pageBreakBefore w:val="0"/>
        <w:widowControl w:val="0"/>
        <w:kinsoku/>
        <w:wordWrap/>
        <w:overflowPunct/>
        <w:topLinePunct/>
        <w:autoSpaceDE w:val="0"/>
        <w:autoSpaceDN/>
        <w:bidi w:val="0"/>
        <w:adjustRightInd/>
        <w:snapToGrid/>
        <w:spacing w:line="480" w:lineRule="exact"/>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根据《</w:t>
      </w:r>
      <w:r>
        <w:rPr>
          <w:rFonts w:hint="default" w:ascii="Arial" w:hAnsi="Arial" w:eastAsia="宋体" w:cs="Arial"/>
          <w:color w:val="auto"/>
          <w:highlight w:val="none"/>
          <w:lang w:eastAsia="zh-CN"/>
        </w:rPr>
        <w:t>排污许可证申请与核发技术规范</w:t>
      </w:r>
      <w:r>
        <w:rPr>
          <w:rFonts w:hint="default" w:ascii="Arial" w:hAnsi="Arial" w:eastAsia="宋体" w:cs="Arial"/>
          <w:color w:val="auto"/>
          <w:highlight w:val="none"/>
          <w:lang w:val="en-US" w:eastAsia="zh-CN"/>
        </w:rPr>
        <w:t xml:space="preserve"> 畜禽养殖行业</w:t>
      </w:r>
      <w:r>
        <w:rPr>
          <w:rFonts w:hint="default" w:ascii="Arial" w:hAnsi="Arial" w:eastAsia="宋体" w:cs="Arial"/>
          <w:color w:val="auto"/>
          <w:highlight w:val="none"/>
        </w:rPr>
        <w:t>》（HJ</w:t>
      </w:r>
      <w:r>
        <w:rPr>
          <w:rFonts w:hint="default" w:ascii="Arial" w:hAnsi="Arial" w:eastAsia="宋体" w:cs="Arial"/>
          <w:color w:val="auto"/>
          <w:highlight w:val="none"/>
          <w:lang w:val="en-US" w:eastAsia="zh-CN"/>
        </w:rPr>
        <w:t>1029</w:t>
      </w:r>
      <w:r>
        <w:rPr>
          <w:rFonts w:hint="default" w:ascii="Arial" w:hAnsi="Arial" w:eastAsia="宋体" w:cs="Arial"/>
          <w:color w:val="auto"/>
          <w:highlight w:val="none"/>
        </w:rPr>
        <w:t>－20</w:t>
      </w:r>
      <w:r>
        <w:rPr>
          <w:rFonts w:hint="default" w:ascii="Arial" w:hAnsi="Arial" w:eastAsia="宋体" w:cs="Arial"/>
          <w:color w:val="auto"/>
          <w:highlight w:val="none"/>
          <w:lang w:val="en-US" w:eastAsia="zh-CN"/>
        </w:rPr>
        <w:t>1</w:t>
      </w:r>
      <w:r>
        <w:rPr>
          <w:rFonts w:hint="default" w:ascii="Arial" w:hAnsi="Arial" w:eastAsia="宋体" w:cs="Arial"/>
          <w:color w:val="auto"/>
          <w:highlight w:val="none"/>
        </w:rPr>
        <w:t>9）</w:t>
      </w:r>
      <w:r>
        <w:rPr>
          <w:rFonts w:hint="default" w:ascii="Arial" w:hAnsi="Arial" w:eastAsia="宋体" w:cs="Arial"/>
          <w:color w:val="auto"/>
          <w:highlight w:val="none"/>
          <w:lang w:eastAsia="zh-CN"/>
        </w:rPr>
        <w:t>表</w:t>
      </w:r>
      <w:r>
        <w:rPr>
          <w:rFonts w:hint="default" w:ascii="Arial" w:hAnsi="Arial" w:eastAsia="宋体" w:cs="Arial"/>
          <w:color w:val="auto"/>
          <w:highlight w:val="none"/>
          <w:lang w:val="en-US" w:eastAsia="zh-CN"/>
        </w:rPr>
        <w:t>9 各类畜禽污染物产生量，肉牛粪便产生量为10.88</w:t>
      </w:r>
      <w:r>
        <w:rPr>
          <w:rFonts w:hint="default" w:ascii="Arial" w:hAnsi="Arial" w:eastAsia="宋体" w:cs="Arial"/>
          <w:color w:val="auto"/>
          <w:highlight w:val="none"/>
        </w:rPr>
        <w:t>kg/d•头计</w:t>
      </w:r>
      <w:r>
        <w:rPr>
          <w:rFonts w:hint="default" w:ascii="Arial" w:hAnsi="Arial" w:eastAsia="宋体" w:cs="Arial"/>
          <w:color w:val="auto"/>
          <w:highlight w:val="none"/>
          <w:lang w:eastAsia="zh-CN"/>
        </w:rPr>
        <w:t>，</w:t>
      </w:r>
      <w:r>
        <w:rPr>
          <w:rFonts w:hint="default" w:ascii="Arial" w:hAnsi="Arial" w:eastAsia="宋体" w:cs="Arial"/>
          <w:color w:val="auto"/>
          <w:highlight w:val="none"/>
          <w:lang w:val="en-US" w:eastAsia="zh-CN"/>
        </w:rPr>
        <w:t>则本项目</w:t>
      </w:r>
      <w:r>
        <w:rPr>
          <w:rFonts w:hint="default" w:ascii="Arial" w:hAnsi="Arial" w:eastAsia="宋体" w:cs="Arial"/>
          <w:color w:val="auto"/>
          <w:highlight w:val="none"/>
          <w:lang w:eastAsia="zh-CN"/>
        </w:rPr>
        <w:t>牛粪便产生量</w:t>
      </w:r>
      <w:r>
        <w:rPr>
          <w:rFonts w:hint="default" w:ascii="Arial" w:hAnsi="Arial" w:eastAsia="宋体" w:cs="Arial"/>
          <w:color w:val="auto"/>
          <w:highlight w:val="none"/>
        </w:rPr>
        <w:t>为</w:t>
      </w:r>
      <w:r>
        <w:rPr>
          <w:rFonts w:hint="default" w:ascii="Arial" w:hAnsi="Arial" w:eastAsia="宋体" w:cs="Arial"/>
          <w:color w:val="auto"/>
          <w:highlight w:val="none"/>
          <w:lang w:eastAsia="zh-CN"/>
        </w:rPr>
        <w:t>39712</w:t>
      </w:r>
      <w:r>
        <w:rPr>
          <w:rFonts w:hint="default" w:ascii="Arial" w:hAnsi="Arial" w:eastAsia="宋体" w:cs="Arial"/>
          <w:color w:val="auto"/>
          <w:highlight w:val="none"/>
        </w:rPr>
        <w:t>t/a。本项目清粪方式采用干清粪工艺集中收集到</w:t>
      </w:r>
      <w:r>
        <w:rPr>
          <w:rFonts w:hint="default" w:ascii="Arial" w:hAnsi="Arial" w:eastAsia="宋体" w:cs="Arial"/>
          <w:color w:val="auto"/>
          <w:highlight w:val="none"/>
          <w:lang w:eastAsia="zh-CN"/>
        </w:rPr>
        <w:t>堆肥场</w:t>
      </w:r>
      <w:r>
        <w:rPr>
          <w:rFonts w:hint="default" w:ascii="Arial" w:hAnsi="Arial" w:eastAsia="宋体" w:cs="Arial"/>
          <w:color w:val="auto"/>
          <w:highlight w:val="none"/>
        </w:rPr>
        <w:t>，采用好氧堆肥法进行堆肥处理后，</w:t>
      </w:r>
      <w:r>
        <w:rPr>
          <w:rFonts w:hint="default" w:ascii="Arial" w:hAnsi="Arial" w:eastAsia="宋体" w:cs="Arial"/>
          <w:color w:val="auto"/>
          <w:highlight w:val="none"/>
          <w:lang w:eastAsia="zh-CN"/>
        </w:rPr>
        <w:t>牛粪便</w:t>
      </w:r>
      <w:r>
        <w:rPr>
          <w:rFonts w:hint="default" w:ascii="Arial" w:hAnsi="Arial" w:eastAsia="宋体" w:cs="Arial"/>
          <w:color w:val="auto"/>
          <w:highlight w:val="none"/>
        </w:rPr>
        <w:t>经完全发酵后作为有机肥用于周边农田还田利用。</w:t>
      </w:r>
    </w:p>
    <w:p>
      <w:pPr>
        <w:pStyle w:val="7"/>
        <w:pageBreakBefore w:val="0"/>
        <w:widowControl w:val="0"/>
        <w:kinsoku/>
        <w:wordWrap/>
        <w:overflowPunct/>
        <w:topLinePunct/>
        <w:autoSpaceDE w:val="0"/>
        <w:autoSpaceDN/>
        <w:bidi w:val="0"/>
        <w:adjustRightInd/>
        <w:snapToGrid/>
        <w:textAlignment w:val="auto"/>
        <w:rPr>
          <w:rFonts w:hint="default" w:ascii="Arial" w:hAnsi="Arial" w:eastAsia="宋体" w:cs="Arial"/>
          <w:color w:val="auto"/>
          <w:highlight w:val="none"/>
        </w:rPr>
      </w:pPr>
      <w:r>
        <w:rPr>
          <w:rFonts w:hint="default" w:ascii="Arial" w:hAnsi="Arial" w:eastAsia="宋体" w:cs="Arial"/>
          <w:color w:val="auto"/>
          <w:highlight w:val="none"/>
        </w:rPr>
        <w:t>3.3.4.2危险废物</w:t>
      </w:r>
    </w:p>
    <w:p>
      <w:pPr>
        <w:keepNext w:val="0"/>
        <w:keepLines w:val="0"/>
        <w:pageBreakBefore w:val="0"/>
        <w:widowControl w:val="0"/>
        <w:kinsoku/>
        <w:wordWrap/>
        <w:overflowPunct/>
        <w:topLinePunct/>
        <w:autoSpaceDE w:val="0"/>
        <w:autoSpaceDN/>
        <w:bidi w:val="0"/>
        <w:adjustRightInd/>
        <w:snapToGrid/>
        <w:spacing w:line="480" w:lineRule="exact"/>
        <w:ind w:firstLine="480"/>
        <w:textAlignment w:val="auto"/>
        <w:rPr>
          <w:rFonts w:hint="default" w:ascii="Arial" w:hAnsi="Arial" w:eastAsia="宋体" w:cs="Arial"/>
          <w:color w:val="auto"/>
          <w:highlight w:val="none"/>
          <w:lang w:eastAsia="zh-CN"/>
        </w:rPr>
      </w:pPr>
      <w:r>
        <w:rPr>
          <w:rFonts w:hint="default" w:ascii="Arial" w:hAnsi="Arial" w:eastAsia="宋体" w:cs="Arial"/>
          <w:color w:val="auto"/>
          <w:sz w:val="24"/>
          <w:szCs w:val="24"/>
          <w:highlight w:val="none"/>
          <w:lang w:eastAsia="zh-CN"/>
        </w:rPr>
        <w:t>（</w:t>
      </w:r>
      <w:r>
        <w:rPr>
          <w:rFonts w:hint="default" w:ascii="Arial" w:hAnsi="Arial" w:eastAsia="宋体" w:cs="Arial"/>
          <w:color w:val="auto"/>
          <w:sz w:val="24"/>
          <w:szCs w:val="24"/>
          <w:highlight w:val="none"/>
          <w:lang w:val="en-US" w:eastAsia="zh-CN"/>
        </w:rPr>
        <w:t>1</w:t>
      </w:r>
      <w:r>
        <w:rPr>
          <w:rFonts w:hint="default" w:ascii="Arial" w:hAnsi="Arial" w:eastAsia="宋体" w:cs="Arial"/>
          <w:color w:val="auto"/>
          <w:sz w:val="24"/>
          <w:szCs w:val="24"/>
          <w:highlight w:val="none"/>
          <w:lang w:eastAsia="zh-CN"/>
        </w:rPr>
        <w:t>）</w:t>
      </w:r>
      <w:r>
        <w:rPr>
          <w:rFonts w:hint="default" w:ascii="Arial" w:hAnsi="Arial" w:eastAsia="宋体" w:cs="Arial"/>
          <w:color w:val="auto"/>
          <w:highlight w:val="none"/>
          <w:lang w:eastAsia="zh-CN"/>
        </w:rPr>
        <w:t>病死牛</w:t>
      </w:r>
    </w:p>
    <w:p>
      <w:pPr>
        <w:keepNext w:val="0"/>
        <w:keepLines w:val="0"/>
        <w:pageBreakBefore w:val="0"/>
        <w:widowControl w:val="0"/>
        <w:kinsoku/>
        <w:wordWrap/>
        <w:overflowPunct/>
        <w:topLinePunct/>
        <w:autoSpaceDE w:val="0"/>
        <w:autoSpaceDN/>
        <w:bidi w:val="0"/>
        <w:adjustRightInd/>
        <w:snapToGrid/>
        <w:spacing w:line="480" w:lineRule="exact"/>
        <w:ind w:firstLine="480"/>
        <w:textAlignment w:val="auto"/>
        <w:rPr>
          <w:rFonts w:hint="default" w:ascii="Arial" w:hAnsi="Arial" w:eastAsia="宋体" w:cs="Arial"/>
          <w:color w:val="auto"/>
          <w:highlight w:val="none"/>
          <w:lang w:eastAsia="zh-CN"/>
        </w:rPr>
      </w:pPr>
      <w:r>
        <w:rPr>
          <w:rFonts w:hint="default" w:ascii="Arial" w:hAnsi="Arial" w:eastAsia="宋体" w:cs="Arial"/>
          <w:color w:val="auto"/>
          <w:highlight w:val="none"/>
        </w:rPr>
        <w:t>项目运营过程中不可避免的产生部分病死畜，查阅相关资料及根据同类项目对比，牛群的病死率按照总存栏量的2‰，则本项目全</w:t>
      </w:r>
      <w:r>
        <w:rPr>
          <w:rFonts w:hint="default" w:ascii="Arial" w:hAnsi="Arial" w:eastAsia="宋体" w:cs="Arial"/>
          <w:color w:val="auto"/>
          <w:highlight w:val="none"/>
          <w:lang w:eastAsia="zh-CN"/>
        </w:rPr>
        <w:t>场</w:t>
      </w:r>
      <w:r>
        <w:rPr>
          <w:rFonts w:hint="default" w:ascii="Arial" w:hAnsi="Arial" w:eastAsia="宋体" w:cs="Arial"/>
          <w:color w:val="auto"/>
          <w:highlight w:val="none"/>
        </w:rPr>
        <w:t>病死牛产生量约为</w:t>
      </w:r>
      <w:r>
        <w:rPr>
          <w:rFonts w:hint="default" w:ascii="Arial" w:hAnsi="Arial" w:eastAsia="宋体" w:cs="Arial"/>
          <w:color w:val="auto"/>
          <w:highlight w:val="none"/>
          <w:lang w:val="en-US" w:eastAsia="zh-CN"/>
        </w:rPr>
        <w:t>20</w:t>
      </w:r>
      <w:r>
        <w:rPr>
          <w:rFonts w:hint="default" w:ascii="Arial" w:hAnsi="Arial" w:eastAsia="宋体" w:cs="Arial"/>
          <w:color w:val="auto"/>
          <w:highlight w:val="none"/>
        </w:rPr>
        <w:t>头</w:t>
      </w:r>
      <w:r>
        <w:rPr>
          <w:rFonts w:hint="default" w:ascii="Arial" w:hAnsi="Arial" w:eastAsia="宋体" w:cs="Arial"/>
          <w:color w:val="auto"/>
          <w:highlight w:val="none"/>
          <w:lang w:eastAsia="zh-CN"/>
        </w:rPr>
        <w:t>。每</w:t>
      </w:r>
      <w:r>
        <w:rPr>
          <w:rFonts w:hint="default" w:ascii="Arial" w:hAnsi="Arial" w:eastAsia="宋体" w:cs="Arial"/>
          <w:color w:val="auto"/>
          <w:highlight w:val="none"/>
        </w:rPr>
        <w:t>头按照50kg计算，</w:t>
      </w:r>
      <w:r>
        <w:rPr>
          <w:rFonts w:hint="default" w:ascii="Arial" w:hAnsi="Arial" w:eastAsia="宋体" w:cs="Arial"/>
          <w:color w:val="auto"/>
          <w:highlight w:val="none"/>
          <w:lang w:eastAsia="zh-CN"/>
        </w:rPr>
        <w:t>则</w:t>
      </w:r>
      <w:r>
        <w:rPr>
          <w:rFonts w:hint="default" w:ascii="Arial" w:hAnsi="Arial" w:eastAsia="宋体" w:cs="Arial"/>
          <w:color w:val="auto"/>
          <w:highlight w:val="none"/>
        </w:rPr>
        <w:t>年产生量为</w:t>
      </w:r>
      <w:r>
        <w:rPr>
          <w:rFonts w:hint="default" w:ascii="Arial" w:hAnsi="Arial" w:eastAsia="宋体" w:cs="Arial"/>
          <w:color w:val="auto"/>
          <w:highlight w:val="none"/>
          <w:lang w:val="en-US" w:eastAsia="zh-CN"/>
        </w:rPr>
        <w:t>1</w:t>
      </w:r>
      <w:r>
        <w:rPr>
          <w:rFonts w:hint="default" w:ascii="Arial" w:hAnsi="Arial" w:eastAsia="宋体" w:cs="Arial"/>
          <w:color w:val="auto"/>
          <w:highlight w:val="none"/>
        </w:rPr>
        <w:t>t/a，本项目按照动物卫生防疫部门管理要求进行安全处理，同时需要满足《畜禽养殖业污染治理工程技术规范》（HJ497-2009）、《畜禽养殖业污染防治技术规范》（HJ/T81-2001）、《病死及病害动物无害化处理技术规范的通知》（农医发</w:t>
      </w:r>
      <w:r>
        <w:rPr>
          <w:rFonts w:hint="default" w:ascii="Arial" w:hAnsi="Arial" w:eastAsia="宋体" w:cs="Arial"/>
          <w:color w:val="auto"/>
          <w:highlight w:val="none"/>
          <w:lang w:eastAsia="zh-CN"/>
        </w:rPr>
        <w:t>[</w:t>
      </w:r>
      <w:r>
        <w:rPr>
          <w:rFonts w:hint="default" w:ascii="Arial" w:hAnsi="Arial" w:eastAsia="宋体" w:cs="Arial"/>
          <w:color w:val="auto"/>
          <w:highlight w:val="none"/>
        </w:rPr>
        <w:t>2017</w:t>
      </w:r>
      <w:r>
        <w:rPr>
          <w:rFonts w:hint="default" w:ascii="Arial" w:hAnsi="Arial" w:eastAsia="宋体" w:cs="Arial"/>
          <w:color w:val="auto"/>
          <w:highlight w:val="none"/>
          <w:lang w:eastAsia="zh-CN"/>
        </w:rPr>
        <w:t>]</w:t>
      </w:r>
      <w:r>
        <w:rPr>
          <w:rFonts w:hint="default" w:ascii="Arial" w:hAnsi="Arial" w:eastAsia="宋体" w:cs="Arial"/>
          <w:color w:val="auto"/>
          <w:highlight w:val="none"/>
        </w:rPr>
        <w:t>25号）中关于病死畜禽尸体处理和处置的要求，</w:t>
      </w:r>
      <w:r>
        <w:rPr>
          <w:rFonts w:hint="default" w:ascii="Arial" w:hAnsi="Arial" w:eastAsia="宋体" w:cs="Arial"/>
          <w:color w:val="auto"/>
          <w:highlight w:val="none"/>
          <w:lang w:eastAsia="zh-CN"/>
        </w:rPr>
        <w:t>病死牛</w:t>
      </w:r>
      <w:r>
        <w:rPr>
          <w:rFonts w:hint="default" w:ascii="Arial" w:hAnsi="Arial" w:eastAsia="宋体" w:cs="Arial"/>
          <w:color w:val="auto"/>
          <w:highlight w:val="none"/>
        </w:rPr>
        <w:t>暂存于冷藏间，交由巴彦淖尔市绿之源生物技术发展有限公司进行无害化处理。遇重大疫情立刻隔离病死畜牛舍，并将疫情上报</w:t>
      </w:r>
      <w:r>
        <w:rPr>
          <w:rFonts w:hint="default" w:ascii="Arial" w:hAnsi="Arial" w:eastAsia="宋体" w:cs="Arial"/>
          <w:color w:val="auto"/>
          <w:highlight w:val="none"/>
          <w:lang w:eastAsia="zh-CN"/>
        </w:rPr>
        <w:t>五原县</w:t>
      </w:r>
      <w:r>
        <w:rPr>
          <w:rFonts w:hint="default" w:ascii="Arial" w:hAnsi="Arial" w:eastAsia="宋体" w:cs="Arial"/>
          <w:color w:val="auto"/>
          <w:highlight w:val="none"/>
        </w:rPr>
        <w:t>农牧业局动物疫病预防控制中心。根据</w:t>
      </w:r>
      <w:r>
        <w:rPr>
          <w:rFonts w:hint="default" w:ascii="Arial" w:hAnsi="Arial" w:eastAsia="宋体" w:cs="Arial"/>
          <w:color w:val="auto"/>
          <w:highlight w:val="none"/>
          <w:lang w:eastAsia="zh-CN"/>
        </w:rPr>
        <w:t>五原县</w:t>
      </w:r>
      <w:r>
        <w:rPr>
          <w:rFonts w:hint="default" w:ascii="Arial" w:hAnsi="Arial" w:eastAsia="宋体" w:cs="Arial"/>
          <w:color w:val="auto"/>
          <w:highlight w:val="none"/>
        </w:rPr>
        <w:t>农牧业局动物疫病预防控制中心指定方式指定地点，指定方式处置病死畜</w:t>
      </w:r>
      <w:r>
        <w:rPr>
          <w:rFonts w:hint="default" w:ascii="Arial" w:hAnsi="Arial" w:eastAsia="宋体" w:cs="Arial"/>
          <w:color w:val="auto"/>
          <w:highlight w:val="none"/>
          <w:lang w:eastAsia="zh-CN"/>
        </w:rPr>
        <w:t>。</w:t>
      </w:r>
    </w:p>
    <w:p>
      <w:pPr>
        <w:keepNext w:val="0"/>
        <w:keepLines w:val="0"/>
        <w:pageBreakBefore w:val="0"/>
        <w:widowControl w:val="0"/>
        <w:kinsoku/>
        <w:wordWrap/>
        <w:overflowPunct/>
        <w:topLinePunct/>
        <w:autoSpaceDE w:val="0"/>
        <w:autoSpaceDN/>
        <w:bidi w:val="0"/>
        <w:adjustRightInd/>
        <w:snapToGrid/>
        <w:spacing w:line="480" w:lineRule="exact"/>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lang w:eastAsia="zh-CN"/>
        </w:rPr>
        <w:t>（</w:t>
      </w:r>
      <w:r>
        <w:rPr>
          <w:rFonts w:hint="default" w:ascii="Arial" w:hAnsi="Arial" w:eastAsia="宋体" w:cs="Arial"/>
          <w:color w:val="auto"/>
          <w:highlight w:val="none"/>
          <w:lang w:val="en-US" w:eastAsia="zh-CN"/>
        </w:rPr>
        <w:t>2</w:t>
      </w:r>
      <w:r>
        <w:rPr>
          <w:rFonts w:hint="default" w:ascii="Arial" w:hAnsi="Arial" w:eastAsia="宋体" w:cs="Arial"/>
          <w:color w:val="auto"/>
          <w:highlight w:val="none"/>
          <w:lang w:eastAsia="zh-CN"/>
        </w:rPr>
        <w:t>）</w:t>
      </w:r>
      <w:r>
        <w:rPr>
          <w:rFonts w:hint="default" w:ascii="Arial" w:hAnsi="Arial" w:eastAsia="宋体" w:cs="Arial"/>
          <w:color w:val="auto"/>
          <w:highlight w:val="none"/>
        </w:rPr>
        <w:t>医疗垃圾</w:t>
      </w:r>
    </w:p>
    <w:p>
      <w:pPr>
        <w:keepNext w:val="0"/>
        <w:keepLines w:val="0"/>
        <w:pageBreakBefore w:val="0"/>
        <w:widowControl w:val="0"/>
        <w:kinsoku/>
        <w:wordWrap/>
        <w:overflowPunct/>
        <w:topLinePunct/>
        <w:autoSpaceDE w:val="0"/>
        <w:autoSpaceDN/>
        <w:bidi w:val="0"/>
        <w:adjustRightInd/>
        <w:snapToGrid/>
        <w:spacing w:line="480" w:lineRule="exact"/>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项目配套设置兽医室，负责日常保健及疾病治疗，运营期在检疫、治疗过程中会产生废弃医疗试剂、废纱布等医疗垃圾，根据《国家危险废物名录》</w:t>
      </w:r>
      <w:r>
        <w:rPr>
          <w:rFonts w:hint="default" w:ascii="Arial" w:hAnsi="Arial" w:eastAsia="宋体" w:cs="Arial"/>
          <w:color w:val="auto"/>
          <w:highlight w:val="none"/>
          <w:lang w:eastAsia="zh-CN"/>
        </w:rPr>
        <w:t>（</w:t>
      </w:r>
      <w:r>
        <w:rPr>
          <w:rFonts w:hint="default" w:ascii="Arial" w:hAnsi="Arial" w:eastAsia="宋体" w:cs="Arial"/>
          <w:color w:val="auto"/>
          <w:highlight w:val="none"/>
          <w:lang w:val="en-US" w:eastAsia="zh-CN"/>
        </w:rPr>
        <w:t>2021年</w:t>
      </w:r>
      <w:r>
        <w:rPr>
          <w:rFonts w:hint="default" w:ascii="Arial" w:hAnsi="Arial" w:eastAsia="宋体" w:cs="Arial"/>
          <w:color w:val="auto"/>
          <w:highlight w:val="none"/>
          <w:lang w:eastAsia="zh-CN"/>
        </w:rPr>
        <w:t>）</w:t>
      </w:r>
      <w:r>
        <w:rPr>
          <w:rFonts w:hint="default" w:ascii="Arial" w:hAnsi="Arial" w:eastAsia="宋体" w:cs="Arial"/>
          <w:color w:val="auto"/>
          <w:highlight w:val="none"/>
        </w:rPr>
        <w:t>的规定，</w:t>
      </w:r>
      <w:r>
        <w:rPr>
          <w:rFonts w:hint="default" w:ascii="Arial" w:hAnsi="Arial" w:eastAsia="宋体" w:cs="Arial"/>
          <w:color w:val="auto"/>
          <w:highlight w:val="none"/>
          <w:lang w:eastAsia="zh-CN"/>
        </w:rPr>
        <w:t>废物类别</w:t>
      </w:r>
      <w:r>
        <w:rPr>
          <w:rFonts w:hint="default" w:ascii="Arial" w:hAnsi="Arial" w:eastAsia="宋体" w:cs="Arial"/>
          <w:color w:val="auto"/>
          <w:highlight w:val="none"/>
        </w:rPr>
        <w:t>为HW01医疗废物，</w:t>
      </w:r>
      <w:r>
        <w:rPr>
          <w:rFonts w:hint="default" w:ascii="Arial" w:hAnsi="Arial" w:eastAsia="宋体" w:cs="Arial"/>
          <w:color w:val="auto"/>
          <w:highlight w:val="none"/>
          <w:lang w:eastAsia="zh-CN"/>
        </w:rPr>
        <w:t>废物代码</w:t>
      </w:r>
      <w:r>
        <w:rPr>
          <w:rFonts w:hint="default" w:ascii="Arial" w:hAnsi="Arial" w:eastAsia="宋体" w:cs="Arial"/>
          <w:color w:val="auto"/>
          <w:highlight w:val="none"/>
        </w:rPr>
        <w:t>为</w:t>
      </w:r>
      <w:r>
        <w:rPr>
          <w:rFonts w:hint="default" w:ascii="Arial" w:hAnsi="Arial" w:eastAsia="宋体" w:cs="Arial"/>
          <w:color w:val="auto"/>
          <w:highlight w:val="none"/>
          <w:lang w:eastAsia="zh-CN"/>
        </w:rPr>
        <w:t>841-005-01</w:t>
      </w:r>
      <w:r>
        <w:rPr>
          <w:rFonts w:hint="default" w:ascii="Arial" w:hAnsi="Arial" w:eastAsia="宋体" w:cs="Arial"/>
          <w:color w:val="auto"/>
          <w:highlight w:val="none"/>
        </w:rPr>
        <w:t>，查阅相关资料及根据同类项目对比</w:t>
      </w:r>
      <w:r>
        <w:rPr>
          <w:rFonts w:hint="default" w:ascii="Arial" w:hAnsi="Arial" w:eastAsia="宋体" w:cs="Arial"/>
          <w:color w:val="auto"/>
          <w:sz w:val="24"/>
        </w:rPr>
        <w:t>，医疗垃圾产生量为0.1kg/头</w:t>
      </w:r>
      <w:r>
        <w:rPr>
          <w:rFonts w:hint="default" w:ascii="Arial" w:hAnsi="Arial" w:eastAsia="宋体" w:cs="Arial"/>
          <w:color w:val="auto"/>
          <w:sz w:val="24"/>
          <w:lang w:val="en-US" w:eastAsia="zh-CN"/>
        </w:rPr>
        <w:t>·</w:t>
      </w:r>
      <w:r>
        <w:rPr>
          <w:rFonts w:hint="default" w:ascii="Arial" w:hAnsi="Arial" w:eastAsia="宋体" w:cs="Arial"/>
          <w:color w:val="auto"/>
          <w:sz w:val="24"/>
        </w:rPr>
        <w:t>a</w:t>
      </w:r>
      <w:r>
        <w:rPr>
          <w:rFonts w:hint="default" w:ascii="Arial" w:hAnsi="Arial" w:eastAsia="宋体" w:cs="Arial"/>
          <w:color w:val="auto"/>
          <w:highlight w:val="none"/>
        </w:rPr>
        <w:t>，产生量约</w:t>
      </w:r>
      <w:r>
        <w:rPr>
          <w:rFonts w:hint="default" w:ascii="Arial" w:hAnsi="Arial" w:eastAsia="宋体" w:cs="Arial"/>
          <w:color w:val="auto"/>
          <w:highlight w:val="none"/>
          <w:lang w:val="en-US" w:eastAsia="zh-CN"/>
        </w:rPr>
        <w:t>1</w:t>
      </w:r>
      <w:r>
        <w:rPr>
          <w:rFonts w:hint="default" w:ascii="Arial" w:hAnsi="Arial" w:eastAsia="宋体" w:cs="Arial"/>
          <w:color w:val="auto"/>
          <w:highlight w:val="none"/>
        </w:rPr>
        <w:t>t/a。</w:t>
      </w:r>
    </w:p>
    <w:p>
      <w:pPr>
        <w:keepNext w:val="0"/>
        <w:keepLines w:val="0"/>
        <w:pageBreakBefore w:val="0"/>
        <w:widowControl w:val="0"/>
        <w:kinsoku/>
        <w:wordWrap/>
        <w:overflowPunct/>
        <w:topLinePunct/>
        <w:autoSpaceDE w:val="0"/>
        <w:autoSpaceDN/>
        <w:bidi w:val="0"/>
        <w:adjustRightInd/>
        <w:snapToGrid/>
        <w:spacing w:line="480" w:lineRule="exact"/>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医疗垃圾主要为一次性医疗用品及一次性医疗器械，携带有病原微生物，易引发感染性疾病的传播，属于感染性医疗废物，集中收集单独定点存放，根据《医疗废物管理条例》中的要求，本项目设置危险废物暂存间</w:t>
      </w:r>
      <w:r>
        <w:rPr>
          <w:rFonts w:hint="default" w:ascii="Arial" w:hAnsi="Arial" w:eastAsia="宋体" w:cs="Arial"/>
          <w:color w:val="auto"/>
          <w:highlight w:val="none"/>
          <w:lang w:eastAsia="zh-CN"/>
        </w:rPr>
        <w:t>内医疗废物暂存间</w:t>
      </w:r>
      <w:r>
        <w:rPr>
          <w:rFonts w:hint="default" w:ascii="Arial" w:hAnsi="Arial" w:eastAsia="宋体" w:cs="Arial"/>
          <w:color w:val="auto"/>
          <w:highlight w:val="none"/>
        </w:rPr>
        <w:t>，</w:t>
      </w:r>
      <w:r>
        <w:rPr>
          <w:rFonts w:hint="default" w:ascii="Arial" w:hAnsi="Arial" w:eastAsia="宋体" w:cs="Arial"/>
          <w:color w:val="auto"/>
          <w:highlight w:val="none"/>
          <w:lang w:eastAsia="zh-CN"/>
        </w:rPr>
        <w:t>定期</w:t>
      </w:r>
      <w:r>
        <w:rPr>
          <w:rFonts w:hint="default" w:ascii="Arial" w:hAnsi="Arial" w:eastAsia="宋体" w:cs="Arial"/>
          <w:color w:val="auto"/>
          <w:highlight w:val="none"/>
        </w:rPr>
        <w:t>交由有医疗废物处理资质的单位进行集中清运、处理。</w:t>
      </w:r>
    </w:p>
    <w:p>
      <w:pPr>
        <w:keepNext w:val="0"/>
        <w:keepLines w:val="0"/>
        <w:pageBreakBefore w:val="0"/>
        <w:widowControl w:val="0"/>
        <w:kinsoku/>
        <w:wordWrap/>
        <w:overflowPunct/>
        <w:topLinePunct/>
        <w:autoSpaceDE w:val="0"/>
        <w:autoSpaceDN/>
        <w:bidi w:val="0"/>
        <w:adjustRightInd/>
        <w:snapToGrid/>
        <w:spacing w:line="480" w:lineRule="exact"/>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项目危险废物暂存间面积设置为10m</w:t>
      </w:r>
      <w:r>
        <w:rPr>
          <w:rFonts w:hint="default" w:ascii="Arial" w:hAnsi="Arial" w:eastAsia="宋体" w:cs="Arial"/>
          <w:color w:val="auto"/>
          <w:highlight w:val="none"/>
          <w:vertAlign w:val="superscript"/>
        </w:rPr>
        <w:t>2</w:t>
      </w:r>
      <w:r>
        <w:rPr>
          <w:rFonts w:hint="default" w:ascii="Arial" w:hAnsi="Arial" w:eastAsia="宋体" w:cs="Arial"/>
          <w:color w:val="auto"/>
          <w:highlight w:val="none"/>
        </w:rPr>
        <w:t>，内部分隔为医疗废物暂存间及其他暂存间，危废暂存间建设按照《危险废物贮存污染控制标准》（GB18597-2001）、《医疗卫生机构医疗废物管理办法》和《危险废物污染防治技术政策》的要求设置。暂存间地面铺HDPE膜防渗，渗透系数</w:t>
      </w:r>
      <w:r>
        <w:rPr>
          <w:rFonts w:hint="default" w:ascii="Arial" w:hAnsi="Arial" w:eastAsia="宋体" w:cs="Arial"/>
          <w:color w:val="auto"/>
          <w:szCs w:val="21"/>
          <w:highlight w:val="none"/>
        </w:rPr>
        <w:t>小于</w:t>
      </w:r>
      <w:r>
        <w:rPr>
          <w:rFonts w:hint="default" w:ascii="Arial" w:hAnsi="Arial" w:eastAsia="宋体" w:cs="Arial"/>
          <w:color w:val="auto"/>
          <w:highlight w:val="none"/>
        </w:rPr>
        <w:t>1.0×10</w:t>
      </w:r>
      <w:r>
        <w:rPr>
          <w:rFonts w:hint="default" w:ascii="Arial" w:hAnsi="Arial" w:eastAsia="宋体" w:cs="Arial"/>
          <w:color w:val="auto"/>
          <w:highlight w:val="none"/>
          <w:vertAlign w:val="superscript"/>
        </w:rPr>
        <w:t>-10</w:t>
      </w:r>
      <w:r>
        <w:rPr>
          <w:rFonts w:hint="default" w:ascii="Arial" w:hAnsi="Arial" w:eastAsia="宋体" w:cs="Arial"/>
          <w:color w:val="auto"/>
          <w:highlight w:val="none"/>
        </w:rPr>
        <w:t>cm/s。暂存间的地面与裙脚要用坚固、防渗的材料建造，建筑材料必须与危险废物相容。常温下贮存期不得超过1天，于5</w:t>
      </w:r>
      <w:r>
        <w:rPr>
          <w:rFonts w:hint="default" w:ascii="Arial" w:hAnsi="Arial" w:eastAsia="宋体" w:cs="Arial"/>
          <w:color w:val="auto"/>
          <w:highlight w:val="none"/>
          <w:lang w:eastAsia="zh-CN"/>
        </w:rPr>
        <w:t>℃</w:t>
      </w:r>
      <w:r>
        <w:rPr>
          <w:rFonts w:hint="default" w:ascii="Arial" w:hAnsi="Arial" w:eastAsia="宋体" w:cs="Arial"/>
          <w:color w:val="auto"/>
          <w:highlight w:val="none"/>
        </w:rPr>
        <w:t>以下冷藏的，不得超过7天。危险废物垃圾集中收集暂存、转移委外处理过程中，建设单位须按照相关规定填报转移联单，做好台账。</w:t>
      </w:r>
    </w:p>
    <w:p>
      <w:pPr>
        <w:pStyle w:val="7"/>
        <w:pageBreakBefore w:val="0"/>
        <w:widowControl w:val="0"/>
        <w:kinsoku/>
        <w:wordWrap/>
        <w:overflowPunct/>
        <w:topLinePunct/>
        <w:autoSpaceDE w:val="0"/>
        <w:autoSpaceDN/>
        <w:bidi w:val="0"/>
        <w:adjustRightInd/>
        <w:snapToGrid/>
        <w:textAlignment w:val="auto"/>
        <w:rPr>
          <w:rFonts w:hint="default" w:ascii="Arial" w:hAnsi="Arial" w:eastAsia="宋体" w:cs="Arial"/>
          <w:color w:val="auto"/>
          <w:szCs w:val="22"/>
          <w:highlight w:val="none"/>
        </w:rPr>
      </w:pPr>
      <w:r>
        <w:rPr>
          <w:rFonts w:hint="default" w:ascii="Arial" w:hAnsi="Arial" w:eastAsia="宋体" w:cs="Arial"/>
          <w:color w:val="auto"/>
          <w:highlight w:val="none"/>
        </w:rPr>
        <w:t>3.3.4.3</w:t>
      </w:r>
      <w:r>
        <w:rPr>
          <w:rFonts w:hint="default" w:ascii="Arial" w:hAnsi="Arial" w:eastAsia="宋体" w:cs="Arial"/>
          <w:color w:val="auto"/>
          <w:szCs w:val="22"/>
          <w:highlight w:val="none"/>
        </w:rPr>
        <w:t>生活垃圾</w:t>
      </w:r>
    </w:p>
    <w:p>
      <w:pPr>
        <w:keepNext w:val="0"/>
        <w:keepLines w:val="0"/>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生活垃圾按0.5kg/人</w:t>
      </w:r>
      <w:r>
        <w:rPr>
          <w:rFonts w:hint="default" w:ascii="Arial" w:hAnsi="Arial" w:eastAsia="宋体" w:cs="Arial"/>
          <w:color w:val="auto"/>
          <w:highlight w:val="none"/>
          <w:lang w:val="en-US" w:eastAsia="zh-CN"/>
        </w:rPr>
        <w:t>·</w:t>
      </w:r>
      <w:r>
        <w:rPr>
          <w:rFonts w:hint="default" w:ascii="Arial" w:hAnsi="Arial" w:eastAsia="宋体" w:cs="Arial"/>
          <w:color w:val="auto"/>
          <w:highlight w:val="none"/>
        </w:rPr>
        <w:t>d计，项目劳动定员</w:t>
      </w:r>
      <w:r>
        <w:rPr>
          <w:rFonts w:hint="default" w:ascii="Arial" w:hAnsi="Arial" w:eastAsia="宋体" w:cs="Arial"/>
          <w:color w:val="auto"/>
          <w:highlight w:val="none"/>
          <w:lang w:val="en-US" w:eastAsia="zh-CN"/>
        </w:rPr>
        <w:t>3</w:t>
      </w:r>
      <w:r>
        <w:rPr>
          <w:rFonts w:hint="default" w:ascii="Arial" w:hAnsi="Arial" w:eastAsia="宋体" w:cs="Arial"/>
          <w:color w:val="auto"/>
          <w:highlight w:val="none"/>
        </w:rPr>
        <w:t>0人，产生量</w:t>
      </w:r>
      <w:r>
        <w:rPr>
          <w:rFonts w:hint="default" w:ascii="Arial" w:hAnsi="Arial" w:eastAsia="宋体" w:cs="Arial"/>
          <w:color w:val="auto"/>
          <w:highlight w:val="none"/>
          <w:lang w:val="en-US" w:eastAsia="zh-CN"/>
        </w:rPr>
        <w:t>15kg</w:t>
      </w:r>
      <w:r>
        <w:rPr>
          <w:rFonts w:hint="default" w:ascii="Arial" w:hAnsi="Arial" w:eastAsia="宋体" w:cs="Arial"/>
          <w:color w:val="auto"/>
          <w:highlight w:val="none"/>
        </w:rPr>
        <w:t>/</w:t>
      </w:r>
      <w:r>
        <w:rPr>
          <w:rFonts w:hint="default" w:ascii="Arial" w:hAnsi="Arial" w:eastAsia="宋体" w:cs="Arial"/>
          <w:color w:val="auto"/>
          <w:highlight w:val="none"/>
          <w:lang w:val="en-US" w:eastAsia="zh-CN"/>
        </w:rPr>
        <w:t>d</w:t>
      </w:r>
      <w:r>
        <w:rPr>
          <w:rFonts w:hint="default" w:ascii="Arial" w:hAnsi="Arial" w:eastAsia="宋体" w:cs="Arial"/>
          <w:color w:val="auto"/>
          <w:highlight w:val="none"/>
        </w:rPr>
        <w:t>（</w:t>
      </w:r>
      <w:r>
        <w:rPr>
          <w:rFonts w:hint="default" w:ascii="Arial" w:hAnsi="Arial" w:eastAsia="宋体" w:cs="Arial"/>
          <w:color w:val="auto"/>
          <w:highlight w:val="none"/>
          <w:lang w:val="en-US" w:eastAsia="zh-CN"/>
        </w:rPr>
        <w:t>5.475t/a</w:t>
      </w:r>
      <w:r>
        <w:rPr>
          <w:rFonts w:hint="default" w:ascii="Arial" w:hAnsi="Arial" w:eastAsia="宋体" w:cs="Arial"/>
          <w:color w:val="auto"/>
          <w:highlight w:val="none"/>
        </w:rPr>
        <w:t>）。生活垃圾</w:t>
      </w:r>
      <w:r>
        <w:rPr>
          <w:rFonts w:hint="default" w:ascii="Arial" w:hAnsi="Arial" w:eastAsia="宋体" w:cs="Arial"/>
          <w:color w:val="auto"/>
          <w:highlight w:val="none"/>
          <w:lang w:bidi="zh-CN"/>
        </w:rPr>
        <w:t>清运到环卫部门指定的地点集中处理</w:t>
      </w:r>
      <w:r>
        <w:rPr>
          <w:rFonts w:hint="default" w:ascii="Arial" w:hAnsi="Arial" w:eastAsia="宋体" w:cs="Arial"/>
          <w:color w:val="auto"/>
          <w:highlight w:val="none"/>
        </w:rPr>
        <w:t>。</w:t>
      </w:r>
    </w:p>
    <w:p>
      <w:pPr>
        <w:keepNext/>
        <w:keepLines/>
        <w:pageBreakBefore w:val="0"/>
        <w:widowControl w:val="0"/>
        <w:kinsoku/>
        <w:wordWrap/>
        <w:overflowPunct/>
        <w:topLinePunct/>
        <w:autoSpaceDE w:val="0"/>
        <w:autoSpaceDN/>
        <w:bidi w:val="0"/>
        <w:adjustRightInd/>
        <w:snapToGrid/>
        <w:ind w:firstLine="0" w:firstLineChars="0"/>
        <w:jc w:val="center"/>
        <w:textAlignment w:val="auto"/>
        <w:outlineLvl w:val="4"/>
        <w:rPr>
          <w:rFonts w:hint="default" w:ascii="Arial" w:hAnsi="Arial" w:eastAsia="宋体" w:cs="Arial"/>
          <w:b/>
          <w:bCs/>
          <w:color w:val="auto"/>
          <w:szCs w:val="28"/>
          <w:highlight w:val="none"/>
        </w:rPr>
      </w:pPr>
      <w:r>
        <w:rPr>
          <w:rFonts w:hint="default" w:ascii="Arial" w:hAnsi="Arial" w:eastAsia="宋体" w:cs="Arial"/>
          <w:b/>
          <w:bCs/>
          <w:snapToGrid w:val="0"/>
          <w:color w:val="auto"/>
          <w:szCs w:val="28"/>
          <w:highlight w:val="none"/>
        </w:rPr>
        <w:t>表3.3-</w:t>
      </w:r>
      <w:r>
        <w:rPr>
          <w:rFonts w:hint="default" w:ascii="Arial" w:hAnsi="Arial" w:eastAsia="宋体" w:cs="Arial"/>
          <w:b/>
          <w:bCs/>
          <w:snapToGrid w:val="0"/>
          <w:color w:val="auto"/>
          <w:szCs w:val="28"/>
          <w:highlight w:val="none"/>
          <w:lang w:val="en-US" w:eastAsia="zh-CN"/>
        </w:rPr>
        <w:t>8</w:t>
      </w:r>
      <w:r>
        <w:rPr>
          <w:rFonts w:hint="default" w:ascii="Arial" w:hAnsi="Arial" w:eastAsia="宋体" w:cs="Arial"/>
          <w:b/>
          <w:bCs/>
          <w:snapToGrid w:val="0"/>
          <w:color w:val="auto"/>
          <w:szCs w:val="28"/>
          <w:highlight w:val="none"/>
        </w:rPr>
        <w:t xml:space="preserve">    固体废物产生及处置情况一览表</w:t>
      </w:r>
    </w:p>
    <w:tbl>
      <w:tblPr>
        <w:tblStyle w:val="39"/>
        <w:tblW w:w="9003" w:type="dxa"/>
        <w:tblInd w:w="0" w:type="dxa"/>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454"/>
        <w:gridCol w:w="1062"/>
        <w:gridCol w:w="1128"/>
        <w:gridCol w:w="1128"/>
        <w:gridCol w:w="1142"/>
        <w:gridCol w:w="1272"/>
        <w:gridCol w:w="1126"/>
        <w:gridCol w:w="1691"/>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454"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序号</w:t>
            </w:r>
          </w:p>
        </w:tc>
        <w:tc>
          <w:tcPr>
            <w:tcW w:w="1062"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名称</w:t>
            </w:r>
          </w:p>
        </w:tc>
        <w:tc>
          <w:tcPr>
            <w:tcW w:w="1128"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lang w:eastAsia="zh-CN"/>
              </w:rPr>
              <w:t>废物类别</w:t>
            </w:r>
          </w:p>
        </w:tc>
        <w:tc>
          <w:tcPr>
            <w:tcW w:w="1128"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lang w:eastAsia="zh-CN"/>
              </w:rPr>
              <w:t>废物代码</w:t>
            </w:r>
          </w:p>
        </w:tc>
        <w:tc>
          <w:tcPr>
            <w:tcW w:w="1142"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产生量</w:t>
            </w:r>
          </w:p>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（t/a）</w:t>
            </w:r>
          </w:p>
        </w:tc>
        <w:tc>
          <w:tcPr>
            <w:tcW w:w="1272"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产生工序及装置</w:t>
            </w:r>
          </w:p>
        </w:tc>
        <w:tc>
          <w:tcPr>
            <w:tcW w:w="1126" w:type="dxa"/>
            <w:vAlign w:val="center"/>
          </w:tcPr>
          <w:p>
            <w:pPr>
              <w:pStyle w:val="63"/>
              <w:rPr>
                <w:rFonts w:hint="default" w:ascii="Arial" w:hAnsi="Arial" w:eastAsia="宋体" w:cs="Arial"/>
                <w:color w:val="auto"/>
                <w:sz w:val="21"/>
                <w:szCs w:val="21"/>
                <w:highlight w:val="none"/>
                <w:lang w:eastAsia="zh-CN"/>
              </w:rPr>
            </w:pPr>
            <w:r>
              <w:rPr>
                <w:rFonts w:hint="default" w:ascii="Arial" w:hAnsi="Arial" w:eastAsia="宋体" w:cs="Arial"/>
                <w:color w:val="auto"/>
                <w:sz w:val="21"/>
                <w:szCs w:val="21"/>
                <w:highlight w:val="none"/>
                <w:lang w:eastAsia="zh-CN"/>
              </w:rPr>
              <w:t>暂存场所</w:t>
            </w:r>
          </w:p>
        </w:tc>
        <w:tc>
          <w:tcPr>
            <w:tcW w:w="1691"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处置措施</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454"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1</w:t>
            </w:r>
          </w:p>
        </w:tc>
        <w:tc>
          <w:tcPr>
            <w:tcW w:w="1062" w:type="dxa"/>
            <w:vAlign w:val="center"/>
          </w:tcPr>
          <w:p>
            <w:pPr>
              <w:pStyle w:val="63"/>
              <w:rPr>
                <w:rFonts w:hint="default" w:ascii="Arial" w:hAnsi="Arial" w:eastAsia="宋体" w:cs="Arial"/>
                <w:color w:val="auto"/>
                <w:sz w:val="21"/>
                <w:szCs w:val="21"/>
                <w:highlight w:val="none"/>
                <w:lang w:eastAsia="zh-CN"/>
              </w:rPr>
            </w:pPr>
            <w:r>
              <w:rPr>
                <w:rFonts w:hint="default" w:ascii="Arial" w:hAnsi="Arial" w:eastAsia="宋体" w:cs="Arial"/>
                <w:color w:val="auto"/>
                <w:sz w:val="21"/>
                <w:szCs w:val="21"/>
                <w:highlight w:val="none"/>
                <w:lang w:eastAsia="zh-CN"/>
              </w:rPr>
              <w:t>牛粪便</w:t>
            </w:r>
          </w:p>
        </w:tc>
        <w:tc>
          <w:tcPr>
            <w:tcW w:w="1128"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w:t>
            </w:r>
          </w:p>
        </w:tc>
        <w:tc>
          <w:tcPr>
            <w:tcW w:w="1128"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w:t>
            </w:r>
          </w:p>
        </w:tc>
        <w:tc>
          <w:tcPr>
            <w:tcW w:w="1142"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lang w:val="en-US" w:eastAsia="zh-CN"/>
              </w:rPr>
              <w:t>39712</w:t>
            </w:r>
          </w:p>
        </w:tc>
        <w:tc>
          <w:tcPr>
            <w:tcW w:w="1272"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牛群饲养</w:t>
            </w:r>
          </w:p>
        </w:tc>
        <w:tc>
          <w:tcPr>
            <w:tcW w:w="1126" w:type="dxa"/>
            <w:vAlign w:val="center"/>
          </w:tcPr>
          <w:p>
            <w:pPr>
              <w:pStyle w:val="63"/>
              <w:rPr>
                <w:rFonts w:hint="default" w:ascii="Arial" w:hAnsi="Arial" w:eastAsia="宋体" w:cs="Arial"/>
                <w:color w:val="auto"/>
                <w:sz w:val="21"/>
                <w:szCs w:val="21"/>
                <w:highlight w:val="none"/>
                <w:lang w:eastAsia="zh-CN"/>
              </w:rPr>
            </w:pPr>
            <w:r>
              <w:rPr>
                <w:rFonts w:hint="default" w:ascii="Arial" w:hAnsi="Arial" w:eastAsia="宋体" w:cs="Arial"/>
                <w:color w:val="auto"/>
                <w:sz w:val="21"/>
                <w:szCs w:val="21"/>
                <w:highlight w:val="none"/>
                <w:lang w:eastAsia="zh-CN"/>
              </w:rPr>
              <w:t>集粪池</w:t>
            </w:r>
          </w:p>
        </w:tc>
        <w:tc>
          <w:tcPr>
            <w:tcW w:w="1691"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lang w:eastAsia="zh-CN"/>
              </w:rPr>
              <w:t>清运至堆肥场</w:t>
            </w:r>
            <w:r>
              <w:rPr>
                <w:rFonts w:hint="default" w:ascii="Arial" w:hAnsi="Arial" w:eastAsia="宋体" w:cs="Arial"/>
                <w:color w:val="auto"/>
                <w:sz w:val="21"/>
                <w:szCs w:val="21"/>
                <w:highlight w:val="none"/>
              </w:rPr>
              <w:t>发酵，作为有机肥还田利用</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454"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2</w:t>
            </w:r>
          </w:p>
        </w:tc>
        <w:tc>
          <w:tcPr>
            <w:tcW w:w="1062" w:type="dxa"/>
            <w:vAlign w:val="center"/>
          </w:tcPr>
          <w:p>
            <w:pPr>
              <w:pStyle w:val="63"/>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lang w:eastAsia="zh-CN"/>
              </w:rPr>
              <w:t>病死牛</w:t>
            </w:r>
          </w:p>
        </w:tc>
        <w:tc>
          <w:tcPr>
            <w:tcW w:w="1128" w:type="dxa"/>
            <w:vAlign w:val="center"/>
          </w:tcPr>
          <w:p>
            <w:pPr>
              <w:pStyle w:val="63"/>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w:t>
            </w:r>
          </w:p>
        </w:tc>
        <w:tc>
          <w:tcPr>
            <w:tcW w:w="1128" w:type="dxa"/>
            <w:vAlign w:val="center"/>
          </w:tcPr>
          <w:p>
            <w:pPr>
              <w:pStyle w:val="63"/>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w:t>
            </w:r>
          </w:p>
        </w:tc>
        <w:tc>
          <w:tcPr>
            <w:tcW w:w="1142" w:type="dxa"/>
            <w:vAlign w:val="center"/>
          </w:tcPr>
          <w:p>
            <w:pPr>
              <w:pStyle w:val="63"/>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lang w:val="en-US" w:eastAsia="zh-CN"/>
              </w:rPr>
              <w:t>1</w:t>
            </w:r>
          </w:p>
        </w:tc>
        <w:tc>
          <w:tcPr>
            <w:tcW w:w="1272" w:type="dxa"/>
            <w:vAlign w:val="center"/>
          </w:tcPr>
          <w:p>
            <w:pPr>
              <w:pStyle w:val="63"/>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牛群饲养</w:t>
            </w:r>
          </w:p>
        </w:tc>
        <w:tc>
          <w:tcPr>
            <w:tcW w:w="1126" w:type="dxa"/>
            <w:vAlign w:val="center"/>
          </w:tcPr>
          <w:p>
            <w:pPr>
              <w:pStyle w:val="63"/>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冷藏间</w:t>
            </w:r>
          </w:p>
        </w:tc>
        <w:tc>
          <w:tcPr>
            <w:tcW w:w="1691" w:type="dxa"/>
            <w:vAlign w:val="center"/>
          </w:tcPr>
          <w:p>
            <w:pPr>
              <w:pStyle w:val="63"/>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交由巴彦淖尔市绿之源生物技术发展有限公司进行无害化处理</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454" w:type="dxa"/>
            <w:vAlign w:val="center"/>
          </w:tcPr>
          <w:p>
            <w:pPr>
              <w:pStyle w:val="63"/>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lang w:val="en-US" w:eastAsia="zh-CN"/>
              </w:rPr>
              <w:t>3</w:t>
            </w:r>
          </w:p>
        </w:tc>
        <w:tc>
          <w:tcPr>
            <w:tcW w:w="1062" w:type="dxa"/>
            <w:vAlign w:val="center"/>
          </w:tcPr>
          <w:p>
            <w:pPr>
              <w:pStyle w:val="63"/>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lang w:val="en-US" w:eastAsia="zh-CN"/>
              </w:rPr>
              <w:t>医疗废物</w:t>
            </w:r>
          </w:p>
        </w:tc>
        <w:tc>
          <w:tcPr>
            <w:tcW w:w="1128" w:type="dxa"/>
            <w:vAlign w:val="center"/>
          </w:tcPr>
          <w:p>
            <w:pPr>
              <w:pStyle w:val="63"/>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lang w:val="en-US" w:eastAsia="zh-CN"/>
              </w:rPr>
              <w:t>HW01医疗废物</w:t>
            </w:r>
          </w:p>
        </w:tc>
        <w:tc>
          <w:tcPr>
            <w:tcW w:w="1128" w:type="dxa"/>
            <w:vAlign w:val="center"/>
          </w:tcPr>
          <w:p>
            <w:pPr>
              <w:pStyle w:val="63"/>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lang w:val="en-US" w:eastAsia="zh-CN"/>
              </w:rPr>
              <w:t>841-005-01</w:t>
            </w:r>
          </w:p>
        </w:tc>
        <w:tc>
          <w:tcPr>
            <w:tcW w:w="1142" w:type="dxa"/>
            <w:vAlign w:val="center"/>
          </w:tcPr>
          <w:p>
            <w:pPr>
              <w:pStyle w:val="63"/>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lang w:val="en-US" w:eastAsia="zh-CN"/>
              </w:rPr>
              <w:t>1</w:t>
            </w:r>
          </w:p>
        </w:tc>
        <w:tc>
          <w:tcPr>
            <w:tcW w:w="1272" w:type="dxa"/>
            <w:vAlign w:val="center"/>
          </w:tcPr>
          <w:p>
            <w:pPr>
              <w:pStyle w:val="63"/>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卫生防疫</w:t>
            </w:r>
          </w:p>
        </w:tc>
        <w:tc>
          <w:tcPr>
            <w:tcW w:w="1126" w:type="dxa"/>
            <w:vAlign w:val="center"/>
          </w:tcPr>
          <w:p>
            <w:pPr>
              <w:pStyle w:val="63"/>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危险废物暂存间</w:t>
            </w:r>
            <w:r>
              <w:rPr>
                <w:rFonts w:hint="default" w:ascii="Arial" w:hAnsi="Arial" w:eastAsia="宋体" w:cs="Arial"/>
                <w:color w:val="auto"/>
                <w:sz w:val="21"/>
                <w:szCs w:val="21"/>
                <w:highlight w:val="none"/>
                <w:lang w:eastAsia="zh-CN"/>
              </w:rPr>
              <w:t>内医疗废物暂存间</w:t>
            </w:r>
          </w:p>
        </w:tc>
        <w:tc>
          <w:tcPr>
            <w:tcW w:w="1691" w:type="dxa"/>
            <w:vAlign w:val="center"/>
          </w:tcPr>
          <w:p>
            <w:pPr>
              <w:pStyle w:val="63"/>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定期由有资质单位处置</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454" w:type="dxa"/>
            <w:vAlign w:val="center"/>
          </w:tcPr>
          <w:p>
            <w:pPr>
              <w:pStyle w:val="63"/>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lang w:val="en-US" w:eastAsia="zh-CN"/>
              </w:rPr>
              <w:t>4</w:t>
            </w:r>
          </w:p>
        </w:tc>
        <w:tc>
          <w:tcPr>
            <w:tcW w:w="1062" w:type="dxa"/>
            <w:vAlign w:val="center"/>
          </w:tcPr>
          <w:p>
            <w:pPr>
              <w:pStyle w:val="63"/>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生活垃圾</w:t>
            </w:r>
          </w:p>
        </w:tc>
        <w:tc>
          <w:tcPr>
            <w:tcW w:w="1128" w:type="dxa"/>
            <w:vAlign w:val="center"/>
          </w:tcPr>
          <w:p>
            <w:pPr>
              <w:pStyle w:val="63"/>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w:t>
            </w:r>
          </w:p>
        </w:tc>
        <w:tc>
          <w:tcPr>
            <w:tcW w:w="1128" w:type="dxa"/>
            <w:vAlign w:val="center"/>
          </w:tcPr>
          <w:p>
            <w:pPr>
              <w:pStyle w:val="63"/>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w:t>
            </w:r>
          </w:p>
        </w:tc>
        <w:tc>
          <w:tcPr>
            <w:tcW w:w="1142" w:type="dxa"/>
            <w:vAlign w:val="center"/>
          </w:tcPr>
          <w:p>
            <w:pPr>
              <w:pStyle w:val="63"/>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highlight w:val="none"/>
                <w:lang w:val="en-US" w:eastAsia="zh-CN"/>
              </w:rPr>
              <w:t>5.475</w:t>
            </w:r>
          </w:p>
        </w:tc>
        <w:tc>
          <w:tcPr>
            <w:tcW w:w="1272" w:type="dxa"/>
            <w:vAlign w:val="center"/>
          </w:tcPr>
          <w:p>
            <w:pPr>
              <w:pStyle w:val="63"/>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人员办公</w:t>
            </w:r>
          </w:p>
        </w:tc>
        <w:tc>
          <w:tcPr>
            <w:tcW w:w="1126" w:type="dxa"/>
            <w:vAlign w:val="center"/>
          </w:tcPr>
          <w:p>
            <w:pPr>
              <w:pStyle w:val="63"/>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垃圾桶</w:t>
            </w:r>
          </w:p>
        </w:tc>
        <w:tc>
          <w:tcPr>
            <w:tcW w:w="1691" w:type="dxa"/>
            <w:vAlign w:val="center"/>
          </w:tcPr>
          <w:p>
            <w:pPr>
              <w:pStyle w:val="63"/>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lang w:bidi="zh-CN"/>
              </w:rPr>
              <w:t>清运到环卫部门指定的地点集中处理</w:t>
            </w:r>
          </w:p>
        </w:tc>
      </w:tr>
    </w:tbl>
    <w:p>
      <w:pPr>
        <w:pStyle w:val="5"/>
        <w:pageBreakBefore w:val="0"/>
        <w:widowControl w:val="0"/>
        <w:kinsoku/>
        <w:wordWrap/>
        <w:overflowPunct/>
        <w:topLinePunct/>
        <w:autoSpaceDE w:val="0"/>
        <w:autoSpaceDN/>
        <w:bidi w:val="0"/>
        <w:adjustRightInd/>
        <w:snapToGrid/>
        <w:textAlignment w:val="auto"/>
        <w:rPr>
          <w:rFonts w:hint="default" w:ascii="Arial" w:hAnsi="Arial" w:eastAsia="宋体" w:cs="Arial"/>
          <w:color w:val="auto"/>
          <w:highlight w:val="none"/>
        </w:rPr>
      </w:pPr>
      <w:bookmarkStart w:id="249" w:name="_Toc46421103"/>
      <w:bookmarkStart w:id="250" w:name="_Toc17929"/>
      <w:r>
        <w:rPr>
          <w:rFonts w:hint="default" w:ascii="Arial" w:hAnsi="Arial" w:eastAsia="宋体" w:cs="Arial"/>
          <w:color w:val="auto"/>
          <w:highlight w:val="none"/>
        </w:rPr>
        <w:t>3.4粪污资源化利用综述</w:t>
      </w:r>
      <w:bookmarkEnd w:id="249"/>
      <w:bookmarkEnd w:id="250"/>
    </w:p>
    <w:p>
      <w:pPr>
        <w:pStyle w:val="6"/>
        <w:pageBreakBefore w:val="0"/>
        <w:widowControl w:val="0"/>
        <w:kinsoku/>
        <w:wordWrap/>
        <w:overflowPunct/>
        <w:topLinePunct/>
        <w:autoSpaceDE w:val="0"/>
        <w:autoSpaceDN/>
        <w:bidi w:val="0"/>
        <w:adjustRightInd/>
        <w:snapToGrid/>
        <w:textAlignment w:val="auto"/>
        <w:rPr>
          <w:rFonts w:hint="default" w:ascii="Arial" w:hAnsi="Arial" w:eastAsia="宋体" w:cs="Arial"/>
          <w:color w:val="auto"/>
          <w:highlight w:val="none"/>
        </w:rPr>
      </w:pPr>
      <w:bookmarkStart w:id="251" w:name="_Toc46421104"/>
      <w:bookmarkStart w:id="252" w:name="_Toc19617"/>
      <w:r>
        <w:rPr>
          <w:rFonts w:hint="default" w:ascii="Arial" w:hAnsi="Arial" w:eastAsia="宋体" w:cs="Arial"/>
          <w:color w:val="auto"/>
          <w:highlight w:val="none"/>
        </w:rPr>
        <w:t>3.4.1有机肥产生量</w:t>
      </w:r>
      <w:bookmarkEnd w:id="251"/>
      <w:bookmarkEnd w:id="252"/>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sz w:val="24"/>
          <w:szCs w:val="24"/>
          <w:highlight w:val="none"/>
        </w:rPr>
        <w:t>通过工程分析，</w:t>
      </w:r>
      <w:r>
        <w:rPr>
          <w:rFonts w:hint="default" w:ascii="Arial" w:hAnsi="Arial" w:eastAsia="宋体" w:cs="Arial"/>
          <w:color w:val="auto"/>
          <w:highlight w:val="none"/>
          <w:lang w:eastAsia="zh-CN"/>
        </w:rPr>
        <w:t>本项目</w:t>
      </w:r>
      <w:r>
        <w:rPr>
          <w:rFonts w:hint="default" w:ascii="Arial" w:hAnsi="Arial" w:eastAsia="宋体" w:cs="Arial"/>
          <w:color w:val="auto"/>
          <w:sz w:val="24"/>
          <w:szCs w:val="24"/>
          <w:highlight w:val="none"/>
        </w:rPr>
        <w:t>产生的</w:t>
      </w:r>
      <w:r>
        <w:rPr>
          <w:rFonts w:hint="default" w:ascii="Arial" w:hAnsi="Arial" w:eastAsia="宋体" w:cs="Arial"/>
          <w:color w:val="auto"/>
          <w:sz w:val="24"/>
          <w:szCs w:val="24"/>
          <w:highlight w:val="none"/>
          <w:lang w:eastAsia="zh-CN"/>
        </w:rPr>
        <w:t>牛粪便量为</w:t>
      </w:r>
      <w:r>
        <w:rPr>
          <w:rFonts w:hint="default" w:ascii="Arial" w:hAnsi="Arial" w:eastAsia="宋体" w:cs="Arial"/>
          <w:color w:val="auto"/>
          <w:sz w:val="24"/>
          <w:szCs w:val="24"/>
          <w:highlight w:val="none"/>
          <w:lang w:val="en-US" w:eastAsia="zh-CN"/>
        </w:rPr>
        <w:t>39712</w:t>
      </w:r>
      <w:r>
        <w:rPr>
          <w:rFonts w:hint="default" w:ascii="Arial" w:hAnsi="Arial" w:eastAsia="宋体" w:cs="Arial"/>
          <w:color w:val="auto"/>
          <w:sz w:val="24"/>
          <w:szCs w:val="24"/>
          <w:highlight w:val="none"/>
        </w:rPr>
        <w:t>t/a</w:t>
      </w:r>
      <w:r>
        <w:rPr>
          <w:rFonts w:hint="default" w:ascii="Arial" w:hAnsi="Arial" w:eastAsia="宋体" w:cs="Arial"/>
          <w:color w:val="auto"/>
          <w:sz w:val="24"/>
          <w:szCs w:val="24"/>
          <w:highlight w:val="none"/>
          <w:lang w:eastAsia="zh-CN"/>
        </w:rPr>
        <w:t>，经</w:t>
      </w:r>
      <w:r>
        <w:rPr>
          <w:rFonts w:hint="default" w:ascii="Arial" w:hAnsi="Arial" w:eastAsia="宋体" w:cs="Arial"/>
          <w:color w:val="auto"/>
          <w:sz w:val="24"/>
          <w:szCs w:val="24"/>
          <w:highlight w:val="none"/>
          <w:lang w:val="en-US" w:eastAsia="zh-CN"/>
        </w:rPr>
        <w:t>堆肥场储存并堆肥</w:t>
      </w:r>
      <w:r>
        <w:rPr>
          <w:rFonts w:hint="default" w:ascii="Arial" w:hAnsi="Arial" w:eastAsia="宋体" w:cs="Arial"/>
          <w:color w:val="auto"/>
          <w:sz w:val="24"/>
          <w:szCs w:val="24"/>
          <w:highlight w:val="none"/>
          <w:lang w:eastAsia="zh-CN"/>
        </w:rPr>
        <w:t>后，</w:t>
      </w:r>
      <w:r>
        <w:rPr>
          <w:rFonts w:hint="default" w:ascii="Arial" w:hAnsi="Arial" w:eastAsia="宋体" w:cs="Arial"/>
          <w:color w:val="auto"/>
          <w:highlight w:val="none"/>
          <w:lang w:eastAsia="zh-CN"/>
        </w:rPr>
        <w:t>可</w:t>
      </w:r>
      <w:r>
        <w:rPr>
          <w:rFonts w:hint="default" w:ascii="Arial" w:hAnsi="Arial" w:eastAsia="宋体" w:cs="Arial"/>
          <w:color w:val="auto"/>
          <w:highlight w:val="none"/>
        </w:rPr>
        <w:t>产生固体有机肥</w:t>
      </w:r>
      <w:r>
        <w:rPr>
          <w:rFonts w:hint="default" w:ascii="Arial" w:hAnsi="Arial" w:eastAsia="宋体" w:cs="Arial"/>
          <w:color w:val="auto"/>
          <w:sz w:val="24"/>
          <w:szCs w:val="24"/>
          <w:highlight w:val="none"/>
          <w:lang w:val="en-US" w:eastAsia="zh-CN"/>
        </w:rPr>
        <w:t>39712</w:t>
      </w:r>
      <w:r>
        <w:rPr>
          <w:rFonts w:hint="default" w:ascii="Arial" w:hAnsi="Arial" w:eastAsia="宋体" w:cs="Arial"/>
          <w:color w:val="auto"/>
          <w:highlight w:val="none"/>
        </w:rPr>
        <w:t>t/a。</w:t>
      </w:r>
      <w:r>
        <w:rPr>
          <w:rFonts w:hint="default" w:ascii="Arial" w:hAnsi="Arial" w:eastAsia="宋体" w:cs="Arial"/>
          <w:color w:val="auto"/>
          <w:sz w:val="24"/>
          <w:szCs w:val="24"/>
          <w:highlight w:val="none"/>
          <w:lang w:val="en-US" w:eastAsia="zh-CN"/>
        </w:rPr>
        <w:t>满足</w:t>
      </w:r>
      <w:r>
        <w:rPr>
          <w:rFonts w:hint="default" w:ascii="Arial" w:hAnsi="Arial" w:eastAsia="宋体" w:cs="Arial"/>
          <w:color w:val="auto"/>
          <w:sz w:val="24"/>
          <w:szCs w:val="24"/>
          <w:highlight w:val="none"/>
        </w:rPr>
        <w:t>《粪便无害化卫生标准》</w:t>
      </w:r>
      <w:r>
        <w:rPr>
          <w:rFonts w:hint="default" w:ascii="Arial" w:hAnsi="Arial" w:eastAsia="宋体" w:cs="Arial"/>
          <w:color w:val="auto"/>
          <w:sz w:val="24"/>
          <w:szCs w:val="24"/>
          <w:highlight w:val="none"/>
          <w:lang w:val="en-US" w:eastAsia="zh-CN"/>
        </w:rPr>
        <w:t>的要求</w:t>
      </w:r>
      <w:r>
        <w:rPr>
          <w:rFonts w:hint="default" w:ascii="Arial" w:hAnsi="Arial" w:eastAsia="宋体" w:cs="Arial"/>
          <w:color w:val="auto"/>
          <w:sz w:val="24"/>
          <w:szCs w:val="24"/>
          <w:highlight w:val="none"/>
          <w:lang w:eastAsia="zh-CN"/>
        </w:rPr>
        <w:t>作为有机肥还田利用</w:t>
      </w:r>
      <w:r>
        <w:rPr>
          <w:rFonts w:hint="default" w:ascii="Arial" w:hAnsi="Arial" w:eastAsia="宋体" w:cs="Arial"/>
          <w:color w:val="auto"/>
          <w:highlight w:val="none"/>
        </w:rPr>
        <w:t>。</w:t>
      </w:r>
    </w:p>
    <w:p>
      <w:pPr>
        <w:pStyle w:val="6"/>
        <w:pageBreakBefore w:val="0"/>
        <w:widowControl w:val="0"/>
        <w:kinsoku/>
        <w:wordWrap/>
        <w:overflowPunct/>
        <w:topLinePunct/>
        <w:autoSpaceDE w:val="0"/>
        <w:autoSpaceDN/>
        <w:bidi w:val="0"/>
        <w:adjustRightInd/>
        <w:snapToGrid/>
        <w:textAlignment w:val="auto"/>
        <w:rPr>
          <w:rFonts w:hint="default" w:ascii="Arial" w:hAnsi="Arial" w:eastAsia="宋体" w:cs="Arial"/>
          <w:color w:val="auto"/>
          <w:highlight w:val="none"/>
        </w:rPr>
      </w:pPr>
      <w:bookmarkStart w:id="253" w:name="_Toc17626"/>
      <w:bookmarkStart w:id="254" w:name="_Toc46421105"/>
      <w:r>
        <w:rPr>
          <w:rFonts w:hint="default" w:ascii="Arial" w:hAnsi="Arial" w:eastAsia="宋体" w:cs="Arial"/>
          <w:color w:val="auto"/>
          <w:highlight w:val="none"/>
        </w:rPr>
        <w:t>3.4.2土地消纳能力</w:t>
      </w:r>
      <w:bookmarkEnd w:id="253"/>
      <w:bookmarkEnd w:id="254"/>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lang w:eastAsia="zh-CN"/>
        </w:rPr>
        <w:t>根据</w:t>
      </w:r>
      <w:r>
        <w:rPr>
          <w:rFonts w:hint="default" w:ascii="Arial" w:hAnsi="Arial" w:eastAsia="宋体" w:cs="Arial"/>
          <w:color w:val="auto"/>
          <w:highlight w:val="none"/>
        </w:rPr>
        <w:t>《内蒙古自治区畜禽养殖主要污染物减排工程项目建设技术指南（试行）》（内环发</w:t>
      </w:r>
      <w:r>
        <w:rPr>
          <w:rFonts w:hint="default" w:ascii="Arial" w:hAnsi="Arial" w:eastAsia="宋体" w:cs="Arial"/>
          <w:color w:val="auto"/>
          <w:highlight w:val="none"/>
          <w:lang w:eastAsia="zh-CN"/>
        </w:rPr>
        <w:t>[</w:t>
      </w:r>
      <w:r>
        <w:rPr>
          <w:rFonts w:hint="default" w:ascii="Arial" w:hAnsi="Arial" w:eastAsia="宋体" w:cs="Arial"/>
          <w:color w:val="auto"/>
          <w:highlight w:val="none"/>
        </w:rPr>
        <w:t>2014</w:t>
      </w:r>
      <w:r>
        <w:rPr>
          <w:rFonts w:hint="default" w:ascii="Arial" w:hAnsi="Arial" w:eastAsia="宋体" w:cs="Arial"/>
          <w:color w:val="auto"/>
          <w:highlight w:val="none"/>
          <w:lang w:eastAsia="zh-CN"/>
        </w:rPr>
        <w:t>]</w:t>
      </w:r>
      <w:r>
        <w:rPr>
          <w:rFonts w:hint="default" w:ascii="Arial" w:hAnsi="Arial" w:eastAsia="宋体" w:cs="Arial"/>
          <w:color w:val="auto"/>
          <w:highlight w:val="none"/>
        </w:rPr>
        <w:t>83号）</w:t>
      </w:r>
      <w:r>
        <w:rPr>
          <w:rFonts w:hint="default" w:ascii="Arial" w:hAnsi="Arial" w:eastAsia="宋体" w:cs="Arial"/>
          <w:color w:val="auto"/>
          <w:highlight w:val="none"/>
          <w:lang w:eastAsia="zh-CN"/>
        </w:rPr>
        <w:t>和《</w:t>
      </w:r>
      <w:r>
        <w:rPr>
          <w:rFonts w:hint="default" w:ascii="Arial" w:hAnsi="Arial" w:eastAsia="宋体" w:cs="Arial"/>
          <w:i w:val="0"/>
          <w:caps w:val="0"/>
          <w:color w:val="auto"/>
          <w:spacing w:val="8"/>
          <w:sz w:val="24"/>
          <w:szCs w:val="24"/>
          <w:highlight w:val="none"/>
          <w:shd w:val="clear" w:fill="FFFFFF"/>
        </w:rPr>
        <w:t>畜禽粪污土地承载力测算技术指南</w:t>
      </w:r>
      <w:r>
        <w:rPr>
          <w:rFonts w:hint="default" w:ascii="Arial" w:hAnsi="Arial" w:eastAsia="宋体" w:cs="Arial"/>
          <w:i w:val="0"/>
          <w:caps w:val="0"/>
          <w:color w:val="auto"/>
          <w:spacing w:val="8"/>
          <w:sz w:val="24"/>
          <w:szCs w:val="24"/>
          <w:highlight w:val="none"/>
          <w:shd w:val="clear" w:fill="FFFFFF"/>
          <w:lang w:eastAsia="zh-CN"/>
        </w:rPr>
        <w:t>》（农办牧</w:t>
      </w:r>
      <w:r>
        <w:rPr>
          <w:rFonts w:hint="default" w:ascii="Arial" w:hAnsi="Arial" w:eastAsia="宋体" w:cs="Arial"/>
          <w:i w:val="0"/>
          <w:caps w:val="0"/>
          <w:color w:val="auto"/>
          <w:spacing w:val="8"/>
          <w:sz w:val="24"/>
          <w:szCs w:val="24"/>
          <w:highlight w:val="none"/>
          <w:shd w:val="clear" w:fill="FFFFFF"/>
          <w:lang w:val="en-US" w:eastAsia="zh-CN"/>
        </w:rPr>
        <w:t>[2018]1号</w:t>
      </w:r>
      <w:r>
        <w:rPr>
          <w:rFonts w:hint="default" w:ascii="Arial" w:hAnsi="Arial" w:eastAsia="宋体" w:cs="Arial"/>
          <w:i w:val="0"/>
          <w:caps w:val="0"/>
          <w:color w:val="auto"/>
          <w:spacing w:val="8"/>
          <w:sz w:val="24"/>
          <w:szCs w:val="24"/>
          <w:highlight w:val="none"/>
          <w:shd w:val="clear" w:fill="FFFFFF"/>
          <w:lang w:eastAsia="zh-CN"/>
        </w:rPr>
        <w:t>）</w:t>
      </w:r>
      <w:r>
        <w:rPr>
          <w:rFonts w:hint="default" w:ascii="Arial" w:hAnsi="Arial" w:eastAsia="宋体" w:cs="Arial"/>
          <w:color w:val="auto"/>
          <w:highlight w:val="none"/>
        </w:rPr>
        <w:t>，消纳土地面积要求每头</w:t>
      </w:r>
      <w:r>
        <w:rPr>
          <w:rFonts w:hint="default" w:ascii="Arial" w:hAnsi="Arial" w:eastAsia="宋体" w:cs="Arial"/>
          <w:color w:val="auto"/>
          <w:highlight w:val="none"/>
          <w:lang w:eastAsia="zh-CN"/>
        </w:rPr>
        <w:t>肉牛</w:t>
      </w:r>
      <w:r>
        <w:rPr>
          <w:rFonts w:hint="default" w:ascii="Arial" w:hAnsi="Arial" w:eastAsia="宋体" w:cs="Arial"/>
          <w:color w:val="auto"/>
          <w:highlight w:val="none"/>
        </w:rPr>
        <w:t>不少于1.25亩土地的要求</w:t>
      </w:r>
      <w:r>
        <w:rPr>
          <w:rFonts w:hint="default" w:ascii="Arial" w:hAnsi="Arial" w:eastAsia="宋体" w:cs="Arial"/>
          <w:color w:val="auto"/>
          <w:highlight w:val="none"/>
          <w:lang w:eastAsia="zh-CN"/>
        </w:rPr>
        <w:t>，</w:t>
      </w:r>
      <w:r>
        <w:rPr>
          <w:rFonts w:hint="default" w:ascii="Arial" w:hAnsi="Arial" w:eastAsia="宋体" w:cs="Arial"/>
          <w:color w:val="auto"/>
          <w:highlight w:val="none"/>
        </w:rPr>
        <w:t>项目配套粪污消纳土地</w:t>
      </w:r>
      <w:r>
        <w:rPr>
          <w:rFonts w:hint="default" w:ascii="Arial" w:hAnsi="Arial" w:eastAsia="宋体" w:cs="Arial"/>
          <w:color w:val="auto"/>
          <w:highlight w:val="none"/>
          <w:lang w:val="en-US" w:eastAsia="zh-CN"/>
        </w:rPr>
        <w:t>1</w:t>
      </w:r>
      <w:r>
        <w:rPr>
          <w:rFonts w:hint="default" w:ascii="Arial" w:hAnsi="Arial" w:eastAsia="宋体" w:cs="Arial"/>
          <w:color w:val="auto"/>
          <w:highlight w:val="none"/>
          <w:lang w:eastAsia="zh-CN"/>
        </w:rPr>
        <w:t>250</w:t>
      </w:r>
      <w:r>
        <w:rPr>
          <w:rFonts w:hint="default" w:ascii="Arial" w:hAnsi="Arial" w:eastAsia="宋体" w:cs="Arial"/>
          <w:color w:val="auto"/>
          <w:highlight w:val="none"/>
          <w:lang w:val="en-US" w:eastAsia="zh-CN"/>
        </w:rPr>
        <w:t>0</w:t>
      </w:r>
      <w:r>
        <w:rPr>
          <w:rFonts w:hint="default" w:ascii="Arial" w:hAnsi="Arial" w:eastAsia="宋体" w:cs="Arial"/>
          <w:color w:val="auto"/>
          <w:highlight w:val="none"/>
          <w:lang w:eastAsia="zh-CN"/>
        </w:rPr>
        <w:t>亩。</w:t>
      </w:r>
    </w:p>
    <w:p>
      <w:pPr>
        <w:pStyle w:val="5"/>
        <w:pageBreakBefore w:val="0"/>
        <w:widowControl w:val="0"/>
        <w:kinsoku/>
        <w:wordWrap/>
        <w:overflowPunct/>
        <w:topLinePunct/>
        <w:autoSpaceDE w:val="0"/>
        <w:autoSpaceDN/>
        <w:bidi w:val="0"/>
        <w:adjustRightInd/>
        <w:snapToGrid/>
        <w:textAlignment w:val="auto"/>
        <w:rPr>
          <w:rFonts w:hint="default" w:ascii="Arial" w:hAnsi="Arial" w:eastAsia="宋体" w:cs="Arial"/>
          <w:color w:val="auto"/>
          <w:highlight w:val="none"/>
        </w:rPr>
      </w:pPr>
      <w:bookmarkStart w:id="255" w:name="_Toc17057"/>
      <w:r>
        <w:rPr>
          <w:rFonts w:hint="default" w:ascii="Arial" w:hAnsi="Arial" w:eastAsia="宋体" w:cs="Arial"/>
          <w:color w:val="auto"/>
          <w:highlight w:val="none"/>
        </w:rPr>
        <w:t>3.5污染物排放清单</w:t>
      </w:r>
      <w:bookmarkEnd w:id="255"/>
    </w:p>
    <w:p>
      <w:pPr>
        <w:overflowPunct w:val="0"/>
        <w:autoSpaceDE/>
        <w:ind w:firstLine="480"/>
        <w:rPr>
          <w:rFonts w:hint="default" w:ascii="Arial" w:hAnsi="Arial" w:eastAsia="宋体" w:cs="Arial"/>
          <w:color w:val="auto"/>
          <w:szCs w:val="20"/>
          <w:highlight w:val="none"/>
        </w:rPr>
      </w:pPr>
    </w:p>
    <w:p>
      <w:pPr>
        <w:overflowPunct w:val="0"/>
        <w:autoSpaceDE/>
        <w:ind w:firstLine="480"/>
        <w:rPr>
          <w:rFonts w:hint="default" w:ascii="Arial" w:hAnsi="Arial" w:eastAsia="宋体" w:cs="Arial"/>
          <w:color w:val="auto"/>
          <w:szCs w:val="20"/>
          <w:highlight w:val="none"/>
        </w:rPr>
        <w:sectPr>
          <w:pgSz w:w="11906" w:h="16838"/>
          <w:pgMar w:top="1418" w:right="1418" w:bottom="1247" w:left="1701" w:header="851" w:footer="680" w:gutter="0"/>
          <w:pgBorders>
            <w:top w:val="none" w:sz="0" w:space="0"/>
            <w:left w:val="none" w:sz="0" w:space="0"/>
            <w:bottom w:val="none" w:sz="0" w:space="0"/>
            <w:right w:val="none" w:sz="0" w:space="0"/>
          </w:pgBorders>
          <w:pgNumType w:fmt="numberInDash"/>
          <w:cols w:space="425" w:num="1"/>
          <w:docGrid w:linePitch="326" w:charSpace="0"/>
        </w:sectPr>
      </w:pPr>
    </w:p>
    <w:p>
      <w:pPr>
        <w:pStyle w:val="8"/>
        <w:rPr>
          <w:rFonts w:hint="default" w:ascii="Arial" w:hAnsi="Arial" w:eastAsia="宋体" w:cs="Arial"/>
          <w:color w:val="auto"/>
          <w:highlight w:val="none"/>
        </w:rPr>
      </w:pPr>
      <w:r>
        <w:rPr>
          <w:rFonts w:hint="default" w:ascii="Arial" w:hAnsi="Arial" w:eastAsia="宋体" w:cs="Arial"/>
          <w:color w:val="auto"/>
          <w:highlight w:val="none"/>
        </w:rPr>
        <w:t>表3.5-1    污染物排放清单（排放浓度，大气mg/m</w:t>
      </w:r>
      <w:r>
        <w:rPr>
          <w:rFonts w:hint="default" w:ascii="Arial" w:hAnsi="Arial" w:eastAsia="宋体" w:cs="Arial"/>
          <w:color w:val="auto"/>
          <w:highlight w:val="none"/>
          <w:vertAlign w:val="superscript"/>
        </w:rPr>
        <w:t>3</w:t>
      </w:r>
      <w:r>
        <w:rPr>
          <w:rFonts w:hint="default" w:ascii="Arial" w:hAnsi="Arial" w:eastAsia="宋体" w:cs="Arial"/>
          <w:color w:val="auto"/>
          <w:highlight w:val="none"/>
        </w:rPr>
        <w:t>，废水mg/L）</w:t>
      </w:r>
    </w:p>
    <w:tbl>
      <w:tblPr>
        <w:tblStyle w:val="39"/>
        <w:tblW w:w="14389" w:type="dxa"/>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494"/>
        <w:gridCol w:w="561"/>
        <w:gridCol w:w="1557"/>
        <w:gridCol w:w="1243"/>
        <w:gridCol w:w="2930"/>
        <w:gridCol w:w="1379"/>
        <w:gridCol w:w="1108"/>
        <w:gridCol w:w="836"/>
        <w:gridCol w:w="753"/>
        <w:gridCol w:w="732"/>
        <w:gridCol w:w="1828"/>
        <w:gridCol w:w="968"/>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blHeader/>
          <w:jc w:val="center"/>
        </w:trPr>
        <w:tc>
          <w:tcPr>
            <w:tcW w:w="494" w:type="dxa"/>
            <w:vMerge w:val="restart"/>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kern w:val="0"/>
                <w:sz w:val="21"/>
                <w:szCs w:val="21"/>
                <w:highlight w:val="none"/>
              </w:rPr>
            </w:pPr>
            <w:r>
              <w:rPr>
                <w:rFonts w:hint="default" w:ascii="Arial" w:hAnsi="Arial" w:eastAsia="宋体" w:cs="Arial"/>
                <w:color w:val="auto"/>
                <w:kern w:val="0"/>
                <w:sz w:val="21"/>
                <w:szCs w:val="21"/>
                <w:highlight w:val="none"/>
              </w:rPr>
              <w:t>类别</w:t>
            </w:r>
          </w:p>
        </w:tc>
        <w:tc>
          <w:tcPr>
            <w:tcW w:w="561" w:type="dxa"/>
            <w:vMerge w:val="restart"/>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kern w:val="0"/>
                <w:sz w:val="21"/>
                <w:szCs w:val="21"/>
                <w:highlight w:val="none"/>
              </w:rPr>
            </w:pPr>
            <w:r>
              <w:rPr>
                <w:rFonts w:hint="default" w:ascii="Arial" w:hAnsi="Arial" w:eastAsia="宋体" w:cs="Arial"/>
                <w:color w:val="auto"/>
                <w:kern w:val="0"/>
                <w:sz w:val="21"/>
                <w:szCs w:val="21"/>
                <w:highlight w:val="none"/>
              </w:rPr>
              <w:t>编号</w:t>
            </w:r>
          </w:p>
        </w:tc>
        <w:tc>
          <w:tcPr>
            <w:tcW w:w="8217" w:type="dxa"/>
            <w:gridSpan w:val="5"/>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kern w:val="0"/>
                <w:sz w:val="21"/>
                <w:szCs w:val="21"/>
                <w:highlight w:val="none"/>
              </w:rPr>
            </w:pPr>
            <w:r>
              <w:rPr>
                <w:rFonts w:hint="default" w:ascii="Arial" w:hAnsi="Arial" w:eastAsia="宋体" w:cs="Arial"/>
                <w:color w:val="auto"/>
                <w:kern w:val="0"/>
                <w:sz w:val="21"/>
                <w:szCs w:val="21"/>
                <w:highlight w:val="none"/>
              </w:rPr>
              <w:t>污染源</w:t>
            </w:r>
          </w:p>
        </w:tc>
        <w:tc>
          <w:tcPr>
            <w:tcW w:w="2321" w:type="dxa"/>
            <w:gridSpan w:val="3"/>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kern w:val="0"/>
                <w:sz w:val="21"/>
                <w:szCs w:val="21"/>
                <w:highlight w:val="none"/>
              </w:rPr>
            </w:pPr>
            <w:r>
              <w:rPr>
                <w:rFonts w:hint="default" w:ascii="Arial" w:hAnsi="Arial" w:eastAsia="宋体" w:cs="Arial"/>
                <w:color w:val="auto"/>
                <w:kern w:val="0"/>
                <w:sz w:val="21"/>
                <w:szCs w:val="21"/>
                <w:highlight w:val="none"/>
              </w:rPr>
              <w:t>排放参数</w:t>
            </w:r>
          </w:p>
        </w:tc>
        <w:tc>
          <w:tcPr>
            <w:tcW w:w="1828" w:type="dxa"/>
            <w:vMerge w:val="restart"/>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kern w:val="0"/>
                <w:sz w:val="21"/>
                <w:szCs w:val="21"/>
                <w:highlight w:val="none"/>
              </w:rPr>
            </w:pPr>
            <w:r>
              <w:rPr>
                <w:rFonts w:hint="default" w:ascii="Arial" w:hAnsi="Arial" w:eastAsia="宋体" w:cs="Arial"/>
                <w:color w:val="auto"/>
                <w:kern w:val="0"/>
                <w:sz w:val="21"/>
                <w:szCs w:val="21"/>
                <w:highlight w:val="none"/>
              </w:rPr>
              <w:t>执行环境标准</w:t>
            </w:r>
          </w:p>
        </w:tc>
        <w:tc>
          <w:tcPr>
            <w:tcW w:w="968" w:type="dxa"/>
            <w:vMerge w:val="restart"/>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kern w:val="0"/>
                <w:sz w:val="21"/>
                <w:szCs w:val="21"/>
                <w:highlight w:val="none"/>
              </w:rPr>
            </w:pPr>
            <w:r>
              <w:rPr>
                <w:rFonts w:hint="default" w:ascii="Arial" w:hAnsi="Arial" w:eastAsia="宋体" w:cs="Arial"/>
                <w:color w:val="auto"/>
                <w:kern w:val="0"/>
                <w:sz w:val="21"/>
                <w:szCs w:val="21"/>
                <w:highlight w:val="none"/>
              </w:rPr>
              <w:t>达标</w:t>
            </w:r>
          </w:p>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kern w:val="0"/>
                <w:sz w:val="21"/>
                <w:szCs w:val="21"/>
                <w:highlight w:val="none"/>
              </w:rPr>
            </w:pPr>
            <w:r>
              <w:rPr>
                <w:rFonts w:hint="default" w:ascii="Arial" w:hAnsi="Arial" w:eastAsia="宋体" w:cs="Arial"/>
                <w:color w:val="auto"/>
                <w:kern w:val="0"/>
                <w:sz w:val="21"/>
                <w:szCs w:val="21"/>
                <w:highlight w:val="none"/>
              </w:rPr>
              <w:t>情况</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blHeader/>
          <w:jc w:val="center"/>
        </w:trPr>
        <w:tc>
          <w:tcPr>
            <w:tcW w:w="494" w:type="dxa"/>
            <w:vMerge w:val="continue"/>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kern w:val="0"/>
                <w:sz w:val="21"/>
                <w:szCs w:val="21"/>
                <w:highlight w:val="none"/>
              </w:rPr>
            </w:pPr>
          </w:p>
        </w:tc>
        <w:tc>
          <w:tcPr>
            <w:tcW w:w="561" w:type="dxa"/>
            <w:vMerge w:val="continue"/>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kern w:val="0"/>
                <w:sz w:val="21"/>
                <w:szCs w:val="21"/>
                <w:highlight w:val="none"/>
              </w:rPr>
            </w:pPr>
          </w:p>
        </w:tc>
        <w:tc>
          <w:tcPr>
            <w:tcW w:w="1557" w:type="dxa"/>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kern w:val="0"/>
                <w:sz w:val="21"/>
                <w:szCs w:val="21"/>
                <w:highlight w:val="none"/>
              </w:rPr>
            </w:pPr>
            <w:r>
              <w:rPr>
                <w:rFonts w:hint="default" w:ascii="Arial" w:hAnsi="Arial" w:eastAsia="宋体" w:cs="Arial"/>
                <w:color w:val="auto"/>
                <w:kern w:val="0"/>
                <w:sz w:val="21"/>
                <w:szCs w:val="21"/>
                <w:highlight w:val="none"/>
              </w:rPr>
              <w:t>名称</w:t>
            </w:r>
          </w:p>
        </w:tc>
        <w:tc>
          <w:tcPr>
            <w:tcW w:w="1243" w:type="dxa"/>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kern w:val="0"/>
                <w:sz w:val="21"/>
                <w:szCs w:val="21"/>
                <w:highlight w:val="none"/>
              </w:rPr>
            </w:pPr>
            <w:r>
              <w:rPr>
                <w:rFonts w:hint="default" w:ascii="Arial" w:hAnsi="Arial" w:eastAsia="宋体" w:cs="Arial"/>
                <w:color w:val="auto"/>
                <w:kern w:val="0"/>
                <w:sz w:val="21"/>
                <w:szCs w:val="21"/>
                <w:highlight w:val="none"/>
              </w:rPr>
              <w:t>污染物</w:t>
            </w:r>
          </w:p>
        </w:tc>
        <w:tc>
          <w:tcPr>
            <w:tcW w:w="2930" w:type="dxa"/>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kern w:val="0"/>
                <w:sz w:val="21"/>
                <w:szCs w:val="21"/>
                <w:highlight w:val="none"/>
              </w:rPr>
            </w:pPr>
            <w:r>
              <w:rPr>
                <w:rFonts w:hint="default" w:ascii="Arial" w:hAnsi="Arial" w:eastAsia="宋体" w:cs="Arial"/>
                <w:color w:val="auto"/>
                <w:kern w:val="0"/>
                <w:sz w:val="21"/>
                <w:szCs w:val="21"/>
                <w:highlight w:val="none"/>
              </w:rPr>
              <w:t>环保措施</w:t>
            </w:r>
          </w:p>
        </w:tc>
        <w:tc>
          <w:tcPr>
            <w:tcW w:w="1379" w:type="dxa"/>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kern w:val="0"/>
                <w:sz w:val="21"/>
                <w:szCs w:val="21"/>
                <w:highlight w:val="none"/>
              </w:rPr>
            </w:pPr>
            <w:r>
              <w:rPr>
                <w:rFonts w:hint="default" w:ascii="Arial" w:hAnsi="Arial" w:eastAsia="宋体" w:cs="Arial"/>
                <w:color w:val="auto"/>
                <w:kern w:val="0"/>
                <w:sz w:val="21"/>
                <w:szCs w:val="21"/>
                <w:highlight w:val="none"/>
              </w:rPr>
              <w:t>排放浓度</w:t>
            </w:r>
          </w:p>
        </w:tc>
        <w:tc>
          <w:tcPr>
            <w:tcW w:w="1108" w:type="dxa"/>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kern w:val="0"/>
                <w:sz w:val="21"/>
                <w:szCs w:val="21"/>
                <w:highlight w:val="none"/>
              </w:rPr>
            </w:pPr>
            <w:r>
              <w:rPr>
                <w:rFonts w:hint="default" w:ascii="Arial" w:hAnsi="Arial" w:eastAsia="宋体" w:cs="Arial"/>
                <w:color w:val="auto"/>
                <w:kern w:val="0"/>
                <w:sz w:val="21"/>
                <w:szCs w:val="21"/>
                <w:highlight w:val="none"/>
              </w:rPr>
              <w:t>排放量</w:t>
            </w:r>
          </w:p>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kern w:val="0"/>
                <w:sz w:val="21"/>
                <w:szCs w:val="21"/>
                <w:highlight w:val="none"/>
              </w:rPr>
            </w:pPr>
            <w:r>
              <w:rPr>
                <w:rFonts w:hint="default" w:ascii="Arial" w:hAnsi="Arial" w:eastAsia="宋体" w:cs="Arial"/>
                <w:color w:val="auto"/>
                <w:kern w:val="0"/>
                <w:sz w:val="21"/>
                <w:szCs w:val="21"/>
                <w:highlight w:val="none"/>
              </w:rPr>
              <w:t>t/a</w:t>
            </w:r>
          </w:p>
        </w:tc>
        <w:tc>
          <w:tcPr>
            <w:tcW w:w="836" w:type="dxa"/>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kern w:val="0"/>
                <w:sz w:val="21"/>
                <w:szCs w:val="21"/>
                <w:highlight w:val="none"/>
              </w:rPr>
            </w:pPr>
            <w:r>
              <w:rPr>
                <w:rFonts w:hint="default" w:ascii="Arial" w:hAnsi="Arial" w:eastAsia="宋体" w:cs="Arial"/>
                <w:color w:val="auto"/>
                <w:kern w:val="0"/>
                <w:sz w:val="21"/>
                <w:szCs w:val="21"/>
                <w:highlight w:val="none"/>
              </w:rPr>
              <w:t>H/Φ（m）</w:t>
            </w:r>
          </w:p>
        </w:tc>
        <w:tc>
          <w:tcPr>
            <w:tcW w:w="753" w:type="dxa"/>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kern w:val="0"/>
                <w:sz w:val="21"/>
                <w:szCs w:val="21"/>
                <w:highlight w:val="none"/>
              </w:rPr>
            </w:pPr>
            <w:r>
              <w:rPr>
                <w:rFonts w:hint="default" w:ascii="Arial" w:hAnsi="Arial" w:eastAsia="宋体" w:cs="Arial"/>
                <w:color w:val="auto"/>
                <w:kern w:val="0"/>
                <w:sz w:val="21"/>
                <w:szCs w:val="21"/>
                <w:highlight w:val="none"/>
              </w:rPr>
              <w:t>温度/℃</w:t>
            </w:r>
          </w:p>
        </w:tc>
        <w:tc>
          <w:tcPr>
            <w:tcW w:w="732" w:type="dxa"/>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kern w:val="0"/>
                <w:sz w:val="21"/>
                <w:szCs w:val="21"/>
                <w:highlight w:val="none"/>
              </w:rPr>
            </w:pPr>
            <w:r>
              <w:rPr>
                <w:rFonts w:hint="default" w:ascii="Arial" w:hAnsi="Arial" w:eastAsia="宋体" w:cs="Arial"/>
                <w:color w:val="auto"/>
                <w:kern w:val="0"/>
                <w:sz w:val="21"/>
                <w:szCs w:val="21"/>
                <w:highlight w:val="none"/>
              </w:rPr>
              <w:t>工作时间</w:t>
            </w:r>
          </w:p>
        </w:tc>
        <w:tc>
          <w:tcPr>
            <w:tcW w:w="1828" w:type="dxa"/>
            <w:vMerge w:val="continue"/>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kern w:val="0"/>
                <w:sz w:val="21"/>
                <w:szCs w:val="21"/>
                <w:highlight w:val="none"/>
              </w:rPr>
            </w:pPr>
          </w:p>
        </w:tc>
        <w:tc>
          <w:tcPr>
            <w:tcW w:w="968" w:type="dxa"/>
            <w:vMerge w:val="continue"/>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kern w:val="0"/>
                <w:sz w:val="21"/>
                <w:szCs w:val="21"/>
                <w:highlight w:val="none"/>
              </w:rPr>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blHeader/>
          <w:jc w:val="center"/>
        </w:trPr>
        <w:tc>
          <w:tcPr>
            <w:tcW w:w="494" w:type="dxa"/>
            <w:vMerge w:val="restart"/>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kern w:val="0"/>
                <w:sz w:val="21"/>
                <w:szCs w:val="21"/>
                <w:highlight w:val="none"/>
              </w:rPr>
            </w:pPr>
            <w:r>
              <w:rPr>
                <w:rFonts w:hint="default" w:ascii="Arial" w:hAnsi="Arial" w:eastAsia="宋体" w:cs="Arial"/>
                <w:color w:val="auto"/>
                <w:kern w:val="0"/>
                <w:sz w:val="21"/>
                <w:szCs w:val="21"/>
                <w:highlight w:val="none"/>
              </w:rPr>
              <w:t>废气</w:t>
            </w:r>
          </w:p>
        </w:tc>
        <w:tc>
          <w:tcPr>
            <w:tcW w:w="561" w:type="dxa"/>
            <w:vMerge w:val="restart"/>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kern w:val="0"/>
                <w:sz w:val="21"/>
                <w:szCs w:val="21"/>
                <w:highlight w:val="none"/>
              </w:rPr>
            </w:pPr>
            <w:r>
              <w:rPr>
                <w:rFonts w:hint="default" w:ascii="Arial" w:hAnsi="Arial" w:eastAsia="宋体" w:cs="Arial"/>
                <w:color w:val="auto"/>
                <w:kern w:val="0"/>
                <w:sz w:val="21"/>
                <w:szCs w:val="21"/>
                <w:highlight w:val="none"/>
              </w:rPr>
              <w:t>1</w:t>
            </w:r>
          </w:p>
        </w:tc>
        <w:tc>
          <w:tcPr>
            <w:tcW w:w="1557" w:type="dxa"/>
            <w:vMerge w:val="restart"/>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kern w:val="0"/>
                <w:sz w:val="21"/>
                <w:szCs w:val="21"/>
                <w:highlight w:val="none"/>
              </w:rPr>
            </w:pPr>
            <w:r>
              <w:rPr>
                <w:rFonts w:hint="default" w:ascii="Arial" w:hAnsi="Arial" w:eastAsia="宋体" w:cs="Arial"/>
                <w:color w:val="auto"/>
                <w:kern w:val="0"/>
                <w:sz w:val="21"/>
                <w:szCs w:val="21"/>
                <w:highlight w:val="none"/>
              </w:rPr>
              <w:t>牛舍及运动场</w:t>
            </w:r>
          </w:p>
        </w:tc>
        <w:tc>
          <w:tcPr>
            <w:tcW w:w="1243" w:type="dxa"/>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kern w:val="0"/>
                <w:sz w:val="21"/>
                <w:szCs w:val="21"/>
                <w:highlight w:val="none"/>
              </w:rPr>
            </w:pPr>
            <w:r>
              <w:rPr>
                <w:rFonts w:hint="default" w:ascii="Arial" w:hAnsi="Arial" w:eastAsia="宋体" w:cs="Arial"/>
                <w:color w:val="auto"/>
                <w:sz w:val="21"/>
                <w:szCs w:val="21"/>
                <w:highlight w:val="none"/>
              </w:rPr>
              <w:t>NH</w:t>
            </w:r>
            <w:r>
              <w:rPr>
                <w:rFonts w:hint="default" w:ascii="Arial" w:hAnsi="Arial" w:eastAsia="宋体" w:cs="Arial"/>
                <w:color w:val="auto"/>
                <w:sz w:val="21"/>
                <w:szCs w:val="21"/>
                <w:highlight w:val="none"/>
                <w:vertAlign w:val="subscript"/>
              </w:rPr>
              <w:t>3</w:t>
            </w:r>
          </w:p>
        </w:tc>
        <w:tc>
          <w:tcPr>
            <w:tcW w:w="2930" w:type="dxa"/>
            <w:vMerge w:val="restart"/>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kern w:val="0"/>
                <w:sz w:val="21"/>
                <w:szCs w:val="21"/>
                <w:highlight w:val="none"/>
              </w:rPr>
            </w:pPr>
            <w:r>
              <w:rPr>
                <w:rFonts w:hint="default" w:ascii="Arial" w:hAnsi="Arial" w:eastAsia="宋体" w:cs="Arial"/>
                <w:bCs/>
                <w:color w:val="auto"/>
                <w:sz w:val="21"/>
                <w:szCs w:val="21"/>
                <w:highlight w:val="none"/>
              </w:rPr>
              <w:t>通过日粮设计，</w:t>
            </w:r>
            <w:r>
              <w:rPr>
                <w:rFonts w:hint="default" w:ascii="Arial" w:hAnsi="Arial" w:eastAsia="宋体" w:cs="Arial"/>
                <w:color w:val="auto"/>
                <w:sz w:val="21"/>
                <w:szCs w:val="21"/>
                <w:highlight w:val="none"/>
              </w:rPr>
              <w:t>饲料添加EM复合微生物制剂，</w:t>
            </w:r>
            <w:r>
              <w:rPr>
                <w:rFonts w:hint="default" w:ascii="Arial" w:hAnsi="Arial" w:eastAsia="宋体" w:cs="Arial"/>
                <w:color w:val="auto"/>
                <w:kern w:val="0"/>
                <w:sz w:val="21"/>
                <w:szCs w:val="21"/>
                <w:highlight w:val="none"/>
              </w:rPr>
              <w:t>牛舍采用及时清理粪尿，加强牛舍通风（除冬季封闭保暖外，均为敞开式通风）</w:t>
            </w:r>
          </w:p>
        </w:tc>
        <w:tc>
          <w:tcPr>
            <w:tcW w:w="1379" w:type="dxa"/>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w:t>
            </w:r>
          </w:p>
        </w:tc>
        <w:tc>
          <w:tcPr>
            <w:tcW w:w="1108" w:type="dxa"/>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lang w:val="en-US" w:eastAsia="zh-CN"/>
              </w:rPr>
              <w:t>0.7297</w:t>
            </w:r>
          </w:p>
        </w:tc>
        <w:tc>
          <w:tcPr>
            <w:tcW w:w="1589" w:type="dxa"/>
            <w:gridSpan w:val="2"/>
            <w:vMerge w:val="restart"/>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kern w:val="0"/>
                <w:sz w:val="21"/>
                <w:szCs w:val="21"/>
                <w:highlight w:val="none"/>
              </w:rPr>
            </w:pPr>
            <w:r>
              <w:rPr>
                <w:rFonts w:hint="default" w:ascii="Arial" w:hAnsi="Arial" w:eastAsia="宋体" w:cs="Arial"/>
                <w:color w:val="auto"/>
                <w:sz w:val="21"/>
                <w:szCs w:val="21"/>
                <w:highlight w:val="none"/>
                <w:lang w:val="en-US" w:eastAsia="zh-CN"/>
              </w:rPr>
              <w:t>680</w:t>
            </w:r>
            <w:r>
              <w:rPr>
                <w:rFonts w:hint="default" w:ascii="Arial" w:hAnsi="Arial" w:eastAsia="宋体" w:cs="Arial"/>
                <w:color w:val="auto"/>
                <w:sz w:val="21"/>
                <w:szCs w:val="21"/>
                <w:highlight w:val="none"/>
              </w:rPr>
              <w:t>m×</w:t>
            </w:r>
            <w:r>
              <w:rPr>
                <w:rFonts w:hint="default" w:ascii="Arial" w:hAnsi="Arial" w:eastAsia="宋体" w:cs="Arial"/>
                <w:color w:val="auto"/>
                <w:sz w:val="21"/>
                <w:szCs w:val="21"/>
                <w:highlight w:val="none"/>
                <w:lang w:val="en-US" w:eastAsia="zh-CN"/>
              </w:rPr>
              <w:t>550</w:t>
            </w:r>
            <w:r>
              <w:rPr>
                <w:rFonts w:hint="default" w:ascii="Arial" w:hAnsi="Arial" w:eastAsia="宋体" w:cs="Arial"/>
                <w:color w:val="auto"/>
                <w:sz w:val="21"/>
                <w:szCs w:val="21"/>
                <w:highlight w:val="none"/>
              </w:rPr>
              <w:t>m</w:t>
            </w:r>
          </w:p>
        </w:tc>
        <w:tc>
          <w:tcPr>
            <w:tcW w:w="732" w:type="dxa"/>
            <w:vMerge w:val="restart"/>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kern w:val="0"/>
                <w:sz w:val="21"/>
                <w:szCs w:val="21"/>
                <w:highlight w:val="none"/>
              </w:rPr>
            </w:pPr>
            <w:r>
              <w:rPr>
                <w:rFonts w:hint="default" w:ascii="Arial" w:hAnsi="Arial" w:eastAsia="宋体" w:cs="Arial"/>
                <w:color w:val="auto"/>
                <w:kern w:val="0"/>
                <w:sz w:val="21"/>
                <w:szCs w:val="21"/>
                <w:highlight w:val="none"/>
              </w:rPr>
              <w:t>连续</w:t>
            </w:r>
          </w:p>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kern w:val="0"/>
                <w:sz w:val="21"/>
                <w:szCs w:val="21"/>
                <w:highlight w:val="none"/>
              </w:rPr>
            </w:pPr>
            <w:r>
              <w:rPr>
                <w:rFonts w:hint="default" w:ascii="Arial" w:hAnsi="Arial" w:eastAsia="宋体" w:cs="Arial"/>
                <w:color w:val="auto"/>
                <w:kern w:val="0"/>
                <w:sz w:val="21"/>
                <w:szCs w:val="21"/>
                <w:highlight w:val="none"/>
              </w:rPr>
              <w:t>8760</w:t>
            </w:r>
          </w:p>
        </w:tc>
        <w:tc>
          <w:tcPr>
            <w:tcW w:w="1828" w:type="dxa"/>
            <w:vMerge w:val="restart"/>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kern w:val="0"/>
                <w:sz w:val="21"/>
                <w:szCs w:val="21"/>
                <w:highlight w:val="none"/>
              </w:rPr>
            </w:pPr>
            <w:r>
              <w:rPr>
                <w:rFonts w:hint="default" w:ascii="Arial" w:hAnsi="Arial" w:eastAsia="宋体" w:cs="Arial"/>
                <w:color w:val="auto"/>
                <w:kern w:val="0"/>
                <w:sz w:val="21"/>
                <w:szCs w:val="21"/>
                <w:highlight w:val="none"/>
              </w:rPr>
              <w:t>《恶臭污染物排放标准》（GB14554-93）中二级标准</w:t>
            </w:r>
          </w:p>
        </w:tc>
        <w:tc>
          <w:tcPr>
            <w:tcW w:w="968"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达标</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blHeader/>
          <w:jc w:val="center"/>
        </w:trPr>
        <w:tc>
          <w:tcPr>
            <w:tcW w:w="494" w:type="dxa"/>
            <w:vMerge w:val="continue"/>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kern w:val="0"/>
                <w:sz w:val="21"/>
                <w:szCs w:val="21"/>
                <w:highlight w:val="none"/>
              </w:rPr>
            </w:pPr>
          </w:p>
        </w:tc>
        <w:tc>
          <w:tcPr>
            <w:tcW w:w="561" w:type="dxa"/>
            <w:vMerge w:val="continue"/>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kern w:val="0"/>
                <w:sz w:val="21"/>
                <w:szCs w:val="21"/>
                <w:highlight w:val="none"/>
              </w:rPr>
            </w:pPr>
          </w:p>
        </w:tc>
        <w:tc>
          <w:tcPr>
            <w:tcW w:w="1557" w:type="dxa"/>
            <w:vMerge w:val="continue"/>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kern w:val="0"/>
                <w:sz w:val="21"/>
                <w:szCs w:val="21"/>
                <w:highlight w:val="none"/>
              </w:rPr>
            </w:pPr>
          </w:p>
        </w:tc>
        <w:tc>
          <w:tcPr>
            <w:tcW w:w="1243" w:type="dxa"/>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kern w:val="0"/>
                <w:sz w:val="21"/>
                <w:szCs w:val="21"/>
                <w:highlight w:val="none"/>
              </w:rPr>
            </w:pPr>
            <w:r>
              <w:rPr>
                <w:rFonts w:hint="default" w:ascii="Arial" w:hAnsi="Arial" w:eastAsia="宋体" w:cs="Arial"/>
                <w:color w:val="auto"/>
                <w:sz w:val="21"/>
                <w:szCs w:val="21"/>
                <w:highlight w:val="none"/>
              </w:rPr>
              <w:t>H</w:t>
            </w:r>
            <w:r>
              <w:rPr>
                <w:rFonts w:hint="default" w:ascii="Arial" w:hAnsi="Arial" w:eastAsia="宋体" w:cs="Arial"/>
                <w:color w:val="auto"/>
                <w:sz w:val="21"/>
                <w:szCs w:val="21"/>
                <w:highlight w:val="none"/>
                <w:vertAlign w:val="subscript"/>
              </w:rPr>
              <w:t>2</w:t>
            </w:r>
            <w:r>
              <w:rPr>
                <w:rFonts w:hint="default" w:ascii="Arial" w:hAnsi="Arial" w:eastAsia="宋体" w:cs="Arial"/>
                <w:color w:val="auto"/>
                <w:sz w:val="21"/>
                <w:szCs w:val="21"/>
                <w:highlight w:val="none"/>
              </w:rPr>
              <w:t>S</w:t>
            </w:r>
          </w:p>
        </w:tc>
        <w:tc>
          <w:tcPr>
            <w:tcW w:w="2930" w:type="dxa"/>
            <w:vMerge w:val="continue"/>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kern w:val="0"/>
                <w:sz w:val="21"/>
                <w:szCs w:val="21"/>
                <w:highlight w:val="none"/>
              </w:rPr>
            </w:pPr>
          </w:p>
        </w:tc>
        <w:tc>
          <w:tcPr>
            <w:tcW w:w="1379" w:type="dxa"/>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w:t>
            </w:r>
          </w:p>
        </w:tc>
        <w:tc>
          <w:tcPr>
            <w:tcW w:w="1108" w:type="dxa"/>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0.0</w:t>
            </w:r>
            <w:r>
              <w:rPr>
                <w:rFonts w:hint="default" w:ascii="Arial" w:hAnsi="Arial" w:eastAsia="宋体" w:cs="Arial"/>
                <w:color w:val="auto"/>
                <w:sz w:val="21"/>
                <w:szCs w:val="21"/>
                <w:highlight w:val="none"/>
                <w:lang w:val="en-US" w:eastAsia="zh-CN"/>
              </w:rPr>
              <w:t>096</w:t>
            </w:r>
          </w:p>
        </w:tc>
        <w:tc>
          <w:tcPr>
            <w:tcW w:w="1589" w:type="dxa"/>
            <w:gridSpan w:val="2"/>
            <w:vMerge w:val="continue"/>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kern w:val="0"/>
                <w:sz w:val="21"/>
                <w:szCs w:val="21"/>
                <w:highlight w:val="none"/>
              </w:rPr>
            </w:pPr>
          </w:p>
        </w:tc>
        <w:tc>
          <w:tcPr>
            <w:tcW w:w="732" w:type="dxa"/>
            <w:vMerge w:val="continue"/>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kern w:val="0"/>
                <w:sz w:val="21"/>
                <w:szCs w:val="21"/>
                <w:highlight w:val="none"/>
              </w:rPr>
            </w:pPr>
          </w:p>
        </w:tc>
        <w:tc>
          <w:tcPr>
            <w:tcW w:w="1828" w:type="dxa"/>
            <w:vMerge w:val="continue"/>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kern w:val="0"/>
                <w:sz w:val="21"/>
                <w:szCs w:val="21"/>
                <w:highlight w:val="none"/>
              </w:rPr>
            </w:pPr>
          </w:p>
        </w:tc>
        <w:tc>
          <w:tcPr>
            <w:tcW w:w="968"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达标</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blHeader/>
          <w:jc w:val="center"/>
        </w:trPr>
        <w:tc>
          <w:tcPr>
            <w:tcW w:w="494" w:type="dxa"/>
            <w:vMerge w:val="continue"/>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kern w:val="0"/>
                <w:sz w:val="21"/>
                <w:szCs w:val="21"/>
                <w:highlight w:val="none"/>
              </w:rPr>
            </w:pPr>
          </w:p>
        </w:tc>
        <w:tc>
          <w:tcPr>
            <w:tcW w:w="561" w:type="dxa"/>
            <w:vMerge w:val="restart"/>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kern w:val="0"/>
                <w:sz w:val="21"/>
                <w:szCs w:val="21"/>
                <w:highlight w:val="none"/>
              </w:rPr>
            </w:pPr>
            <w:r>
              <w:rPr>
                <w:rFonts w:hint="default" w:ascii="Arial" w:hAnsi="Arial" w:eastAsia="宋体" w:cs="Arial"/>
                <w:color w:val="auto"/>
                <w:kern w:val="0"/>
                <w:sz w:val="21"/>
                <w:szCs w:val="21"/>
                <w:highlight w:val="none"/>
              </w:rPr>
              <w:t>2</w:t>
            </w:r>
          </w:p>
        </w:tc>
        <w:tc>
          <w:tcPr>
            <w:tcW w:w="1557" w:type="dxa"/>
            <w:vMerge w:val="restart"/>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kern w:val="0"/>
                <w:sz w:val="21"/>
                <w:szCs w:val="21"/>
                <w:highlight w:val="none"/>
                <w:lang w:eastAsia="zh-CN"/>
              </w:rPr>
            </w:pPr>
            <w:r>
              <w:rPr>
                <w:rFonts w:hint="default" w:ascii="Arial" w:hAnsi="Arial" w:eastAsia="宋体" w:cs="Arial"/>
                <w:color w:val="auto"/>
                <w:sz w:val="21"/>
                <w:szCs w:val="21"/>
                <w:highlight w:val="none"/>
                <w:lang w:eastAsia="zh-CN"/>
              </w:rPr>
              <w:t>堆肥场</w:t>
            </w:r>
          </w:p>
        </w:tc>
        <w:tc>
          <w:tcPr>
            <w:tcW w:w="1243" w:type="dxa"/>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NH</w:t>
            </w:r>
            <w:r>
              <w:rPr>
                <w:rFonts w:hint="default" w:ascii="Arial" w:hAnsi="Arial" w:eastAsia="宋体" w:cs="Arial"/>
                <w:color w:val="auto"/>
                <w:sz w:val="21"/>
                <w:szCs w:val="21"/>
                <w:highlight w:val="none"/>
                <w:vertAlign w:val="subscript"/>
              </w:rPr>
              <w:t>3</w:t>
            </w:r>
          </w:p>
        </w:tc>
        <w:tc>
          <w:tcPr>
            <w:tcW w:w="2930" w:type="dxa"/>
            <w:vMerge w:val="restart"/>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lang w:eastAsia="zh-CN"/>
              </w:rPr>
              <w:t>牛粪便</w:t>
            </w:r>
            <w:r>
              <w:rPr>
                <w:rFonts w:hint="default" w:ascii="Arial" w:hAnsi="Arial" w:eastAsia="宋体" w:cs="Arial"/>
                <w:color w:val="auto"/>
                <w:sz w:val="21"/>
                <w:szCs w:val="21"/>
                <w:highlight w:val="none"/>
                <w:lang w:val="en-US" w:eastAsia="zh-CN"/>
              </w:rPr>
              <w:t>清运至</w:t>
            </w:r>
            <w:r>
              <w:rPr>
                <w:rFonts w:hint="default" w:ascii="Arial" w:hAnsi="Arial" w:eastAsia="宋体" w:cs="Arial"/>
                <w:color w:val="auto"/>
                <w:sz w:val="21"/>
                <w:szCs w:val="21"/>
                <w:highlight w:val="none"/>
                <w:lang w:eastAsia="zh-CN"/>
              </w:rPr>
              <w:t>堆肥场储存并堆肥，</w:t>
            </w:r>
            <w:r>
              <w:rPr>
                <w:rFonts w:hint="default" w:ascii="Arial" w:hAnsi="Arial" w:eastAsia="宋体" w:cs="Arial"/>
                <w:color w:val="auto"/>
                <w:sz w:val="21"/>
                <w:szCs w:val="21"/>
                <w:highlight w:val="none"/>
                <w:lang w:val="en-US" w:eastAsia="zh-CN"/>
              </w:rPr>
              <w:t>采取</w:t>
            </w:r>
            <w:r>
              <w:rPr>
                <w:rFonts w:hint="default" w:ascii="Arial" w:hAnsi="Arial" w:eastAsia="宋体" w:cs="Arial"/>
                <w:color w:val="auto"/>
                <w:kern w:val="0"/>
                <w:sz w:val="21"/>
                <w:szCs w:val="21"/>
                <w:highlight w:val="none"/>
              </w:rPr>
              <w:t>定期喷洒</w:t>
            </w:r>
            <w:r>
              <w:rPr>
                <w:rFonts w:hint="default" w:ascii="Arial" w:hAnsi="Arial" w:eastAsia="宋体" w:cs="Arial"/>
                <w:color w:val="auto"/>
                <w:sz w:val="21"/>
                <w:szCs w:val="21"/>
                <w:highlight w:val="none"/>
              </w:rPr>
              <w:t>减少氨释放和保氮的复合菌剂</w:t>
            </w:r>
            <w:r>
              <w:rPr>
                <w:rFonts w:hint="default" w:ascii="Arial" w:hAnsi="Arial" w:eastAsia="宋体" w:cs="Arial"/>
                <w:color w:val="auto"/>
                <w:sz w:val="21"/>
                <w:szCs w:val="21"/>
                <w:highlight w:val="none"/>
                <w:lang w:eastAsia="zh-CN"/>
              </w:rPr>
              <w:t>，</w:t>
            </w:r>
            <w:r>
              <w:rPr>
                <w:rFonts w:hint="default" w:ascii="Arial" w:hAnsi="Arial" w:eastAsia="宋体" w:cs="Arial"/>
                <w:color w:val="auto"/>
                <w:sz w:val="21"/>
                <w:szCs w:val="21"/>
                <w:highlight w:val="none"/>
              </w:rPr>
              <w:t>同时场区内加强绿化</w:t>
            </w:r>
            <w:r>
              <w:rPr>
                <w:rFonts w:hint="default" w:ascii="Arial" w:hAnsi="Arial" w:eastAsia="宋体" w:cs="Arial"/>
                <w:color w:val="auto"/>
                <w:sz w:val="21"/>
                <w:szCs w:val="21"/>
                <w:highlight w:val="none"/>
                <w:lang w:eastAsia="zh-CN"/>
              </w:rPr>
              <w:t>，</w:t>
            </w:r>
            <w:r>
              <w:rPr>
                <w:rFonts w:hint="default" w:ascii="Arial" w:hAnsi="Arial" w:eastAsia="宋体" w:cs="Arial"/>
                <w:color w:val="auto"/>
                <w:kern w:val="0"/>
                <w:sz w:val="21"/>
                <w:szCs w:val="21"/>
                <w:highlight w:val="none"/>
              </w:rPr>
              <w:t>可减少臭气的产生</w:t>
            </w:r>
          </w:p>
        </w:tc>
        <w:tc>
          <w:tcPr>
            <w:tcW w:w="1379" w:type="dxa"/>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w:t>
            </w:r>
          </w:p>
        </w:tc>
        <w:tc>
          <w:tcPr>
            <w:tcW w:w="1108" w:type="dxa"/>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lang w:val="en-US" w:eastAsia="zh-CN"/>
              </w:rPr>
              <w:t>0.4862</w:t>
            </w:r>
          </w:p>
        </w:tc>
        <w:tc>
          <w:tcPr>
            <w:tcW w:w="1589" w:type="dxa"/>
            <w:gridSpan w:val="2"/>
            <w:vMerge w:val="restart"/>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kern w:val="0"/>
                <w:sz w:val="21"/>
                <w:szCs w:val="21"/>
                <w:highlight w:val="none"/>
              </w:rPr>
            </w:pPr>
            <w:r>
              <w:rPr>
                <w:rFonts w:hint="default" w:ascii="Arial" w:hAnsi="Arial" w:eastAsia="宋体" w:cs="Arial"/>
                <w:color w:val="auto"/>
                <w:sz w:val="21"/>
                <w:szCs w:val="21"/>
                <w:highlight w:val="none"/>
                <w:lang w:val="en-US" w:eastAsia="zh-CN"/>
              </w:rPr>
              <w:t>50</w:t>
            </w:r>
            <w:r>
              <w:rPr>
                <w:rFonts w:hint="default" w:ascii="Arial" w:hAnsi="Arial" w:eastAsia="宋体" w:cs="Arial"/>
                <w:color w:val="auto"/>
                <w:sz w:val="21"/>
                <w:szCs w:val="21"/>
                <w:highlight w:val="none"/>
              </w:rPr>
              <w:t>m×</w:t>
            </w:r>
            <w:r>
              <w:rPr>
                <w:rFonts w:hint="default" w:ascii="Arial" w:hAnsi="Arial" w:eastAsia="宋体" w:cs="Arial"/>
                <w:color w:val="auto"/>
                <w:sz w:val="21"/>
                <w:szCs w:val="21"/>
                <w:highlight w:val="none"/>
                <w:lang w:val="en-US" w:eastAsia="zh-CN"/>
              </w:rPr>
              <w:t>30</w:t>
            </w:r>
            <w:r>
              <w:rPr>
                <w:rFonts w:hint="default" w:ascii="Arial" w:hAnsi="Arial" w:eastAsia="宋体" w:cs="Arial"/>
                <w:color w:val="auto"/>
                <w:sz w:val="21"/>
                <w:szCs w:val="21"/>
                <w:highlight w:val="none"/>
              </w:rPr>
              <w:t>m</w:t>
            </w:r>
          </w:p>
        </w:tc>
        <w:tc>
          <w:tcPr>
            <w:tcW w:w="732" w:type="dxa"/>
            <w:vMerge w:val="continue"/>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kern w:val="0"/>
                <w:sz w:val="21"/>
                <w:szCs w:val="21"/>
                <w:highlight w:val="none"/>
              </w:rPr>
            </w:pPr>
          </w:p>
        </w:tc>
        <w:tc>
          <w:tcPr>
            <w:tcW w:w="1828" w:type="dxa"/>
            <w:vMerge w:val="continue"/>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kern w:val="0"/>
                <w:sz w:val="21"/>
                <w:szCs w:val="21"/>
                <w:highlight w:val="none"/>
              </w:rPr>
            </w:pPr>
          </w:p>
        </w:tc>
        <w:tc>
          <w:tcPr>
            <w:tcW w:w="968"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达标</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blHeader/>
          <w:jc w:val="center"/>
        </w:trPr>
        <w:tc>
          <w:tcPr>
            <w:tcW w:w="494" w:type="dxa"/>
            <w:vMerge w:val="continue"/>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kern w:val="0"/>
                <w:sz w:val="21"/>
                <w:szCs w:val="21"/>
                <w:highlight w:val="none"/>
              </w:rPr>
            </w:pPr>
          </w:p>
        </w:tc>
        <w:tc>
          <w:tcPr>
            <w:tcW w:w="561" w:type="dxa"/>
            <w:vMerge w:val="continue"/>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kern w:val="0"/>
                <w:sz w:val="21"/>
                <w:szCs w:val="21"/>
                <w:highlight w:val="none"/>
              </w:rPr>
            </w:pPr>
          </w:p>
        </w:tc>
        <w:tc>
          <w:tcPr>
            <w:tcW w:w="1557" w:type="dxa"/>
            <w:vMerge w:val="continue"/>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kern w:val="0"/>
                <w:sz w:val="21"/>
                <w:szCs w:val="21"/>
                <w:highlight w:val="none"/>
              </w:rPr>
            </w:pPr>
          </w:p>
        </w:tc>
        <w:tc>
          <w:tcPr>
            <w:tcW w:w="1243" w:type="dxa"/>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H</w:t>
            </w:r>
            <w:r>
              <w:rPr>
                <w:rFonts w:hint="default" w:ascii="Arial" w:hAnsi="Arial" w:eastAsia="宋体" w:cs="Arial"/>
                <w:color w:val="auto"/>
                <w:sz w:val="21"/>
                <w:szCs w:val="21"/>
                <w:highlight w:val="none"/>
                <w:vertAlign w:val="subscript"/>
              </w:rPr>
              <w:t>2</w:t>
            </w:r>
            <w:r>
              <w:rPr>
                <w:rFonts w:hint="default" w:ascii="Arial" w:hAnsi="Arial" w:eastAsia="宋体" w:cs="Arial"/>
                <w:color w:val="auto"/>
                <w:sz w:val="21"/>
                <w:szCs w:val="21"/>
                <w:highlight w:val="none"/>
              </w:rPr>
              <w:t>S</w:t>
            </w:r>
          </w:p>
        </w:tc>
        <w:tc>
          <w:tcPr>
            <w:tcW w:w="2930" w:type="dxa"/>
            <w:vMerge w:val="continue"/>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rPr>
            </w:pPr>
          </w:p>
        </w:tc>
        <w:tc>
          <w:tcPr>
            <w:tcW w:w="1379" w:type="dxa"/>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w:t>
            </w:r>
          </w:p>
        </w:tc>
        <w:tc>
          <w:tcPr>
            <w:tcW w:w="1108" w:type="dxa"/>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lang w:val="en-US" w:eastAsia="zh-CN"/>
              </w:rPr>
              <w:t>0.0061</w:t>
            </w:r>
          </w:p>
        </w:tc>
        <w:tc>
          <w:tcPr>
            <w:tcW w:w="1589" w:type="dxa"/>
            <w:gridSpan w:val="2"/>
            <w:vMerge w:val="continue"/>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kern w:val="0"/>
                <w:sz w:val="21"/>
                <w:szCs w:val="21"/>
                <w:highlight w:val="none"/>
              </w:rPr>
            </w:pPr>
          </w:p>
        </w:tc>
        <w:tc>
          <w:tcPr>
            <w:tcW w:w="732" w:type="dxa"/>
            <w:vMerge w:val="continue"/>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kern w:val="0"/>
                <w:sz w:val="21"/>
                <w:szCs w:val="21"/>
                <w:highlight w:val="none"/>
              </w:rPr>
            </w:pPr>
          </w:p>
        </w:tc>
        <w:tc>
          <w:tcPr>
            <w:tcW w:w="1828" w:type="dxa"/>
            <w:vMerge w:val="continue"/>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kern w:val="0"/>
                <w:sz w:val="21"/>
                <w:szCs w:val="21"/>
                <w:highlight w:val="none"/>
              </w:rPr>
            </w:pPr>
          </w:p>
        </w:tc>
        <w:tc>
          <w:tcPr>
            <w:tcW w:w="968"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达标</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blHeader/>
          <w:jc w:val="center"/>
        </w:trPr>
        <w:tc>
          <w:tcPr>
            <w:tcW w:w="494" w:type="dxa"/>
            <w:vMerge w:val="continue"/>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kern w:val="0"/>
                <w:sz w:val="21"/>
                <w:szCs w:val="21"/>
                <w:highlight w:val="none"/>
              </w:rPr>
            </w:pPr>
          </w:p>
        </w:tc>
        <w:tc>
          <w:tcPr>
            <w:tcW w:w="561" w:type="dxa"/>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kern w:val="0"/>
                <w:sz w:val="21"/>
                <w:szCs w:val="21"/>
                <w:highlight w:val="none"/>
                <w:lang w:eastAsia="zh-CN"/>
              </w:rPr>
            </w:pPr>
            <w:r>
              <w:rPr>
                <w:rFonts w:hint="default" w:ascii="Arial" w:hAnsi="Arial" w:eastAsia="宋体" w:cs="Arial"/>
                <w:color w:val="auto"/>
                <w:kern w:val="0"/>
                <w:sz w:val="21"/>
                <w:szCs w:val="21"/>
                <w:highlight w:val="none"/>
                <w:lang w:val="en-US" w:eastAsia="zh-CN"/>
              </w:rPr>
              <w:t>3</w:t>
            </w:r>
          </w:p>
        </w:tc>
        <w:tc>
          <w:tcPr>
            <w:tcW w:w="1557" w:type="dxa"/>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kern w:val="0"/>
                <w:sz w:val="21"/>
                <w:szCs w:val="21"/>
                <w:highlight w:val="none"/>
              </w:rPr>
            </w:pPr>
            <w:r>
              <w:rPr>
                <w:rFonts w:hint="default" w:ascii="Arial" w:hAnsi="Arial" w:eastAsia="宋体" w:cs="Arial"/>
                <w:color w:val="auto"/>
                <w:sz w:val="21"/>
                <w:szCs w:val="21"/>
                <w:highlight w:val="none"/>
                <w:lang w:eastAsia="zh-CN"/>
              </w:rPr>
              <w:t>饲草料库房</w:t>
            </w:r>
          </w:p>
        </w:tc>
        <w:tc>
          <w:tcPr>
            <w:tcW w:w="1243" w:type="dxa"/>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颗粒物</w:t>
            </w:r>
          </w:p>
        </w:tc>
        <w:tc>
          <w:tcPr>
            <w:tcW w:w="2930" w:type="dxa"/>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lang w:eastAsia="zh-CN"/>
              </w:rPr>
            </w:pPr>
            <w:r>
              <w:rPr>
                <w:rFonts w:hint="default" w:ascii="Arial" w:hAnsi="Arial" w:eastAsia="宋体" w:cs="Arial"/>
                <w:color w:val="auto"/>
                <w:sz w:val="21"/>
                <w:szCs w:val="21"/>
                <w:highlight w:val="none"/>
              </w:rPr>
              <w:t>全封闭</w:t>
            </w:r>
            <w:r>
              <w:rPr>
                <w:rFonts w:hint="default" w:ascii="Arial" w:hAnsi="Arial" w:eastAsia="宋体" w:cs="Arial"/>
                <w:color w:val="auto"/>
                <w:sz w:val="21"/>
                <w:szCs w:val="21"/>
                <w:highlight w:val="none"/>
                <w:lang w:eastAsia="zh-CN"/>
              </w:rPr>
              <w:t>饲草料库房</w:t>
            </w:r>
          </w:p>
        </w:tc>
        <w:tc>
          <w:tcPr>
            <w:tcW w:w="1379" w:type="dxa"/>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w:t>
            </w:r>
          </w:p>
        </w:tc>
        <w:tc>
          <w:tcPr>
            <w:tcW w:w="1108" w:type="dxa"/>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lang w:eastAsia="zh-CN"/>
              </w:rPr>
            </w:pPr>
            <w:r>
              <w:rPr>
                <w:rFonts w:hint="default" w:ascii="Arial" w:hAnsi="Arial" w:eastAsia="宋体" w:cs="Arial"/>
                <w:color w:val="auto"/>
                <w:sz w:val="21"/>
                <w:szCs w:val="21"/>
                <w:highlight w:val="none"/>
                <w:lang w:eastAsia="zh-CN"/>
              </w:rPr>
              <w:t>0.172</w:t>
            </w:r>
          </w:p>
        </w:tc>
        <w:tc>
          <w:tcPr>
            <w:tcW w:w="1589" w:type="dxa"/>
            <w:gridSpan w:val="2"/>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kern w:val="0"/>
                <w:sz w:val="21"/>
                <w:szCs w:val="21"/>
                <w:highlight w:val="none"/>
              </w:rPr>
            </w:pPr>
            <w:r>
              <w:rPr>
                <w:rFonts w:hint="default" w:ascii="Arial" w:hAnsi="Arial" w:eastAsia="宋体" w:cs="Arial"/>
                <w:color w:val="auto"/>
                <w:sz w:val="21"/>
                <w:szCs w:val="21"/>
                <w:highlight w:val="none"/>
                <w:lang w:val="en-US" w:eastAsia="zh-CN"/>
              </w:rPr>
              <w:t>100</w:t>
            </w:r>
            <w:r>
              <w:rPr>
                <w:rFonts w:hint="default" w:ascii="Arial" w:hAnsi="Arial" w:eastAsia="宋体" w:cs="Arial"/>
                <w:color w:val="auto"/>
                <w:kern w:val="0"/>
                <w:sz w:val="21"/>
                <w:szCs w:val="21"/>
                <w:highlight w:val="none"/>
              </w:rPr>
              <w:t>m×</w:t>
            </w:r>
            <w:r>
              <w:rPr>
                <w:rFonts w:hint="default" w:ascii="Arial" w:hAnsi="Arial" w:eastAsia="宋体" w:cs="Arial"/>
                <w:color w:val="auto"/>
                <w:sz w:val="21"/>
                <w:szCs w:val="21"/>
                <w:highlight w:val="none"/>
                <w:lang w:val="en-US" w:eastAsia="zh-CN"/>
              </w:rPr>
              <w:t>10</w:t>
            </w:r>
            <w:r>
              <w:rPr>
                <w:rFonts w:hint="default" w:ascii="Arial" w:hAnsi="Arial" w:eastAsia="宋体" w:cs="Arial"/>
                <w:color w:val="auto"/>
                <w:kern w:val="0"/>
                <w:sz w:val="21"/>
                <w:szCs w:val="21"/>
                <w:highlight w:val="none"/>
              </w:rPr>
              <w:t>m</w:t>
            </w:r>
          </w:p>
        </w:tc>
        <w:tc>
          <w:tcPr>
            <w:tcW w:w="732" w:type="dxa"/>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kern w:val="0"/>
                <w:sz w:val="21"/>
                <w:szCs w:val="21"/>
                <w:highlight w:val="none"/>
              </w:rPr>
            </w:pPr>
            <w:r>
              <w:rPr>
                <w:rFonts w:hint="default" w:ascii="Arial" w:hAnsi="Arial" w:eastAsia="宋体" w:cs="Arial"/>
                <w:color w:val="auto"/>
                <w:kern w:val="0"/>
                <w:sz w:val="21"/>
                <w:szCs w:val="21"/>
                <w:highlight w:val="none"/>
              </w:rPr>
              <w:t>间断</w:t>
            </w:r>
          </w:p>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kern w:val="0"/>
                <w:sz w:val="21"/>
                <w:szCs w:val="21"/>
                <w:highlight w:val="none"/>
              </w:rPr>
            </w:pPr>
            <w:r>
              <w:rPr>
                <w:rFonts w:hint="default" w:ascii="Arial" w:hAnsi="Arial" w:eastAsia="宋体" w:cs="Arial"/>
                <w:color w:val="auto"/>
                <w:kern w:val="0"/>
                <w:sz w:val="21"/>
                <w:szCs w:val="21"/>
                <w:highlight w:val="none"/>
              </w:rPr>
              <w:t>1095</w:t>
            </w:r>
          </w:p>
        </w:tc>
        <w:tc>
          <w:tcPr>
            <w:tcW w:w="1828" w:type="dxa"/>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kern w:val="0"/>
                <w:sz w:val="21"/>
                <w:szCs w:val="21"/>
                <w:highlight w:val="none"/>
              </w:rPr>
            </w:pPr>
            <w:r>
              <w:rPr>
                <w:rFonts w:hint="default" w:ascii="Arial" w:hAnsi="Arial" w:eastAsia="宋体" w:cs="Arial"/>
                <w:color w:val="auto"/>
                <w:sz w:val="21"/>
                <w:szCs w:val="21"/>
                <w:highlight w:val="none"/>
              </w:rPr>
              <w:t>《大气污染物综合排放标准》（GB16297-1996）中新建污染源二级标准</w:t>
            </w:r>
          </w:p>
        </w:tc>
        <w:tc>
          <w:tcPr>
            <w:tcW w:w="968"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达标</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blHeader/>
          <w:jc w:val="center"/>
        </w:trPr>
        <w:tc>
          <w:tcPr>
            <w:tcW w:w="494" w:type="dxa"/>
            <w:vMerge w:val="restart"/>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kern w:val="0"/>
                <w:sz w:val="21"/>
                <w:szCs w:val="21"/>
                <w:highlight w:val="none"/>
              </w:rPr>
            </w:pPr>
            <w:r>
              <w:rPr>
                <w:rFonts w:hint="default" w:ascii="Arial" w:hAnsi="Arial" w:eastAsia="宋体" w:cs="Arial"/>
                <w:color w:val="auto"/>
                <w:kern w:val="0"/>
                <w:sz w:val="21"/>
                <w:szCs w:val="21"/>
                <w:highlight w:val="none"/>
              </w:rPr>
              <w:t>废水</w:t>
            </w:r>
          </w:p>
        </w:tc>
        <w:tc>
          <w:tcPr>
            <w:tcW w:w="561" w:type="dxa"/>
            <w:vMerge w:val="restart"/>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kern w:val="0"/>
                <w:sz w:val="21"/>
                <w:szCs w:val="21"/>
                <w:highlight w:val="none"/>
                <w:lang w:eastAsia="zh-CN"/>
              </w:rPr>
            </w:pPr>
            <w:r>
              <w:rPr>
                <w:rFonts w:hint="default" w:ascii="Arial" w:hAnsi="Arial" w:eastAsia="宋体" w:cs="Arial"/>
                <w:color w:val="auto"/>
                <w:kern w:val="0"/>
                <w:sz w:val="21"/>
                <w:szCs w:val="21"/>
                <w:highlight w:val="none"/>
                <w:lang w:val="en-US" w:eastAsia="zh-CN"/>
              </w:rPr>
              <w:t>1</w:t>
            </w:r>
          </w:p>
        </w:tc>
        <w:tc>
          <w:tcPr>
            <w:tcW w:w="1557" w:type="dxa"/>
            <w:vMerge w:val="restart"/>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kern w:val="0"/>
                <w:sz w:val="21"/>
                <w:szCs w:val="21"/>
                <w:highlight w:val="none"/>
              </w:rPr>
            </w:pPr>
            <w:r>
              <w:rPr>
                <w:rFonts w:hint="default" w:ascii="Arial" w:hAnsi="Arial" w:eastAsia="宋体" w:cs="Arial"/>
                <w:color w:val="auto"/>
                <w:kern w:val="0"/>
                <w:sz w:val="21"/>
                <w:szCs w:val="21"/>
                <w:highlight w:val="none"/>
                <w:lang w:eastAsia="zh-CN"/>
              </w:rPr>
              <w:t>生活污水</w:t>
            </w:r>
          </w:p>
        </w:tc>
        <w:tc>
          <w:tcPr>
            <w:tcW w:w="1243" w:type="dxa"/>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kern w:val="0"/>
                <w:sz w:val="21"/>
                <w:szCs w:val="21"/>
                <w:highlight w:val="none"/>
              </w:rPr>
            </w:pPr>
            <w:r>
              <w:rPr>
                <w:rFonts w:hint="default" w:ascii="Arial" w:hAnsi="Arial" w:eastAsia="宋体" w:cs="Arial"/>
                <w:color w:val="auto"/>
                <w:kern w:val="0"/>
                <w:sz w:val="21"/>
                <w:szCs w:val="21"/>
                <w:highlight w:val="none"/>
              </w:rPr>
              <w:t>COD</w:t>
            </w:r>
          </w:p>
        </w:tc>
        <w:tc>
          <w:tcPr>
            <w:tcW w:w="2930" w:type="dxa"/>
            <w:vMerge w:val="restart"/>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kern w:val="0"/>
                <w:sz w:val="21"/>
                <w:szCs w:val="21"/>
                <w:highlight w:val="none"/>
              </w:rPr>
            </w:pPr>
            <w:r>
              <w:rPr>
                <w:rFonts w:hint="default" w:ascii="Arial" w:hAnsi="Arial" w:eastAsia="宋体" w:cs="Arial"/>
                <w:color w:val="auto"/>
                <w:kern w:val="0"/>
                <w:sz w:val="21"/>
                <w:szCs w:val="21"/>
                <w:highlight w:val="none"/>
              </w:rPr>
              <w:t>经化粪池暂存处理后，定期清掏</w:t>
            </w:r>
          </w:p>
        </w:tc>
        <w:tc>
          <w:tcPr>
            <w:tcW w:w="1379" w:type="dxa"/>
            <w:shd w:val="clear" w:color="auto" w:fill="auto"/>
            <w:vAlign w:val="bottom"/>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w:t>
            </w:r>
          </w:p>
        </w:tc>
        <w:tc>
          <w:tcPr>
            <w:tcW w:w="1108" w:type="dxa"/>
            <w:shd w:val="clear" w:color="auto" w:fill="auto"/>
            <w:vAlign w:val="bottom"/>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w:t>
            </w:r>
          </w:p>
        </w:tc>
        <w:tc>
          <w:tcPr>
            <w:tcW w:w="836" w:type="dxa"/>
            <w:vMerge w:val="restart"/>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kern w:val="0"/>
                <w:sz w:val="21"/>
                <w:szCs w:val="21"/>
                <w:highlight w:val="none"/>
              </w:rPr>
            </w:pPr>
            <w:r>
              <w:rPr>
                <w:rFonts w:hint="default" w:ascii="Arial" w:hAnsi="Arial" w:eastAsia="宋体" w:cs="Arial"/>
                <w:color w:val="auto"/>
                <w:kern w:val="0"/>
                <w:sz w:val="21"/>
                <w:szCs w:val="21"/>
                <w:highlight w:val="none"/>
              </w:rPr>
              <w:t>/</w:t>
            </w:r>
          </w:p>
        </w:tc>
        <w:tc>
          <w:tcPr>
            <w:tcW w:w="753" w:type="dxa"/>
            <w:vMerge w:val="restart"/>
            <w:shd w:val="clear" w:color="auto" w:fill="auto"/>
            <w:vAlign w:val="center"/>
          </w:tcPr>
          <w:p>
            <w:pPr>
              <w:keepNext w:val="0"/>
              <w:keepLines w:val="0"/>
              <w:pageBreakBefore w:val="0"/>
              <w:widowControl w:val="0"/>
              <w:kinsoku/>
              <w:wordWrap/>
              <w:overflowPunct/>
              <w:topLinePunct/>
              <w:autoSpaceDE w:val="0"/>
              <w:autoSpaceDN/>
              <w:bidi w:val="0"/>
              <w:adjustRightInd/>
              <w:snapToGrid/>
              <w:spacing w:line="360" w:lineRule="exact"/>
              <w:ind w:firstLine="422" w:firstLineChars="200"/>
              <w:rPr>
                <w:rFonts w:hint="default" w:ascii="Arial" w:hAnsi="Arial" w:eastAsia="宋体" w:cs="Arial"/>
                <w:b/>
                <w:bCs/>
                <w:color w:val="auto"/>
                <w:kern w:val="0"/>
                <w:sz w:val="21"/>
                <w:szCs w:val="21"/>
                <w:highlight w:val="none"/>
              </w:rPr>
            </w:pPr>
            <w:r>
              <w:rPr>
                <w:rFonts w:hint="default" w:ascii="Arial" w:hAnsi="Arial" w:eastAsia="宋体" w:cs="Arial"/>
                <w:b/>
                <w:bCs/>
                <w:color w:val="auto"/>
                <w:kern w:val="0"/>
                <w:sz w:val="21"/>
                <w:szCs w:val="21"/>
                <w:highlight w:val="none"/>
              </w:rPr>
              <w:t>/</w:t>
            </w:r>
          </w:p>
        </w:tc>
        <w:tc>
          <w:tcPr>
            <w:tcW w:w="732" w:type="dxa"/>
            <w:vMerge w:val="restart"/>
            <w:shd w:val="clear" w:color="auto" w:fill="auto"/>
            <w:vAlign w:val="center"/>
          </w:tcPr>
          <w:p>
            <w:pPr>
              <w:keepNext w:val="0"/>
              <w:keepLines w:val="0"/>
              <w:pageBreakBefore w:val="0"/>
              <w:widowControl w:val="0"/>
              <w:kinsoku/>
              <w:wordWrap/>
              <w:overflowPunct/>
              <w:topLinePunct/>
              <w:autoSpaceDE w:val="0"/>
              <w:autoSpaceDN/>
              <w:bidi w:val="0"/>
              <w:adjustRightInd/>
              <w:snapToGrid/>
              <w:spacing w:line="360" w:lineRule="exact"/>
              <w:ind w:firstLine="422" w:firstLineChars="200"/>
              <w:rPr>
                <w:rFonts w:hint="default" w:ascii="Arial" w:hAnsi="Arial" w:eastAsia="宋体" w:cs="Arial"/>
                <w:b/>
                <w:bCs/>
                <w:color w:val="auto"/>
                <w:kern w:val="0"/>
                <w:sz w:val="21"/>
                <w:szCs w:val="21"/>
                <w:highlight w:val="none"/>
              </w:rPr>
            </w:pPr>
            <w:r>
              <w:rPr>
                <w:rFonts w:hint="default" w:ascii="Arial" w:hAnsi="Arial" w:eastAsia="宋体" w:cs="Arial"/>
                <w:b/>
                <w:bCs/>
                <w:color w:val="auto"/>
                <w:kern w:val="0"/>
                <w:sz w:val="21"/>
                <w:szCs w:val="21"/>
                <w:highlight w:val="none"/>
              </w:rPr>
              <w:t>/</w:t>
            </w:r>
          </w:p>
        </w:tc>
        <w:tc>
          <w:tcPr>
            <w:tcW w:w="1828" w:type="dxa"/>
            <w:vMerge w:val="restart"/>
            <w:shd w:val="clear" w:color="auto" w:fill="auto"/>
            <w:vAlign w:val="center"/>
          </w:tcPr>
          <w:p>
            <w:pPr>
              <w:keepNext w:val="0"/>
              <w:keepLines w:val="0"/>
              <w:pageBreakBefore w:val="0"/>
              <w:widowControl w:val="0"/>
              <w:kinsoku/>
              <w:wordWrap/>
              <w:overflowPunct/>
              <w:topLinePunct/>
              <w:autoSpaceDE w:val="0"/>
              <w:autoSpaceDN/>
              <w:bidi w:val="0"/>
              <w:adjustRightInd/>
              <w:snapToGrid/>
              <w:spacing w:line="360" w:lineRule="exact"/>
              <w:ind w:firstLine="422" w:firstLineChars="200"/>
              <w:rPr>
                <w:rFonts w:hint="default" w:ascii="Arial" w:hAnsi="Arial" w:eastAsia="宋体" w:cs="Arial"/>
                <w:b/>
                <w:bCs/>
                <w:color w:val="auto"/>
                <w:kern w:val="0"/>
                <w:sz w:val="21"/>
                <w:szCs w:val="21"/>
                <w:highlight w:val="none"/>
              </w:rPr>
            </w:pPr>
            <w:r>
              <w:rPr>
                <w:rFonts w:hint="default" w:ascii="Arial" w:hAnsi="Arial" w:eastAsia="宋体" w:cs="Arial"/>
                <w:b/>
                <w:bCs/>
                <w:color w:val="auto"/>
                <w:kern w:val="0"/>
                <w:sz w:val="21"/>
                <w:szCs w:val="21"/>
                <w:highlight w:val="none"/>
              </w:rPr>
              <w:t>/</w:t>
            </w:r>
          </w:p>
        </w:tc>
        <w:tc>
          <w:tcPr>
            <w:tcW w:w="968" w:type="dxa"/>
            <w:vMerge w:val="restart"/>
            <w:vAlign w:val="center"/>
          </w:tcPr>
          <w:p>
            <w:pPr>
              <w:keepNext w:val="0"/>
              <w:keepLines w:val="0"/>
              <w:pageBreakBefore w:val="0"/>
              <w:widowControl w:val="0"/>
              <w:kinsoku/>
              <w:wordWrap/>
              <w:overflowPunct/>
              <w:topLinePunct/>
              <w:autoSpaceDE w:val="0"/>
              <w:autoSpaceDN/>
              <w:bidi w:val="0"/>
              <w:adjustRightInd/>
              <w:snapToGrid/>
              <w:spacing w:line="360" w:lineRule="exact"/>
              <w:ind w:firstLine="422" w:firstLineChars="200"/>
              <w:rPr>
                <w:rFonts w:hint="default" w:ascii="Arial" w:hAnsi="Arial" w:eastAsia="宋体" w:cs="Arial"/>
                <w:b/>
                <w:bCs/>
                <w:color w:val="auto"/>
                <w:sz w:val="21"/>
                <w:szCs w:val="21"/>
                <w:highlight w:val="none"/>
              </w:rPr>
            </w:pPr>
            <w:r>
              <w:rPr>
                <w:rFonts w:hint="default" w:ascii="Arial" w:hAnsi="Arial" w:eastAsia="宋体" w:cs="Arial"/>
                <w:b/>
                <w:bCs/>
                <w:color w:val="auto"/>
                <w:kern w:val="0"/>
                <w:sz w:val="21"/>
                <w:szCs w:val="21"/>
                <w:highlight w:val="none"/>
              </w:rPr>
              <w:t>/</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blHeader/>
          <w:jc w:val="center"/>
        </w:trPr>
        <w:tc>
          <w:tcPr>
            <w:tcW w:w="494" w:type="dxa"/>
            <w:vMerge w:val="continue"/>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kern w:val="0"/>
                <w:sz w:val="21"/>
                <w:szCs w:val="21"/>
                <w:highlight w:val="none"/>
              </w:rPr>
            </w:pPr>
          </w:p>
        </w:tc>
        <w:tc>
          <w:tcPr>
            <w:tcW w:w="561" w:type="dxa"/>
            <w:vMerge w:val="continue"/>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kern w:val="0"/>
                <w:sz w:val="21"/>
                <w:szCs w:val="21"/>
                <w:highlight w:val="none"/>
              </w:rPr>
            </w:pPr>
          </w:p>
        </w:tc>
        <w:tc>
          <w:tcPr>
            <w:tcW w:w="1557" w:type="dxa"/>
            <w:vMerge w:val="continue"/>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kern w:val="0"/>
                <w:sz w:val="21"/>
                <w:szCs w:val="21"/>
                <w:highlight w:val="none"/>
              </w:rPr>
            </w:pPr>
          </w:p>
        </w:tc>
        <w:tc>
          <w:tcPr>
            <w:tcW w:w="1243" w:type="dxa"/>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kern w:val="0"/>
                <w:sz w:val="21"/>
                <w:szCs w:val="21"/>
                <w:highlight w:val="none"/>
              </w:rPr>
            </w:pPr>
            <w:r>
              <w:rPr>
                <w:rFonts w:hint="default" w:ascii="Arial" w:hAnsi="Arial" w:eastAsia="宋体" w:cs="Arial"/>
                <w:color w:val="auto"/>
                <w:kern w:val="0"/>
                <w:sz w:val="21"/>
                <w:szCs w:val="21"/>
                <w:highlight w:val="none"/>
              </w:rPr>
              <w:t>BOD</w:t>
            </w:r>
            <w:r>
              <w:rPr>
                <w:rFonts w:hint="default" w:ascii="Arial" w:hAnsi="Arial" w:eastAsia="宋体" w:cs="Arial"/>
                <w:color w:val="auto"/>
                <w:kern w:val="0"/>
                <w:sz w:val="21"/>
                <w:szCs w:val="21"/>
                <w:highlight w:val="none"/>
                <w:vertAlign w:val="subscript"/>
              </w:rPr>
              <w:t>5</w:t>
            </w:r>
          </w:p>
        </w:tc>
        <w:tc>
          <w:tcPr>
            <w:tcW w:w="2930" w:type="dxa"/>
            <w:vMerge w:val="continue"/>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kern w:val="0"/>
                <w:sz w:val="21"/>
                <w:szCs w:val="21"/>
                <w:highlight w:val="none"/>
              </w:rPr>
            </w:pPr>
          </w:p>
        </w:tc>
        <w:tc>
          <w:tcPr>
            <w:tcW w:w="1379" w:type="dxa"/>
            <w:shd w:val="clear" w:color="auto" w:fill="auto"/>
            <w:vAlign w:val="bottom"/>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w:t>
            </w:r>
          </w:p>
        </w:tc>
        <w:tc>
          <w:tcPr>
            <w:tcW w:w="1108" w:type="dxa"/>
            <w:shd w:val="clear" w:color="auto" w:fill="auto"/>
            <w:vAlign w:val="bottom"/>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w:t>
            </w:r>
          </w:p>
        </w:tc>
        <w:tc>
          <w:tcPr>
            <w:tcW w:w="836" w:type="dxa"/>
            <w:vMerge w:val="continue"/>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kern w:val="0"/>
                <w:sz w:val="21"/>
                <w:szCs w:val="21"/>
                <w:highlight w:val="none"/>
              </w:rPr>
            </w:pPr>
          </w:p>
        </w:tc>
        <w:tc>
          <w:tcPr>
            <w:tcW w:w="753" w:type="dxa"/>
            <w:vMerge w:val="continue"/>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kern w:val="0"/>
                <w:sz w:val="21"/>
                <w:szCs w:val="21"/>
                <w:highlight w:val="none"/>
              </w:rPr>
            </w:pPr>
          </w:p>
        </w:tc>
        <w:tc>
          <w:tcPr>
            <w:tcW w:w="732" w:type="dxa"/>
            <w:vMerge w:val="continue"/>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kern w:val="0"/>
                <w:sz w:val="21"/>
                <w:szCs w:val="21"/>
                <w:highlight w:val="none"/>
              </w:rPr>
            </w:pPr>
          </w:p>
        </w:tc>
        <w:tc>
          <w:tcPr>
            <w:tcW w:w="1828" w:type="dxa"/>
            <w:vMerge w:val="continue"/>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rPr>
            </w:pPr>
          </w:p>
        </w:tc>
        <w:tc>
          <w:tcPr>
            <w:tcW w:w="968" w:type="dxa"/>
            <w:vMerge w:val="continue"/>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rPr>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blHeader/>
          <w:jc w:val="center"/>
        </w:trPr>
        <w:tc>
          <w:tcPr>
            <w:tcW w:w="494" w:type="dxa"/>
            <w:vMerge w:val="continue"/>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kern w:val="0"/>
                <w:sz w:val="21"/>
                <w:szCs w:val="21"/>
                <w:highlight w:val="none"/>
              </w:rPr>
            </w:pPr>
          </w:p>
        </w:tc>
        <w:tc>
          <w:tcPr>
            <w:tcW w:w="561" w:type="dxa"/>
            <w:vMerge w:val="continue"/>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kern w:val="0"/>
                <w:sz w:val="21"/>
                <w:szCs w:val="21"/>
                <w:highlight w:val="none"/>
              </w:rPr>
            </w:pPr>
          </w:p>
        </w:tc>
        <w:tc>
          <w:tcPr>
            <w:tcW w:w="1557" w:type="dxa"/>
            <w:vMerge w:val="continue"/>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kern w:val="0"/>
                <w:sz w:val="21"/>
                <w:szCs w:val="21"/>
                <w:highlight w:val="none"/>
              </w:rPr>
            </w:pPr>
          </w:p>
        </w:tc>
        <w:tc>
          <w:tcPr>
            <w:tcW w:w="1243" w:type="dxa"/>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kern w:val="0"/>
                <w:sz w:val="21"/>
                <w:szCs w:val="21"/>
                <w:highlight w:val="none"/>
              </w:rPr>
            </w:pPr>
            <w:r>
              <w:rPr>
                <w:rFonts w:hint="default" w:ascii="Arial" w:hAnsi="Arial" w:eastAsia="宋体" w:cs="Arial"/>
                <w:color w:val="auto"/>
                <w:kern w:val="0"/>
                <w:sz w:val="21"/>
                <w:szCs w:val="21"/>
                <w:highlight w:val="none"/>
              </w:rPr>
              <w:t>氨氮</w:t>
            </w:r>
          </w:p>
        </w:tc>
        <w:tc>
          <w:tcPr>
            <w:tcW w:w="2930" w:type="dxa"/>
            <w:vMerge w:val="continue"/>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kern w:val="0"/>
                <w:sz w:val="21"/>
                <w:szCs w:val="21"/>
                <w:highlight w:val="none"/>
              </w:rPr>
            </w:pPr>
          </w:p>
        </w:tc>
        <w:tc>
          <w:tcPr>
            <w:tcW w:w="1379" w:type="dxa"/>
            <w:shd w:val="clear" w:color="auto" w:fill="auto"/>
            <w:vAlign w:val="bottom"/>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w:t>
            </w:r>
          </w:p>
        </w:tc>
        <w:tc>
          <w:tcPr>
            <w:tcW w:w="1108" w:type="dxa"/>
            <w:shd w:val="clear" w:color="auto" w:fill="auto"/>
            <w:vAlign w:val="bottom"/>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w:t>
            </w:r>
          </w:p>
        </w:tc>
        <w:tc>
          <w:tcPr>
            <w:tcW w:w="836" w:type="dxa"/>
            <w:vMerge w:val="continue"/>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kern w:val="0"/>
                <w:sz w:val="21"/>
                <w:szCs w:val="21"/>
                <w:highlight w:val="none"/>
              </w:rPr>
            </w:pPr>
          </w:p>
        </w:tc>
        <w:tc>
          <w:tcPr>
            <w:tcW w:w="753" w:type="dxa"/>
            <w:vMerge w:val="continue"/>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kern w:val="0"/>
                <w:sz w:val="21"/>
                <w:szCs w:val="21"/>
                <w:highlight w:val="none"/>
              </w:rPr>
            </w:pPr>
          </w:p>
        </w:tc>
        <w:tc>
          <w:tcPr>
            <w:tcW w:w="732" w:type="dxa"/>
            <w:vMerge w:val="continue"/>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kern w:val="0"/>
                <w:sz w:val="21"/>
                <w:szCs w:val="21"/>
                <w:highlight w:val="none"/>
              </w:rPr>
            </w:pPr>
          </w:p>
        </w:tc>
        <w:tc>
          <w:tcPr>
            <w:tcW w:w="1828" w:type="dxa"/>
            <w:vMerge w:val="continue"/>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kern w:val="0"/>
                <w:sz w:val="21"/>
                <w:szCs w:val="21"/>
                <w:highlight w:val="none"/>
              </w:rPr>
            </w:pPr>
          </w:p>
        </w:tc>
        <w:tc>
          <w:tcPr>
            <w:tcW w:w="968" w:type="dxa"/>
            <w:vMerge w:val="continue"/>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kern w:val="0"/>
                <w:sz w:val="21"/>
                <w:szCs w:val="21"/>
                <w:highlight w:val="none"/>
              </w:rPr>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blHeader/>
          <w:jc w:val="center"/>
        </w:trPr>
        <w:tc>
          <w:tcPr>
            <w:tcW w:w="494" w:type="dxa"/>
            <w:vMerge w:val="continue"/>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kern w:val="0"/>
                <w:sz w:val="21"/>
                <w:szCs w:val="21"/>
                <w:highlight w:val="none"/>
              </w:rPr>
            </w:pPr>
          </w:p>
        </w:tc>
        <w:tc>
          <w:tcPr>
            <w:tcW w:w="561" w:type="dxa"/>
            <w:vMerge w:val="continue"/>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kern w:val="0"/>
                <w:sz w:val="21"/>
                <w:szCs w:val="21"/>
                <w:highlight w:val="none"/>
              </w:rPr>
            </w:pPr>
          </w:p>
        </w:tc>
        <w:tc>
          <w:tcPr>
            <w:tcW w:w="1557" w:type="dxa"/>
            <w:vMerge w:val="continue"/>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kern w:val="0"/>
                <w:sz w:val="21"/>
                <w:szCs w:val="21"/>
                <w:highlight w:val="none"/>
              </w:rPr>
            </w:pPr>
          </w:p>
        </w:tc>
        <w:tc>
          <w:tcPr>
            <w:tcW w:w="1243" w:type="dxa"/>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kern w:val="0"/>
                <w:sz w:val="21"/>
                <w:szCs w:val="21"/>
                <w:highlight w:val="none"/>
              </w:rPr>
            </w:pPr>
            <w:r>
              <w:rPr>
                <w:rFonts w:hint="default" w:ascii="Arial" w:hAnsi="Arial" w:eastAsia="宋体" w:cs="Arial"/>
                <w:color w:val="auto"/>
                <w:kern w:val="0"/>
                <w:sz w:val="21"/>
                <w:szCs w:val="21"/>
                <w:highlight w:val="none"/>
              </w:rPr>
              <w:t>SS</w:t>
            </w:r>
          </w:p>
        </w:tc>
        <w:tc>
          <w:tcPr>
            <w:tcW w:w="2930" w:type="dxa"/>
            <w:vMerge w:val="continue"/>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kern w:val="0"/>
                <w:sz w:val="21"/>
                <w:szCs w:val="21"/>
                <w:highlight w:val="none"/>
              </w:rPr>
            </w:pPr>
          </w:p>
        </w:tc>
        <w:tc>
          <w:tcPr>
            <w:tcW w:w="1379" w:type="dxa"/>
            <w:shd w:val="clear" w:color="auto" w:fill="auto"/>
            <w:vAlign w:val="bottom"/>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w:t>
            </w:r>
          </w:p>
        </w:tc>
        <w:tc>
          <w:tcPr>
            <w:tcW w:w="1108" w:type="dxa"/>
            <w:shd w:val="clear" w:color="auto" w:fill="auto"/>
            <w:vAlign w:val="bottom"/>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w:t>
            </w:r>
          </w:p>
        </w:tc>
        <w:tc>
          <w:tcPr>
            <w:tcW w:w="836" w:type="dxa"/>
            <w:vMerge w:val="continue"/>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kern w:val="0"/>
                <w:sz w:val="21"/>
                <w:szCs w:val="21"/>
                <w:highlight w:val="none"/>
              </w:rPr>
            </w:pPr>
          </w:p>
        </w:tc>
        <w:tc>
          <w:tcPr>
            <w:tcW w:w="753" w:type="dxa"/>
            <w:vMerge w:val="continue"/>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kern w:val="0"/>
                <w:sz w:val="21"/>
                <w:szCs w:val="21"/>
                <w:highlight w:val="none"/>
              </w:rPr>
            </w:pPr>
          </w:p>
        </w:tc>
        <w:tc>
          <w:tcPr>
            <w:tcW w:w="732" w:type="dxa"/>
            <w:vMerge w:val="continue"/>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kern w:val="0"/>
                <w:sz w:val="21"/>
                <w:szCs w:val="21"/>
                <w:highlight w:val="none"/>
              </w:rPr>
            </w:pPr>
          </w:p>
        </w:tc>
        <w:tc>
          <w:tcPr>
            <w:tcW w:w="1828" w:type="dxa"/>
            <w:vMerge w:val="continue"/>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kern w:val="0"/>
                <w:sz w:val="21"/>
                <w:szCs w:val="21"/>
                <w:highlight w:val="none"/>
              </w:rPr>
            </w:pPr>
          </w:p>
        </w:tc>
        <w:tc>
          <w:tcPr>
            <w:tcW w:w="968" w:type="dxa"/>
            <w:vMerge w:val="continue"/>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kern w:val="0"/>
                <w:sz w:val="21"/>
                <w:szCs w:val="21"/>
                <w:highlight w:val="none"/>
              </w:rPr>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blHeader/>
          <w:jc w:val="center"/>
        </w:trPr>
        <w:tc>
          <w:tcPr>
            <w:tcW w:w="494" w:type="dxa"/>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kern w:val="0"/>
                <w:sz w:val="21"/>
                <w:szCs w:val="21"/>
                <w:highlight w:val="none"/>
              </w:rPr>
            </w:pPr>
            <w:r>
              <w:rPr>
                <w:rFonts w:hint="default" w:ascii="Arial" w:hAnsi="Arial" w:eastAsia="宋体" w:cs="Arial"/>
                <w:color w:val="auto"/>
                <w:kern w:val="0"/>
                <w:sz w:val="21"/>
                <w:szCs w:val="21"/>
                <w:highlight w:val="none"/>
              </w:rPr>
              <w:t>噪声</w:t>
            </w:r>
          </w:p>
        </w:tc>
        <w:tc>
          <w:tcPr>
            <w:tcW w:w="561" w:type="dxa"/>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kern w:val="0"/>
                <w:sz w:val="21"/>
                <w:szCs w:val="21"/>
                <w:highlight w:val="none"/>
              </w:rPr>
            </w:pPr>
            <w:r>
              <w:rPr>
                <w:rFonts w:hint="default" w:ascii="Arial" w:hAnsi="Arial" w:eastAsia="宋体" w:cs="Arial"/>
                <w:color w:val="auto"/>
                <w:kern w:val="0"/>
                <w:sz w:val="21"/>
                <w:szCs w:val="21"/>
                <w:highlight w:val="none"/>
              </w:rPr>
              <w:t>/</w:t>
            </w:r>
          </w:p>
        </w:tc>
        <w:tc>
          <w:tcPr>
            <w:tcW w:w="1557" w:type="dxa"/>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kern w:val="0"/>
                <w:sz w:val="21"/>
                <w:szCs w:val="21"/>
                <w:highlight w:val="none"/>
              </w:rPr>
            </w:pPr>
            <w:r>
              <w:rPr>
                <w:rFonts w:hint="default" w:ascii="Arial" w:hAnsi="Arial" w:eastAsia="宋体" w:cs="Arial"/>
                <w:color w:val="auto"/>
                <w:kern w:val="0"/>
                <w:sz w:val="21"/>
                <w:szCs w:val="21"/>
                <w:highlight w:val="none"/>
              </w:rPr>
              <w:t>设备运转</w:t>
            </w:r>
          </w:p>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kern w:val="0"/>
                <w:sz w:val="21"/>
                <w:szCs w:val="21"/>
                <w:highlight w:val="none"/>
              </w:rPr>
            </w:pPr>
            <w:r>
              <w:rPr>
                <w:rFonts w:hint="default" w:ascii="Arial" w:hAnsi="Arial" w:eastAsia="宋体" w:cs="Arial"/>
                <w:color w:val="auto"/>
                <w:kern w:val="0"/>
                <w:sz w:val="21"/>
                <w:szCs w:val="21"/>
                <w:highlight w:val="none"/>
              </w:rPr>
              <w:t>机械运输</w:t>
            </w:r>
          </w:p>
        </w:tc>
        <w:tc>
          <w:tcPr>
            <w:tcW w:w="1243" w:type="dxa"/>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kern w:val="0"/>
                <w:sz w:val="21"/>
                <w:szCs w:val="21"/>
                <w:highlight w:val="none"/>
              </w:rPr>
            </w:pPr>
            <w:r>
              <w:rPr>
                <w:rFonts w:hint="default" w:ascii="Arial" w:hAnsi="Arial" w:eastAsia="宋体" w:cs="Arial"/>
                <w:color w:val="auto"/>
                <w:kern w:val="0"/>
                <w:sz w:val="21"/>
                <w:szCs w:val="21"/>
                <w:highlight w:val="none"/>
              </w:rPr>
              <w:t>噪声</w:t>
            </w:r>
          </w:p>
        </w:tc>
        <w:tc>
          <w:tcPr>
            <w:tcW w:w="2930" w:type="dxa"/>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kern w:val="0"/>
                <w:sz w:val="21"/>
                <w:szCs w:val="21"/>
                <w:highlight w:val="none"/>
              </w:rPr>
            </w:pPr>
            <w:r>
              <w:rPr>
                <w:rFonts w:hint="default" w:ascii="Arial" w:hAnsi="Arial" w:eastAsia="宋体" w:cs="Arial"/>
                <w:color w:val="auto"/>
                <w:kern w:val="0"/>
                <w:sz w:val="21"/>
                <w:szCs w:val="21"/>
                <w:highlight w:val="none"/>
              </w:rPr>
              <w:t>车间密闭+基础减振</w:t>
            </w:r>
          </w:p>
        </w:tc>
        <w:tc>
          <w:tcPr>
            <w:tcW w:w="1379" w:type="dxa"/>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kern w:val="0"/>
                <w:sz w:val="21"/>
                <w:szCs w:val="21"/>
                <w:highlight w:val="none"/>
              </w:rPr>
            </w:pPr>
            <w:r>
              <w:rPr>
                <w:rFonts w:hint="default" w:ascii="Arial" w:hAnsi="Arial" w:eastAsia="宋体" w:cs="Arial"/>
                <w:color w:val="auto"/>
                <w:kern w:val="0"/>
                <w:sz w:val="21"/>
                <w:szCs w:val="21"/>
                <w:highlight w:val="none"/>
              </w:rPr>
              <w:t>/</w:t>
            </w:r>
          </w:p>
        </w:tc>
        <w:tc>
          <w:tcPr>
            <w:tcW w:w="1108" w:type="dxa"/>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kern w:val="0"/>
                <w:sz w:val="21"/>
                <w:szCs w:val="21"/>
                <w:highlight w:val="none"/>
              </w:rPr>
            </w:pPr>
            <w:r>
              <w:rPr>
                <w:rFonts w:hint="default" w:ascii="Arial" w:hAnsi="Arial" w:eastAsia="宋体" w:cs="Arial"/>
                <w:color w:val="auto"/>
                <w:kern w:val="0"/>
                <w:sz w:val="21"/>
                <w:szCs w:val="21"/>
                <w:highlight w:val="none"/>
              </w:rPr>
              <w:t>/</w:t>
            </w:r>
          </w:p>
        </w:tc>
        <w:tc>
          <w:tcPr>
            <w:tcW w:w="2321" w:type="dxa"/>
            <w:gridSpan w:val="3"/>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kern w:val="0"/>
                <w:sz w:val="21"/>
                <w:szCs w:val="21"/>
                <w:highlight w:val="none"/>
              </w:rPr>
            </w:pPr>
            <w:r>
              <w:rPr>
                <w:rFonts w:hint="default" w:ascii="Arial" w:hAnsi="Arial" w:eastAsia="宋体" w:cs="Arial"/>
                <w:color w:val="auto"/>
                <w:kern w:val="0"/>
                <w:sz w:val="21"/>
                <w:szCs w:val="21"/>
                <w:highlight w:val="none"/>
              </w:rPr>
              <w:t>厂界监控</w:t>
            </w:r>
          </w:p>
        </w:tc>
        <w:tc>
          <w:tcPr>
            <w:tcW w:w="1828" w:type="dxa"/>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kern w:val="0"/>
                <w:sz w:val="21"/>
                <w:szCs w:val="21"/>
                <w:highlight w:val="none"/>
              </w:rPr>
            </w:pPr>
            <w:r>
              <w:rPr>
                <w:rFonts w:hint="default" w:ascii="Arial" w:hAnsi="Arial" w:eastAsia="宋体" w:cs="Arial"/>
                <w:color w:val="auto"/>
                <w:kern w:val="0"/>
                <w:sz w:val="21"/>
                <w:szCs w:val="21"/>
                <w:highlight w:val="none"/>
              </w:rPr>
              <w:t>《工业企业厂界环境噪声排放标准》（GB12348-2008）2类</w:t>
            </w:r>
          </w:p>
        </w:tc>
        <w:tc>
          <w:tcPr>
            <w:tcW w:w="968"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kern w:val="0"/>
                <w:sz w:val="21"/>
                <w:szCs w:val="21"/>
                <w:highlight w:val="none"/>
              </w:rPr>
            </w:pPr>
            <w:r>
              <w:rPr>
                <w:rFonts w:hint="default" w:ascii="Arial" w:hAnsi="Arial" w:eastAsia="宋体" w:cs="Arial"/>
                <w:color w:val="auto"/>
                <w:kern w:val="0"/>
                <w:sz w:val="21"/>
                <w:szCs w:val="21"/>
                <w:highlight w:val="none"/>
              </w:rPr>
              <w:t>达标</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blHeader/>
          <w:jc w:val="center"/>
        </w:trPr>
        <w:tc>
          <w:tcPr>
            <w:tcW w:w="494" w:type="dxa"/>
            <w:vMerge w:val="restart"/>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kern w:val="0"/>
                <w:sz w:val="21"/>
                <w:szCs w:val="21"/>
                <w:highlight w:val="none"/>
              </w:rPr>
            </w:pPr>
            <w:r>
              <w:rPr>
                <w:rFonts w:hint="default" w:ascii="Arial" w:hAnsi="Arial" w:eastAsia="宋体" w:cs="Arial"/>
                <w:color w:val="auto"/>
                <w:kern w:val="0"/>
                <w:sz w:val="21"/>
                <w:szCs w:val="21"/>
                <w:highlight w:val="none"/>
              </w:rPr>
              <w:t>固废</w:t>
            </w:r>
          </w:p>
        </w:tc>
        <w:tc>
          <w:tcPr>
            <w:tcW w:w="561" w:type="dxa"/>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0"/>
                <w:sz w:val="21"/>
                <w:szCs w:val="21"/>
                <w:highlight w:val="none"/>
                <w:lang w:eastAsia="zh-CN"/>
              </w:rPr>
            </w:pPr>
            <w:r>
              <w:rPr>
                <w:rFonts w:hint="default" w:ascii="Arial" w:hAnsi="Arial" w:eastAsia="宋体" w:cs="Arial"/>
                <w:color w:val="auto"/>
                <w:kern w:val="0"/>
                <w:sz w:val="21"/>
                <w:szCs w:val="21"/>
                <w:highlight w:val="none"/>
                <w:lang w:val="en-US" w:eastAsia="zh-CN"/>
              </w:rPr>
              <w:t>1</w:t>
            </w:r>
          </w:p>
        </w:tc>
        <w:tc>
          <w:tcPr>
            <w:tcW w:w="1557" w:type="dxa"/>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0"/>
                <w:sz w:val="21"/>
                <w:szCs w:val="21"/>
                <w:highlight w:val="none"/>
              </w:rPr>
            </w:pPr>
            <w:r>
              <w:rPr>
                <w:rFonts w:hint="default" w:ascii="Arial" w:hAnsi="Arial" w:eastAsia="宋体" w:cs="Arial"/>
                <w:color w:val="auto"/>
                <w:kern w:val="0"/>
                <w:sz w:val="21"/>
                <w:szCs w:val="21"/>
                <w:highlight w:val="none"/>
              </w:rPr>
              <w:t>一般固废</w:t>
            </w:r>
          </w:p>
        </w:tc>
        <w:tc>
          <w:tcPr>
            <w:tcW w:w="1243" w:type="dxa"/>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0"/>
                <w:sz w:val="21"/>
                <w:szCs w:val="21"/>
                <w:highlight w:val="none"/>
              </w:rPr>
            </w:pPr>
            <w:r>
              <w:rPr>
                <w:rFonts w:hint="default" w:ascii="Arial" w:hAnsi="Arial" w:eastAsia="宋体" w:cs="Arial"/>
                <w:color w:val="auto"/>
                <w:sz w:val="21"/>
                <w:szCs w:val="21"/>
                <w:highlight w:val="none"/>
              </w:rPr>
              <w:t>牛舍粪尿</w:t>
            </w:r>
          </w:p>
        </w:tc>
        <w:tc>
          <w:tcPr>
            <w:tcW w:w="2930" w:type="dxa"/>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highlight w:val="none"/>
              </w:rPr>
            </w:pPr>
            <w:r>
              <w:rPr>
                <w:rFonts w:hint="default" w:ascii="Arial" w:hAnsi="Arial" w:eastAsia="宋体" w:cs="Arial"/>
                <w:color w:val="auto"/>
                <w:kern w:val="0"/>
                <w:sz w:val="21"/>
                <w:szCs w:val="21"/>
                <w:highlight w:val="none"/>
              </w:rPr>
              <w:t>清运</w:t>
            </w:r>
            <w:r>
              <w:rPr>
                <w:rFonts w:hint="default" w:ascii="Arial" w:hAnsi="Arial" w:eastAsia="宋体" w:cs="Arial"/>
                <w:color w:val="auto"/>
                <w:kern w:val="0"/>
                <w:sz w:val="21"/>
                <w:szCs w:val="21"/>
                <w:highlight w:val="none"/>
                <w:lang w:eastAsia="zh-CN"/>
              </w:rPr>
              <w:t>至堆肥场</w:t>
            </w:r>
            <w:r>
              <w:rPr>
                <w:rFonts w:hint="default" w:ascii="Arial" w:hAnsi="Arial" w:eastAsia="宋体" w:cs="Arial"/>
                <w:color w:val="auto"/>
                <w:kern w:val="0"/>
                <w:sz w:val="21"/>
                <w:szCs w:val="21"/>
                <w:highlight w:val="none"/>
              </w:rPr>
              <w:t>堆肥发酵</w:t>
            </w:r>
          </w:p>
        </w:tc>
        <w:tc>
          <w:tcPr>
            <w:tcW w:w="1379" w:type="dxa"/>
            <w:shd w:val="clear" w:color="auto" w:fill="auto"/>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0"/>
                <w:sz w:val="21"/>
                <w:szCs w:val="21"/>
                <w:highlight w:val="none"/>
              </w:rPr>
            </w:pPr>
            <w:r>
              <w:rPr>
                <w:rFonts w:hint="default" w:ascii="Arial" w:hAnsi="Arial" w:eastAsia="宋体" w:cs="Arial"/>
                <w:color w:val="auto"/>
                <w:kern w:val="0"/>
                <w:sz w:val="21"/>
                <w:szCs w:val="21"/>
                <w:highlight w:val="none"/>
              </w:rPr>
              <w:t>/</w:t>
            </w:r>
          </w:p>
        </w:tc>
        <w:tc>
          <w:tcPr>
            <w:tcW w:w="1108" w:type="dxa"/>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lang w:val="en-US" w:eastAsia="zh-CN"/>
              </w:rPr>
              <w:t>39712</w:t>
            </w:r>
          </w:p>
        </w:tc>
        <w:tc>
          <w:tcPr>
            <w:tcW w:w="2321" w:type="dxa"/>
            <w:gridSpan w:val="3"/>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kern w:val="0"/>
                <w:sz w:val="21"/>
                <w:szCs w:val="21"/>
                <w:highlight w:val="none"/>
              </w:rPr>
            </w:pPr>
            <w:r>
              <w:rPr>
                <w:rFonts w:hint="default" w:ascii="Arial" w:hAnsi="Arial" w:eastAsia="宋体" w:cs="Arial"/>
                <w:color w:val="auto"/>
                <w:kern w:val="0"/>
                <w:sz w:val="21"/>
                <w:szCs w:val="21"/>
                <w:highlight w:val="none"/>
              </w:rPr>
              <w:t>还田资源化利用</w:t>
            </w:r>
          </w:p>
        </w:tc>
        <w:tc>
          <w:tcPr>
            <w:tcW w:w="1828" w:type="dxa"/>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kern w:val="0"/>
                <w:sz w:val="21"/>
                <w:szCs w:val="21"/>
                <w:highlight w:val="none"/>
              </w:rPr>
            </w:pPr>
            <w:r>
              <w:rPr>
                <w:rFonts w:hint="default" w:ascii="Arial" w:hAnsi="Arial" w:eastAsia="宋体" w:cs="Arial"/>
                <w:color w:val="auto"/>
                <w:sz w:val="21"/>
                <w:szCs w:val="21"/>
                <w:highlight w:val="none"/>
                <w:lang w:val="en-US" w:eastAsia="zh-CN"/>
              </w:rPr>
              <w:t>满足《粪便无害化卫生标准》的要求</w:t>
            </w:r>
          </w:p>
        </w:tc>
        <w:tc>
          <w:tcPr>
            <w:tcW w:w="968"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合规</w:t>
            </w:r>
          </w:p>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kern w:val="0"/>
                <w:sz w:val="21"/>
                <w:szCs w:val="21"/>
                <w:highlight w:val="none"/>
              </w:rPr>
            </w:pPr>
            <w:r>
              <w:rPr>
                <w:rFonts w:hint="default" w:ascii="Arial" w:hAnsi="Arial" w:eastAsia="宋体" w:cs="Arial"/>
                <w:color w:val="auto"/>
                <w:sz w:val="21"/>
                <w:szCs w:val="21"/>
                <w:highlight w:val="none"/>
              </w:rPr>
              <w:t>利用</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blHeader/>
          <w:jc w:val="center"/>
        </w:trPr>
        <w:tc>
          <w:tcPr>
            <w:tcW w:w="494" w:type="dxa"/>
            <w:vMerge w:val="continue"/>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kern w:val="0"/>
                <w:sz w:val="21"/>
                <w:szCs w:val="21"/>
                <w:highlight w:val="none"/>
              </w:rPr>
            </w:pPr>
          </w:p>
        </w:tc>
        <w:tc>
          <w:tcPr>
            <w:tcW w:w="561" w:type="dxa"/>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0"/>
                <w:sz w:val="21"/>
                <w:szCs w:val="21"/>
                <w:highlight w:val="none"/>
                <w:lang w:val="en-US" w:eastAsia="zh-CN"/>
              </w:rPr>
            </w:pPr>
            <w:r>
              <w:rPr>
                <w:rFonts w:hint="default" w:ascii="Arial" w:hAnsi="Arial" w:eastAsia="宋体" w:cs="Arial"/>
                <w:color w:val="auto"/>
                <w:kern w:val="0"/>
                <w:sz w:val="21"/>
                <w:szCs w:val="21"/>
                <w:highlight w:val="none"/>
                <w:lang w:val="en-US" w:eastAsia="zh-CN"/>
              </w:rPr>
              <w:t>2</w:t>
            </w:r>
          </w:p>
        </w:tc>
        <w:tc>
          <w:tcPr>
            <w:tcW w:w="1557" w:type="dxa"/>
            <w:vMerge w:val="restart"/>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0"/>
                <w:sz w:val="21"/>
                <w:szCs w:val="21"/>
                <w:highlight w:val="none"/>
              </w:rPr>
            </w:pPr>
            <w:r>
              <w:rPr>
                <w:rFonts w:hint="default" w:ascii="Arial" w:hAnsi="Arial" w:eastAsia="宋体" w:cs="Arial"/>
                <w:color w:val="auto"/>
                <w:kern w:val="0"/>
                <w:sz w:val="21"/>
                <w:szCs w:val="21"/>
                <w:highlight w:val="none"/>
              </w:rPr>
              <w:t>危险废物</w:t>
            </w:r>
          </w:p>
        </w:tc>
        <w:tc>
          <w:tcPr>
            <w:tcW w:w="1243" w:type="dxa"/>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0"/>
                <w:sz w:val="21"/>
                <w:szCs w:val="21"/>
                <w:highlight w:val="none"/>
              </w:rPr>
            </w:pPr>
            <w:r>
              <w:rPr>
                <w:rFonts w:hint="default" w:ascii="Arial" w:hAnsi="Arial" w:eastAsia="宋体" w:cs="Arial"/>
                <w:color w:val="auto"/>
                <w:sz w:val="21"/>
                <w:szCs w:val="21"/>
                <w:highlight w:val="none"/>
                <w:lang w:eastAsia="zh-CN"/>
              </w:rPr>
              <w:t>病死牛</w:t>
            </w:r>
          </w:p>
        </w:tc>
        <w:tc>
          <w:tcPr>
            <w:tcW w:w="2930" w:type="dxa"/>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交由巴彦淖尔市绿之源生物技术发展有限公司进行无害化处理</w:t>
            </w:r>
          </w:p>
        </w:tc>
        <w:tc>
          <w:tcPr>
            <w:tcW w:w="1379" w:type="dxa"/>
            <w:shd w:val="clear" w:color="auto" w:fill="auto"/>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0"/>
                <w:sz w:val="21"/>
                <w:szCs w:val="21"/>
                <w:highlight w:val="none"/>
              </w:rPr>
            </w:pPr>
            <w:r>
              <w:rPr>
                <w:rFonts w:hint="default" w:ascii="Arial" w:hAnsi="Arial" w:eastAsia="宋体" w:cs="Arial"/>
                <w:color w:val="auto"/>
                <w:kern w:val="0"/>
                <w:sz w:val="21"/>
                <w:szCs w:val="21"/>
                <w:highlight w:val="none"/>
              </w:rPr>
              <w:t>/</w:t>
            </w:r>
          </w:p>
        </w:tc>
        <w:tc>
          <w:tcPr>
            <w:tcW w:w="1108" w:type="dxa"/>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lang w:val="en-US" w:eastAsia="zh-CN"/>
              </w:rPr>
              <w:t>360</w:t>
            </w:r>
          </w:p>
        </w:tc>
        <w:tc>
          <w:tcPr>
            <w:tcW w:w="2321" w:type="dxa"/>
            <w:gridSpan w:val="3"/>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kern w:val="0"/>
                <w:sz w:val="21"/>
                <w:szCs w:val="21"/>
                <w:highlight w:val="none"/>
              </w:rPr>
            </w:pPr>
            <w:r>
              <w:rPr>
                <w:rFonts w:hint="default" w:ascii="Arial" w:hAnsi="Arial" w:eastAsia="宋体" w:cs="Arial"/>
                <w:color w:val="auto"/>
                <w:kern w:val="0"/>
                <w:sz w:val="21"/>
                <w:szCs w:val="21"/>
                <w:highlight w:val="none"/>
              </w:rPr>
              <w:t>满足无害化要求</w:t>
            </w:r>
          </w:p>
        </w:tc>
        <w:tc>
          <w:tcPr>
            <w:tcW w:w="1828" w:type="dxa"/>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kern w:val="0"/>
                <w:sz w:val="21"/>
                <w:szCs w:val="21"/>
                <w:highlight w:val="none"/>
              </w:rPr>
            </w:pPr>
            <w:r>
              <w:rPr>
                <w:rFonts w:hint="default" w:ascii="Arial" w:hAnsi="Arial" w:eastAsia="宋体" w:cs="Arial"/>
                <w:color w:val="auto"/>
                <w:kern w:val="0"/>
                <w:sz w:val="21"/>
                <w:szCs w:val="21"/>
                <w:highlight w:val="none"/>
              </w:rPr>
              <w:t>《病死及病害动物无害化处理技术规范的通知》（农医发</w:t>
            </w:r>
            <w:r>
              <w:rPr>
                <w:rFonts w:hint="default" w:ascii="Arial" w:hAnsi="Arial" w:eastAsia="宋体" w:cs="Arial"/>
                <w:color w:val="auto"/>
                <w:kern w:val="0"/>
                <w:sz w:val="21"/>
                <w:szCs w:val="21"/>
                <w:highlight w:val="none"/>
                <w:lang w:eastAsia="zh-CN"/>
              </w:rPr>
              <w:t>[</w:t>
            </w:r>
            <w:r>
              <w:rPr>
                <w:rFonts w:hint="default" w:ascii="Arial" w:hAnsi="Arial" w:eastAsia="宋体" w:cs="Arial"/>
                <w:color w:val="auto"/>
                <w:kern w:val="0"/>
                <w:sz w:val="21"/>
                <w:szCs w:val="21"/>
                <w:highlight w:val="none"/>
              </w:rPr>
              <w:t>2017</w:t>
            </w:r>
            <w:r>
              <w:rPr>
                <w:rFonts w:hint="default" w:ascii="Arial" w:hAnsi="Arial" w:eastAsia="宋体" w:cs="Arial"/>
                <w:color w:val="auto"/>
                <w:kern w:val="0"/>
                <w:sz w:val="21"/>
                <w:szCs w:val="21"/>
                <w:highlight w:val="none"/>
                <w:lang w:eastAsia="zh-CN"/>
              </w:rPr>
              <w:t>]</w:t>
            </w:r>
            <w:r>
              <w:rPr>
                <w:rFonts w:hint="default" w:ascii="Arial" w:hAnsi="Arial" w:eastAsia="宋体" w:cs="Arial"/>
                <w:color w:val="auto"/>
                <w:kern w:val="0"/>
                <w:sz w:val="21"/>
                <w:szCs w:val="21"/>
                <w:highlight w:val="none"/>
              </w:rPr>
              <w:t>25号）等</w:t>
            </w:r>
          </w:p>
        </w:tc>
        <w:tc>
          <w:tcPr>
            <w:tcW w:w="968"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kern w:val="0"/>
                <w:sz w:val="21"/>
                <w:szCs w:val="21"/>
                <w:highlight w:val="none"/>
              </w:rPr>
            </w:pPr>
            <w:r>
              <w:rPr>
                <w:rFonts w:hint="default" w:ascii="Arial" w:hAnsi="Arial" w:eastAsia="宋体" w:cs="Arial"/>
                <w:color w:val="auto"/>
                <w:kern w:val="0"/>
                <w:sz w:val="21"/>
                <w:szCs w:val="21"/>
                <w:highlight w:val="none"/>
                <w:lang w:eastAsia="zh-CN"/>
              </w:rPr>
              <w:t>妥善处置</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blHeader/>
          <w:jc w:val="center"/>
        </w:trPr>
        <w:tc>
          <w:tcPr>
            <w:tcW w:w="494" w:type="dxa"/>
            <w:vMerge w:val="continue"/>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kern w:val="0"/>
                <w:sz w:val="21"/>
                <w:szCs w:val="21"/>
                <w:highlight w:val="none"/>
              </w:rPr>
            </w:pPr>
          </w:p>
        </w:tc>
        <w:tc>
          <w:tcPr>
            <w:tcW w:w="561" w:type="dxa"/>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0"/>
                <w:sz w:val="21"/>
                <w:szCs w:val="21"/>
                <w:highlight w:val="none"/>
                <w:lang w:val="en-US" w:eastAsia="zh-CN"/>
              </w:rPr>
            </w:pPr>
            <w:r>
              <w:rPr>
                <w:rFonts w:hint="default" w:ascii="Arial" w:hAnsi="Arial" w:eastAsia="宋体" w:cs="Arial"/>
                <w:color w:val="auto"/>
                <w:kern w:val="0"/>
                <w:sz w:val="21"/>
                <w:szCs w:val="21"/>
                <w:highlight w:val="none"/>
                <w:lang w:val="en-US" w:eastAsia="zh-CN"/>
              </w:rPr>
              <w:t>3</w:t>
            </w:r>
          </w:p>
        </w:tc>
        <w:tc>
          <w:tcPr>
            <w:tcW w:w="1557" w:type="dxa"/>
            <w:vMerge w:val="continue"/>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0"/>
                <w:sz w:val="21"/>
                <w:szCs w:val="21"/>
                <w:highlight w:val="none"/>
              </w:rPr>
            </w:pPr>
          </w:p>
        </w:tc>
        <w:tc>
          <w:tcPr>
            <w:tcW w:w="1243" w:type="dxa"/>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default" w:ascii="Arial" w:hAnsi="Arial" w:eastAsia="宋体" w:cs="Arial"/>
                <w:color w:val="auto"/>
                <w:kern w:val="0"/>
                <w:sz w:val="21"/>
                <w:szCs w:val="21"/>
                <w:highlight w:val="none"/>
                <w:lang w:val="en-US" w:eastAsia="zh-CN" w:bidi="ar-SA"/>
              </w:rPr>
            </w:pPr>
            <w:r>
              <w:rPr>
                <w:rFonts w:hint="default" w:ascii="Arial" w:hAnsi="Arial" w:eastAsia="宋体" w:cs="Arial"/>
                <w:color w:val="auto"/>
                <w:kern w:val="0"/>
                <w:sz w:val="21"/>
                <w:szCs w:val="21"/>
                <w:highlight w:val="none"/>
              </w:rPr>
              <w:t>医疗废物</w:t>
            </w:r>
          </w:p>
        </w:tc>
        <w:tc>
          <w:tcPr>
            <w:tcW w:w="2930" w:type="dxa"/>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default" w:ascii="Arial" w:hAnsi="Arial" w:eastAsia="宋体" w:cs="Arial"/>
                <w:color w:val="auto"/>
                <w:kern w:val="0"/>
                <w:sz w:val="21"/>
                <w:szCs w:val="21"/>
                <w:highlight w:val="none"/>
                <w:lang w:val="en-US" w:eastAsia="zh-CN" w:bidi="ar-SA"/>
              </w:rPr>
            </w:pPr>
            <w:r>
              <w:rPr>
                <w:rFonts w:hint="default" w:ascii="Arial" w:hAnsi="Arial" w:eastAsia="宋体" w:cs="Arial"/>
                <w:color w:val="auto"/>
                <w:sz w:val="21"/>
                <w:szCs w:val="21"/>
                <w:highlight w:val="none"/>
              </w:rPr>
              <w:t>危险废物暂存间</w:t>
            </w:r>
            <w:r>
              <w:rPr>
                <w:rFonts w:hint="default" w:ascii="Arial" w:hAnsi="Arial" w:eastAsia="宋体" w:cs="Arial"/>
                <w:color w:val="auto"/>
                <w:sz w:val="21"/>
                <w:szCs w:val="21"/>
                <w:highlight w:val="none"/>
                <w:lang w:eastAsia="zh-CN"/>
              </w:rPr>
              <w:t>内医疗废物暂存间</w:t>
            </w:r>
          </w:p>
        </w:tc>
        <w:tc>
          <w:tcPr>
            <w:tcW w:w="1379" w:type="dxa"/>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default" w:ascii="Arial" w:hAnsi="Arial" w:eastAsia="宋体" w:cs="Arial"/>
                <w:color w:val="auto"/>
                <w:kern w:val="0"/>
                <w:sz w:val="21"/>
                <w:szCs w:val="21"/>
                <w:highlight w:val="none"/>
                <w:lang w:val="en-US" w:eastAsia="zh-CN" w:bidi="ar-SA"/>
              </w:rPr>
            </w:pPr>
            <w:r>
              <w:rPr>
                <w:rFonts w:hint="default" w:ascii="Arial" w:hAnsi="Arial" w:eastAsia="宋体" w:cs="Arial"/>
                <w:color w:val="auto"/>
                <w:kern w:val="0"/>
                <w:sz w:val="21"/>
                <w:szCs w:val="21"/>
                <w:highlight w:val="none"/>
              </w:rPr>
              <w:t>/</w:t>
            </w:r>
          </w:p>
        </w:tc>
        <w:tc>
          <w:tcPr>
            <w:tcW w:w="1108" w:type="dxa"/>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lang w:val="en-US" w:eastAsia="zh-CN"/>
              </w:rPr>
              <w:t>0.5</w:t>
            </w:r>
          </w:p>
        </w:tc>
        <w:tc>
          <w:tcPr>
            <w:tcW w:w="2321" w:type="dxa"/>
            <w:gridSpan w:val="3"/>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default" w:ascii="Arial" w:hAnsi="Arial" w:eastAsia="宋体" w:cs="Arial"/>
                <w:color w:val="auto"/>
                <w:kern w:val="0"/>
                <w:sz w:val="21"/>
                <w:szCs w:val="21"/>
                <w:highlight w:val="none"/>
                <w:lang w:val="en-US" w:eastAsia="zh-CN" w:bidi="ar-SA"/>
              </w:rPr>
            </w:pPr>
            <w:r>
              <w:rPr>
                <w:rFonts w:hint="default" w:ascii="Arial" w:hAnsi="Arial" w:eastAsia="宋体" w:cs="Arial"/>
                <w:color w:val="auto"/>
                <w:sz w:val="21"/>
                <w:szCs w:val="21"/>
                <w:highlight w:val="none"/>
                <w:lang w:bidi="zh-CN"/>
              </w:rPr>
              <w:t>定期由有资质单位处置</w:t>
            </w:r>
          </w:p>
        </w:tc>
        <w:tc>
          <w:tcPr>
            <w:tcW w:w="1828" w:type="dxa"/>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kern w:val="0"/>
                <w:sz w:val="21"/>
                <w:szCs w:val="21"/>
                <w:highlight w:val="none"/>
              </w:rPr>
            </w:pPr>
            <w:r>
              <w:rPr>
                <w:rFonts w:hint="default" w:ascii="Arial" w:hAnsi="Arial" w:eastAsia="宋体" w:cs="Arial"/>
                <w:color w:val="auto"/>
                <w:kern w:val="0"/>
                <w:sz w:val="21"/>
                <w:szCs w:val="21"/>
                <w:highlight w:val="none"/>
              </w:rPr>
              <w:t>《危险废物贮存污染控制标准》（GB18597-2001）及修改单</w:t>
            </w:r>
          </w:p>
        </w:tc>
        <w:tc>
          <w:tcPr>
            <w:tcW w:w="968"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kern w:val="0"/>
                <w:sz w:val="21"/>
                <w:szCs w:val="21"/>
                <w:highlight w:val="none"/>
              </w:rPr>
            </w:pPr>
            <w:r>
              <w:rPr>
                <w:rFonts w:hint="default" w:ascii="Arial" w:hAnsi="Arial" w:eastAsia="宋体" w:cs="Arial"/>
                <w:color w:val="auto"/>
                <w:kern w:val="0"/>
                <w:sz w:val="21"/>
                <w:szCs w:val="21"/>
                <w:highlight w:val="none"/>
                <w:lang w:eastAsia="zh-CN"/>
              </w:rPr>
              <w:t>妥善处置</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blHeader/>
          <w:jc w:val="center"/>
        </w:trPr>
        <w:tc>
          <w:tcPr>
            <w:tcW w:w="494" w:type="dxa"/>
            <w:vMerge w:val="continue"/>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kern w:val="0"/>
                <w:sz w:val="21"/>
                <w:szCs w:val="21"/>
                <w:highlight w:val="none"/>
              </w:rPr>
            </w:pPr>
          </w:p>
        </w:tc>
        <w:tc>
          <w:tcPr>
            <w:tcW w:w="561" w:type="dxa"/>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default" w:ascii="Arial" w:hAnsi="Arial" w:eastAsia="宋体" w:cs="Arial"/>
                <w:color w:val="auto"/>
                <w:kern w:val="0"/>
                <w:sz w:val="21"/>
                <w:szCs w:val="21"/>
                <w:highlight w:val="none"/>
                <w:lang w:val="en-US" w:eastAsia="zh-CN" w:bidi="ar-SA"/>
              </w:rPr>
            </w:pPr>
            <w:r>
              <w:rPr>
                <w:rFonts w:hint="default" w:ascii="Arial" w:hAnsi="Arial" w:eastAsia="宋体" w:cs="Arial"/>
                <w:color w:val="auto"/>
                <w:kern w:val="0"/>
                <w:sz w:val="21"/>
                <w:szCs w:val="21"/>
                <w:highlight w:val="none"/>
                <w:lang w:val="en-US" w:eastAsia="zh-CN"/>
              </w:rPr>
              <w:t>4</w:t>
            </w:r>
          </w:p>
        </w:tc>
        <w:tc>
          <w:tcPr>
            <w:tcW w:w="1557" w:type="dxa"/>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kern w:val="0"/>
                <w:sz w:val="21"/>
                <w:szCs w:val="21"/>
                <w:highlight w:val="none"/>
              </w:rPr>
            </w:pPr>
            <w:r>
              <w:rPr>
                <w:rFonts w:hint="default" w:ascii="Arial" w:hAnsi="Arial" w:eastAsia="宋体" w:cs="Arial"/>
                <w:color w:val="auto"/>
                <w:kern w:val="0"/>
                <w:sz w:val="21"/>
                <w:szCs w:val="21"/>
                <w:highlight w:val="none"/>
              </w:rPr>
              <w:t>生活垃圾</w:t>
            </w:r>
          </w:p>
        </w:tc>
        <w:tc>
          <w:tcPr>
            <w:tcW w:w="1243" w:type="dxa"/>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kern w:val="0"/>
                <w:sz w:val="21"/>
                <w:szCs w:val="21"/>
                <w:highlight w:val="none"/>
              </w:rPr>
            </w:pPr>
            <w:r>
              <w:rPr>
                <w:rFonts w:hint="default" w:ascii="Arial" w:hAnsi="Arial" w:eastAsia="宋体" w:cs="Arial"/>
                <w:color w:val="auto"/>
                <w:kern w:val="0"/>
                <w:sz w:val="21"/>
                <w:szCs w:val="21"/>
                <w:highlight w:val="none"/>
              </w:rPr>
              <w:t>生活垃圾</w:t>
            </w:r>
          </w:p>
        </w:tc>
        <w:tc>
          <w:tcPr>
            <w:tcW w:w="2930" w:type="dxa"/>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kern w:val="0"/>
                <w:sz w:val="21"/>
                <w:szCs w:val="21"/>
                <w:highlight w:val="none"/>
              </w:rPr>
            </w:pPr>
            <w:r>
              <w:rPr>
                <w:rFonts w:hint="default" w:ascii="Arial" w:hAnsi="Arial" w:eastAsia="宋体" w:cs="Arial"/>
                <w:color w:val="auto"/>
                <w:kern w:val="0"/>
                <w:sz w:val="21"/>
                <w:szCs w:val="21"/>
                <w:highlight w:val="none"/>
              </w:rPr>
              <w:t>场区垃圾桶分类收集</w:t>
            </w:r>
          </w:p>
        </w:tc>
        <w:tc>
          <w:tcPr>
            <w:tcW w:w="1379" w:type="dxa"/>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kern w:val="0"/>
                <w:sz w:val="21"/>
                <w:szCs w:val="21"/>
                <w:highlight w:val="none"/>
              </w:rPr>
            </w:pPr>
            <w:r>
              <w:rPr>
                <w:rFonts w:hint="default" w:ascii="Arial" w:hAnsi="Arial" w:eastAsia="宋体" w:cs="Arial"/>
                <w:color w:val="auto"/>
                <w:kern w:val="0"/>
                <w:sz w:val="21"/>
                <w:szCs w:val="21"/>
                <w:highlight w:val="none"/>
              </w:rPr>
              <w:t>/</w:t>
            </w:r>
          </w:p>
        </w:tc>
        <w:tc>
          <w:tcPr>
            <w:tcW w:w="1108" w:type="dxa"/>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highlight w:val="none"/>
                <w:lang w:val="en-US" w:eastAsia="zh-CN"/>
              </w:rPr>
              <w:t>5.475</w:t>
            </w:r>
          </w:p>
        </w:tc>
        <w:tc>
          <w:tcPr>
            <w:tcW w:w="2321" w:type="dxa"/>
            <w:gridSpan w:val="3"/>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kern w:val="0"/>
                <w:sz w:val="21"/>
                <w:szCs w:val="21"/>
                <w:highlight w:val="none"/>
              </w:rPr>
            </w:pPr>
            <w:r>
              <w:rPr>
                <w:rFonts w:hint="default" w:ascii="Arial" w:hAnsi="Arial" w:eastAsia="宋体" w:cs="Arial"/>
                <w:color w:val="auto"/>
                <w:sz w:val="21"/>
                <w:szCs w:val="21"/>
                <w:highlight w:val="none"/>
              </w:rPr>
              <w:t>清运到环卫部门指定的地点集中处理</w:t>
            </w:r>
          </w:p>
        </w:tc>
        <w:tc>
          <w:tcPr>
            <w:tcW w:w="1828" w:type="dxa"/>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kern w:val="0"/>
                <w:sz w:val="21"/>
                <w:szCs w:val="21"/>
                <w:highlight w:val="none"/>
              </w:rPr>
            </w:pPr>
            <w:r>
              <w:rPr>
                <w:rFonts w:hint="default" w:ascii="Arial" w:hAnsi="Arial" w:eastAsia="宋体" w:cs="Arial"/>
                <w:color w:val="auto"/>
                <w:kern w:val="0"/>
                <w:sz w:val="21"/>
                <w:szCs w:val="21"/>
                <w:highlight w:val="none"/>
              </w:rPr>
              <w:t>/</w:t>
            </w:r>
          </w:p>
        </w:tc>
        <w:tc>
          <w:tcPr>
            <w:tcW w:w="968"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kern w:val="0"/>
                <w:sz w:val="21"/>
                <w:szCs w:val="21"/>
                <w:highlight w:val="none"/>
              </w:rPr>
            </w:pPr>
            <w:r>
              <w:rPr>
                <w:rFonts w:hint="default" w:ascii="Arial" w:hAnsi="Arial" w:eastAsia="宋体" w:cs="Arial"/>
                <w:color w:val="auto"/>
                <w:kern w:val="0"/>
                <w:sz w:val="21"/>
                <w:szCs w:val="21"/>
                <w:highlight w:val="none"/>
                <w:lang w:eastAsia="zh-CN"/>
              </w:rPr>
              <w:t>妥善处置</w:t>
            </w:r>
          </w:p>
        </w:tc>
      </w:tr>
    </w:tbl>
    <w:p>
      <w:pPr>
        <w:ind w:firstLine="480"/>
        <w:rPr>
          <w:rFonts w:hint="default" w:ascii="Arial" w:hAnsi="Arial" w:eastAsia="宋体" w:cs="Arial"/>
          <w:color w:val="auto"/>
          <w:highlight w:val="none"/>
        </w:rPr>
      </w:pPr>
    </w:p>
    <w:p>
      <w:pPr>
        <w:pStyle w:val="6"/>
        <w:rPr>
          <w:rFonts w:hint="default" w:ascii="Arial" w:hAnsi="Arial" w:eastAsia="宋体" w:cs="Arial"/>
          <w:color w:val="auto"/>
          <w:highlight w:val="none"/>
        </w:rPr>
        <w:sectPr>
          <w:pgSz w:w="16838" w:h="11906" w:orient="landscape"/>
          <w:pgMar w:top="1418" w:right="1134" w:bottom="1418" w:left="1134" w:header="851" w:footer="680" w:gutter="0"/>
          <w:pgBorders>
            <w:top w:val="none" w:sz="0" w:space="0"/>
            <w:left w:val="none" w:sz="0" w:space="0"/>
            <w:bottom w:val="none" w:sz="0" w:space="0"/>
            <w:right w:val="none" w:sz="0" w:space="0"/>
          </w:pgBorders>
          <w:pgNumType w:fmt="numberInDash"/>
          <w:cols w:space="425" w:num="1"/>
          <w:docGrid w:linePitch="326" w:charSpace="0"/>
        </w:sectPr>
      </w:pPr>
    </w:p>
    <w:p>
      <w:pPr>
        <w:pStyle w:val="4"/>
        <w:pageBreakBefore w:val="0"/>
        <w:widowControl w:val="0"/>
        <w:kinsoku/>
        <w:wordWrap/>
        <w:overflowPunct/>
        <w:autoSpaceDN/>
        <w:bidi w:val="0"/>
        <w:adjustRightInd/>
        <w:spacing w:line="480" w:lineRule="exact"/>
        <w:textAlignment w:val="auto"/>
        <w:rPr>
          <w:rFonts w:hint="default" w:ascii="Arial" w:hAnsi="Arial" w:eastAsia="宋体" w:cs="Arial"/>
          <w:color w:val="auto"/>
          <w:highlight w:val="none"/>
        </w:rPr>
      </w:pPr>
      <w:bookmarkStart w:id="256" w:name="_Toc13992"/>
      <w:r>
        <w:rPr>
          <w:rFonts w:hint="default" w:ascii="Arial" w:hAnsi="Arial" w:eastAsia="宋体" w:cs="Arial"/>
          <w:color w:val="auto"/>
          <w:highlight w:val="none"/>
        </w:rPr>
        <w:t>4环境现状调查及评价</w:t>
      </w:r>
      <w:bookmarkEnd w:id="256"/>
    </w:p>
    <w:p>
      <w:pPr>
        <w:pStyle w:val="5"/>
        <w:pageBreakBefore w:val="0"/>
        <w:widowControl w:val="0"/>
        <w:kinsoku/>
        <w:wordWrap/>
        <w:overflowPunct/>
        <w:autoSpaceDN/>
        <w:bidi w:val="0"/>
        <w:adjustRightInd/>
        <w:spacing w:line="480" w:lineRule="exact"/>
        <w:textAlignment w:val="auto"/>
        <w:rPr>
          <w:rFonts w:hint="default" w:ascii="Arial" w:hAnsi="Arial" w:eastAsia="宋体" w:cs="Arial"/>
          <w:color w:val="auto"/>
          <w:highlight w:val="none"/>
        </w:rPr>
      </w:pPr>
      <w:bookmarkStart w:id="257" w:name="_Toc28775"/>
      <w:r>
        <w:rPr>
          <w:rFonts w:hint="default" w:ascii="Arial" w:hAnsi="Arial" w:eastAsia="宋体" w:cs="Arial"/>
          <w:color w:val="auto"/>
          <w:highlight w:val="none"/>
        </w:rPr>
        <w:t>4.1自然环境现状调查与评价</w:t>
      </w:r>
      <w:bookmarkEnd w:id="257"/>
    </w:p>
    <w:p>
      <w:pPr>
        <w:pStyle w:val="6"/>
        <w:pageBreakBefore w:val="0"/>
        <w:widowControl w:val="0"/>
        <w:kinsoku/>
        <w:wordWrap/>
        <w:overflowPunct/>
        <w:autoSpaceDN/>
        <w:bidi w:val="0"/>
        <w:adjustRightInd/>
        <w:spacing w:line="480" w:lineRule="exact"/>
        <w:textAlignment w:val="auto"/>
        <w:rPr>
          <w:rFonts w:hint="default" w:ascii="Arial" w:hAnsi="Arial" w:eastAsia="宋体" w:cs="Arial"/>
          <w:color w:val="auto"/>
          <w:highlight w:val="none"/>
        </w:rPr>
      </w:pPr>
      <w:bookmarkStart w:id="258" w:name="_Toc10207"/>
      <w:r>
        <w:rPr>
          <w:rFonts w:hint="default" w:ascii="Arial" w:hAnsi="Arial" w:eastAsia="宋体" w:cs="Arial"/>
          <w:color w:val="auto"/>
          <w:highlight w:val="none"/>
        </w:rPr>
        <w:t>4.1.1地理位置</w:t>
      </w:r>
      <w:bookmarkEnd w:id="258"/>
    </w:p>
    <w:p>
      <w:pPr>
        <w:pageBreakBefore w:val="0"/>
        <w:widowControl w:val="0"/>
        <w:kinsoku/>
        <w:wordWrap/>
        <w:overflowPunct/>
        <w:autoSpaceDN/>
        <w:bidi w:val="0"/>
        <w:adjustRightInd/>
        <w:spacing w:line="480" w:lineRule="exact"/>
        <w:ind w:firstLine="480"/>
        <w:textAlignment w:val="auto"/>
        <w:rPr>
          <w:rFonts w:hint="default" w:ascii="Arial" w:hAnsi="Arial" w:eastAsia="宋体" w:cs="Arial"/>
          <w:color w:val="auto"/>
          <w:highlight w:val="none"/>
        </w:rPr>
      </w:pPr>
      <w:r>
        <w:rPr>
          <w:rFonts w:hint="default" w:ascii="Arial" w:hAnsi="Arial" w:eastAsia="宋体" w:cs="Arial"/>
          <w:color w:val="auto"/>
        </w:rPr>
        <w:t>五原县位于内蒙古自治区巴彦淖尔市河套平原腹地，县域南临黄河（属黄河最北端），与鄂尔多斯市隔河相望，北有阴山横亘，和乌拉特中旗相连，东临包头和乌拉特前旗，西与临河区接壤。地理坐标为东经107°36′10″～108°37′50″，北纬40°46"30′～41°16″45′。县境东西最长82公里，均长62.3公里，南北最宽55.5公里，均宽40公里。总面积2492.9平方公里</w:t>
      </w:r>
      <w:r>
        <w:rPr>
          <w:rFonts w:hint="default" w:ascii="Arial" w:hAnsi="Arial" w:eastAsia="宋体" w:cs="Arial"/>
          <w:color w:val="auto"/>
          <w:highlight w:val="none"/>
        </w:rPr>
        <w:t>。</w:t>
      </w:r>
    </w:p>
    <w:p>
      <w:pPr>
        <w:pStyle w:val="6"/>
        <w:pageBreakBefore w:val="0"/>
        <w:widowControl w:val="0"/>
        <w:kinsoku/>
        <w:wordWrap/>
        <w:overflowPunct/>
        <w:autoSpaceDN/>
        <w:bidi w:val="0"/>
        <w:adjustRightInd/>
        <w:spacing w:line="480" w:lineRule="exact"/>
        <w:textAlignment w:val="auto"/>
        <w:rPr>
          <w:rFonts w:hint="default" w:ascii="Arial" w:hAnsi="Arial" w:eastAsia="宋体" w:cs="Arial"/>
          <w:color w:val="auto"/>
          <w:highlight w:val="none"/>
        </w:rPr>
      </w:pPr>
      <w:bookmarkStart w:id="259" w:name="_Toc8395"/>
      <w:r>
        <w:rPr>
          <w:rFonts w:hint="default" w:ascii="Arial" w:hAnsi="Arial" w:eastAsia="宋体" w:cs="Arial"/>
          <w:color w:val="auto"/>
          <w:highlight w:val="none"/>
        </w:rPr>
        <w:t>4.1.2</w:t>
      </w:r>
      <w:r>
        <w:rPr>
          <w:rFonts w:hint="default" w:ascii="Arial" w:hAnsi="Arial" w:eastAsia="宋体" w:cs="Arial"/>
          <w:color w:val="auto"/>
          <w:szCs w:val="22"/>
          <w:highlight w:val="none"/>
        </w:rPr>
        <w:t>地形地貌</w:t>
      </w:r>
      <w:bookmarkEnd w:id="259"/>
    </w:p>
    <w:p>
      <w:pPr>
        <w:pageBreakBefore w:val="0"/>
        <w:widowControl w:val="0"/>
        <w:kinsoku/>
        <w:wordWrap/>
        <w:overflowPunct/>
        <w:autoSpaceDN/>
        <w:bidi w:val="0"/>
        <w:adjustRightInd/>
        <w:spacing w:line="480" w:lineRule="exact"/>
        <w:ind w:firstLine="480"/>
        <w:textAlignment w:val="auto"/>
        <w:rPr>
          <w:rFonts w:hint="default" w:ascii="Arial" w:hAnsi="Arial" w:eastAsia="宋体" w:cs="Arial"/>
          <w:color w:val="auto"/>
          <w:kern w:val="0"/>
          <w:highlight w:val="none"/>
        </w:rPr>
      </w:pPr>
      <w:r>
        <w:rPr>
          <w:rFonts w:hint="default" w:ascii="Arial" w:hAnsi="Arial" w:eastAsia="宋体" w:cs="Arial"/>
          <w:color w:val="auto"/>
          <w:kern w:val="0"/>
          <w:highlight w:val="none"/>
        </w:rPr>
        <w:t>五原县在大地构造单元上，属阴山天山纬向构造带，并受新华夏系构造的影响，形成内陆断陷盆地，整个辖区属河套平原，为第四纪松散的地层所覆盖，沉积了较厚的湖相地层。上部是冲</w:t>
      </w:r>
      <w:bookmarkStart w:id="675" w:name="_GoBack"/>
      <w:bookmarkEnd w:id="675"/>
      <w:r>
        <w:rPr>
          <w:rFonts w:hint="default" w:ascii="Arial" w:hAnsi="Arial" w:eastAsia="宋体" w:cs="Arial"/>
          <w:color w:val="auto"/>
          <w:kern w:val="0"/>
          <w:highlight w:val="none"/>
        </w:rPr>
        <w:t>积、风积层，主要岩性为细砂、粉砂和砂粘土互层。砂层层理清晰，厚度10～70米。中部为河湖交替层，主要岩性为淤泥质、粉砂与粘土互层。下部为巨厚的新老第四纪湖相沉积层，主要岩性为淤泥质砂粘土。土质膏腴肥美，适于农作物及各种植被的生长。虽然有的土地呈盐碱化，但并不影响耐碱作物，如葵花、枸杞等作物的生长。</w:t>
      </w:r>
    </w:p>
    <w:p>
      <w:pPr>
        <w:pStyle w:val="6"/>
        <w:pageBreakBefore w:val="0"/>
        <w:widowControl w:val="0"/>
        <w:kinsoku/>
        <w:wordWrap/>
        <w:overflowPunct/>
        <w:autoSpaceDN/>
        <w:bidi w:val="0"/>
        <w:adjustRightInd/>
        <w:spacing w:line="480" w:lineRule="exact"/>
        <w:textAlignment w:val="auto"/>
        <w:rPr>
          <w:rFonts w:hint="default" w:ascii="Arial" w:hAnsi="Arial" w:eastAsia="宋体" w:cs="Arial"/>
          <w:color w:val="auto"/>
          <w:szCs w:val="22"/>
          <w:highlight w:val="none"/>
        </w:rPr>
      </w:pPr>
      <w:bookmarkStart w:id="260" w:name="_Toc12225"/>
      <w:r>
        <w:rPr>
          <w:rFonts w:hint="default" w:ascii="Arial" w:hAnsi="Arial" w:eastAsia="宋体" w:cs="Arial"/>
          <w:color w:val="auto"/>
          <w:highlight w:val="none"/>
        </w:rPr>
        <w:t>4.1.3</w:t>
      </w:r>
      <w:r>
        <w:rPr>
          <w:rFonts w:hint="default" w:ascii="Arial" w:hAnsi="Arial" w:eastAsia="宋体" w:cs="Arial"/>
          <w:color w:val="auto"/>
          <w:szCs w:val="22"/>
          <w:highlight w:val="none"/>
        </w:rPr>
        <w:t>气候特征</w:t>
      </w:r>
      <w:bookmarkEnd w:id="260"/>
    </w:p>
    <w:p>
      <w:pPr>
        <w:pageBreakBefore w:val="0"/>
        <w:widowControl w:val="0"/>
        <w:kinsoku/>
        <w:wordWrap/>
        <w:overflowPunct/>
        <w:autoSpaceDN/>
        <w:bidi w:val="0"/>
        <w:adjustRightInd/>
        <w:spacing w:line="480" w:lineRule="exact"/>
        <w:ind w:firstLine="480"/>
        <w:textAlignment w:val="auto"/>
        <w:rPr>
          <w:rFonts w:hint="default" w:ascii="Arial" w:hAnsi="Arial" w:eastAsia="宋体" w:cs="Arial"/>
          <w:color w:val="auto"/>
          <w:highlight w:val="none"/>
        </w:rPr>
      </w:pPr>
      <w:bookmarkStart w:id="261" w:name="_Toc27598546"/>
      <w:r>
        <w:rPr>
          <w:rFonts w:hint="default" w:ascii="Arial" w:hAnsi="Arial" w:eastAsia="宋体" w:cs="Arial"/>
          <w:color w:val="auto"/>
        </w:rPr>
        <w:t>五原县地处中温带大陆性气候与季风气候的交界处，四季分明，冬季漫长寒冷，春季多风干燥，夏季炎热短促。降水集中，雨热同季，日照充足，年平均气温8.2℃，极端最高气温38.1℃（1999年7月26日），极端最低气温-29℃（2008年1月24日）。年平均日照时数3047.4小时，全年无霜期为127～213天，年平均风速1.9米/秒。降水量偏少，蒸发量大，年平均降水量177mm，年蒸发量2093.2mm，降水量由西向东逐渐增多。降水主要集中在6～9月，占全年降水量的75～80%，日最大降水量92mm。主要气象灾害有冰雹、霜冻、寒潮、大风、洪涝、沙尘暴等</w:t>
      </w:r>
      <w:r>
        <w:rPr>
          <w:rFonts w:hint="default" w:ascii="Arial" w:hAnsi="Arial" w:eastAsia="宋体" w:cs="Arial"/>
          <w:color w:val="auto"/>
          <w:highlight w:val="none"/>
        </w:rPr>
        <w:t>。</w:t>
      </w:r>
    </w:p>
    <w:bookmarkEnd w:id="261"/>
    <w:p>
      <w:pPr>
        <w:pStyle w:val="6"/>
        <w:pageBreakBefore w:val="0"/>
        <w:widowControl w:val="0"/>
        <w:kinsoku/>
        <w:wordWrap/>
        <w:overflowPunct/>
        <w:autoSpaceDN/>
        <w:bidi w:val="0"/>
        <w:adjustRightInd/>
        <w:spacing w:line="480" w:lineRule="exact"/>
        <w:textAlignment w:val="auto"/>
        <w:rPr>
          <w:rFonts w:hint="default" w:ascii="Arial" w:hAnsi="Arial" w:eastAsia="宋体" w:cs="Arial"/>
          <w:color w:val="auto"/>
          <w:highlight w:val="none"/>
          <w:lang w:eastAsia="zh-CN"/>
        </w:rPr>
      </w:pPr>
      <w:bookmarkStart w:id="262" w:name="_Toc10451"/>
      <w:bookmarkStart w:id="263" w:name="_Toc528328470"/>
      <w:bookmarkStart w:id="264" w:name="_Toc22427"/>
      <w:bookmarkStart w:id="265" w:name="_Toc7386"/>
      <w:bookmarkStart w:id="266" w:name="_Toc11014"/>
      <w:bookmarkStart w:id="267" w:name="_Toc12566"/>
      <w:bookmarkStart w:id="268" w:name="_Toc20130"/>
      <w:r>
        <w:rPr>
          <w:rFonts w:hint="default" w:ascii="Arial" w:hAnsi="Arial" w:eastAsia="宋体" w:cs="Arial"/>
          <w:color w:val="auto"/>
          <w:highlight w:val="none"/>
        </w:rPr>
        <w:t>4.1.</w:t>
      </w:r>
      <w:r>
        <w:rPr>
          <w:rFonts w:hint="default" w:ascii="Arial" w:hAnsi="Arial" w:eastAsia="宋体" w:cs="Arial"/>
          <w:color w:val="auto"/>
          <w:highlight w:val="none"/>
          <w:lang w:val="en-US" w:eastAsia="zh-CN"/>
        </w:rPr>
        <w:t>4</w:t>
      </w:r>
      <w:r>
        <w:rPr>
          <w:rFonts w:hint="default" w:ascii="Arial" w:hAnsi="Arial" w:eastAsia="宋体" w:cs="Arial"/>
          <w:color w:val="auto"/>
          <w:highlight w:val="none"/>
        </w:rPr>
        <w:t>水文</w:t>
      </w:r>
      <w:bookmarkEnd w:id="262"/>
      <w:bookmarkEnd w:id="263"/>
      <w:bookmarkEnd w:id="264"/>
      <w:bookmarkEnd w:id="265"/>
      <w:bookmarkEnd w:id="266"/>
      <w:bookmarkEnd w:id="267"/>
      <w:r>
        <w:rPr>
          <w:rFonts w:hint="default" w:ascii="Arial" w:hAnsi="Arial" w:eastAsia="宋体" w:cs="Arial"/>
          <w:color w:val="auto"/>
          <w:highlight w:val="none"/>
          <w:lang w:eastAsia="zh-CN"/>
        </w:rPr>
        <w:t>地质</w:t>
      </w:r>
      <w:bookmarkEnd w:id="268"/>
    </w:p>
    <w:p>
      <w:pPr>
        <w:pageBreakBefore w:val="0"/>
        <w:widowControl w:val="0"/>
        <w:kinsoku/>
        <w:wordWrap/>
        <w:overflowPunct/>
        <w:autoSpaceDN/>
        <w:bidi w:val="0"/>
        <w:adjustRightInd/>
        <w:spacing w:line="480" w:lineRule="exact"/>
        <w:ind w:firstLine="480"/>
        <w:textAlignment w:val="auto"/>
        <w:rPr>
          <w:rFonts w:hint="default" w:ascii="Arial" w:hAnsi="Arial" w:eastAsia="宋体" w:cs="Arial"/>
          <w:color w:val="auto"/>
          <w:highlight w:val="none"/>
        </w:rPr>
      </w:pPr>
      <w:r>
        <w:rPr>
          <w:rFonts w:hint="default" w:ascii="Arial" w:hAnsi="Arial" w:eastAsia="宋体" w:cs="Arial"/>
          <w:color w:val="auto"/>
        </w:rPr>
        <w:t>五原境内因黄河冲积层在长期风蚀作用下形成许多风蚀洼地和黄河改道时冲刷的天然壕沟。这些洼地与壕沟长年积水，形成大小不同的海子（湖泊，俗称泊尔洞）。全县有面积三亩以上的海子171个，总面积5.45万亩；其中千亩以上的海子5个，总面积1.06万亩；百亩以上的海子37个，总面积1.33万亩。海子水深大于1.5米的116个，面积2.71万亩。1986年已被利用的水面3.8万亩，占70%。这些海子大多分布在县境西部的塔尔湖镇、银定图乡、海子堰乡、什巴乡，以及县境南部的套海镇、东部的胜丰镇。城南、美林、隆镇也有零星分布</w:t>
      </w:r>
      <w:r>
        <w:rPr>
          <w:rFonts w:hint="default" w:ascii="Arial" w:hAnsi="Arial" w:eastAsia="宋体" w:cs="Arial"/>
          <w:color w:val="auto"/>
          <w:highlight w:val="none"/>
        </w:rPr>
        <w:t>。</w:t>
      </w:r>
    </w:p>
    <w:p>
      <w:pPr>
        <w:pStyle w:val="6"/>
        <w:pageBreakBefore w:val="0"/>
        <w:widowControl w:val="0"/>
        <w:kinsoku/>
        <w:wordWrap/>
        <w:overflowPunct/>
        <w:autoSpaceDN/>
        <w:bidi w:val="0"/>
        <w:adjustRightInd/>
        <w:spacing w:line="480" w:lineRule="exact"/>
        <w:textAlignment w:val="auto"/>
        <w:rPr>
          <w:rFonts w:hint="default" w:ascii="Arial" w:hAnsi="Arial" w:eastAsia="宋体" w:cs="Arial"/>
          <w:color w:val="auto"/>
          <w:highlight w:val="none"/>
          <w:lang w:eastAsia="zh-CN"/>
        </w:rPr>
      </w:pPr>
      <w:bookmarkStart w:id="269" w:name="_Toc4241"/>
      <w:bookmarkStart w:id="270" w:name="_Toc3373"/>
      <w:bookmarkStart w:id="271" w:name="_Toc276105879"/>
      <w:bookmarkStart w:id="272" w:name="_Toc276333587"/>
      <w:bookmarkStart w:id="273" w:name="_Toc18365"/>
      <w:bookmarkStart w:id="274" w:name="_Toc4343"/>
      <w:bookmarkStart w:id="275" w:name="_Toc28193"/>
      <w:bookmarkStart w:id="276" w:name="_Toc528328471"/>
      <w:bookmarkStart w:id="277" w:name="_Toc9188"/>
      <w:r>
        <w:rPr>
          <w:rFonts w:hint="default" w:ascii="Arial" w:hAnsi="Arial" w:eastAsia="宋体" w:cs="Arial"/>
          <w:color w:val="auto"/>
          <w:highlight w:val="none"/>
        </w:rPr>
        <w:t>4.1.</w:t>
      </w:r>
      <w:r>
        <w:rPr>
          <w:rFonts w:hint="default" w:ascii="Arial" w:hAnsi="Arial" w:eastAsia="宋体" w:cs="Arial"/>
          <w:color w:val="auto"/>
          <w:highlight w:val="none"/>
          <w:lang w:val="en-US" w:eastAsia="zh-CN"/>
        </w:rPr>
        <w:t>5</w:t>
      </w:r>
      <w:r>
        <w:rPr>
          <w:rFonts w:hint="default" w:ascii="Arial" w:hAnsi="Arial" w:eastAsia="宋体" w:cs="Arial"/>
          <w:color w:val="auto"/>
          <w:highlight w:val="none"/>
        </w:rPr>
        <w:t>土壤</w:t>
      </w:r>
      <w:bookmarkEnd w:id="269"/>
      <w:bookmarkEnd w:id="270"/>
      <w:bookmarkEnd w:id="271"/>
      <w:bookmarkEnd w:id="272"/>
      <w:bookmarkEnd w:id="273"/>
      <w:bookmarkEnd w:id="274"/>
      <w:bookmarkEnd w:id="275"/>
      <w:bookmarkEnd w:id="276"/>
      <w:r>
        <w:rPr>
          <w:rFonts w:hint="default" w:ascii="Arial" w:hAnsi="Arial" w:eastAsia="宋体" w:cs="Arial"/>
          <w:color w:val="auto"/>
          <w:highlight w:val="none"/>
          <w:lang w:eastAsia="zh-CN"/>
        </w:rPr>
        <w:t>资源</w:t>
      </w:r>
      <w:bookmarkEnd w:id="277"/>
    </w:p>
    <w:p>
      <w:pPr>
        <w:pageBreakBefore w:val="0"/>
        <w:widowControl w:val="0"/>
        <w:kinsoku/>
        <w:wordWrap/>
        <w:overflowPunct/>
        <w:autoSpaceDN/>
        <w:bidi w:val="0"/>
        <w:adjustRightInd/>
        <w:spacing w:line="480" w:lineRule="exact"/>
        <w:ind w:firstLine="480"/>
        <w:textAlignment w:val="auto"/>
        <w:rPr>
          <w:rFonts w:hint="default" w:ascii="Arial" w:hAnsi="Arial" w:eastAsia="宋体" w:cs="Arial"/>
          <w:color w:val="auto"/>
          <w:highlight w:val="none"/>
        </w:rPr>
      </w:pPr>
      <w:bookmarkStart w:id="278" w:name="_Toc148690295"/>
      <w:r>
        <w:rPr>
          <w:rFonts w:hint="default" w:ascii="Arial" w:hAnsi="Arial" w:eastAsia="宋体" w:cs="Arial"/>
          <w:color w:val="auto"/>
        </w:rPr>
        <w:t>五原县土壤类型可划分为灌淤土、盐土、碱土、风沙土、草甸土5个土类、8个亚类、26个土属、268个土种。灌淤土在全县分布广、面积大，是本县耕地的主要土类；盐土在本县面积较大，是荒地的主要土类，只生长一些红柳、碱蓬、盐蒿、猪尾巴等盐生植物；碱土在本县面积较少，土壤的物理性状差，结构不良，难以改造利用；草甸土全县面积较少，是天然的牧场；风沙土在全县分布较少，是发展林业生产和基地和天然牧草场</w:t>
      </w:r>
      <w:r>
        <w:rPr>
          <w:rFonts w:hint="default" w:ascii="Arial" w:hAnsi="Arial" w:eastAsia="宋体" w:cs="Arial"/>
          <w:color w:val="auto"/>
          <w:highlight w:val="none"/>
        </w:rPr>
        <w:t>。</w:t>
      </w:r>
    </w:p>
    <w:p>
      <w:pPr>
        <w:pStyle w:val="6"/>
        <w:pageBreakBefore w:val="0"/>
        <w:widowControl w:val="0"/>
        <w:kinsoku/>
        <w:wordWrap/>
        <w:overflowPunct/>
        <w:autoSpaceDN/>
        <w:bidi w:val="0"/>
        <w:adjustRightInd/>
        <w:spacing w:line="480" w:lineRule="exact"/>
        <w:textAlignment w:val="auto"/>
        <w:rPr>
          <w:rFonts w:hint="default" w:ascii="Arial" w:hAnsi="Arial" w:eastAsia="宋体" w:cs="Arial"/>
          <w:color w:val="auto"/>
          <w:highlight w:val="none"/>
          <w:lang w:eastAsia="zh-CN"/>
        </w:rPr>
      </w:pPr>
      <w:bookmarkStart w:id="279" w:name="_Toc18023"/>
      <w:bookmarkStart w:id="280" w:name="_Toc4954"/>
      <w:bookmarkStart w:id="281" w:name="_Toc11981"/>
      <w:bookmarkStart w:id="282" w:name="_Toc5035"/>
      <w:bookmarkStart w:id="283" w:name="_Toc528328472"/>
      <w:bookmarkStart w:id="284" w:name="_Toc8422"/>
      <w:bookmarkStart w:id="285" w:name="_Toc3806"/>
      <w:r>
        <w:rPr>
          <w:rFonts w:hint="default" w:ascii="Arial" w:hAnsi="Arial" w:eastAsia="宋体" w:cs="Arial"/>
          <w:color w:val="auto"/>
          <w:highlight w:val="none"/>
        </w:rPr>
        <w:t>4.1.</w:t>
      </w:r>
      <w:r>
        <w:rPr>
          <w:rFonts w:hint="default" w:ascii="Arial" w:hAnsi="Arial" w:eastAsia="宋体" w:cs="Arial"/>
          <w:color w:val="auto"/>
          <w:highlight w:val="none"/>
          <w:lang w:val="en-US" w:eastAsia="zh-CN"/>
        </w:rPr>
        <w:t>6</w:t>
      </w:r>
      <w:bookmarkEnd w:id="279"/>
      <w:bookmarkEnd w:id="280"/>
      <w:bookmarkEnd w:id="281"/>
      <w:bookmarkEnd w:id="282"/>
      <w:bookmarkEnd w:id="283"/>
      <w:bookmarkEnd w:id="284"/>
      <w:r>
        <w:rPr>
          <w:rFonts w:hint="default" w:ascii="Arial" w:hAnsi="Arial" w:eastAsia="宋体" w:cs="Arial"/>
          <w:color w:val="auto"/>
          <w:highlight w:val="none"/>
          <w:lang w:val="en-US" w:eastAsia="zh-CN"/>
        </w:rPr>
        <w:t>动植物资源</w:t>
      </w:r>
      <w:bookmarkEnd w:id="285"/>
    </w:p>
    <w:p>
      <w:pPr>
        <w:pageBreakBefore w:val="0"/>
        <w:widowControl w:val="0"/>
        <w:kinsoku/>
        <w:wordWrap/>
        <w:overflowPunct/>
        <w:autoSpaceDN/>
        <w:bidi w:val="0"/>
        <w:adjustRightInd/>
        <w:spacing w:line="480" w:lineRule="exact"/>
        <w:ind w:firstLine="480"/>
        <w:textAlignment w:val="auto"/>
        <w:rPr>
          <w:rFonts w:hint="default" w:ascii="Arial" w:hAnsi="Arial" w:eastAsia="宋体" w:cs="Arial"/>
          <w:color w:val="auto"/>
          <w:highlight w:val="none"/>
        </w:rPr>
      </w:pPr>
      <w:r>
        <w:rPr>
          <w:rFonts w:hint="default" w:ascii="Arial" w:hAnsi="Arial" w:eastAsia="宋体" w:cs="Arial"/>
          <w:color w:val="auto"/>
        </w:rPr>
        <w:t>全县天然野生植物约200余种，分属于15科99个属，其中药用植物有蒲公英、锁阳、甘草、车前草、蒲黄、艾、苍耳等60余种，纤维植物包括芨芨、芦苇、蒲草等，淀粉植物主要有灰菜、沙蓬、沙蒿、野豌豆等。野生动物资源主要有狐狸、兔、黄鼠狼、田鼠等</w:t>
      </w:r>
      <w:r>
        <w:rPr>
          <w:rFonts w:hint="default" w:ascii="Arial" w:hAnsi="Arial" w:eastAsia="宋体" w:cs="Arial"/>
          <w:color w:val="auto"/>
          <w:highlight w:val="none"/>
        </w:rPr>
        <w:t>。</w:t>
      </w:r>
    </w:p>
    <w:bookmarkEnd w:id="278"/>
    <w:p>
      <w:pPr>
        <w:pStyle w:val="5"/>
        <w:pageBreakBefore w:val="0"/>
        <w:widowControl w:val="0"/>
        <w:kinsoku/>
        <w:wordWrap/>
        <w:overflowPunct/>
        <w:autoSpaceDN/>
        <w:bidi w:val="0"/>
        <w:adjustRightInd/>
        <w:spacing w:line="480" w:lineRule="exact"/>
        <w:textAlignment w:val="auto"/>
        <w:rPr>
          <w:rFonts w:hint="default" w:ascii="Arial" w:hAnsi="Arial" w:eastAsia="宋体" w:cs="Arial"/>
          <w:color w:val="auto"/>
          <w:highlight w:val="none"/>
        </w:rPr>
      </w:pPr>
      <w:bookmarkStart w:id="286" w:name="_Toc19552"/>
      <w:r>
        <w:rPr>
          <w:rFonts w:hint="default" w:ascii="Arial" w:hAnsi="Arial" w:eastAsia="宋体" w:cs="Arial"/>
          <w:color w:val="auto"/>
          <w:highlight w:val="none"/>
        </w:rPr>
        <w:t>4.2环境质量现状调查与评价</w:t>
      </w:r>
      <w:bookmarkEnd w:id="286"/>
    </w:p>
    <w:p>
      <w:pPr>
        <w:pStyle w:val="6"/>
        <w:pageBreakBefore w:val="0"/>
        <w:widowControl w:val="0"/>
        <w:kinsoku/>
        <w:wordWrap/>
        <w:overflowPunct/>
        <w:autoSpaceDN/>
        <w:bidi w:val="0"/>
        <w:adjustRightInd/>
        <w:spacing w:line="480" w:lineRule="exact"/>
        <w:textAlignment w:val="auto"/>
        <w:rPr>
          <w:rFonts w:hint="default" w:ascii="Arial" w:hAnsi="Arial" w:eastAsia="宋体" w:cs="Arial"/>
          <w:color w:val="auto"/>
          <w:highlight w:val="none"/>
        </w:rPr>
      </w:pPr>
      <w:bookmarkStart w:id="287" w:name="_Toc7289"/>
      <w:r>
        <w:rPr>
          <w:rFonts w:hint="default" w:ascii="Arial" w:hAnsi="Arial" w:eastAsia="宋体" w:cs="Arial"/>
          <w:color w:val="auto"/>
          <w:highlight w:val="none"/>
        </w:rPr>
        <w:t>4.2.1环境空气质量现状</w:t>
      </w:r>
      <w:bookmarkEnd w:id="287"/>
    </w:p>
    <w:p>
      <w:pPr>
        <w:pStyle w:val="7"/>
        <w:pageBreakBefore w:val="0"/>
        <w:widowControl w:val="0"/>
        <w:kinsoku/>
        <w:wordWrap/>
        <w:overflowPunct/>
        <w:autoSpaceDN/>
        <w:bidi w:val="0"/>
        <w:adjustRightInd/>
        <w:spacing w:line="480" w:lineRule="exact"/>
        <w:textAlignment w:val="auto"/>
        <w:rPr>
          <w:rFonts w:hint="default" w:ascii="Arial" w:hAnsi="Arial" w:eastAsia="宋体" w:cs="Arial"/>
          <w:color w:val="auto"/>
          <w:highlight w:val="none"/>
        </w:rPr>
      </w:pPr>
      <w:r>
        <w:rPr>
          <w:rFonts w:hint="default" w:ascii="Arial" w:hAnsi="Arial" w:eastAsia="宋体" w:cs="Arial"/>
          <w:color w:val="auto"/>
          <w:highlight w:val="none"/>
        </w:rPr>
        <w:t>4.2.1.1区域空气环境达标区判定</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80" w:lineRule="exact"/>
        <w:ind w:left="0" w:right="0" w:firstLine="480" w:firstLineChars="200"/>
        <w:textAlignment w:val="auto"/>
        <w:rPr>
          <w:rFonts w:hint="default" w:ascii="Arial" w:hAnsi="Arial" w:eastAsia="宋体" w:cs="Arial"/>
          <w:color w:val="auto"/>
          <w:kern w:val="0"/>
          <w:sz w:val="24"/>
          <w:szCs w:val="24"/>
          <w:highlight w:val="none"/>
        </w:rPr>
      </w:pPr>
      <w:bookmarkStart w:id="288" w:name="_Toc326843504"/>
      <w:bookmarkStart w:id="289" w:name="_Toc300647740"/>
      <w:bookmarkStart w:id="290" w:name="_Toc346715577"/>
      <w:bookmarkStart w:id="291" w:name="_Toc312653499"/>
      <w:bookmarkStart w:id="292" w:name="_Toc304627265"/>
      <w:r>
        <w:rPr>
          <w:rFonts w:hint="default" w:ascii="Arial" w:hAnsi="Arial" w:eastAsia="宋体" w:cs="Arial"/>
          <w:color w:val="auto"/>
          <w:kern w:val="0"/>
          <w:sz w:val="24"/>
          <w:szCs w:val="24"/>
          <w:highlight w:val="none"/>
        </w:rPr>
        <w:t>根据《环境影响评价技术导则 大气环境》（HJ2.2-2018）中6.4.1.1中的内容“城市环境空气质量达标评价指标为SO</w:t>
      </w:r>
      <w:r>
        <w:rPr>
          <w:rFonts w:hint="default" w:ascii="Arial" w:hAnsi="Arial" w:eastAsia="宋体" w:cs="Arial"/>
          <w:color w:val="auto"/>
          <w:kern w:val="0"/>
          <w:sz w:val="24"/>
          <w:szCs w:val="24"/>
          <w:highlight w:val="none"/>
          <w:vertAlign w:val="subscript"/>
        </w:rPr>
        <w:t>2</w:t>
      </w:r>
      <w:r>
        <w:rPr>
          <w:rFonts w:hint="default" w:ascii="Arial" w:hAnsi="Arial" w:eastAsia="宋体" w:cs="Arial"/>
          <w:color w:val="auto"/>
          <w:kern w:val="0"/>
          <w:sz w:val="24"/>
          <w:szCs w:val="24"/>
          <w:highlight w:val="none"/>
        </w:rPr>
        <w:t>、NO</w:t>
      </w:r>
      <w:r>
        <w:rPr>
          <w:rFonts w:hint="default" w:ascii="Arial" w:hAnsi="Arial" w:eastAsia="宋体" w:cs="Arial"/>
          <w:color w:val="auto"/>
          <w:kern w:val="0"/>
          <w:sz w:val="24"/>
          <w:szCs w:val="24"/>
          <w:highlight w:val="none"/>
          <w:vertAlign w:val="subscript"/>
        </w:rPr>
        <w:t>2</w:t>
      </w:r>
      <w:r>
        <w:rPr>
          <w:rFonts w:hint="default" w:ascii="Arial" w:hAnsi="Arial" w:eastAsia="宋体" w:cs="Arial"/>
          <w:color w:val="auto"/>
          <w:kern w:val="0"/>
          <w:sz w:val="24"/>
          <w:szCs w:val="24"/>
          <w:highlight w:val="none"/>
        </w:rPr>
        <w:t>、PM</w:t>
      </w:r>
      <w:r>
        <w:rPr>
          <w:rFonts w:hint="default" w:ascii="Arial" w:hAnsi="Arial" w:eastAsia="宋体" w:cs="Arial"/>
          <w:color w:val="auto"/>
          <w:kern w:val="0"/>
          <w:sz w:val="24"/>
          <w:szCs w:val="24"/>
          <w:highlight w:val="none"/>
          <w:vertAlign w:val="subscript"/>
        </w:rPr>
        <w:t>10</w:t>
      </w:r>
      <w:r>
        <w:rPr>
          <w:rFonts w:hint="default" w:ascii="Arial" w:hAnsi="Arial" w:eastAsia="宋体" w:cs="Arial"/>
          <w:color w:val="auto"/>
          <w:kern w:val="0"/>
          <w:sz w:val="24"/>
          <w:szCs w:val="24"/>
          <w:highlight w:val="none"/>
        </w:rPr>
        <w:t>、PM</w:t>
      </w:r>
      <w:r>
        <w:rPr>
          <w:rFonts w:hint="default" w:ascii="Arial" w:hAnsi="Arial" w:eastAsia="宋体" w:cs="Arial"/>
          <w:color w:val="auto"/>
          <w:kern w:val="0"/>
          <w:sz w:val="24"/>
          <w:szCs w:val="24"/>
          <w:highlight w:val="none"/>
          <w:vertAlign w:val="subscript"/>
        </w:rPr>
        <w:t>2.5</w:t>
      </w:r>
      <w:r>
        <w:rPr>
          <w:rFonts w:hint="default" w:ascii="Arial" w:hAnsi="Arial" w:eastAsia="宋体" w:cs="Arial"/>
          <w:color w:val="auto"/>
          <w:kern w:val="0"/>
          <w:sz w:val="24"/>
          <w:szCs w:val="24"/>
          <w:highlight w:val="none"/>
        </w:rPr>
        <w:t>、CO和O</w:t>
      </w:r>
      <w:r>
        <w:rPr>
          <w:rFonts w:hint="default" w:ascii="Arial" w:hAnsi="Arial" w:eastAsia="宋体" w:cs="Arial"/>
          <w:color w:val="auto"/>
          <w:kern w:val="0"/>
          <w:sz w:val="24"/>
          <w:szCs w:val="24"/>
          <w:highlight w:val="none"/>
          <w:vertAlign w:val="subscript"/>
        </w:rPr>
        <w:t>3</w:t>
      </w:r>
      <w:r>
        <w:rPr>
          <w:rFonts w:hint="default" w:ascii="Arial" w:hAnsi="Arial" w:eastAsia="宋体" w:cs="Arial"/>
          <w:color w:val="auto"/>
          <w:kern w:val="0"/>
          <w:sz w:val="24"/>
          <w:szCs w:val="24"/>
          <w:highlight w:val="none"/>
        </w:rPr>
        <w:t>，六项污染物全部达标即为城市环境空气质量达标”。</w:t>
      </w:r>
    </w:p>
    <w:p>
      <w:pPr>
        <w:pageBreakBefore w:val="0"/>
        <w:widowControl w:val="0"/>
        <w:kinsoku/>
        <w:wordWrap/>
        <w:overflowPunct/>
        <w:autoSpaceDN/>
        <w:bidi w:val="0"/>
        <w:adjustRightInd/>
        <w:spacing w:line="480" w:lineRule="exact"/>
        <w:ind w:firstLine="480"/>
        <w:textAlignment w:val="auto"/>
        <w:rPr>
          <w:rFonts w:hint="default" w:ascii="Arial" w:hAnsi="Arial" w:eastAsia="宋体" w:cs="Arial"/>
          <w:color w:val="auto"/>
          <w:highlight w:val="none"/>
        </w:rPr>
      </w:pPr>
      <w:r>
        <w:rPr>
          <w:rFonts w:hint="default" w:ascii="Arial" w:hAnsi="Arial" w:eastAsia="宋体" w:cs="Arial"/>
          <w:color w:val="auto"/>
          <w:kern w:val="0"/>
          <w:sz w:val="24"/>
          <w:szCs w:val="24"/>
          <w:highlight w:val="none"/>
        </w:rPr>
        <w:t>本项目环境质量现状数据来源于</w:t>
      </w:r>
      <w:r>
        <w:rPr>
          <w:rFonts w:hint="default" w:ascii="Arial" w:hAnsi="Arial" w:eastAsia="宋体" w:cs="Arial"/>
          <w:color w:val="auto"/>
          <w:kern w:val="0"/>
          <w:sz w:val="24"/>
          <w:szCs w:val="24"/>
          <w:highlight w:val="none"/>
          <w:lang w:eastAsia="zh-CN"/>
        </w:rPr>
        <w:t>《巴彦淖尔市环境质量状况公报</w:t>
      </w:r>
      <w:r>
        <w:rPr>
          <w:rFonts w:hint="default" w:ascii="Arial" w:hAnsi="Arial" w:eastAsia="宋体" w:cs="Arial"/>
          <w:color w:val="auto"/>
          <w:kern w:val="0"/>
          <w:sz w:val="24"/>
          <w:szCs w:val="24"/>
          <w:highlight w:val="none"/>
          <w:lang w:val="en-US" w:eastAsia="zh-CN"/>
        </w:rPr>
        <w:t>2020年</w:t>
      </w:r>
      <w:r>
        <w:rPr>
          <w:rFonts w:hint="default" w:ascii="Arial" w:hAnsi="Arial" w:eastAsia="宋体" w:cs="Arial"/>
          <w:color w:val="auto"/>
          <w:kern w:val="0"/>
          <w:sz w:val="24"/>
          <w:szCs w:val="24"/>
          <w:highlight w:val="none"/>
          <w:lang w:eastAsia="zh-CN"/>
        </w:rPr>
        <w:t>》</w:t>
      </w:r>
      <w:r>
        <w:rPr>
          <w:rFonts w:hint="default" w:ascii="Arial" w:hAnsi="Arial" w:eastAsia="宋体" w:cs="Arial"/>
          <w:color w:val="auto"/>
          <w:kern w:val="0"/>
          <w:sz w:val="24"/>
          <w:szCs w:val="24"/>
          <w:highlight w:val="none"/>
        </w:rPr>
        <w:t>中的内容，内蒙古巴彦淖尔市五原县隆兴昌镇20</w:t>
      </w:r>
      <w:r>
        <w:rPr>
          <w:rFonts w:hint="default" w:ascii="Arial" w:hAnsi="Arial" w:eastAsia="宋体" w:cs="Arial"/>
          <w:color w:val="auto"/>
          <w:kern w:val="0"/>
          <w:sz w:val="24"/>
          <w:szCs w:val="24"/>
          <w:highlight w:val="none"/>
          <w:lang w:val="en-US" w:eastAsia="zh-CN"/>
        </w:rPr>
        <w:t>20</w:t>
      </w:r>
      <w:r>
        <w:rPr>
          <w:rFonts w:hint="default" w:ascii="Arial" w:hAnsi="Arial" w:eastAsia="宋体" w:cs="Arial"/>
          <w:color w:val="auto"/>
          <w:kern w:val="0"/>
          <w:sz w:val="24"/>
          <w:szCs w:val="24"/>
          <w:highlight w:val="none"/>
        </w:rPr>
        <w:t>年六项污染物</w:t>
      </w:r>
      <w:r>
        <w:rPr>
          <w:rFonts w:hint="default" w:ascii="Arial" w:hAnsi="Arial" w:eastAsia="宋体" w:cs="Arial"/>
          <w:color w:val="auto"/>
          <w:kern w:val="0"/>
          <w:sz w:val="24"/>
          <w:szCs w:val="24"/>
          <w:highlight w:val="none"/>
          <w:lang w:eastAsia="zh-CN"/>
        </w:rPr>
        <w:t>环境质量数据见下表</w:t>
      </w:r>
      <w:r>
        <w:rPr>
          <w:rFonts w:hint="default" w:ascii="Arial" w:hAnsi="Arial" w:eastAsia="宋体" w:cs="Arial"/>
          <w:color w:val="auto"/>
          <w:highlight w:val="none"/>
        </w:rPr>
        <w:t>。</w:t>
      </w:r>
    </w:p>
    <w:p>
      <w:pPr>
        <w:pageBreakBefore w:val="0"/>
        <w:widowControl w:val="0"/>
        <w:kinsoku/>
        <w:wordWrap/>
        <w:overflowPunct/>
        <w:autoSpaceDN/>
        <w:bidi w:val="0"/>
        <w:adjustRightInd/>
        <w:spacing w:line="480" w:lineRule="exact"/>
        <w:ind w:firstLine="482"/>
        <w:jc w:val="center"/>
        <w:textAlignment w:val="auto"/>
        <w:rPr>
          <w:rFonts w:hint="default" w:ascii="Arial" w:hAnsi="Arial" w:eastAsia="宋体" w:cs="Arial"/>
          <w:b/>
          <w:color w:val="auto"/>
          <w:highlight w:val="none"/>
        </w:rPr>
      </w:pPr>
      <w:r>
        <w:rPr>
          <w:rFonts w:hint="default" w:ascii="Arial" w:hAnsi="Arial" w:eastAsia="宋体" w:cs="Arial"/>
          <w:b/>
          <w:color w:val="auto"/>
          <w:highlight w:val="none"/>
        </w:rPr>
        <w:t>表4.2-1    区域空气质量现状评价表</w:t>
      </w:r>
    </w:p>
    <w:tbl>
      <w:tblPr>
        <w:tblStyle w:val="39"/>
        <w:tblW w:w="9014" w:type="dxa"/>
        <w:jc w:val="center"/>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Layout w:type="fixed"/>
        <w:tblCellMar>
          <w:top w:w="0" w:type="dxa"/>
          <w:left w:w="0" w:type="dxa"/>
          <w:bottom w:w="0" w:type="dxa"/>
          <w:right w:w="0" w:type="dxa"/>
        </w:tblCellMar>
      </w:tblPr>
      <w:tblGrid>
        <w:gridCol w:w="865"/>
        <w:gridCol w:w="2666"/>
        <w:gridCol w:w="1401"/>
        <w:gridCol w:w="1453"/>
        <w:gridCol w:w="1451"/>
        <w:gridCol w:w="1178"/>
      </w:tblGrid>
      <w:tr>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PrEx>
        <w:trPr>
          <w:trHeight w:val="340" w:hRule="atLeast"/>
          <w:jc w:val="center"/>
        </w:trPr>
        <w:tc>
          <w:tcPr>
            <w:tcW w:w="844"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污染物</w:t>
            </w:r>
          </w:p>
        </w:tc>
        <w:tc>
          <w:tcPr>
            <w:tcW w:w="2599"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年评价指标</w:t>
            </w:r>
          </w:p>
        </w:tc>
        <w:tc>
          <w:tcPr>
            <w:tcW w:w="1366"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现状浓度</w:t>
            </w:r>
          </w:p>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（μg/m</w:t>
            </w:r>
            <w:r>
              <w:rPr>
                <w:rFonts w:hint="default" w:ascii="Arial" w:hAnsi="Arial" w:eastAsia="宋体" w:cs="Arial"/>
                <w:color w:val="auto"/>
                <w:sz w:val="21"/>
                <w:szCs w:val="21"/>
                <w:highlight w:val="none"/>
                <w:vertAlign w:val="superscript"/>
              </w:rPr>
              <w:t>3</w:t>
            </w:r>
            <w:r>
              <w:rPr>
                <w:rFonts w:hint="default" w:ascii="Arial" w:hAnsi="Arial" w:eastAsia="宋体" w:cs="Arial"/>
                <w:color w:val="auto"/>
                <w:sz w:val="21"/>
                <w:szCs w:val="21"/>
                <w:highlight w:val="none"/>
              </w:rPr>
              <w:t>）</w:t>
            </w:r>
          </w:p>
        </w:tc>
        <w:tc>
          <w:tcPr>
            <w:tcW w:w="1416"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标准值</w:t>
            </w:r>
          </w:p>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（μg/m</w:t>
            </w:r>
            <w:r>
              <w:rPr>
                <w:rFonts w:hint="default" w:ascii="Arial" w:hAnsi="Arial" w:eastAsia="宋体" w:cs="Arial"/>
                <w:color w:val="auto"/>
                <w:sz w:val="21"/>
                <w:szCs w:val="21"/>
                <w:highlight w:val="none"/>
                <w:vertAlign w:val="superscript"/>
              </w:rPr>
              <w:t>3</w:t>
            </w:r>
            <w:r>
              <w:rPr>
                <w:rFonts w:hint="default" w:ascii="Arial" w:hAnsi="Arial" w:eastAsia="宋体" w:cs="Arial"/>
                <w:color w:val="auto"/>
                <w:sz w:val="21"/>
                <w:szCs w:val="21"/>
                <w:highlight w:val="none"/>
              </w:rPr>
              <w:t>）</w:t>
            </w:r>
          </w:p>
        </w:tc>
        <w:tc>
          <w:tcPr>
            <w:tcW w:w="1414"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占标率（%）</w:t>
            </w:r>
          </w:p>
        </w:tc>
        <w:tc>
          <w:tcPr>
            <w:tcW w:w="1148"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达标情况</w:t>
            </w:r>
          </w:p>
        </w:tc>
      </w:tr>
      <w:tr>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340" w:hRule="atLeast"/>
          <w:jc w:val="center"/>
        </w:trPr>
        <w:tc>
          <w:tcPr>
            <w:tcW w:w="844"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SO</w:t>
            </w:r>
            <w:r>
              <w:rPr>
                <w:rFonts w:hint="default" w:ascii="Arial" w:hAnsi="Arial" w:eastAsia="宋体" w:cs="Arial"/>
                <w:color w:val="auto"/>
                <w:sz w:val="21"/>
                <w:szCs w:val="21"/>
                <w:highlight w:val="none"/>
                <w:vertAlign w:val="subscript"/>
              </w:rPr>
              <w:t>2</w:t>
            </w:r>
          </w:p>
        </w:tc>
        <w:tc>
          <w:tcPr>
            <w:tcW w:w="2599"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年平均质量浓度</w:t>
            </w:r>
          </w:p>
        </w:tc>
        <w:tc>
          <w:tcPr>
            <w:tcW w:w="1366" w:type="dxa"/>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17</w:t>
            </w:r>
          </w:p>
        </w:tc>
        <w:tc>
          <w:tcPr>
            <w:tcW w:w="1416" w:type="dxa"/>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60</w:t>
            </w:r>
          </w:p>
        </w:tc>
        <w:tc>
          <w:tcPr>
            <w:tcW w:w="1414" w:type="dxa"/>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28.33</w:t>
            </w:r>
          </w:p>
        </w:tc>
        <w:tc>
          <w:tcPr>
            <w:tcW w:w="1148" w:type="dxa"/>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达标</w:t>
            </w:r>
          </w:p>
        </w:tc>
      </w:tr>
      <w:tr>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PrEx>
        <w:trPr>
          <w:trHeight w:val="340" w:hRule="atLeast"/>
          <w:jc w:val="center"/>
        </w:trPr>
        <w:tc>
          <w:tcPr>
            <w:tcW w:w="844"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NO</w:t>
            </w:r>
            <w:r>
              <w:rPr>
                <w:rFonts w:hint="default" w:ascii="Arial" w:hAnsi="Arial" w:eastAsia="宋体" w:cs="Arial"/>
                <w:color w:val="auto"/>
                <w:sz w:val="21"/>
                <w:szCs w:val="21"/>
                <w:highlight w:val="none"/>
                <w:vertAlign w:val="subscript"/>
              </w:rPr>
              <w:t>2</w:t>
            </w:r>
          </w:p>
        </w:tc>
        <w:tc>
          <w:tcPr>
            <w:tcW w:w="2599"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年平均质量浓度</w:t>
            </w:r>
          </w:p>
        </w:tc>
        <w:tc>
          <w:tcPr>
            <w:tcW w:w="1366" w:type="dxa"/>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21</w:t>
            </w:r>
          </w:p>
        </w:tc>
        <w:tc>
          <w:tcPr>
            <w:tcW w:w="1416" w:type="dxa"/>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40</w:t>
            </w:r>
          </w:p>
        </w:tc>
        <w:tc>
          <w:tcPr>
            <w:tcW w:w="1414" w:type="dxa"/>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52.5</w:t>
            </w:r>
          </w:p>
        </w:tc>
        <w:tc>
          <w:tcPr>
            <w:tcW w:w="1148" w:type="dxa"/>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达标</w:t>
            </w:r>
          </w:p>
        </w:tc>
      </w:tr>
      <w:tr>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PrEx>
        <w:trPr>
          <w:trHeight w:val="340" w:hRule="atLeast"/>
          <w:jc w:val="center"/>
        </w:trPr>
        <w:tc>
          <w:tcPr>
            <w:tcW w:w="844"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PM</w:t>
            </w:r>
            <w:r>
              <w:rPr>
                <w:rFonts w:hint="default" w:ascii="Arial" w:hAnsi="Arial" w:eastAsia="宋体" w:cs="Arial"/>
                <w:color w:val="auto"/>
                <w:sz w:val="21"/>
                <w:szCs w:val="21"/>
                <w:highlight w:val="none"/>
                <w:vertAlign w:val="subscript"/>
              </w:rPr>
              <w:t>10</w:t>
            </w:r>
          </w:p>
        </w:tc>
        <w:tc>
          <w:tcPr>
            <w:tcW w:w="2599"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年平均质量浓度</w:t>
            </w:r>
          </w:p>
        </w:tc>
        <w:tc>
          <w:tcPr>
            <w:tcW w:w="1366" w:type="dxa"/>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56</w:t>
            </w:r>
          </w:p>
        </w:tc>
        <w:tc>
          <w:tcPr>
            <w:tcW w:w="1416" w:type="dxa"/>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70</w:t>
            </w:r>
          </w:p>
        </w:tc>
        <w:tc>
          <w:tcPr>
            <w:tcW w:w="1414" w:type="dxa"/>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80.0</w:t>
            </w:r>
          </w:p>
        </w:tc>
        <w:tc>
          <w:tcPr>
            <w:tcW w:w="1148" w:type="dxa"/>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达标</w:t>
            </w:r>
          </w:p>
        </w:tc>
      </w:tr>
      <w:tr>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PrEx>
        <w:trPr>
          <w:trHeight w:val="340" w:hRule="atLeast"/>
          <w:jc w:val="center"/>
        </w:trPr>
        <w:tc>
          <w:tcPr>
            <w:tcW w:w="844"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PM</w:t>
            </w:r>
            <w:r>
              <w:rPr>
                <w:rFonts w:hint="default" w:ascii="Arial" w:hAnsi="Arial" w:eastAsia="宋体" w:cs="Arial"/>
                <w:color w:val="auto"/>
                <w:sz w:val="21"/>
                <w:szCs w:val="21"/>
                <w:highlight w:val="none"/>
                <w:vertAlign w:val="subscript"/>
              </w:rPr>
              <w:t>2.5</w:t>
            </w:r>
          </w:p>
        </w:tc>
        <w:tc>
          <w:tcPr>
            <w:tcW w:w="2599"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年平均质量浓度</w:t>
            </w:r>
          </w:p>
        </w:tc>
        <w:tc>
          <w:tcPr>
            <w:tcW w:w="1366" w:type="dxa"/>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34</w:t>
            </w:r>
          </w:p>
        </w:tc>
        <w:tc>
          <w:tcPr>
            <w:tcW w:w="1416" w:type="dxa"/>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35</w:t>
            </w:r>
          </w:p>
        </w:tc>
        <w:tc>
          <w:tcPr>
            <w:tcW w:w="1414" w:type="dxa"/>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97.14</w:t>
            </w:r>
          </w:p>
        </w:tc>
        <w:tc>
          <w:tcPr>
            <w:tcW w:w="1148" w:type="dxa"/>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达标</w:t>
            </w:r>
          </w:p>
        </w:tc>
      </w:tr>
      <w:tr>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PrEx>
        <w:trPr>
          <w:trHeight w:val="340" w:hRule="atLeast"/>
          <w:jc w:val="center"/>
        </w:trPr>
        <w:tc>
          <w:tcPr>
            <w:tcW w:w="844"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O</w:t>
            </w:r>
            <w:r>
              <w:rPr>
                <w:rFonts w:hint="default" w:ascii="Arial" w:hAnsi="Arial" w:eastAsia="宋体" w:cs="Arial"/>
                <w:color w:val="auto"/>
                <w:sz w:val="21"/>
                <w:szCs w:val="21"/>
                <w:highlight w:val="none"/>
                <w:vertAlign w:val="subscript"/>
              </w:rPr>
              <w:t>3</w:t>
            </w:r>
          </w:p>
        </w:tc>
        <w:tc>
          <w:tcPr>
            <w:tcW w:w="2599"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第90百分位数8小时平均</w:t>
            </w:r>
          </w:p>
        </w:tc>
        <w:tc>
          <w:tcPr>
            <w:tcW w:w="1366" w:type="dxa"/>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144</w:t>
            </w:r>
          </w:p>
        </w:tc>
        <w:tc>
          <w:tcPr>
            <w:tcW w:w="1416" w:type="dxa"/>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160</w:t>
            </w:r>
          </w:p>
        </w:tc>
        <w:tc>
          <w:tcPr>
            <w:tcW w:w="1414" w:type="dxa"/>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90.0</w:t>
            </w:r>
          </w:p>
        </w:tc>
        <w:tc>
          <w:tcPr>
            <w:tcW w:w="1148" w:type="dxa"/>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达标</w:t>
            </w:r>
          </w:p>
        </w:tc>
      </w:tr>
      <w:tr>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PrEx>
        <w:trPr>
          <w:trHeight w:val="340" w:hRule="atLeast"/>
          <w:jc w:val="center"/>
        </w:trPr>
        <w:tc>
          <w:tcPr>
            <w:tcW w:w="844"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CO</w:t>
            </w:r>
          </w:p>
        </w:tc>
        <w:tc>
          <w:tcPr>
            <w:tcW w:w="2599"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第95百分位数日平均</w:t>
            </w:r>
          </w:p>
        </w:tc>
        <w:tc>
          <w:tcPr>
            <w:tcW w:w="1366" w:type="dxa"/>
            <w:vAlign w:val="center"/>
          </w:tcPr>
          <w:p>
            <w:pPr>
              <w:keepNext w:val="0"/>
              <w:keepLines w:val="0"/>
              <w:pageBreakBefore w:val="0"/>
              <w:widowControl w:val="0"/>
              <w:suppressLineNumbers w:val="0"/>
              <w:kinsoku/>
              <w:wordWrap/>
              <w:overflowPunct/>
              <w:topLinePunct/>
              <w:autoSpaceDE w:val="0"/>
              <w:autoSpaceDN/>
              <w:bidi w:val="0"/>
              <w:adjustRightInd/>
              <w:snapToGrid/>
              <w:spacing w:before="0" w:beforeAutospacing="0" w:after="0" w:afterAutospacing="0" w:line="360" w:lineRule="exact"/>
              <w:ind w:left="0" w:leftChars="0" w:right="0" w:rightChars="0"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2200</w:t>
            </w:r>
          </w:p>
        </w:tc>
        <w:tc>
          <w:tcPr>
            <w:tcW w:w="1416" w:type="dxa"/>
            <w:vAlign w:val="center"/>
          </w:tcPr>
          <w:p>
            <w:pPr>
              <w:keepNext w:val="0"/>
              <w:keepLines w:val="0"/>
              <w:pageBreakBefore w:val="0"/>
              <w:widowControl w:val="0"/>
              <w:suppressLineNumbers w:val="0"/>
              <w:kinsoku/>
              <w:wordWrap/>
              <w:overflowPunct/>
              <w:topLinePunct/>
              <w:autoSpaceDE w:val="0"/>
              <w:autoSpaceDN/>
              <w:bidi w:val="0"/>
              <w:adjustRightInd/>
              <w:snapToGrid/>
              <w:spacing w:before="0" w:beforeAutospacing="0" w:after="0" w:afterAutospacing="0" w:line="360" w:lineRule="exact"/>
              <w:ind w:left="0" w:leftChars="0" w:right="0" w:rightChars="0"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4000</w:t>
            </w:r>
          </w:p>
        </w:tc>
        <w:tc>
          <w:tcPr>
            <w:tcW w:w="1414" w:type="dxa"/>
            <w:vAlign w:val="center"/>
          </w:tcPr>
          <w:p>
            <w:pPr>
              <w:keepNext w:val="0"/>
              <w:keepLines w:val="0"/>
              <w:pageBreakBefore w:val="0"/>
              <w:widowControl w:val="0"/>
              <w:suppressLineNumbers w:val="0"/>
              <w:kinsoku/>
              <w:wordWrap/>
              <w:overflowPunct/>
              <w:topLinePunct/>
              <w:autoSpaceDE w:val="0"/>
              <w:autoSpaceDN/>
              <w:bidi w:val="0"/>
              <w:adjustRightInd/>
              <w:snapToGrid/>
              <w:spacing w:before="0" w:beforeAutospacing="0" w:after="0" w:afterAutospacing="0" w:line="360" w:lineRule="exact"/>
              <w:ind w:left="0" w:leftChars="0" w:right="0" w:rightChars="0"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55.0</w:t>
            </w:r>
          </w:p>
        </w:tc>
        <w:tc>
          <w:tcPr>
            <w:tcW w:w="1148" w:type="dxa"/>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达标</w:t>
            </w:r>
          </w:p>
        </w:tc>
      </w:tr>
      <w:bookmarkEnd w:id="288"/>
      <w:bookmarkEnd w:id="289"/>
      <w:bookmarkEnd w:id="290"/>
      <w:bookmarkEnd w:id="291"/>
      <w:bookmarkEnd w:id="292"/>
    </w:tbl>
    <w:p>
      <w:pPr>
        <w:rPr>
          <w:rFonts w:hint="default" w:ascii="Arial" w:hAnsi="Arial" w:eastAsia="宋体" w:cs="Arial"/>
          <w:color w:val="auto"/>
          <w:highlight w:val="none"/>
        </w:rPr>
      </w:pPr>
      <w:r>
        <w:rPr>
          <w:rFonts w:hint="default" w:ascii="Arial" w:hAnsi="Arial" w:eastAsia="宋体" w:cs="Arial"/>
          <w:color w:val="auto"/>
          <w:sz w:val="24"/>
          <w:szCs w:val="24"/>
          <w:highlight w:val="none"/>
        </w:rPr>
        <w:t>从上表可以看出，</w:t>
      </w:r>
      <w:r>
        <w:rPr>
          <w:rFonts w:hint="default" w:ascii="Arial" w:hAnsi="Arial" w:eastAsia="宋体" w:cs="Arial"/>
          <w:color w:val="auto"/>
          <w:kern w:val="0"/>
          <w:sz w:val="24"/>
          <w:szCs w:val="24"/>
          <w:highlight w:val="none"/>
          <w:lang w:eastAsia="zh-CN"/>
        </w:rPr>
        <w:t>巴彦淖尔市</w:t>
      </w:r>
      <w:r>
        <w:rPr>
          <w:rFonts w:hint="default" w:ascii="Arial" w:hAnsi="Arial" w:eastAsia="宋体" w:cs="Arial"/>
          <w:color w:val="auto"/>
          <w:kern w:val="0"/>
          <w:sz w:val="24"/>
          <w:szCs w:val="24"/>
          <w:highlight w:val="none"/>
        </w:rPr>
        <w:t>五原县隆兴昌镇</w:t>
      </w:r>
      <w:r>
        <w:rPr>
          <w:rFonts w:hint="default" w:ascii="Arial" w:hAnsi="Arial" w:eastAsia="宋体" w:cs="Arial"/>
          <w:color w:val="auto"/>
          <w:kern w:val="0"/>
          <w:sz w:val="24"/>
          <w:szCs w:val="24"/>
          <w:highlight w:val="none"/>
          <w:lang w:val="en-US" w:eastAsia="zh-CN"/>
        </w:rPr>
        <w:t>2020年大气环境中6项</w:t>
      </w:r>
      <w:r>
        <w:rPr>
          <w:rFonts w:hint="default" w:ascii="Arial" w:hAnsi="Arial" w:eastAsia="宋体" w:cs="Arial"/>
          <w:color w:val="auto"/>
          <w:kern w:val="0"/>
          <w:sz w:val="24"/>
          <w:szCs w:val="24"/>
          <w:highlight w:val="none"/>
        </w:rPr>
        <w:t>污染物</w:t>
      </w:r>
      <w:r>
        <w:rPr>
          <w:rFonts w:hint="default" w:ascii="Arial" w:hAnsi="Arial" w:eastAsia="宋体" w:cs="Arial"/>
          <w:color w:val="auto"/>
          <w:kern w:val="0"/>
          <w:sz w:val="24"/>
          <w:szCs w:val="24"/>
          <w:highlight w:val="none"/>
          <w:lang w:eastAsia="zh-CN"/>
        </w:rPr>
        <w:t>中</w:t>
      </w:r>
      <w:r>
        <w:rPr>
          <w:rFonts w:hint="default" w:ascii="Arial" w:hAnsi="Arial" w:eastAsia="宋体" w:cs="Arial"/>
          <w:color w:val="auto"/>
          <w:kern w:val="0"/>
          <w:sz w:val="24"/>
          <w:szCs w:val="24"/>
          <w:highlight w:val="none"/>
        </w:rPr>
        <w:t>SO</w:t>
      </w:r>
      <w:r>
        <w:rPr>
          <w:rFonts w:hint="default" w:ascii="Arial" w:hAnsi="Arial" w:eastAsia="宋体" w:cs="Arial"/>
          <w:color w:val="auto"/>
          <w:kern w:val="0"/>
          <w:sz w:val="24"/>
          <w:szCs w:val="24"/>
          <w:highlight w:val="none"/>
          <w:vertAlign w:val="subscript"/>
        </w:rPr>
        <w:t>2</w:t>
      </w:r>
      <w:r>
        <w:rPr>
          <w:rFonts w:hint="default" w:ascii="Arial" w:hAnsi="Arial" w:eastAsia="宋体" w:cs="Arial"/>
          <w:color w:val="auto"/>
          <w:kern w:val="0"/>
          <w:sz w:val="24"/>
          <w:szCs w:val="24"/>
          <w:highlight w:val="none"/>
        </w:rPr>
        <w:t>、NO</w:t>
      </w:r>
      <w:r>
        <w:rPr>
          <w:rFonts w:hint="default" w:ascii="Arial" w:hAnsi="Arial" w:eastAsia="宋体" w:cs="Arial"/>
          <w:color w:val="auto"/>
          <w:kern w:val="0"/>
          <w:sz w:val="24"/>
          <w:szCs w:val="24"/>
          <w:highlight w:val="none"/>
          <w:vertAlign w:val="subscript"/>
        </w:rPr>
        <w:t>2</w:t>
      </w:r>
      <w:r>
        <w:rPr>
          <w:rFonts w:hint="default" w:ascii="Arial" w:hAnsi="Arial" w:eastAsia="宋体" w:cs="Arial"/>
          <w:color w:val="auto"/>
          <w:kern w:val="0"/>
          <w:sz w:val="24"/>
          <w:szCs w:val="24"/>
          <w:highlight w:val="none"/>
        </w:rPr>
        <w:t>、PM</w:t>
      </w:r>
      <w:r>
        <w:rPr>
          <w:rFonts w:hint="default" w:ascii="Arial" w:hAnsi="Arial" w:eastAsia="宋体" w:cs="Arial"/>
          <w:color w:val="auto"/>
          <w:kern w:val="0"/>
          <w:sz w:val="24"/>
          <w:szCs w:val="24"/>
          <w:highlight w:val="none"/>
          <w:vertAlign w:val="subscript"/>
        </w:rPr>
        <w:t>10</w:t>
      </w:r>
      <w:r>
        <w:rPr>
          <w:rFonts w:hint="default" w:ascii="Arial" w:hAnsi="Arial" w:eastAsia="宋体" w:cs="Arial"/>
          <w:color w:val="auto"/>
          <w:kern w:val="0"/>
          <w:sz w:val="24"/>
          <w:szCs w:val="24"/>
          <w:highlight w:val="none"/>
        </w:rPr>
        <w:t>、PM</w:t>
      </w:r>
      <w:r>
        <w:rPr>
          <w:rFonts w:hint="default" w:ascii="Arial" w:hAnsi="Arial" w:eastAsia="宋体" w:cs="Arial"/>
          <w:color w:val="auto"/>
          <w:kern w:val="0"/>
          <w:sz w:val="24"/>
          <w:szCs w:val="24"/>
          <w:highlight w:val="none"/>
          <w:vertAlign w:val="subscript"/>
        </w:rPr>
        <w:t>2.5</w:t>
      </w:r>
      <w:r>
        <w:rPr>
          <w:rFonts w:hint="default" w:ascii="Arial" w:hAnsi="Arial" w:eastAsia="宋体" w:cs="Arial"/>
          <w:color w:val="auto"/>
          <w:kern w:val="0"/>
          <w:sz w:val="24"/>
          <w:szCs w:val="24"/>
          <w:highlight w:val="none"/>
        </w:rPr>
        <w:t>、CO和O</w:t>
      </w:r>
      <w:r>
        <w:rPr>
          <w:rFonts w:hint="default" w:ascii="Arial" w:hAnsi="Arial" w:eastAsia="宋体" w:cs="Arial"/>
          <w:color w:val="auto"/>
          <w:kern w:val="0"/>
          <w:sz w:val="24"/>
          <w:szCs w:val="24"/>
          <w:highlight w:val="none"/>
          <w:vertAlign w:val="subscript"/>
        </w:rPr>
        <w:t>3</w:t>
      </w:r>
      <w:r>
        <w:rPr>
          <w:rFonts w:hint="default" w:ascii="Arial" w:hAnsi="Arial" w:eastAsia="宋体" w:cs="Arial"/>
          <w:color w:val="auto"/>
          <w:kern w:val="0"/>
          <w:sz w:val="24"/>
          <w:szCs w:val="24"/>
          <w:highlight w:val="none"/>
        </w:rPr>
        <w:t>质量浓度</w:t>
      </w:r>
      <w:r>
        <w:rPr>
          <w:rFonts w:hint="default" w:ascii="Arial" w:hAnsi="Arial" w:eastAsia="宋体" w:cs="Arial"/>
          <w:color w:val="auto"/>
          <w:kern w:val="0"/>
          <w:sz w:val="24"/>
          <w:szCs w:val="24"/>
          <w:highlight w:val="none"/>
          <w:lang w:eastAsia="zh-CN"/>
        </w:rPr>
        <w:t>均满足</w:t>
      </w:r>
      <w:r>
        <w:rPr>
          <w:rFonts w:hint="default" w:ascii="Arial" w:hAnsi="Arial" w:eastAsia="宋体" w:cs="Arial"/>
          <w:color w:val="auto"/>
          <w:kern w:val="0"/>
          <w:sz w:val="24"/>
          <w:szCs w:val="24"/>
          <w:highlight w:val="none"/>
        </w:rPr>
        <w:t>《环境空气质量标准》（GB3095-2012）二级标准</w:t>
      </w:r>
      <w:r>
        <w:rPr>
          <w:rFonts w:hint="default" w:ascii="Arial" w:hAnsi="Arial" w:eastAsia="宋体" w:cs="Arial"/>
          <w:color w:val="auto"/>
          <w:kern w:val="0"/>
          <w:sz w:val="24"/>
          <w:szCs w:val="24"/>
          <w:highlight w:val="none"/>
          <w:vertAlign w:val="baseline"/>
        </w:rPr>
        <w:t>限值</w:t>
      </w:r>
      <w:r>
        <w:rPr>
          <w:rFonts w:hint="default" w:ascii="Arial" w:hAnsi="Arial" w:eastAsia="宋体" w:cs="Arial"/>
          <w:color w:val="auto"/>
          <w:kern w:val="0"/>
          <w:sz w:val="24"/>
          <w:szCs w:val="24"/>
          <w:highlight w:val="none"/>
          <w:lang w:eastAsia="zh-CN"/>
        </w:rPr>
        <w:t>，</w:t>
      </w:r>
      <w:r>
        <w:rPr>
          <w:rFonts w:hint="default" w:ascii="Arial" w:hAnsi="Arial" w:eastAsia="宋体" w:cs="Arial"/>
          <w:color w:val="auto"/>
          <w:kern w:val="0"/>
          <w:sz w:val="24"/>
          <w:szCs w:val="24"/>
          <w:highlight w:val="none"/>
        </w:rPr>
        <w:t>由此可判断本项目所在地为达标区</w:t>
      </w:r>
      <w:r>
        <w:rPr>
          <w:rFonts w:hint="default" w:ascii="Arial" w:hAnsi="Arial" w:eastAsia="宋体" w:cs="Arial"/>
          <w:color w:val="auto"/>
          <w:highlight w:val="none"/>
        </w:rPr>
        <w:t>。</w:t>
      </w:r>
    </w:p>
    <w:p>
      <w:pPr>
        <w:pStyle w:val="7"/>
        <w:rPr>
          <w:rFonts w:hint="default" w:ascii="Arial" w:hAnsi="Arial" w:eastAsia="宋体" w:cs="Arial"/>
          <w:color w:val="auto"/>
          <w:highlight w:val="none"/>
        </w:rPr>
      </w:pPr>
      <w:r>
        <w:rPr>
          <w:rFonts w:hint="default" w:ascii="Arial" w:hAnsi="Arial" w:eastAsia="宋体" w:cs="Arial"/>
          <w:color w:val="auto"/>
          <w:highlight w:val="none"/>
        </w:rPr>
        <w:t>4.2.1.2其他污染物补充监测</w:t>
      </w:r>
    </w:p>
    <w:p>
      <w:pPr>
        <w:overflowPunct w:val="0"/>
        <w:autoSpaceDE/>
        <w:ind w:firstLine="480"/>
        <w:rPr>
          <w:rFonts w:hint="default" w:ascii="Arial" w:hAnsi="Arial" w:eastAsia="宋体" w:cs="Arial"/>
          <w:color w:val="auto"/>
          <w:highlight w:val="none"/>
        </w:rPr>
      </w:pPr>
      <w:r>
        <w:rPr>
          <w:rFonts w:hint="default" w:ascii="Arial" w:hAnsi="Arial" w:eastAsia="宋体" w:cs="Arial"/>
          <w:color w:val="auto"/>
          <w:highlight w:val="none"/>
        </w:rPr>
        <w:t>根据《环境影响评价技术导则大气环境》（HJ2.2-2018）6.3条要求，本次评价对其他污染物HN</w:t>
      </w:r>
      <w:r>
        <w:rPr>
          <w:rFonts w:hint="default" w:ascii="Arial" w:hAnsi="Arial" w:eastAsia="宋体" w:cs="Arial"/>
          <w:color w:val="auto"/>
          <w:highlight w:val="none"/>
          <w:vertAlign w:val="subscript"/>
        </w:rPr>
        <w:t>3</w:t>
      </w:r>
      <w:r>
        <w:rPr>
          <w:rFonts w:hint="default" w:ascii="Arial" w:hAnsi="Arial" w:eastAsia="宋体" w:cs="Arial"/>
          <w:color w:val="auto"/>
          <w:highlight w:val="none"/>
        </w:rPr>
        <w:t>、H</w:t>
      </w:r>
      <w:r>
        <w:rPr>
          <w:rFonts w:hint="default" w:ascii="Arial" w:hAnsi="Arial" w:eastAsia="宋体" w:cs="Arial"/>
          <w:color w:val="auto"/>
          <w:highlight w:val="none"/>
          <w:vertAlign w:val="subscript"/>
        </w:rPr>
        <w:t>2</w:t>
      </w:r>
      <w:r>
        <w:rPr>
          <w:rFonts w:hint="default" w:ascii="Arial" w:hAnsi="Arial" w:eastAsia="宋体" w:cs="Arial"/>
          <w:color w:val="auto"/>
          <w:highlight w:val="none"/>
        </w:rPr>
        <w:t>S、TSP、臭气浓度进行补充监测。</w:t>
      </w:r>
    </w:p>
    <w:p>
      <w:pPr>
        <w:ind w:firstLine="480"/>
        <w:rPr>
          <w:rFonts w:hint="default" w:ascii="Arial" w:hAnsi="Arial" w:eastAsia="宋体" w:cs="Arial"/>
          <w:color w:val="auto"/>
          <w:highlight w:val="none"/>
        </w:rPr>
      </w:pPr>
      <w:r>
        <w:rPr>
          <w:rFonts w:hint="default" w:ascii="Arial" w:hAnsi="Arial" w:eastAsia="宋体" w:cs="Arial"/>
          <w:color w:val="auto"/>
          <w:highlight w:val="none"/>
        </w:rPr>
        <w:t>1、监测点位</w:t>
      </w:r>
    </w:p>
    <w:p>
      <w:pPr>
        <w:overflowPunct w:val="0"/>
        <w:autoSpaceDE/>
        <w:ind w:firstLine="480"/>
        <w:rPr>
          <w:rFonts w:hint="default" w:ascii="Arial" w:hAnsi="Arial" w:eastAsia="宋体" w:cs="Arial"/>
          <w:color w:val="auto"/>
          <w:highlight w:val="none"/>
        </w:rPr>
      </w:pPr>
      <w:r>
        <w:rPr>
          <w:rFonts w:hint="default" w:ascii="Arial" w:hAnsi="Arial" w:eastAsia="宋体" w:cs="Arial"/>
          <w:color w:val="auto"/>
          <w:highlight w:val="none"/>
        </w:rPr>
        <w:t>根据建设项目所在的具体位置、当地气象、地形和环境功能等因素，按《环境影响评价技术导则大气环境》（HJ2.2-2018）的要求，主要考虑建设项目厂址对周围敏感区域大气环境质量的影响，</w:t>
      </w:r>
      <w:r>
        <w:rPr>
          <w:rFonts w:hint="default" w:ascii="Arial" w:hAnsi="Arial" w:eastAsia="宋体" w:cs="Arial"/>
          <w:color w:val="auto"/>
          <w:highlight w:val="none"/>
          <w:lang w:eastAsia="zh-CN"/>
        </w:rPr>
        <w:t>在</w:t>
      </w:r>
      <w:r>
        <w:rPr>
          <w:rFonts w:hint="default" w:ascii="Arial" w:hAnsi="Arial" w:eastAsia="宋体" w:cs="Arial"/>
          <w:color w:val="auto"/>
          <w:highlight w:val="none"/>
        </w:rPr>
        <w:t>20</w:t>
      </w:r>
      <w:r>
        <w:rPr>
          <w:rFonts w:hint="default" w:ascii="Arial" w:hAnsi="Arial" w:eastAsia="宋体" w:cs="Arial"/>
          <w:color w:val="auto"/>
          <w:highlight w:val="none"/>
          <w:lang w:eastAsia="zh-CN"/>
        </w:rPr>
        <w:t>年</w:t>
      </w:r>
      <w:r>
        <w:rPr>
          <w:rFonts w:hint="default" w:ascii="Arial" w:hAnsi="Arial" w:eastAsia="宋体" w:cs="Arial"/>
          <w:color w:val="auto"/>
          <w:highlight w:val="none"/>
        </w:rPr>
        <w:t>主导风向下风向设置1个监测点，详见表4.2-2，如图4.2-1所示。</w:t>
      </w:r>
    </w:p>
    <w:p>
      <w:pPr>
        <w:pStyle w:val="8"/>
        <w:rPr>
          <w:rFonts w:hint="default" w:ascii="Arial" w:hAnsi="Arial" w:eastAsia="宋体" w:cs="Arial"/>
          <w:color w:val="auto"/>
          <w:highlight w:val="none"/>
        </w:rPr>
      </w:pPr>
      <w:r>
        <w:rPr>
          <w:rFonts w:hint="default" w:ascii="Arial" w:hAnsi="Arial" w:eastAsia="宋体" w:cs="Arial"/>
          <w:snapToGrid w:val="0"/>
          <w:color w:val="auto"/>
          <w:highlight w:val="none"/>
        </w:rPr>
        <w:t>表4.2-2    环境空气质量现状补充监测布点表</w:t>
      </w:r>
    </w:p>
    <w:tbl>
      <w:tblPr>
        <w:tblStyle w:val="39"/>
        <w:tblW w:w="9003" w:type="dxa"/>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1800"/>
        <w:gridCol w:w="1800"/>
        <w:gridCol w:w="1801"/>
        <w:gridCol w:w="1801"/>
        <w:gridCol w:w="1801"/>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PrEx>
        <w:trPr>
          <w:trHeight w:val="340" w:hRule="atLeast"/>
          <w:tblHeader/>
          <w:jc w:val="center"/>
        </w:trPr>
        <w:tc>
          <w:tcPr>
            <w:tcW w:w="1800" w:type="dxa"/>
            <w:vMerge w:val="restart"/>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监测点位名称</w:t>
            </w:r>
          </w:p>
        </w:tc>
        <w:tc>
          <w:tcPr>
            <w:tcW w:w="1800" w:type="dxa"/>
            <w:vMerge w:val="restart"/>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监测因子</w:t>
            </w:r>
          </w:p>
        </w:tc>
        <w:tc>
          <w:tcPr>
            <w:tcW w:w="1801" w:type="dxa"/>
            <w:vMerge w:val="restart"/>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位置坐标</w:t>
            </w:r>
          </w:p>
        </w:tc>
        <w:tc>
          <w:tcPr>
            <w:tcW w:w="3602" w:type="dxa"/>
            <w:gridSpan w:val="2"/>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相对于厂址</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blHeader/>
          <w:jc w:val="center"/>
        </w:trPr>
        <w:tc>
          <w:tcPr>
            <w:tcW w:w="1800" w:type="dxa"/>
            <w:vMerge w:val="continue"/>
            <w:vAlign w:val="center"/>
          </w:tcPr>
          <w:p>
            <w:pPr>
              <w:pStyle w:val="63"/>
              <w:rPr>
                <w:rFonts w:hint="default" w:ascii="Arial" w:hAnsi="Arial" w:eastAsia="宋体" w:cs="Arial"/>
                <w:color w:val="auto"/>
                <w:highlight w:val="none"/>
              </w:rPr>
            </w:pPr>
          </w:p>
        </w:tc>
        <w:tc>
          <w:tcPr>
            <w:tcW w:w="1800" w:type="dxa"/>
            <w:vMerge w:val="continue"/>
            <w:vAlign w:val="center"/>
          </w:tcPr>
          <w:p>
            <w:pPr>
              <w:pStyle w:val="63"/>
              <w:rPr>
                <w:rFonts w:hint="default" w:ascii="Arial" w:hAnsi="Arial" w:eastAsia="宋体" w:cs="Arial"/>
                <w:color w:val="auto"/>
                <w:highlight w:val="none"/>
              </w:rPr>
            </w:pPr>
          </w:p>
        </w:tc>
        <w:tc>
          <w:tcPr>
            <w:tcW w:w="1801" w:type="dxa"/>
            <w:vMerge w:val="continue"/>
            <w:vAlign w:val="center"/>
          </w:tcPr>
          <w:p>
            <w:pPr>
              <w:pStyle w:val="63"/>
              <w:rPr>
                <w:rFonts w:hint="default" w:ascii="Arial" w:hAnsi="Arial" w:eastAsia="宋体" w:cs="Arial"/>
                <w:color w:val="auto"/>
                <w:highlight w:val="none"/>
              </w:rPr>
            </w:pPr>
          </w:p>
        </w:tc>
        <w:tc>
          <w:tcPr>
            <w:tcW w:w="1801" w:type="dxa"/>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方位</w:t>
            </w:r>
          </w:p>
        </w:tc>
        <w:tc>
          <w:tcPr>
            <w:tcW w:w="1801" w:type="dxa"/>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距离（km）</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800" w:type="dxa"/>
            <w:vAlign w:val="center"/>
          </w:tcPr>
          <w:p>
            <w:pPr>
              <w:pStyle w:val="63"/>
              <w:rPr>
                <w:rFonts w:hint="default" w:ascii="Arial" w:hAnsi="Arial" w:eastAsia="宋体" w:cs="Arial"/>
                <w:color w:val="auto"/>
                <w:highlight w:val="none"/>
                <w:lang w:val="en-US" w:eastAsia="zh-CN"/>
              </w:rPr>
            </w:pPr>
            <w:r>
              <w:rPr>
                <w:rFonts w:hint="default" w:ascii="Arial" w:hAnsi="Arial" w:eastAsia="宋体" w:cs="Arial"/>
                <w:color w:val="auto"/>
                <w:highlight w:val="none"/>
                <w:lang w:val="en-US" w:eastAsia="zh-CN"/>
              </w:rPr>
              <w:t>1#</w:t>
            </w:r>
          </w:p>
        </w:tc>
        <w:tc>
          <w:tcPr>
            <w:tcW w:w="1800" w:type="dxa"/>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HN</w:t>
            </w:r>
            <w:r>
              <w:rPr>
                <w:rFonts w:hint="default" w:ascii="Arial" w:hAnsi="Arial" w:eastAsia="宋体" w:cs="Arial"/>
                <w:color w:val="auto"/>
                <w:highlight w:val="none"/>
                <w:vertAlign w:val="subscript"/>
              </w:rPr>
              <w:t>3</w:t>
            </w:r>
            <w:r>
              <w:rPr>
                <w:rFonts w:hint="default" w:ascii="Arial" w:hAnsi="Arial" w:eastAsia="宋体" w:cs="Arial"/>
                <w:color w:val="auto"/>
                <w:highlight w:val="none"/>
              </w:rPr>
              <w:t>、H</w:t>
            </w:r>
            <w:r>
              <w:rPr>
                <w:rFonts w:hint="default" w:ascii="Arial" w:hAnsi="Arial" w:eastAsia="宋体" w:cs="Arial"/>
                <w:color w:val="auto"/>
                <w:highlight w:val="none"/>
                <w:vertAlign w:val="subscript"/>
              </w:rPr>
              <w:t>2</w:t>
            </w:r>
            <w:r>
              <w:rPr>
                <w:rFonts w:hint="default" w:ascii="Arial" w:hAnsi="Arial" w:eastAsia="宋体" w:cs="Arial"/>
                <w:color w:val="auto"/>
                <w:highlight w:val="none"/>
              </w:rPr>
              <w:t>S、TSP、臭气浓度</w:t>
            </w:r>
          </w:p>
        </w:tc>
        <w:tc>
          <w:tcPr>
            <w:tcW w:w="1801" w:type="dxa"/>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N40°56'12.479"、E107°40'46.267"</w:t>
            </w:r>
          </w:p>
        </w:tc>
        <w:tc>
          <w:tcPr>
            <w:tcW w:w="1801" w:type="dxa"/>
            <w:vAlign w:val="center"/>
          </w:tcPr>
          <w:p>
            <w:pPr>
              <w:pStyle w:val="63"/>
              <w:rPr>
                <w:rFonts w:hint="default" w:ascii="Arial" w:hAnsi="Arial" w:eastAsia="宋体" w:cs="Arial"/>
                <w:color w:val="auto"/>
                <w:highlight w:val="none"/>
                <w:lang w:val="en-US" w:eastAsia="zh-CN"/>
              </w:rPr>
            </w:pPr>
            <w:r>
              <w:rPr>
                <w:rFonts w:hint="default" w:ascii="Arial" w:hAnsi="Arial" w:eastAsia="宋体" w:cs="Arial"/>
                <w:color w:val="auto"/>
                <w:highlight w:val="none"/>
                <w:lang w:val="en-US" w:eastAsia="zh-CN"/>
              </w:rPr>
              <w:t>/</w:t>
            </w:r>
          </w:p>
        </w:tc>
        <w:tc>
          <w:tcPr>
            <w:tcW w:w="1801" w:type="dxa"/>
            <w:vAlign w:val="center"/>
          </w:tcPr>
          <w:p>
            <w:pPr>
              <w:pStyle w:val="63"/>
              <w:rPr>
                <w:rFonts w:hint="default" w:ascii="Arial" w:hAnsi="Arial" w:eastAsia="宋体" w:cs="Arial"/>
                <w:color w:val="auto"/>
                <w:highlight w:val="none"/>
                <w:lang w:val="en-US" w:eastAsia="zh-CN"/>
              </w:rPr>
            </w:pPr>
            <w:r>
              <w:rPr>
                <w:rFonts w:hint="default" w:ascii="Arial" w:hAnsi="Arial" w:eastAsia="宋体" w:cs="Arial"/>
                <w:color w:val="auto"/>
                <w:highlight w:val="none"/>
                <w:lang w:val="en-US" w:eastAsia="zh-CN"/>
              </w:rPr>
              <w:t>/</w:t>
            </w:r>
          </w:p>
        </w:tc>
      </w:tr>
    </w:tbl>
    <w:p>
      <w:pPr>
        <w:pageBreakBefore w:val="0"/>
        <w:widowControl w:val="0"/>
        <w:kinsoku/>
        <w:wordWrap/>
        <w:overflowPunct/>
        <w:topLinePunct/>
        <w:autoSpaceDE w:val="0"/>
        <w:autoSpaceDN/>
        <w:bidi w:val="0"/>
        <w:adjustRightInd/>
        <w:snapToGrid/>
        <w:spacing w:line="480" w:lineRule="exact"/>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2、监测项目</w:t>
      </w:r>
    </w:p>
    <w:p>
      <w:pPr>
        <w:pageBreakBefore w:val="0"/>
        <w:widowControl w:val="0"/>
        <w:kinsoku/>
        <w:wordWrap/>
        <w:overflowPunct/>
        <w:topLinePunct/>
        <w:autoSpaceDE w:val="0"/>
        <w:autoSpaceDN/>
        <w:bidi w:val="0"/>
        <w:adjustRightInd/>
        <w:snapToGrid/>
        <w:spacing w:line="480" w:lineRule="exact"/>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其他污染物：HN</w:t>
      </w:r>
      <w:r>
        <w:rPr>
          <w:rFonts w:hint="default" w:ascii="Arial" w:hAnsi="Arial" w:eastAsia="宋体" w:cs="Arial"/>
          <w:color w:val="auto"/>
          <w:highlight w:val="none"/>
          <w:vertAlign w:val="subscript"/>
        </w:rPr>
        <w:t>3</w:t>
      </w:r>
      <w:r>
        <w:rPr>
          <w:rFonts w:hint="default" w:ascii="Arial" w:hAnsi="Arial" w:eastAsia="宋体" w:cs="Arial"/>
          <w:color w:val="auto"/>
          <w:highlight w:val="none"/>
        </w:rPr>
        <w:t>、H</w:t>
      </w:r>
      <w:r>
        <w:rPr>
          <w:rFonts w:hint="default" w:ascii="Arial" w:hAnsi="Arial" w:eastAsia="宋体" w:cs="Arial"/>
          <w:color w:val="auto"/>
          <w:highlight w:val="none"/>
          <w:vertAlign w:val="subscript"/>
        </w:rPr>
        <w:t>2</w:t>
      </w:r>
      <w:r>
        <w:rPr>
          <w:rFonts w:hint="default" w:ascii="Arial" w:hAnsi="Arial" w:eastAsia="宋体" w:cs="Arial"/>
          <w:color w:val="auto"/>
          <w:highlight w:val="none"/>
        </w:rPr>
        <w:t>S、TSP、臭气浓度</w:t>
      </w:r>
    </w:p>
    <w:p>
      <w:pPr>
        <w:pageBreakBefore w:val="0"/>
        <w:widowControl w:val="0"/>
        <w:kinsoku/>
        <w:wordWrap/>
        <w:overflowPunct/>
        <w:topLinePunct/>
        <w:autoSpaceDE w:val="0"/>
        <w:autoSpaceDN/>
        <w:bidi w:val="0"/>
        <w:adjustRightInd/>
        <w:snapToGrid/>
        <w:spacing w:line="480" w:lineRule="exact"/>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同步观测风速、风向、气温、气压等常规气象参数。</w:t>
      </w:r>
    </w:p>
    <w:p>
      <w:pPr>
        <w:pageBreakBefore w:val="0"/>
        <w:widowControl w:val="0"/>
        <w:kinsoku/>
        <w:wordWrap/>
        <w:overflowPunct/>
        <w:topLinePunct/>
        <w:autoSpaceDE w:val="0"/>
        <w:autoSpaceDN/>
        <w:bidi w:val="0"/>
        <w:adjustRightInd/>
        <w:snapToGrid/>
        <w:spacing w:line="480" w:lineRule="exact"/>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3、监测时间和监测频率</w:t>
      </w:r>
    </w:p>
    <w:p>
      <w:pPr>
        <w:pageBreakBefore w:val="0"/>
        <w:widowControl w:val="0"/>
        <w:kinsoku/>
        <w:wordWrap/>
        <w:overflowPunct/>
        <w:topLinePunct/>
        <w:autoSpaceDE w:val="0"/>
        <w:autoSpaceDN/>
        <w:bidi w:val="0"/>
        <w:adjustRightInd/>
        <w:snapToGrid/>
        <w:spacing w:line="480" w:lineRule="exact"/>
        <w:ind w:firstLine="480"/>
        <w:textAlignment w:val="auto"/>
        <w:rPr>
          <w:rFonts w:hint="default" w:ascii="Arial" w:hAnsi="Arial" w:eastAsia="宋体" w:cs="Arial"/>
          <w:color w:val="auto"/>
          <w:szCs w:val="24"/>
          <w:highlight w:val="none"/>
        </w:rPr>
      </w:pPr>
      <w:r>
        <w:rPr>
          <w:rFonts w:hint="default" w:ascii="Arial" w:hAnsi="Arial" w:eastAsia="宋体" w:cs="Arial"/>
          <w:color w:val="auto"/>
          <w:szCs w:val="24"/>
          <w:highlight w:val="none"/>
        </w:rPr>
        <w:t>H</w:t>
      </w:r>
      <w:r>
        <w:rPr>
          <w:rFonts w:hint="default" w:ascii="Arial" w:hAnsi="Arial" w:eastAsia="宋体" w:cs="Arial"/>
          <w:color w:val="auto"/>
          <w:szCs w:val="24"/>
          <w:highlight w:val="none"/>
          <w:vertAlign w:val="subscript"/>
        </w:rPr>
        <w:t>2</w:t>
      </w:r>
      <w:r>
        <w:rPr>
          <w:rFonts w:hint="default" w:ascii="Arial" w:hAnsi="Arial" w:eastAsia="宋体" w:cs="Arial"/>
          <w:color w:val="auto"/>
          <w:szCs w:val="24"/>
          <w:highlight w:val="none"/>
        </w:rPr>
        <w:t>S、NH</w:t>
      </w:r>
      <w:r>
        <w:rPr>
          <w:rFonts w:hint="default" w:ascii="Arial" w:hAnsi="Arial" w:eastAsia="宋体" w:cs="Arial"/>
          <w:color w:val="auto"/>
          <w:szCs w:val="24"/>
          <w:highlight w:val="none"/>
          <w:vertAlign w:val="subscript"/>
        </w:rPr>
        <w:t>3</w:t>
      </w:r>
      <w:r>
        <w:rPr>
          <w:rFonts w:hint="default" w:ascii="Arial" w:hAnsi="Arial" w:eastAsia="宋体" w:cs="Arial"/>
          <w:color w:val="auto"/>
          <w:szCs w:val="24"/>
          <w:highlight w:val="none"/>
        </w:rPr>
        <w:t>测小时均值，每天监测4次，每小时至少有45min的采样时间。</w:t>
      </w:r>
    </w:p>
    <w:p>
      <w:pPr>
        <w:pageBreakBefore w:val="0"/>
        <w:widowControl w:val="0"/>
        <w:kinsoku/>
        <w:wordWrap/>
        <w:overflowPunct/>
        <w:topLinePunct/>
        <w:autoSpaceDE w:val="0"/>
        <w:autoSpaceDN/>
        <w:bidi w:val="0"/>
        <w:adjustRightInd/>
        <w:snapToGrid/>
        <w:spacing w:line="480" w:lineRule="exact"/>
        <w:ind w:firstLine="480"/>
        <w:textAlignment w:val="auto"/>
        <w:rPr>
          <w:rFonts w:hint="default" w:ascii="Arial" w:hAnsi="Arial" w:eastAsia="宋体" w:cs="Arial"/>
          <w:color w:val="auto"/>
          <w:highlight w:val="none"/>
          <w:lang w:eastAsia="zh-CN"/>
        </w:rPr>
      </w:pPr>
      <w:r>
        <w:rPr>
          <w:rFonts w:hint="default" w:ascii="Arial" w:hAnsi="Arial" w:eastAsia="宋体" w:cs="Arial"/>
          <w:color w:val="auto"/>
          <w:highlight w:val="none"/>
        </w:rPr>
        <w:t>TSP</w:t>
      </w:r>
      <w:r>
        <w:rPr>
          <w:rFonts w:hint="default" w:ascii="Arial" w:hAnsi="Arial" w:eastAsia="宋体" w:cs="Arial"/>
          <w:color w:val="auto"/>
          <w:szCs w:val="24"/>
          <w:highlight w:val="none"/>
        </w:rPr>
        <w:t>测</w:t>
      </w:r>
      <w:r>
        <w:rPr>
          <w:rFonts w:hint="default" w:ascii="Arial" w:hAnsi="Arial" w:eastAsia="宋体" w:cs="Arial"/>
          <w:color w:val="auto"/>
          <w:szCs w:val="24"/>
          <w:highlight w:val="none"/>
          <w:lang w:val="en-US" w:eastAsia="zh-CN"/>
        </w:rPr>
        <w:t>24</w:t>
      </w:r>
      <w:r>
        <w:rPr>
          <w:rFonts w:hint="default" w:ascii="Arial" w:hAnsi="Arial" w:eastAsia="宋体" w:cs="Arial"/>
          <w:color w:val="auto"/>
          <w:szCs w:val="24"/>
          <w:highlight w:val="none"/>
        </w:rPr>
        <w:t>小时均值，每天监测</w:t>
      </w:r>
      <w:r>
        <w:rPr>
          <w:rFonts w:hint="default" w:ascii="Arial" w:hAnsi="Arial" w:eastAsia="宋体" w:cs="Arial"/>
          <w:color w:val="auto"/>
          <w:szCs w:val="24"/>
          <w:highlight w:val="none"/>
          <w:lang w:val="en-US" w:eastAsia="zh-CN"/>
        </w:rPr>
        <w:t>1</w:t>
      </w:r>
      <w:r>
        <w:rPr>
          <w:rFonts w:hint="default" w:ascii="Arial" w:hAnsi="Arial" w:eastAsia="宋体" w:cs="Arial"/>
          <w:color w:val="auto"/>
          <w:szCs w:val="24"/>
          <w:highlight w:val="none"/>
        </w:rPr>
        <w:t>次，每</w:t>
      </w:r>
      <w:r>
        <w:rPr>
          <w:rFonts w:hint="default" w:ascii="Arial" w:hAnsi="Arial" w:eastAsia="宋体" w:cs="Arial"/>
          <w:color w:val="auto"/>
          <w:szCs w:val="24"/>
          <w:highlight w:val="none"/>
          <w:lang w:eastAsia="zh-CN"/>
        </w:rPr>
        <w:t>天</w:t>
      </w:r>
      <w:r>
        <w:rPr>
          <w:rFonts w:hint="default" w:ascii="Arial" w:hAnsi="Arial" w:eastAsia="宋体" w:cs="Arial"/>
          <w:color w:val="auto"/>
          <w:szCs w:val="24"/>
          <w:highlight w:val="none"/>
        </w:rPr>
        <w:t>至少有</w:t>
      </w:r>
      <w:r>
        <w:rPr>
          <w:rFonts w:hint="default" w:ascii="Arial" w:hAnsi="Arial" w:eastAsia="宋体" w:cs="Arial"/>
          <w:color w:val="auto"/>
          <w:szCs w:val="24"/>
          <w:highlight w:val="none"/>
          <w:lang w:val="en-US" w:eastAsia="zh-CN"/>
        </w:rPr>
        <w:t>20h</w:t>
      </w:r>
      <w:r>
        <w:rPr>
          <w:rFonts w:hint="default" w:ascii="Arial" w:hAnsi="Arial" w:eastAsia="宋体" w:cs="Arial"/>
          <w:color w:val="auto"/>
          <w:szCs w:val="24"/>
          <w:highlight w:val="none"/>
        </w:rPr>
        <w:t>的采样时间</w:t>
      </w:r>
      <w:r>
        <w:rPr>
          <w:rFonts w:hint="default" w:ascii="Arial" w:hAnsi="Arial" w:eastAsia="宋体" w:cs="Arial"/>
          <w:color w:val="auto"/>
          <w:szCs w:val="24"/>
          <w:highlight w:val="none"/>
          <w:lang w:eastAsia="zh-CN"/>
        </w:rPr>
        <w:t>。</w:t>
      </w:r>
    </w:p>
    <w:p>
      <w:pPr>
        <w:pageBreakBefore w:val="0"/>
        <w:widowControl w:val="0"/>
        <w:kinsoku/>
        <w:wordWrap/>
        <w:overflowPunct/>
        <w:topLinePunct/>
        <w:autoSpaceDE w:val="0"/>
        <w:autoSpaceDN/>
        <w:bidi w:val="0"/>
        <w:adjustRightInd/>
        <w:snapToGrid/>
        <w:spacing w:line="480" w:lineRule="exact"/>
        <w:ind w:firstLine="480"/>
        <w:textAlignment w:val="auto"/>
        <w:rPr>
          <w:rFonts w:hint="default" w:ascii="Arial" w:hAnsi="Arial" w:eastAsia="宋体" w:cs="Arial"/>
          <w:color w:val="auto"/>
          <w:szCs w:val="24"/>
          <w:highlight w:val="none"/>
        </w:rPr>
      </w:pPr>
      <w:r>
        <w:rPr>
          <w:rFonts w:hint="default" w:ascii="Arial" w:hAnsi="Arial" w:eastAsia="宋体" w:cs="Arial"/>
          <w:color w:val="auto"/>
          <w:szCs w:val="24"/>
          <w:highlight w:val="none"/>
        </w:rPr>
        <w:t>202</w:t>
      </w:r>
      <w:r>
        <w:rPr>
          <w:rFonts w:hint="default" w:ascii="Arial" w:hAnsi="Arial" w:eastAsia="宋体" w:cs="Arial"/>
          <w:color w:val="auto"/>
          <w:szCs w:val="24"/>
          <w:highlight w:val="none"/>
          <w:lang w:val="en-US" w:eastAsia="zh-CN"/>
        </w:rPr>
        <w:t>2</w:t>
      </w:r>
      <w:r>
        <w:rPr>
          <w:rFonts w:hint="default" w:ascii="Arial" w:hAnsi="Arial" w:eastAsia="宋体" w:cs="Arial"/>
          <w:color w:val="auto"/>
          <w:szCs w:val="24"/>
          <w:highlight w:val="none"/>
        </w:rPr>
        <w:t>年</w:t>
      </w:r>
      <w:r>
        <w:rPr>
          <w:rFonts w:hint="default" w:ascii="Arial" w:hAnsi="Arial" w:eastAsia="宋体" w:cs="Arial"/>
          <w:color w:val="auto"/>
          <w:szCs w:val="24"/>
          <w:highlight w:val="none"/>
          <w:lang w:val="en-US" w:eastAsia="zh-CN"/>
        </w:rPr>
        <w:t>1</w:t>
      </w:r>
      <w:r>
        <w:rPr>
          <w:rFonts w:hint="default" w:ascii="Arial" w:hAnsi="Arial" w:eastAsia="宋体" w:cs="Arial"/>
          <w:color w:val="auto"/>
          <w:szCs w:val="24"/>
          <w:highlight w:val="none"/>
        </w:rPr>
        <w:t>月</w:t>
      </w:r>
      <w:r>
        <w:rPr>
          <w:rFonts w:hint="default" w:ascii="Arial" w:hAnsi="Arial" w:eastAsia="宋体" w:cs="Arial"/>
          <w:color w:val="auto"/>
          <w:szCs w:val="24"/>
          <w:highlight w:val="none"/>
          <w:lang w:val="en-US" w:eastAsia="zh-CN"/>
        </w:rPr>
        <w:t>5</w:t>
      </w:r>
      <w:r>
        <w:rPr>
          <w:rFonts w:hint="default" w:ascii="Arial" w:hAnsi="Arial" w:eastAsia="宋体" w:cs="Arial"/>
          <w:color w:val="auto"/>
          <w:szCs w:val="24"/>
          <w:highlight w:val="none"/>
        </w:rPr>
        <w:t>日至</w:t>
      </w:r>
      <w:r>
        <w:rPr>
          <w:rFonts w:hint="default" w:ascii="Arial" w:hAnsi="Arial" w:eastAsia="宋体" w:cs="Arial"/>
          <w:color w:val="auto"/>
          <w:szCs w:val="24"/>
          <w:highlight w:val="none"/>
          <w:lang w:val="en-US" w:eastAsia="zh-CN"/>
        </w:rPr>
        <w:t>1</w:t>
      </w:r>
      <w:r>
        <w:rPr>
          <w:rFonts w:hint="default" w:ascii="Arial" w:hAnsi="Arial" w:eastAsia="宋体" w:cs="Arial"/>
          <w:color w:val="auto"/>
          <w:szCs w:val="24"/>
          <w:highlight w:val="none"/>
        </w:rPr>
        <w:t>月</w:t>
      </w:r>
      <w:r>
        <w:rPr>
          <w:rFonts w:hint="default" w:ascii="Arial" w:hAnsi="Arial" w:eastAsia="宋体" w:cs="Arial"/>
          <w:color w:val="auto"/>
          <w:szCs w:val="24"/>
          <w:highlight w:val="none"/>
          <w:lang w:val="en-US" w:eastAsia="zh-CN"/>
        </w:rPr>
        <w:t>11</w:t>
      </w:r>
      <w:r>
        <w:rPr>
          <w:rFonts w:hint="default" w:ascii="Arial" w:hAnsi="Arial" w:eastAsia="宋体" w:cs="Arial"/>
          <w:color w:val="auto"/>
          <w:szCs w:val="24"/>
          <w:highlight w:val="none"/>
        </w:rPr>
        <w:t>日连续监测7天，监测单位为内蒙古华智鼎环保科技有限公司。</w:t>
      </w:r>
    </w:p>
    <w:p>
      <w:pPr>
        <w:pageBreakBefore w:val="0"/>
        <w:widowControl w:val="0"/>
        <w:kinsoku/>
        <w:wordWrap/>
        <w:overflowPunct/>
        <w:topLinePunct/>
        <w:autoSpaceDE w:val="0"/>
        <w:autoSpaceDN/>
        <w:bidi w:val="0"/>
        <w:adjustRightInd/>
        <w:snapToGrid/>
        <w:spacing w:line="480" w:lineRule="exact"/>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4、分析方法</w:t>
      </w:r>
    </w:p>
    <w:p>
      <w:pPr>
        <w:pageBreakBefore w:val="0"/>
        <w:widowControl w:val="0"/>
        <w:kinsoku/>
        <w:wordWrap/>
        <w:overflowPunct/>
        <w:topLinePunct/>
        <w:autoSpaceDE w:val="0"/>
        <w:autoSpaceDN/>
        <w:bidi w:val="0"/>
        <w:adjustRightInd/>
        <w:snapToGrid/>
        <w:spacing w:line="480" w:lineRule="exact"/>
        <w:ind w:firstLine="480"/>
        <w:textAlignment w:val="auto"/>
        <w:rPr>
          <w:rFonts w:hint="default" w:ascii="Arial" w:hAnsi="Arial" w:eastAsia="宋体" w:cs="Arial"/>
          <w:color w:val="auto"/>
          <w:szCs w:val="24"/>
          <w:highlight w:val="none"/>
        </w:rPr>
      </w:pPr>
      <w:bookmarkStart w:id="293" w:name="_Toc346715579"/>
      <w:r>
        <w:rPr>
          <w:rFonts w:hint="default" w:ascii="Arial" w:hAnsi="Arial" w:eastAsia="宋体" w:cs="Arial"/>
          <w:color w:val="auto"/>
          <w:szCs w:val="24"/>
          <w:highlight w:val="none"/>
        </w:rPr>
        <w:t>分析方法按照国家环境保护总局颁布的《环境空气质量标准》（GB3095-2012）及《空气和废气监测分析方法》进行，具体分析方法及最低检出限见下表。</w:t>
      </w:r>
    </w:p>
    <w:p>
      <w:pPr>
        <w:pStyle w:val="8"/>
        <w:pageBreakBefore w:val="0"/>
        <w:widowControl w:val="0"/>
        <w:kinsoku/>
        <w:wordWrap/>
        <w:overflowPunct/>
        <w:topLinePunct/>
        <w:autoSpaceDE w:val="0"/>
        <w:autoSpaceDN/>
        <w:bidi w:val="0"/>
        <w:adjustRightInd/>
        <w:snapToGrid/>
        <w:spacing w:line="480" w:lineRule="exact"/>
        <w:textAlignment w:val="auto"/>
        <w:rPr>
          <w:rFonts w:hint="default" w:ascii="Arial" w:hAnsi="Arial" w:eastAsia="宋体" w:cs="Arial"/>
          <w:color w:val="auto"/>
          <w:highlight w:val="none"/>
        </w:rPr>
      </w:pPr>
      <w:r>
        <w:rPr>
          <w:rFonts w:hint="default" w:ascii="Arial" w:hAnsi="Arial" w:eastAsia="宋体" w:cs="Arial"/>
          <w:color w:val="auto"/>
          <w:highlight w:val="none"/>
        </w:rPr>
        <w:t>表4.2-3    环境空气质量监测分析方法</w:t>
      </w:r>
    </w:p>
    <w:tbl>
      <w:tblPr>
        <w:tblStyle w:val="39"/>
        <w:tblW w:w="9003"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165"/>
        <w:gridCol w:w="4312"/>
        <w:gridCol w:w="2044"/>
        <w:gridCol w:w="1482"/>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1198" w:type="dxa"/>
            <w:vAlign w:val="center"/>
          </w:tcPr>
          <w:p>
            <w:pPr>
              <w:pStyle w:val="63"/>
              <w:keepNext w:val="0"/>
              <w:keepLines w:val="0"/>
              <w:pageBreakBefore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检测项目</w:t>
            </w:r>
          </w:p>
        </w:tc>
        <w:tc>
          <w:tcPr>
            <w:tcW w:w="4455" w:type="dxa"/>
            <w:vAlign w:val="center"/>
          </w:tcPr>
          <w:p>
            <w:pPr>
              <w:pStyle w:val="63"/>
              <w:keepNext w:val="0"/>
              <w:keepLines w:val="0"/>
              <w:pageBreakBefore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检测方法来源</w:t>
            </w:r>
          </w:p>
        </w:tc>
        <w:tc>
          <w:tcPr>
            <w:tcW w:w="2108" w:type="dxa"/>
            <w:vAlign w:val="center"/>
          </w:tcPr>
          <w:p>
            <w:pPr>
              <w:pStyle w:val="63"/>
              <w:keepNext w:val="0"/>
              <w:keepLines w:val="0"/>
              <w:pageBreakBefore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仪器设备名称/型号</w:t>
            </w:r>
          </w:p>
        </w:tc>
        <w:tc>
          <w:tcPr>
            <w:tcW w:w="1525" w:type="dxa"/>
            <w:vAlign w:val="center"/>
          </w:tcPr>
          <w:p>
            <w:pPr>
              <w:pStyle w:val="63"/>
              <w:keepNext w:val="0"/>
              <w:keepLines w:val="0"/>
              <w:pageBreakBefore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检出限</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98" w:type="dxa"/>
            <w:tcFitText/>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pacing w:val="0"/>
                <w:kern w:val="2"/>
                <w:sz w:val="21"/>
                <w:szCs w:val="21"/>
                <w:lang w:val="en-US" w:eastAsia="zh-CN" w:bidi="ar-SA"/>
              </w:rPr>
            </w:pPr>
            <w:r>
              <w:rPr>
                <w:rFonts w:hint="default" w:ascii="Arial" w:hAnsi="Arial" w:eastAsia="宋体" w:cs="Arial"/>
                <w:color w:val="auto"/>
                <w:spacing w:val="16"/>
                <w:sz w:val="21"/>
                <w:szCs w:val="21"/>
                <w:lang w:val="en-US" w:eastAsia="zh-CN"/>
              </w:rPr>
              <w:t>臭气浓</w:t>
            </w:r>
            <w:r>
              <w:rPr>
                <w:rFonts w:hint="default" w:ascii="Arial" w:hAnsi="Arial" w:eastAsia="宋体" w:cs="Arial"/>
                <w:color w:val="auto"/>
                <w:spacing w:val="0"/>
                <w:sz w:val="21"/>
                <w:szCs w:val="21"/>
                <w:lang w:val="en-US" w:eastAsia="zh-CN"/>
              </w:rPr>
              <w:t>度</w:t>
            </w:r>
          </w:p>
        </w:tc>
        <w:tc>
          <w:tcPr>
            <w:tcW w:w="4455" w:type="dxa"/>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《空气质量恶臭的测定 三点比较式臭袋法》（GB/T 14675-93）</w:t>
            </w:r>
          </w:p>
        </w:tc>
        <w:tc>
          <w:tcPr>
            <w:tcW w:w="2108" w:type="dxa"/>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臭气装置/XKV-2</w:t>
            </w:r>
          </w:p>
        </w:tc>
        <w:tc>
          <w:tcPr>
            <w:tcW w:w="1525" w:type="dxa"/>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10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98" w:type="dxa"/>
            <w:vMerge w:val="restart"/>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氨</w:t>
            </w:r>
          </w:p>
        </w:tc>
        <w:tc>
          <w:tcPr>
            <w:tcW w:w="4455" w:type="dxa"/>
            <w:vMerge w:val="restart"/>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0"/>
                <w:sz w:val="21"/>
                <w:szCs w:val="21"/>
                <w:lang w:bidi="ar"/>
              </w:rPr>
              <w:t>《环境空气和废气 氨的测定 纳氏试剂分光光度法》（HJ 533-2009 ）</w:t>
            </w:r>
          </w:p>
        </w:tc>
        <w:tc>
          <w:tcPr>
            <w:tcW w:w="2108" w:type="dxa"/>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left="0" w:leftChars="0"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0"/>
                <w:sz w:val="21"/>
                <w:szCs w:val="21"/>
                <w:lang w:val="en-US" w:eastAsia="zh-CN" w:bidi="ar"/>
              </w:rPr>
              <w:t>可见分光光度计/7230G</w:t>
            </w:r>
          </w:p>
        </w:tc>
        <w:tc>
          <w:tcPr>
            <w:tcW w:w="1525" w:type="dxa"/>
            <w:vMerge w:val="restart"/>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highlight w:val="none"/>
                <w:lang w:val="en-US" w:eastAsia="zh-CN"/>
              </w:rPr>
              <w:t>0.01</w:t>
            </w:r>
          </w:p>
          <w:p>
            <w:pPr>
              <w:keepNext w:val="0"/>
              <w:keepLines w:val="0"/>
              <w:pageBreakBefore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m</w:t>
            </w:r>
            <w:r>
              <w:rPr>
                <w:rFonts w:hint="default" w:ascii="Arial" w:hAnsi="Arial" w:eastAsia="宋体" w:cs="Arial"/>
                <w:color w:val="auto"/>
                <w:sz w:val="21"/>
                <w:szCs w:val="21"/>
              </w:rPr>
              <w:t>g/m</w:t>
            </w:r>
            <w:r>
              <w:rPr>
                <w:rFonts w:hint="default" w:ascii="Arial" w:hAnsi="Arial" w:eastAsia="宋体" w:cs="Arial"/>
                <w:color w:val="auto"/>
                <w:sz w:val="21"/>
                <w:szCs w:val="21"/>
                <w:vertAlign w:val="superscript"/>
              </w:rPr>
              <w:t>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98" w:type="dxa"/>
            <w:vMerge w:val="continue"/>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rPr>
            </w:pPr>
          </w:p>
        </w:tc>
        <w:tc>
          <w:tcPr>
            <w:tcW w:w="4455" w:type="dxa"/>
            <w:vMerge w:val="continue"/>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rPr>
            </w:pPr>
          </w:p>
        </w:tc>
        <w:tc>
          <w:tcPr>
            <w:tcW w:w="2108" w:type="dxa"/>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综合大气采样器/XA-100</w:t>
            </w:r>
          </w:p>
        </w:tc>
        <w:tc>
          <w:tcPr>
            <w:tcW w:w="1525" w:type="dxa"/>
            <w:vMerge w:val="continue"/>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0"/>
                <w:sz w:val="21"/>
                <w:szCs w:val="21"/>
                <w:lang w:val="en-US" w:eastAsia="zh-CN" w:bidi="ar"/>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98" w:type="dxa"/>
            <w:vMerge w:val="restart"/>
            <w:vAlign w:val="center"/>
          </w:tcPr>
          <w:p>
            <w:pPr>
              <w:pStyle w:val="63"/>
              <w:keepNext w:val="0"/>
              <w:keepLines w:val="0"/>
              <w:pageBreakBefore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硫化氢</w:t>
            </w:r>
          </w:p>
        </w:tc>
        <w:tc>
          <w:tcPr>
            <w:tcW w:w="4455" w:type="dxa"/>
            <w:vMerge w:val="restart"/>
            <w:vAlign w:val="center"/>
          </w:tcPr>
          <w:p>
            <w:pPr>
              <w:pStyle w:val="63"/>
              <w:keepNext w:val="0"/>
              <w:keepLines w:val="0"/>
              <w:pageBreakBefore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《空气和废气监测分析方法》（第四版）硫化氢  第三篇第一章 十一（二）亚甲基蓝分光光度法（B）</w:t>
            </w:r>
          </w:p>
        </w:tc>
        <w:tc>
          <w:tcPr>
            <w:tcW w:w="2108" w:type="dxa"/>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0"/>
                <w:sz w:val="21"/>
                <w:szCs w:val="21"/>
                <w:lang w:val="en-US" w:eastAsia="zh-CN" w:bidi="ar"/>
              </w:rPr>
              <w:t>可见分光光度计/7230G</w:t>
            </w:r>
          </w:p>
        </w:tc>
        <w:tc>
          <w:tcPr>
            <w:tcW w:w="1525" w:type="dxa"/>
            <w:vMerge w:val="restart"/>
            <w:vAlign w:val="center"/>
          </w:tcPr>
          <w:p>
            <w:pPr>
              <w:pStyle w:val="63"/>
              <w:keepNext w:val="0"/>
              <w:keepLines w:val="0"/>
              <w:pageBreakBefore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0.001</w:t>
            </w:r>
          </w:p>
          <w:p>
            <w:pPr>
              <w:pStyle w:val="63"/>
              <w:keepNext w:val="0"/>
              <w:keepLines w:val="0"/>
              <w:pageBreakBefore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mg/m</w:t>
            </w:r>
            <w:r>
              <w:rPr>
                <w:rFonts w:hint="default" w:ascii="Arial" w:hAnsi="Arial" w:eastAsia="宋体" w:cs="Arial"/>
                <w:color w:val="auto"/>
                <w:sz w:val="21"/>
                <w:szCs w:val="21"/>
                <w:highlight w:val="none"/>
                <w:vertAlign w:val="superscript"/>
              </w:rPr>
              <w:t>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98" w:type="dxa"/>
            <w:vMerge w:val="continue"/>
            <w:vAlign w:val="center"/>
          </w:tcPr>
          <w:p>
            <w:pPr>
              <w:pStyle w:val="63"/>
              <w:keepNext w:val="0"/>
              <w:keepLines w:val="0"/>
              <w:pageBreakBefore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rPr>
            </w:pPr>
          </w:p>
        </w:tc>
        <w:tc>
          <w:tcPr>
            <w:tcW w:w="4455" w:type="dxa"/>
            <w:vMerge w:val="continue"/>
            <w:vAlign w:val="center"/>
          </w:tcPr>
          <w:p>
            <w:pPr>
              <w:pStyle w:val="63"/>
              <w:keepNext w:val="0"/>
              <w:keepLines w:val="0"/>
              <w:pageBreakBefore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rPr>
            </w:pPr>
          </w:p>
        </w:tc>
        <w:tc>
          <w:tcPr>
            <w:tcW w:w="2108" w:type="dxa"/>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综合大气采样器/XA-100</w:t>
            </w:r>
          </w:p>
        </w:tc>
        <w:tc>
          <w:tcPr>
            <w:tcW w:w="1525" w:type="dxa"/>
            <w:vMerge w:val="continue"/>
            <w:vAlign w:val="center"/>
          </w:tcPr>
          <w:p>
            <w:pPr>
              <w:pStyle w:val="63"/>
              <w:keepNext w:val="0"/>
              <w:keepLines w:val="0"/>
              <w:pageBreakBefore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0"/>
                <w:sz w:val="21"/>
                <w:szCs w:val="21"/>
                <w:lang w:val="en-US" w:eastAsia="zh-CN" w:bidi="ar"/>
              </w:rPr>
            </w:pPr>
          </w:p>
        </w:tc>
      </w:tr>
      <w:bookmarkEnd w:id="293"/>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0" w:type="auto"/>
            <w:vMerge w:val="restart"/>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rPr>
            </w:pPr>
            <w:r>
              <w:rPr>
                <w:rFonts w:hint="default" w:ascii="Arial" w:hAnsi="Arial" w:eastAsia="宋体" w:cs="Arial"/>
                <w:color w:val="auto"/>
                <w:sz w:val="21"/>
                <w:szCs w:val="21"/>
              </w:rPr>
              <w:t>总悬浮</w:t>
            </w:r>
          </w:p>
          <w:p>
            <w:pPr>
              <w:keepNext w:val="0"/>
              <w:keepLines w:val="0"/>
              <w:pageBreakBefore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颗粒物</w:t>
            </w:r>
          </w:p>
        </w:tc>
        <w:tc>
          <w:tcPr>
            <w:tcW w:w="0" w:type="auto"/>
            <w:vMerge w:val="restart"/>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rPr>
            </w:pPr>
            <w:r>
              <w:rPr>
                <w:rFonts w:hint="default" w:ascii="Arial" w:hAnsi="Arial" w:eastAsia="宋体" w:cs="Arial"/>
                <w:color w:val="auto"/>
                <w:sz w:val="21"/>
                <w:szCs w:val="21"/>
              </w:rPr>
              <w:t>《环境空气 总悬浮颗粒物的测定 重量法》</w:t>
            </w:r>
          </w:p>
          <w:p>
            <w:pPr>
              <w:keepNext w:val="0"/>
              <w:keepLines w:val="0"/>
              <w:pageBreakBefore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（GB/T 15432-1995）</w:t>
            </w:r>
          </w:p>
        </w:tc>
        <w:tc>
          <w:tcPr>
            <w:tcW w:w="2108" w:type="dxa"/>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电子天平（十万分之一）/AUW120D</w:t>
            </w:r>
          </w:p>
        </w:tc>
        <w:tc>
          <w:tcPr>
            <w:tcW w:w="1525" w:type="dxa"/>
            <w:vMerge w:val="restart"/>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highlight w:val="none"/>
                <w:lang w:val="en-US" w:eastAsia="zh-CN"/>
              </w:rPr>
              <w:t>0.001</w:t>
            </w:r>
          </w:p>
          <w:p>
            <w:pPr>
              <w:pStyle w:val="63"/>
              <w:keepNext w:val="0"/>
              <w:keepLines w:val="0"/>
              <w:pageBreakBefore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highlight w:val="none"/>
              </w:rPr>
            </w:pPr>
            <w:r>
              <w:rPr>
                <w:rFonts w:hint="default" w:ascii="Arial" w:hAnsi="Arial" w:eastAsia="宋体" w:cs="Arial"/>
                <w:color w:val="auto"/>
                <w:sz w:val="21"/>
                <w:szCs w:val="21"/>
                <w:lang w:val="en-US" w:eastAsia="zh-CN"/>
              </w:rPr>
              <w:t>m</w:t>
            </w:r>
            <w:r>
              <w:rPr>
                <w:rFonts w:hint="default" w:ascii="Arial" w:hAnsi="Arial" w:eastAsia="宋体" w:cs="Arial"/>
                <w:color w:val="auto"/>
                <w:sz w:val="21"/>
                <w:szCs w:val="21"/>
              </w:rPr>
              <w:t>g/m</w:t>
            </w:r>
            <w:r>
              <w:rPr>
                <w:rFonts w:hint="default" w:ascii="Arial" w:hAnsi="Arial" w:eastAsia="宋体" w:cs="Arial"/>
                <w:color w:val="auto"/>
                <w:sz w:val="21"/>
                <w:szCs w:val="21"/>
                <w:vertAlign w:val="superscript"/>
              </w:rPr>
              <w:t>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0" w:type="auto"/>
            <w:vMerge w:val="continue"/>
            <w:vAlign w:val="center"/>
          </w:tcPr>
          <w:p>
            <w:pPr>
              <w:pStyle w:val="63"/>
              <w:keepNext w:val="0"/>
              <w:keepLines w:val="0"/>
              <w:pageBreakBefore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rPr>
            </w:pPr>
          </w:p>
        </w:tc>
        <w:tc>
          <w:tcPr>
            <w:tcW w:w="0" w:type="auto"/>
            <w:vMerge w:val="continue"/>
            <w:vAlign w:val="center"/>
          </w:tcPr>
          <w:p>
            <w:pPr>
              <w:pStyle w:val="63"/>
              <w:keepNext w:val="0"/>
              <w:keepLines w:val="0"/>
              <w:pageBreakBefore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rPr>
            </w:pPr>
          </w:p>
        </w:tc>
        <w:tc>
          <w:tcPr>
            <w:tcW w:w="0" w:type="auto"/>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综合大气采样器/XA-100</w:t>
            </w:r>
          </w:p>
        </w:tc>
        <w:tc>
          <w:tcPr>
            <w:tcW w:w="1525" w:type="dxa"/>
            <w:vMerge w:val="continue"/>
            <w:vAlign w:val="center"/>
          </w:tcPr>
          <w:p>
            <w:pPr>
              <w:pStyle w:val="63"/>
              <w:keepNext w:val="0"/>
              <w:keepLines w:val="0"/>
              <w:pageBreakBefore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rPr>
            </w:pPr>
          </w:p>
        </w:tc>
      </w:tr>
    </w:tbl>
    <w:p>
      <w:pPr>
        <w:ind w:firstLine="480"/>
        <w:rPr>
          <w:rFonts w:hint="default" w:ascii="Arial" w:hAnsi="Arial" w:eastAsia="宋体" w:cs="Arial"/>
          <w:color w:val="auto"/>
          <w:highlight w:val="none"/>
        </w:rPr>
      </w:pPr>
      <w:r>
        <w:rPr>
          <w:rFonts w:hint="default" w:ascii="Arial" w:hAnsi="Arial" w:eastAsia="宋体" w:cs="Arial"/>
          <w:color w:val="auto"/>
          <w:highlight w:val="none"/>
        </w:rPr>
        <w:t>5、环境空气质量现状评价</w:t>
      </w:r>
    </w:p>
    <w:p>
      <w:pPr>
        <w:ind w:firstLine="480"/>
        <w:rPr>
          <w:rFonts w:hint="default" w:ascii="Arial" w:hAnsi="Arial" w:eastAsia="宋体" w:cs="Arial"/>
          <w:color w:val="auto"/>
          <w:highlight w:val="none"/>
        </w:rPr>
      </w:pPr>
      <w:r>
        <w:rPr>
          <w:rFonts w:hint="default" w:ascii="Arial" w:hAnsi="Arial" w:eastAsia="宋体" w:cs="Arial"/>
          <w:color w:val="auto"/>
          <w:highlight w:val="none"/>
        </w:rPr>
        <w:t>（1）评价标准</w:t>
      </w:r>
    </w:p>
    <w:p>
      <w:pPr>
        <w:ind w:firstLine="480"/>
        <w:rPr>
          <w:rFonts w:hint="default" w:ascii="Arial" w:hAnsi="Arial" w:eastAsia="宋体" w:cs="Arial"/>
          <w:color w:val="auto"/>
          <w:highlight w:val="none"/>
        </w:rPr>
      </w:pPr>
      <w:r>
        <w:rPr>
          <w:rFonts w:hint="default" w:ascii="Arial" w:hAnsi="Arial" w:eastAsia="宋体" w:cs="Arial"/>
          <w:color w:val="auto"/>
          <w:highlight w:val="none"/>
        </w:rPr>
        <w:t>TSP执行《环境空气质量标准》（GB3095-2012）中的二级标准，HN</w:t>
      </w:r>
      <w:r>
        <w:rPr>
          <w:rFonts w:hint="default" w:ascii="Arial" w:hAnsi="Arial" w:eastAsia="宋体" w:cs="Arial"/>
          <w:color w:val="auto"/>
          <w:highlight w:val="none"/>
          <w:vertAlign w:val="subscript"/>
        </w:rPr>
        <w:t>3</w:t>
      </w:r>
      <w:r>
        <w:rPr>
          <w:rFonts w:hint="default" w:ascii="Arial" w:hAnsi="Arial" w:eastAsia="宋体" w:cs="Arial"/>
          <w:color w:val="auto"/>
          <w:highlight w:val="none"/>
        </w:rPr>
        <w:t>、H</w:t>
      </w:r>
      <w:r>
        <w:rPr>
          <w:rFonts w:hint="default" w:ascii="Arial" w:hAnsi="Arial" w:eastAsia="宋体" w:cs="Arial"/>
          <w:color w:val="auto"/>
          <w:highlight w:val="none"/>
          <w:vertAlign w:val="subscript"/>
        </w:rPr>
        <w:t>2</w:t>
      </w:r>
      <w:r>
        <w:rPr>
          <w:rFonts w:hint="default" w:ascii="Arial" w:hAnsi="Arial" w:eastAsia="宋体" w:cs="Arial"/>
          <w:color w:val="auto"/>
          <w:highlight w:val="none"/>
        </w:rPr>
        <w:t>S执行《环境影响评价技术导则－大气环境》（HJ2.2-2018）附录D。</w:t>
      </w:r>
    </w:p>
    <w:p>
      <w:pPr>
        <w:overflowPunct w:val="0"/>
        <w:autoSpaceDE/>
        <w:ind w:firstLine="480"/>
        <w:rPr>
          <w:rFonts w:hint="default" w:ascii="Arial" w:hAnsi="Arial" w:eastAsia="宋体" w:cs="Arial"/>
          <w:color w:val="auto"/>
          <w:highlight w:val="none"/>
        </w:rPr>
      </w:pPr>
      <w:r>
        <w:rPr>
          <w:rFonts w:hint="default" w:ascii="Arial" w:hAnsi="Arial" w:eastAsia="宋体" w:cs="Arial"/>
          <w:color w:val="auto"/>
          <w:highlight w:val="none"/>
        </w:rPr>
        <w:t>（2）评价方法</w:t>
      </w:r>
    </w:p>
    <w:p>
      <w:pPr>
        <w:overflowPunct w:val="0"/>
        <w:autoSpaceDE/>
        <w:ind w:firstLine="480"/>
        <w:rPr>
          <w:rFonts w:hint="default" w:ascii="Arial" w:hAnsi="Arial" w:eastAsia="宋体" w:cs="Arial"/>
          <w:color w:val="auto"/>
          <w:highlight w:val="none"/>
        </w:rPr>
      </w:pPr>
      <w:r>
        <w:rPr>
          <w:rFonts w:hint="default" w:ascii="Arial" w:hAnsi="Arial" w:eastAsia="宋体" w:cs="Arial"/>
          <w:color w:val="auto"/>
          <w:highlight w:val="none"/>
        </w:rPr>
        <w:t>大气环境现状评价采用单因子指数法。单因子指数法公式如下：</w:t>
      </w:r>
    </w:p>
    <w:p>
      <w:pPr>
        <w:ind w:firstLine="480"/>
        <w:jc w:val="center"/>
        <w:rPr>
          <w:rFonts w:hint="default" w:ascii="Arial" w:hAnsi="Arial" w:eastAsia="宋体" w:cs="Arial"/>
          <w:color w:val="auto"/>
          <w:highlight w:val="none"/>
        </w:rPr>
      </w:pPr>
      <w:r>
        <w:rPr>
          <w:rFonts w:hint="default" w:ascii="Arial" w:hAnsi="Arial" w:eastAsia="宋体" w:cs="Arial"/>
          <w:color w:val="auto"/>
          <w:highlight w:val="none"/>
        </w:rPr>
        <w:t>Pi=C</w:t>
      </w:r>
      <w:r>
        <w:rPr>
          <w:rFonts w:hint="default" w:ascii="Arial" w:hAnsi="Arial" w:eastAsia="宋体" w:cs="Arial"/>
          <w:color w:val="auto"/>
          <w:highlight w:val="none"/>
          <w:vertAlign w:val="subscript"/>
        </w:rPr>
        <w:t>i</w:t>
      </w:r>
      <w:r>
        <w:rPr>
          <w:rFonts w:hint="default" w:ascii="Arial" w:hAnsi="Arial" w:eastAsia="宋体" w:cs="Arial"/>
          <w:color w:val="auto"/>
          <w:highlight w:val="none"/>
        </w:rPr>
        <w:t>/C</w:t>
      </w:r>
      <w:r>
        <w:rPr>
          <w:rFonts w:hint="default" w:ascii="Arial" w:hAnsi="Arial" w:eastAsia="宋体" w:cs="Arial"/>
          <w:color w:val="auto"/>
          <w:highlight w:val="none"/>
          <w:vertAlign w:val="subscript"/>
        </w:rPr>
        <w:t>0i</w:t>
      </w:r>
    </w:p>
    <w:p>
      <w:pPr>
        <w:overflowPunct w:val="0"/>
        <w:autoSpaceDE/>
        <w:ind w:firstLine="480"/>
        <w:rPr>
          <w:rFonts w:hint="default" w:ascii="Arial" w:hAnsi="Arial" w:eastAsia="宋体" w:cs="Arial"/>
          <w:color w:val="auto"/>
          <w:highlight w:val="none"/>
        </w:rPr>
      </w:pPr>
      <w:r>
        <w:rPr>
          <w:rFonts w:hint="default" w:ascii="Arial" w:hAnsi="Arial" w:eastAsia="宋体" w:cs="Arial"/>
          <w:color w:val="auto"/>
          <w:highlight w:val="none"/>
        </w:rPr>
        <w:t>式中：</w:t>
      </w:r>
    </w:p>
    <w:p>
      <w:pPr>
        <w:overflowPunct w:val="0"/>
        <w:autoSpaceDE/>
        <w:ind w:firstLine="480"/>
        <w:rPr>
          <w:rFonts w:hint="default" w:ascii="Arial" w:hAnsi="Arial" w:eastAsia="宋体" w:cs="Arial"/>
          <w:color w:val="auto"/>
          <w:highlight w:val="none"/>
        </w:rPr>
      </w:pPr>
      <w:r>
        <w:rPr>
          <w:rFonts w:hint="default" w:ascii="Arial" w:hAnsi="Arial" w:eastAsia="宋体" w:cs="Arial"/>
          <w:color w:val="auto"/>
          <w:highlight w:val="none"/>
        </w:rPr>
        <w:t>P</w:t>
      </w:r>
      <w:r>
        <w:rPr>
          <w:rFonts w:hint="default" w:ascii="Arial" w:hAnsi="Arial" w:eastAsia="宋体" w:cs="Arial"/>
          <w:color w:val="auto"/>
          <w:highlight w:val="none"/>
          <w:vertAlign w:val="subscript"/>
        </w:rPr>
        <w:t>i</w:t>
      </w:r>
      <w:r>
        <w:rPr>
          <w:rFonts w:hint="default" w:ascii="Arial" w:hAnsi="Arial" w:eastAsia="宋体" w:cs="Arial"/>
          <w:color w:val="auto"/>
          <w:highlight w:val="none"/>
        </w:rPr>
        <w:t>—i污染物的单因子指数；</w:t>
      </w:r>
    </w:p>
    <w:p>
      <w:pPr>
        <w:overflowPunct w:val="0"/>
        <w:autoSpaceDE/>
        <w:ind w:firstLine="480"/>
        <w:rPr>
          <w:rFonts w:hint="default" w:ascii="Arial" w:hAnsi="Arial" w:eastAsia="宋体" w:cs="Arial"/>
          <w:color w:val="auto"/>
          <w:highlight w:val="none"/>
        </w:rPr>
      </w:pPr>
      <w:r>
        <w:rPr>
          <w:rFonts w:hint="default" w:ascii="Arial" w:hAnsi="Arial" w:eastAsia="宋体" w:cs="Arial"/>
          <w:color w:val="auto"/>
          <w:highlight w:val="none"/>
        </w:rPr>
        <w:t>C</w:t>
      </w:r>
      <w:r>
        <w:rPr>
          <w:rFonts w:hint="default" w:ascii="Arial" w:hAnsi="Arial" w:eastAsia="宋体" w:cs="Arial"/>
          <w:color w:val="auto"/>
          <w:highlight w:val="none"/>
          <w:vertAlign w:val="subscript"/>
        </w:rPr>
        <w:t>i</w:t>
      </w:r>
      <w:r>
        <w:rPr>
          <w:rFonts w:hint="default" w:ascii="Arial" w:hAnsi="Arial" w:eastAsia="宋体" w:cs="Arial"/>
          <w:color w:val="auto"/>
          <w:highlight w:val="none"/>
        </w:rPr>
        <w:t>—i污染物的浓度，mg/m</w:t>
      </w:r>
      <w:r>
        <w:rPr>
          <w:rFonts w:hint="default" w:ascii="Arial" w:hAnsi="Arial" w:eastAsia="宋体" w:cs="Arial"/>
          <w:color w:val="auto"/>
          <w:highlight w:val="none"/>
          <w:vertAlign w:val="superscript"/>
        </w:rPr>
        <w:t>3</w:t>
      </w:r>
      <w:r>
        <w:rPr>
          <w:rFonts w:hint="default" w:ascii="Arial" w:hAnsi="Arial" w:eastAsia="宋体" w:cs="Arial"/>
          <w:color w:val="auto"/>
          <w:highlight w:val="none"/>
        </w:rPr>
        <w:t>；</w:t>
      </w:r>
    </w:p>
    <w:p>
      <w:pPr>
        <w:overflowPunct w:val="0"/>
        <w:autoSpaceDE/>
        <w:ind w:firstLine="480"/>
        <w:rPr>
          <w:rFonts w:hint="default" w:ascii="Arial" w:hAnsi="Arial" w:eastAsia="宋体" w:cs="Arial"/>
          <w:color w:val="auto"/>
          <w:highlight w:val="none"/>
        </w:rPr>
      </w:pPr>
      <w:r>
        <w:rPr>
          <w:rFonts w:hint="default" w:ascii="Arial" w:hAnsi="Arial" w:eastAsia="宋体" w:cs="Arial"/>
          <w:color w:val="auto"/>
          <w:highlight w:val="none"/>
        </w:rPr>
        <w:t>C</w:t>
      </w:r>
      <w:r>
        <w:rPr>
          <w:rFonts w:hint="default" w:ascii="Arial" w:hAnsi="Arial" w:eastAsia="宋体" w:cs="Arial"/>
          <w:color w:val="auto"/>
          <w:highlight w:val="none"/>
          <w:vertAlign w:val="subscript"/>
        </w:rPr>
        <w:t>0i</w:t>
      </w:r>
      <w:r>
        <w:rPr>
          <w:rFonts w:hint="default" w:ascii="Arial" w:hAnsi="Arial" w:eastAsia="宋体" w:cs="Arial"/>
          <w:color w:val="auto"/>
          <w:highlight w:val="none"/>
        </w:rPr>
        <w:t>—i污染物的评价标准，mg/m</w:t>
      </w:r>
      <w:r>
        <w:rPr>
          <w:rFonts w:hint="default" w:ascii="Arial" w:hAnsi="Arial" w:eastAsia="宋体" w:cs="Arial"/>
          <w:color w:val="auto"/>
          <w:highlight w:val="none"/>
          <w:vertAlign w:val="superscript"/>
        </w:rPr>
        <w:t>3</w:t>
      </w:r>
      <w:r>
        <w:rPr>
          <w:rFonts w:hint="default" w:ascii="Arial" w:hAnsi="Arial" w:eastAsia="宋体" w:cs="Arial"/>
          <w:color w:val="auto"/>
          <w:highlight w:val="none"/>
        </w:rPr>
        <w:t>。</w:t>
      </w:r>
    </w:p>
    <w:p>
      <w:pPr>
        <w:overflowPunct w:val="0"/>
        <w:autoSpaceDE/>
        <w:ind w:firstLine="480"/>
        <w:rPr>
          <w:rFonts w:hint="default" w:ascii="Arial" w:hAnsi="Arial" w:eastAsia="宋体" w:cs="Arial"/>
          <w:color w:val="auto"/>
          <w:highlight w:val="none"/>
        </w:rPr>
      </w:pPr>
      <w:r>
        <w:rPr>
          <w:rFonts w:hint="default" w:ascii="Arial" w:hAnsi="Arial" w:eastAsia="宋体" w:cs="Arial"/>
          <w:color w:val="auto"/>
          <w:highlight w:val="none"/>
        </w:rPr>
        <w:t>6、监测结果及评价结果</w:t>
      </w:r>
    </w:p>
    <w:p>
      <w:pPr>
        <w:overflowPunct w:val="0"/>
        <w:autoSpaceDE/>
        <w:ind w:firstLine="480"/>
        <w:rPr>
          <w:rFonts w:hint="default" w:ascii="Arial" w:hAnsi="Arial" w:eastAsia="宋体" w:cs="Arial"/>
          <w:color w:val="auto"/>
          <w:highlight w:val="none"/>
        </w:rPr>
      </w:pPr>
      <w:r>
        <w:rPr>
          <w:rFonts w:hint="default" w:ascii="Arial" w:hAnsi="Arial" w:eastAsia="宋体" w:cs="Arial"/>
          <w:color w:val="auto"/>
          <w:highlight w:val="none"/>
        </w:rPr>
        <w:t>（1）气象条件</w:t>
      </w:r>
    </w:p>
    <w:p>
      <w:pPr>
        <w:overflowPunct w:val="0"/>
        <w:autoSpaceDE/>
        <w:ind w:firstLine="480"/>
        <w:rPr>
          <w:rFonts w:hint="default" w:ascii="Arial" w:hAnsi="Arial" w:eastAsia="宋体" w:cs="Arial"/>
          <w:color w:val="auto"/>
          <w:highlight w:val="none"/>
        </w:rPr>
      </w:pPr>
      <w:r>
        <w:rPr>
          <w:rFonts w:hint="default" w:ascii="Arial" w:hAnsi="Arial" w:eastAsia="宋体" w:cs="Arial"/>
          <w:color w:val="auto"/>
          <w:highlight w:val="none"/>
        </w:rPr>
        <w:t>监测期间气象条件见下表。</w:t>
      </w:r>
    </w:p>
    <w:p>
      <w:pPr>
        <w:pStyle w:val="8"/>
        <w:rPr>
          <w:rFonts w:hint="default" w:ascii="Arial" w:hAnsi="Arial" w:eastAsia="宋体" w:cs="Arial"/>
          <w:color w:val="auto"/>
          <w:sz w:val="24"/>
          <w:szCs w:val="24"/>
          <w:highlight w:val="none"/>
        </w:rPr>
      </w:pPr>
      <w:r>
        <w:rPr>
          <w:rFonts w:hint="default" w:ascii="Arial" w:hAnsi="Arial" w:eastAsia="宋体" w:cs="Arial"/>
          <w:snapToGrid w:val="0"/>
          <w:color w:val="auto"/>
          <w:sz w:val="24"/>
          <w:szCs w:val="24"/>
          <w:highlight w:val="none"/>
        </w:rPr>
        <w:t xml:space="preserve">表4.2-4  </w:t>
      </w:r>
      <w:r>
        <w:rPr>
          <w:rFonts w:hint="default" w:ascii="Arial" w:hAnsi="Arial" w:eastAsia="宋体" w:cs="Arial"/>
          <w:color w:val="auto"/>
          <w:sz w:val="24"/>
          <w:szCs w:val="24"/>
          <w:highlight w:val="none"/>
        </w:rPr>
        <w:t xml:space="preserve">  监测期间气象条件</w:t>
      </w:r>
    </w:p>
    <w:tbl>
      <w:tblPr>
        <w:tblStyle w:val="39"/>
        <w:tblW w:w="900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48"/>
        <w:gridCol w:w="1452"/>
        <w:gridCol w:w="1262"/>
        <w:gridCol w:w="1262"/>
        <w:gridCol w:w="1452"/>
        <w:gridCol w:w="1262"/>
        <w:gridCol w:w="12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1215"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r>
              <w:rPr>
                <w:rFonts w:hint="default" w:ascii="Arial" w:hAnsi="Arial" w:eastAsia="宋体" w:cs="Arial"/>
                <w:color w:val="auto"/>
                <w:sz w:val="21"/>
                <w:szCs w:val="21"/>
              </w:rPr>
              <w:t>采样日期</w:t>
            </w:r>
          </w:p>
        </w:tc>
        <w:tc>
          <w:tcPr>
            <w:tcW w:w="1701"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r>
              <w:rPr>
                <w:rFonts w:hint="default" w:ascii="Arial" w:hAnsi="Arial" w:eastAsia="宋体" w:cs="Arial"/>
                <w:color w:val="auto"/>
                <w:sz w:val="21"/>
                <w:szCs w:val="21"/>
              </w:rPr>
              <w:t>采样时间</w:t>
            </w:r>
          </w:p>
        </w:tc>
        <w:tc>
          <w:tcPr>
            <w:tcW w:w="1472"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r>
              <w:rPr>
                <w:rFonts w:hint="default" w:ascii="Arial" w:hAnsi="Arial" w:eastAsia="宋体" w:cs="Arial"/>
                <w:color w:val="auto"/>
                <w:sz w:val="21"/>
                <w:szCs w:val="21"/>
              </w:rPr>
              <w:t>平均气温(℃)</w:t>
            </w:r>
          </w:p>
        </w:tc>
        <w:tc>
          <w:tcPr>
            <w:tcW w:w="1472"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r>
              <w:rPr>
                <w:rFonts w:hint="default" w:ascii="Arial" w:hAnsi="Arial" w:eastAsia="宋体" w:cs="Arial"/>
                <w:color w:val="auto"/>
                <w:sz w:val="21"/>
                <w:szCs w:val="21"/>
              </w:rPr>
              <w:t>大气压（</w:t>
            </w:r>
            <w:r>
              <w:rPr>
                <w:rFonts w:hint="default" w:ascii="Arial" w:hAnsi="Arial" w:eastAsia="宋体" w:cs="Arial"/>
                <w:color w:val="auto"/>
                <w:sz w:val="21"/>
                <w:szCs w:val="21"/>
                <w:lang w:val="en-US" w:eastAsia="zh-CN"/>
              </w:rPr>
              <w:t>k</w:t>
            </w:r>
            <w:r>
              <w:rPr>
                <w:rFonts w:hint="default" w:ascii="Arial" w:hAnsi="Arial" w:eastAsia="宋体" w:cs="Arial"/>
                <w:color w:val="auto"/>
                <w:sz w:val="21"/>
                <w:szCs w:val="21"/>
              </w:rPr>
              <w:t>Pa）</w:t>
            </w:r>
          </w:p>
        </w:tc>
        <w:tc>
          <w:tcPr>
            <w:tcW w:w="1701"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lang w:eastAsia="zh-CN"/>
              </w:rPr>
            </w:pPr>
            <w:r>
              <w:rPr>
                <w:rFonts w:hint="default" w:ascii="Arial" w:hAnsi="Arial" w:eastAsia="宋体" w:cs="Arial"/>
                <w:color w:val="auto"/>
                <w:sz w:val="21"/>
                <w:szCs w:val="21"/>
              </w:rPr>
              <w:t>风向</w:t>
            </w:r>
            <w:r>
              <w:rPr>
                <w:rFonts w:hint="default" w:ascii="Arial" w:hAnsi="Arial" w:eastAsia="宋体" w:cs="Arial"/>
                <w:color w:val="auto"/>
                <w:sz w:val="21"/>
                <w:szCs w:val="21"/>
                <w:lang w:eastAsia="zh-CN"/>
              </w:rPr>
              <w:t>（度）</w:t>
            </w:r>
          </w:p>
        </w:tc>
        <w:tc>
          <w:tcPr>
            <w:tcW w:w="1472"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r>
              <w:rPr>
                <w:rFonts w:hint="default" w:ascii="Arial" w:hAnsi="Arial" w:eastAsia="宋体" w:cs="Arial"/>
                <w:color w:val="auto"/>
                <w:sz w:val="21"/>
                <w:szCs w:val="21"/>
              </w:rPr>
              <w:t>风速(m/s)</w:t>
            </w:r>
          </w:p>
        </w:tc>
        <w:tc>
          <w:tcPr>
            <w:tcW w:w="1476"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r>
              <w:rPr>
                <w:rFonts w:hint="default" w:ascii="Arial" w:hAnsi="Arial" w:eastAsia="宋体" w:cs="Arial"/>
                <w:color w:val="auto"/>
                <w:sz w:val="21"/>
                <w:szCs w:val="21"/>
              </w:rPr>
              <w:t>天气状况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1215" w:type="dxa"/>
            <w:vMerge w:val="restart"/>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202</w:t>
            </w:r>
            <w:r>
              <w:rPr>
                <w:rFonts w:hint="default" w:ascii="Arial" w:hAnsi="Arial" w:eastAsia="宋体" w:cs="Arial"/>
                <w:color w:val="auto"/>
                <w:sz w:val="21"/>
                <w:szCs w:val="21"/>
                <w:lang w:val="en-US" w:eastAsia="zh-CN"/>
              </w:rPr>
              <w:t>2-01-05</w:t>
            </w:r>
          </w:p>
        </w:tc>
        <w:tc>
          <w:tcPr>
            <w:tcW w:w="1701"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r>
              <w:rPr>
                <w:rFonts w:hint="default" w:ascii="Arial" w:hAnsi="Arial" w:eastAsia="宋体" w:cs="Arial"/>
                <w:color w:val="auto"/>
                <w:sz w:val="21"/>
                <w:szCs w:val="21"/>
              </w:rPr>
              <w:t>02:00-03:00</w:t>
            </w:r>
          </w:p>
        </w:tc>
        <w:tc>
          <w:tcPr>
            <w:tcW w:w="1472"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lang w:val="en-US" w:eastAsia="zh-CN"/>
              </w:rPr>
            </w:pPr>
            <w:r>
              <w:rPr>
                <w:rFonts w:hint="default" w:ascii="Arial" w:hAnsi="Arial" w:eastAsia="宋体" w:cs="Arial"/>
                <w:color w:val="auto"/>
                <w:sz w:val="21"/>
                <w:szCs w:val="21"/>
                <w:lang w:val="en-US" w:eastAsia="zh-CN"/>
              </w:rPr>
              <w:t>-13.3</w:t>
            </w:r>
          </w:p>
        </w:tc>
        <w:tc>
          <w:tcPr>
            <w:tcW w:w="1472"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lang w:val="en-US" w:eastAsia="zh-CN"/>
              </w:rPr>
            </w:pPr>
            <w:r>
              <w:rPr>
                <w:rFonts w:hint="default" w:ascii="Arial" w:hAnsi="Arial" w:eastAsia="宋体" w:cs="Arial"/>
                <w:color w:val="auto"/>
                <w:sz w:val="21"/>
                <w:szCs w:val="21"/>
                <w:lang w:val="en-US" w:eastAsia="zh-CN"/>
              </w:rPr>
              <w:t>91.45</w:t>
            </w:r>
          </w:p>
        </w:tc>
        <w:tc>
          <w:tcPr>
            <w:tcW w:w="1701"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东北</w:t>
            </w:r>
            <w:r>
              <w:rPr>
                <w:rFonts w:hint="default" w:ascii="Arial" w:hAnsi="Arial" w:eastAsia="宋体" w:cs="Arial"/>
                <w:color w:val="auto"/>
                <w:sz w:val="21"/>
                <w:szCs w:val="21"/>
              </w:rPr>
              <w:t>风</w:t>
            </w:r>
            <w:r>
              <w:rPr>
                <w:rFonts w:hint="default" w:ascii="Arial" w:hAnsi="Arial" w:eastAsia="宋体" w:cs="Arial"/>
                <w:color w:val="auto"/>
                <w:sz w:val="21"/>
                <w:szCs w:val="21"/>
                <w:lang w:val="en-US" w:eastAsia="zh-CN"/>
              </w:rPr>
              <w:t>45</w:t>
            </w:r>
            <w:r>
              <w:rPr>
                <w:rFonts w:hint="default" w:ascii="Arial" w:hAnsi="Arial" w:eastAsia="宋体" w:cs="Arial"/>
                <w:color w:val="auto"/>
                <w:sz w:val="21"/>
                <w:szCs w:val="21"/>
              </w:rPr>
              <w:t>°</w:t>
            </w:r>
          </w:p>
        </w:tc>
        <w:tc>
          <w:tcPr>
            <w:tcW w:w="1472"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lang w:val="en-US" w:eastAsia="zh-CN"/>
              </w:rPr>
            </w:pPr>
            <w:r>
              <w:rPr>
                <w:rFonts w:hint="default" w:ascii="Arial" w:hAnsi="Arial" w:eastAsia="宋体" w:cs="Arial"/>
                <w:color w:val="auto"/>
                <w:sz w:val="21"/>
                <w:szCs w:val="21"/>
                <w:lang w:val="en-US" w:eastAsia="zh-CN"/>
              </w:rPr>
              <w:t>2.6</w:t>
            </w:r>
          </w:p>
        </w:tc>
        <w:tc>
          <w:tcPr>
            <w:tcW w:w="1476"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lang w:eastAsia="zh-CN"/>
              </w:rPr>
            </w:pPr>
            <w:r>
              <w:rPr>
                <w:rFonts w:hint="default" w:ascii="Arial" w:hAnsi="Arial" w:eastAsia="宋体" w:cs="Arial"/>
                <w:color w:val="auto"/>
                <w:sz w:val="21"/>
                <w:szCs w:val="21"/>
                <w:lang w:eastAsia="zh-CN"/>
              </w:rPr>
              <w:t>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1215" w:type="dxa"/>
            <w:vMerge w:val="continue"/>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lang w:val="en-US" w:eastAsia="zh-CN"/>
              </w:rPr>
            </w:pPr>
          </w:p>
        </w:tc>
        <w:tc>
          <w:tcPr>
            <w:tcW w:w="1701"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r>
              <w:rPr>
                <w:rFonts w:hint="default" w:ascii="Arial" w:hAnsi="Arial" w:eastAsia="宋体" w:cs="Arial"/>
                <w:color w:val="auto"/>
                <w:sz w:val="21"/>
                <w:szCs w:val="21"/>
              </w:rPr>
              <w:t>08:00-09:00</w:t>
            </w:r>
          </w:p>
        </w:tc>
        <w:tc>
          <w:tcPr>
            <w:tcW w:w="1472"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lang w:val="en-US" w:eastAsia="zh-CN"/>
              </w:rPr>
            </w:pPr>
            <w:r>
              <w:rPr>
                <w:rFonts w:hint="default" w:ascii="Arial" w:hAnsi="Arial" w:eastAsia="宋体" w:cs="Arial"/>
                <w:color w:val="auto"/>
                <w:sz w:val="21"/>
                <w:szCs w:val="21"/>
                <w:lang w:val="en-US" w:eastAsia="zh-CN"/>
              </w:rPr>
              <w:t>-11.3</w:t>
            </w:r>
          </w:p>
        </w:tc>
        <w:tc>
          <w:tcPr>
            <w:tcW w:w="1472"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lang w:val="en-US" w:eastAsia="zh-CN"/>
              </w:rPr>
            </w:pPr>
            <w:r>
              <w:rPr>
                <w:rFonts w:hint="default" w:ascii="Arial" w:hAnsi="Arial" w:eastAsia="宋体" w:cs="Arial"/>
                <w:color w:val="auto"/>
                <w:sz w:val="21"/>
                <w:szCs w:val="21"/>
                <w:lang w:val="en-US" w:eastAsia="zh-CN"/>
              </w:rPr>
              <w:t>91.25</w:t>
            </w:r>
          </w:p>
        </w:tc>
        <w:tc>
          <w:tcPr>
            <w:tcW w:w="1701"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东北</w:t>
            </w:r>
            <w:r>
              <w:rPr>
                <w:rFonts w:hint="default" w:ascii="Arial" w:hAnsi="Arial" w:eastAsia="宋体" w:cs="Arial"/>
                <w:color w:val="auto"/>
                <w:sz w:val="21"/>
                <w:szCs w:val="21"/>
              </w:rPr>
              <w:t>风</w:t>
            </w:r>
            <w:r>
              <w:rPr>
                <w:rFonts w:hint="default" w:ascii="Arial" w:hAnsi="Arial" w:eastAsia="宋体" w:cs="Arial"/>
                <w:color w:val="auto"/>
                <w:sz w:val="21"/>
                <w:szCs w:val="21"/>
                <w:lang w:val="en-US" w:eastAsia="zh-CN"/>
              </w:rPr>
              <w:t>45</w:t>
            </w:r>
            <w:r>
              <w:rPr>
                <w:rFonts w:hint="default" w:ascii="Arial" w:hAnsi="Arial" w:eastAsia="宋体" w:cs="Arial"/>
                <w:color w:val="auto"/>
                <w:sz w:val="21"/>
                <w:szCs w:val="21"/>
              </w:rPr>
              <w:t>°</w:t>
            </w:r>
          </w:p>
        </w:tc>
        <w:tc>
          <w:tcPr>
            <w:tcW w:w="1472"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lang w:val="en-US" w:eastAsia="zh-CN"/>
              </w:rPr>
            </w:pPr>
            <w:r>
              <w:rPr>
                <w:rFonts w:hint="default" w:ascii="Arial" w:hAnsi="Arial" w:eastAsia="宋体" w:cs="Arial"/>
                <w:color w:val="auto"/>
                <w:sz w:val="21"/>
                <w:szCs w:val="21"/>
                <w:lang w:val="en-US" w:eastAsia="zh-CN"/>
              </w:rPr>
              <w:t>2.2</w:t>
            </w:r>
          </w:p>
        </w:tc>
        <w:tc>
          <w:tcPr>
            <w:tcW w:w="1476"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lang w:eastAsia="zh-CN"/>
              </w:rPr>
            </w:pPr>
            <w:r>
              <w:rPr>
                <w:rFonts w:hint="default" w:ascii="Arial" w:hAnsi="Arial" w:eastAsia="宋体" w:cs="Arial"/>
                <w:color w:val="auto"/>
                <w:sz w:val="21"/>
                <w:szCs w:val="21"/>
                <w:lang w:eastAsia="zh-CN"/>
              </w:rPr>
              <w:t>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1215" w:type="dxa"/>
            <w:vMerge w:val="continue"/>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lang w:val="en-US" w:eastAsia="zh-CN"/>
              </w:rPr>
            </w:pPr>
          </w:p>
        </w:tc>
        <w:tc>
          <w:tcPr>
            <w:tcW w:w="1701"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r>
              <w:rPr>
                <w:rFonts w:hint="default" w:ascii="Arial" w:hAnsi="Arial" w:eastAsia="宋体" w:cs="Arial"/>
                <w:color w:val="auto"/>
                <w:sz w:val="21"/>
                <w:szCs w:val="21"/>
              </w:rPr>
              <w:t>14:00-15:00</w:t>
            </w:r>
          </w:p>
        </w:tc>
        <w:tc>
          <w:tcPr>
            <w:tcW w:w="1472"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lang w:val="en-US" w:eastAsia="zh-CN"/>
              </w:rPr>
            </w:pPr>
            <w:r>
              <w:rPr>
                <w:rFonts w:hint="default" w:ascii="Arial" w:hAnsi="Arial" w:eastAsia="宋体" w:cs="Arial"/>
                <w:color w:val="auto"/>
                <w:sz w:val="21"/>
                <w:szCs w:val="21"/>
                <w:lang w:val="en-US" w:eastAsia="zh-CN"/>
              </w:rPr>
              <w:t>-7.4</w:t>
            </w:r>
          </w:p>
        </w:tc>
        <w:tc>
          <w:tcPr>
            <w:tcW w:w="1472"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lang w:val="en-US" w:eastAsia="zh-CN"/>
              </w:rPr>
            </w:pPr>
            <w:r>
              <w:rPr>
                <w:rFonts w:hint="default" w:ascii="Arial" w:hAnsi="Arial" w:eastAsia="宋体" w:cs="Arial"/>
                <w:color w:val="auto"/>
                <w:sz w:val="21"/>
                <w:szCs w:val="21"/>
                <w:lang w:val="en-US" w:eastAsia="zh-CN"/>
              </w:rPr>
              <w:t>90.91</w:t>
            </w:r>
          </w:p>
        </w:tc>
        <w:tc>
          <w:tcPr>
            <w:tcW w:w="1701"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东北</w:t>
            </w:r>
            <w:r>
              <w:rPr>
                <w:rFonts w:hint="default" w:ascii="Arial" w:hAnsi="Arial" w:eastAsia="宋体" w:cs="Arial"/>
                <w:color w:val="auto"/>
                <w:sz w:val="21"/>
                <w:szCs w:val="21"/>
              </w:rPr>
              <w:t>风</w:t>
            </w:r>
            <w:r>
              <w:rPr>
                <w:rFonts w:hint="default" w:ascii="Arial" w:hAnsi="Arial" w:eastAsia="宋体" w:cs="Arial"/>
                <w:color w:val="auto"/>
                <w:sz w:val="21"/>
                <w:szCs w:val="21"/>
                <w:lang w:val="en-US" w:eastAsia="zh-CN"/>
              </w:rPr>
              <w:t>40</w:t>
            </w:r>
            <w:r>
              <w:rPr>
                <w:rFonts w:hint="default" w:ascii="Arial" w:hAnsi="Arial" w:eastAsia="宋体" w:cs="Arial"/>
                <w:color w:val="auto"/>
                <w:sz w:val="21"/>
                <w:szCs w:val="21"/>
              </w:rPr>
              <w:t>°</w:t>
            </w:r>
          </w:p>
        </w:tc>
        <w:tc>
          <w:tcPr>
            <w:tcW w:w="1472"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lang w:val="en-US" w:eastAsia="zh-CN"/>
              </w:rPr>
            </w:pPr>
            <w:r>
              <w:rPr>
                <w:rFonts w:hint="default" w:ascii="Arial" w:hAnsi="Arial" w:eastAsia="宋体" w:cs="Arial"/>
                <w:color w:val="auto"/>
                <w:sz w:val="21"/>
                <w:szCs w:val="21"/>
                <w:lang w:val="en-US" w:eastAsia="zh-CN"/>
              </w:rPr>
              <w:t>2.8</w:t>
            </w:r>
          </w:p>
        </w:tc>
        <w:tc>
          <w:tcPr>
            <w:tcW w:w="1476"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lang w:eastAsia="zh-CN"/>
              </w:rPr>
            </w:pPr>
            <w:r>
              <w:rPr>
                <w:rFonts w:hint="default" w:ascii="Arial" w:hAnsi="Arial" w:eastAsia="宋体" w:cs="Arial"/>
                <w:color w:val="auto"/>
                <w:sz w:val="21"/>
                <w:szCs w:val="21"/>
                <w:lang w:eastAsia="zh-CN"/>
              </w:rPr>
              <w:t>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1215" w:type="dxa"/>
            <w:vMerge w:val="continue"/>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lang w:val="en-US" w:eastAsia="zh-CN"/>
              </w:rPr>
            </w:pPr>
          </w:p>
        </w:tc>
        <w:tc>
          <w:tcPr>
            <w:tcW w:w="1701"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r>
              <w:rPr>
                <w:rFonts w:hint="default" w:ascii="Arial" w:hAnsi="Arial" w:eastAsia="宋体" w:cs="Arial"/>
                <w:color w:val="auto"/>
                <w:sz w:val="21"/>
                <w:szCs w:val="21"/>
              </w:rPr>
              <w:t>20:00-21:00</w:t>
            </w:r>
          </w:p>
        </w:tc>
        <w:tc>
          <w:tcPr>
            <w:tcW w:w="1472"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lang w:val="en-US" w:eastAsia="zh-CN"/>
              </w:rPr>
            </w:pPr>
            <w:r>
              <w:rPr>
                <w:rFonts w:hint="default" w:ascii="Arial" w:hAnsi="Arial" w:eastAsia="宋体" w:cs="Arial"/>
                <w:color w:val="auto"/>
                <w:sz w:val="21"/>
                <w:szCs w:val="21"/>
                <w:lang w:val="en-US" w:eastAsia="zh-CN"/>
              </w:rPr>
              <w:t>-12.5</w:t>
            </w:r>
          </w:p>
        </w:tc>
        <w:tc>
          <w:tcPr>
            <w:tcW w:w="1472"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lang w:val="en-US" w:eastAsia="zh-CN"/>
              </w:rPr>
            </w:pPr>
            <w:r>
              <w:rPr>
                <w:rFonts w:hint="default" w:ascii="Arial" w:hAnsi="Arial" w:eastAsia="宋体" w:cs="Arial"/>
                <w:color w:val="auto"/>
                <w:sz w:val="21"/>
                <w:szCs w:val="21"/>
                <w:lang w:val="en-US" w:eastAsia="zh-CN"/>
              </w:rPr>
              <w:t>90.77</w:t>
            </w:r>
          </w:p>
        </w:tc>
        <w:tc>
          <w:tcPr>
            <w:tcW w:w="1701"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东北</w:t>
            </w:r>
            <w:r>
              <w:rPr>
                <w:rFonts w:hint="default" w:ascii="Arial" w:hAnsi="Arial" w:eastAsia="宋体" w:cs="Arial"/>
                <w:color w:val="auto"/>
                <w:sz w:val="21"/>
                <w:szCs w:val="21"/>
              </w:rPr>
              <w:t>风</w:t>
            </w:r>
            <w:r>
              <w:rPr>
                <w:rFonts w:hint="default" w:ascii="Arial" w:hAnsi="Arial" w:eastAsia="宋体" w:cs="Arial"/>
                <w:color w:val="auto"/>
                <w:sz w:val="21"/>
                <w:szCs w:val="21"/>
                <w:lang w:val="en-US" w:eastAsia="zh-CN"/>
              </w:rPr>
              <w:t>40</w:t>
            </w:r>
            <w:r>
              <w:rPr>
                <w:rFonts w:hint="default" w:ascii="Arial" w:hAnsi="Arial" w:eastAsia="宋体" w:cs="Arial"/>
                <w:color w:val="auto"/>
                <w:sz w:val="21"/>
                <w:szCs w:val="21"/>
              </w:rPr>
              <w:t>°</w:t>
            </w:r>
          </w:p>
        </w:tc>
        <w:tc>
          <w:tcPr>
            <w:tcW w:w="1472"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lang w:val="en-US" w:eastAsia="zh-CN"/>
              </w:rPr>
            </w:pPr>
            <w:r>
              <w:rPr>
                <w:rFonts w:hint="default" w:ascii="Arial" w:hAnsi="Arial" w:eastAsia="宋体" w:cs="Arial"/>
                <w:color w:val="auto"/>
                <w:sz w:val="21"/>
                <w:szCs w:val="21"/>
                <w:lang w:val="en-US" w:eastAsia="zh-CN"/>
              </w:rPr>
              <w:t>2.1</w:t>
            </w:r>
          </w:p>
        </w:tc>
        <w:tc>
          <w:tcPr>
            <w:tcW w:w="1476"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lang w:eastAsia="zh-CN"/>
              </w:rPr>
            </w:pPr>
            <w:r>
              <w:rPr>
                <w:rFonts w:hint="default" w:ascii="Arial" w:hAnsi="Arial" w:eastAsia="宋体" w:cs="Arial"/>
                <w:color w:val="auto"/>
                <w:sz w:val="21"/>
                <w:szCs w:val="21"/>
                <w:lang w:eastAsia="zh-CN"/>
              </w:rPr>
              <w:t>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1215" w:type="dxa"/>
            <w:vMerge w:val="restart"/>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lang w:val="en-US" w:eastAsia="zh-CN"/>
              </w:rPr>
            </w:pPr>
            <w:r>
              <w:rPr>
                <w:rFonts w:hint="default" w:ascii="Arial" w:hAnsi="Arial" w:eastAsia="宋体" w:cs="Arial"/>
                <w:color w:val="auto"/>
                <w:sz w:val="21"/>
                <w:szCs w:val="21"/>
              </w:rPr>
              <w:t>202</w:t>
            </w:r>
            <w:r>
              <w:rPr>
                <w:rFonts w:hint="default" w:ascii="Arial" w:hAnsi="Arial" w:eastAsia="宋体" w:cs="Arial"/>
                <w:color w:val="auto"/>
                <w:sz w:val="21"/>
                <w:szCs w:val="21"/>
                <w:lang w:val="en-US" w:eastAsia="zh-CN"/>
              </w:rPr>
              <w:t>2-01-06</w:t>
            </w:r>
          </w:p>
        </w:tc>
        <w:tc>
          <w:tcPr>
            <w:tcW w:w="1701"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r>
              <w:rPr>
                <w:rFonts w:hint="default" w:ascii="Arial" w:hAnsi="Arial" w:eastAsia="宋体" w:cs="Arial"/>
                <w:color w:val="auto"/>
                <w:sz w:val="21"/>
                <w:szCs w:val="21"/>
              </w:rPr>
              <w:t>02:00-03:00</w:t>
            </w:r>
          </w:p>
        </w:tc>
        <w:tc>
          <w:tcPr>
            <w:tcW w:w="1472"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lang w:val="en-US" w:eastAsia="zh-CN"/>
              </w:rPr>
            </w:pPr>
            <w:r>
              <w:rPr>
                <w:rFonts w:hint="default" w:ascii="Arial" w:hAnsi="Arial" w:eastAsia="宋体" w:cs="Arial"/>
                <w:color w:val="auto"/>
                <w:sz w:val="21"/>
                <w:szCs w:val="21"/>
                <w:lang w:val="en-US" w:eastAsia="zh-CN"/>
              </w:rPr>
              <w:t>-14.1</w:t>
            </w:r>
          </w:p>
        </w:tc>
        <w:tc>
          <w:tcPr>
            <w:tcW w:w="1472"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lang w:val="en-US" w:eastAsia="zh-CN"/>
              </w:rPr>
            </w:pPr>
            <w:r>
              <w:rPr>
                <w:rFonts w:hint="default" w:ascii="Arial" w:hAnsi="Arial" w:eastAsia="宋体" w:cs="Arial"/>
                <w:color w:val="auto"/>
                <w:sz w:val="21"/>
                <w:szCs w:val="21"/>
                <w:lang w:val="en-US" w:eastAsia="zh-CN"/>
              </w:rPr>
              <w:t>90.61</w:t>
            </w:r>
          </w:p>
        </w:tc>
        <w:tc>
          <w:tcPr>
            <w:tcW w:w="1701"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东</w:t>
            </w:r>
            <w:r>
              <w:rPr>
                <w:rFonts w:hint="default" w:ascii="Arial" w:hAnsi="Arial" w:eastAsia="宋体" w:cs="Arial"/>
                <w:color w:val="auto"/>
                <w:sz w:val="21"/>
                <w:szCs w:val="21"/>
              </w:rPr>
              <w:t>风</w:t>
            </w:r>
            <w:r>
              <w:rPr>
                <w:rFonts w:hint="default" w:ascii="Arial" w:hAnsi="Arial" w:eastAsia="宋体" w:cs="Arial"/>
                <w:color w:val="auto"/>
                <w:sz w:val="21"/>
                <w:szCs w:val="21"/>
                <w:lang w:val="en-US" w:eastAsia="zh-CN"/>
              </w:rPr>
              <w:t>95</w:t>
            </w:r>
            <w:r>
              <w:rPr>
                <w:rFonts w:hint="default" w:ascii="Arial" w:hAnsi="Arial" w:eastAsia="宋体" w:cs="Arial"/>
                <w:color w:val="auto"/>
                <w:sz w:val="21"/>
                <w:szCs w:val="21"/>
              </w:rPr>
              <w:t>°</w:t>
            </w:r>
          </w:p>
        </w:tc>
        <w:tc>
          <w:tcPr>
            <w:tcW w:w="1472"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2.7</w:t>
            </w:r>
          </w:p>
        </w:tc>
        <w:tc>
          <w:tcPr>
            <w:tcW w:w="1476"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eastAsia="zh-CN"/>
              </w:rPr>
              <w:t>晴</w:t>
            </w:r>
            <w:r>
              <w:rPr>
                <w:rFonts w:hint="default" w:ascii="Arial" w:hAnsi="Arial" w:eastAsia="宋体" w:cs="Arial"/>
                <w:color w:val="auto"/>
                <w:sz w:val="21"/>
                <w:szCs w:val="21"/>
                <w:lang w:val="en-US" w:eastAsia="zh-CN"/>
              </w:rPr>
              <w:t>转多云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1215" w:type="dxa"/>
            <w:vMerge w:val="continue"/>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lang w:val="en-US" w:eastAsia="zh-CN"/>
              </w:rPr>
            </w:pPr>
          </w:p>
        </w:tc>
        <w:tc>
          <w:tcPr>
            <w:tcW w:w="1701"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r>
              <w:rPr>
                <w:rFonts w:hint="default" w:ascii="Arial" w:hAnsi="Arial" w:eastAsia="宋体" w:cs="Arial"/>
                <w:color w:val="auto"/>
                <w:sz w:val="21"/>
                <w:szCs w:val="21"/>
              </w:rPr>
              <w:t>08:00-09:00</w:t>
            </w:r>
          </w:p>
        </w:tc>
        <w:tc>
          <w:tcPr>
            <w:tcW w:w="1472"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lang w:val="en-US" w:eastAsia="zh-CN"/>
              </w:rPr>
            </w:pPr>
            <w:r>
              <w:rPr>
                <w:rFonts w:hint="default" w:ascii="Arial" w:hAnsi="Arial" w:eastAsia="宋体" w:cs="Arial"/>
                <w:color w:val="auto"/>
                <w:sz w:val="21"/>
                <w:szCs w:val="21"/>
                <w:lang w:val="en-US" w:eastAsia="zh-CN"/>
              </w:rPr>
              <w:t>-11.3</w:t>
            </w:r>
          </w:p>
        </w:tc>
        <w:tc>
          <w:tcPr>
            <w:tcW w:w="1472"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lang w:val="en-US" w:eastAsia="zh-CN"/>
              </w:rPr>
            </w:pPr>
            <w:r>
              <w:rPr>
                <w:rFonts w:hint="default" w:ascii="Arial" w:hAnsi="Arial" w:eastAsia="宋体" w:cs="Arial"/>
                <w:color w:val="auto"/>
                <w:sz w:val="21"/>
                <w:szCs w:val="21"/>
                <w:lang w:val="en-US" w:eastAsia="zh-CN"/>
              </w:rPr>
              <w:t>90.54</w:t>
            </w:r>
          </w:p>
        </w:tc>
        <w:tc>
          <w:tcPr>
            <w:tcW w:w="1701"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东</w:t>
            </w:r>
            <w:r>
              <w:rPr>
                <w:rFonts w:hint="default" w:ascii="Arial" w:hAnsi="Arial" w:eastAsia="宋体" w:cs="Arial"/>
                <w:color w:val="auto"/>
                <w:sz w:val="21"/>
                <w:szCs w:val="21"/>
              </w:rPr>
              <w:t>风</w:t>
            </w:r>
            <w:r>
              <w:rPr>
                <w:rFonts w:hint="default" w:ascii="Arial" w:hAnsi="Arial" w:eastAsia="宋体" w:cs="Arial"/>
                <w:color w:val="auto"/>
                <w:sz w:val="21"/>
                <w:szCs w:val="21"/>
                <w:lang w:val="en-US" w:eastAsia="zh-CN"/>
              </w:rPr>
              <w:t>95</w:t>
            </w:r>
            <w:r>
              <w:rPr>
                <w:rFonts w:hint="default" w:ascii="Arial" w:hAnsi="Arial" w:eastAsia="宋体" w:cs="Arial"/>
                <w:color w:val="auto"/>
                <w:sz w:val="21"/>
                <w:szCs w:val="21"/>
              </w:rPr>
              <w:t>°</w:t>
            </w:r>
          </w:p>
        </w:tc>
        <w:tc>
          <w:tcPr>
            <w:tcW w:w="1472"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2.4</w:t>
            </w:r>
          </w:p>
        </w:tc>
        <w:tc>
          <w:tcPr>
            <w:tcW w:w="1476"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eastAsia="zh-CN"/>
              </w:rPr>
              <w:t>晴</w:t>
            </w:r>
            <w:r>
              <w:rPr>
                <w:rFonts w:hint="default" w:ascii="Arial" w:hAnsi="Arial" w:eastAsia="宋体" w:cs="Arial"/>
                <w:color w:val="auto"/>
                <w:sz w:val="21"/>
                <w:szCs w:val="21"/>
                <w:lang w:val="en-US" w:eastAsia="zh-CN"/>
              </w:rPr>
              <w:t>转多云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1215" w:type="dxa"/>
            <w:vMerge w:val="continue"/>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lang w:val="en-US" w:eastAsia="zh-CN"/>
              </w:rPr>
            </w:pPr>
          </w:p>
        </w:tc>
        <w:tc>
          <w:tcPr>
            <w:tcW w:w="1701"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r>
              <w:rPr>
                <w:rFonts w:hint="default" w:ascii="Arial" w:hAnsi="Arial" w:eastAsia="宋体" w:cs="Arial"/>
                <w:color w:val="auto"/>
                <w:sz w:val="21"/>
                <w:szCs w:val="21"/>
              </w:rPr>
              <w:t>14:00-15:00</w:t>
            </w:r>
          </w:p>
        </w:tc>
        <w:tc>
          <w:tcPr>
            <w:tcW w:w="1472"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lang w:val="en-US" w:eastAsia="zh-CN"/>
              </w:rPr>
            </w:pPr>
            <w:r>
              <w:rPr>
                <w:rFonts w:hint="default" w:ascii="Arial" w:hAnsi="Arial" w:eastAsia="宋体" w:cs="Arial"/>
                <w:color w:val="auto"/>
                <w:sz w:val="21"/>
                <w:szCs w:val="21"/>
                <w:lang w:val="en-US" w:eastAsia="zh-CN"/>
              </w:rPr>
              <w:t>-9.7</w:t>
            </w:r>
          </w:p>
        </w:tc>
        <w:tc>
          <w:tcPr>
            <w:tcW w:w="1472"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lang w:val="en-US" w:eastAsia="zh-CN"/>
              </w:rPr>
            </w:pPr>
            <w:r>
              <w:rPr>
                <w:rFonts w:hint="default" w:ascii="Arial" w:hAnsi="Arial" w:eastAsia="宋体" w:cs="Arial"/>
                <w:color w:val="auto"/>
                <w:sz w:val="21"/>
                <w:szCs w:val="21"/>
                <w:lang w:val="en-US" w:eastAsia="zh-CN"/>
              </w:rPr>
              <w:t>90.46</w:t>
            </w:r>
          </w:p>
        </w:tc>
        <w:tc>
          <w:tcPr>
            <w:tcW w:w="1701"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东</w:t>
            </w:r>
            <w:r>
              <w:rPr>
                <w:rFonts w:hint="default" w:ascii="Arial" w:hAnsi="Arial" w:eastAsia="宋体" w:cs="Arial"/>
                <w:color w:val="auto"/>
                <w:sz w:val="21"/>
                <w:szCs w:val="21"/>
              </w:rPr>
              <w:t>风</w:t>
            </w:r>
            <w:r>
              <w:rPr>
                <w:rFonts w:hint="default" w:ascii="Arial" w:hAnsi="Arial" w:eastAsia="宋体" w:cs="Arial"/>
                <w:color w:val="auto"/>
                <w:sz w:val="21"/>
                <w:szCs w:val="21"/>
                <w:lang w:val="en-US" w:eastAsia="zh-CN"/>
              </w:rPr>
              <w:t>85</w:t>
            </w:r>
            <w:r>
              <w:rPr>
                <w:rFonts w:hint="default" w:ascii="Arial" w:hAnsi="Arial" w:eastAsia="宋体" w:cs="Arial"/>
                <w:color w:val="auto"/>
                <w:sz w:val="21"/>
                <w:szCs w:val="21"/>
              </w:rPr>
              <w:t>°</w:t>
            </w:r>
          </w:p>
        </w:tc>
        <w:tc>
          <w:tcPr>
            <w:tcW w:w="1472"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2.5</w:t>
            </w:r>
          </w:p>
        </w:tc>
        <w:tc>
          <w:tcPr>
            <w:tcW w:w="1476"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eastAsia="zh-CN"/>
              </w:rPr>
              <w:t>晴</w:t>
            </w:r>
            <w:r>
              <w:rPr>
                <w:rFonts w:hint="default" w:ascii="Arial" w:hAnsi="Arial" w:eastAsia="宋体" w:cs="Arial"/>
                <w:color w:val="auto"/>
                <w:sz w:val="21"/>
                <w:szCs w:val="21"/>
                <w:lang w:val="en-US" w:eastAsia="zh-CN"/>
              </w:rPr>
              <w:t>转多云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1215" w:type="dxa"/>
            <w:vMerge w:val="continue"/>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lang w:val="en-US" w:eastAsia="zh-CN"/>
              </w:rPr>
            </w:pPr>
          </w:p>
        </w:tc>
        <w:tc>
          <w:tcPr>
            <w:tcW w:w="1701"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r>
              <w:rPr>
                <w:rFonts w:hint="default" w:ascii="Arial" w:hAnsi="Arial" w:eastAsia="宋体" w:cs="Arial"/>
                <w:color w:val="auto"/>
                <w:sz w:val="21"/>
                <w:szCs w:val="21"/>
              </w:rPr>
              <w:t>20:00-21:00</w:t>
            </w:r>
          </w:p>
        </w:tc>
        <w:tc>
          <w:tcPr>
            <w:tcW w:w="1472"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lang w:val="en-US" w:eastAsia="zh-CN"/>
              </w:rPr>
            </w:pPr>
            <w:r>
              <w:rPr>
                <w:rFonts w:hint="default" w:ascii="Arial" w:hAnsi="Arial" w:eastAsia="宋体" w:cs="Arial"/>
                <w:color w:val="auto"/>
                <w:sz w:val="21"/>
                <w:szCs w:val="21"/>
                <w:lang w:val="en-US" w:eastAsia="zh-CN"/>
              </w:rPr>
              <w:t>-12.5</w:t>
            </w:r>
          </w:p>
        </w:tc>
        <w:tc>
          <w:tcPr>
            <w:tcW w:w="1472"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lang w:val="en-US" w:eastAsia="zh-CN"/>
              </w:rPr>
            </w:pPr>
            <w:r>
              <w:rPr>
                <w:rFonts w:hint="default" w:ascii="Arial" w:hAnsi="Arial" w:eastAsia="宋体" w:cs="Arial"/>
                <w:color w:val="auto"/>
                <w:sz w:val="21"/>
                <w:szCs w:val="21"/>
                <w:lang w:val="en-US" w:eastAsia="zh-CN"/>
              </w:rPr>
              <w:t>90.73</w:t>
            </w:r>
          </w:p>
        </w:tc>
        <w:tc>
          <w:tcPr>
            <w:tcW w:w="1701"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东</w:t>
            </w:r>
            <w:r>
              <w:rPr>
                <w:rFonts w:hint="default" w:ascii="Arial" w:hAnsi="Arial" w:eastAsia="宋体" w:cs="Arial"/>
                <w:color w:val="auto"/>
                <w:sz w:val="21"/>
                <w:szCs w:val="21"/>
              </w:rPr>
              <w:t>风</w:t>
            </w:r>
            <w:r>
              <w:rPr>
                <w:rFonts w:hint="default" w:ascii="Arial" w:hAnsi="Arial" w:eastAsia="宋体" w:cs="Arial"/>
                <w:color w:val="auto"/>
                <w:sz w:val="21"/>
                <w:szCs w:val="21"/>
                <w:lang w:val="en-US" w:eastAsia="zh-CN"/>
              </w:rPr>
              <w:t>85</w:t>
            </w:r>
            <w:r>
              <w:rPr>
                <w:rFonts w:hint="default" w:ascii="Arial" w:hAnsi="Arial" w:eastAsia="宋体" w:cs="Arial"/>
                <w:color w:val="auto"/>
                <w:sz w:val="21"/>
                <w:szCs w:val="21"/>
              </w:rPr>
              <w:t>°</w:t>
            </w:r>
          </w:p>
        </w:tc>
        <w:tc>
          <w:tcPr>
            <w:tcW w:w="1472"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2.6</w:t>
            </w:r>
          </w:p>
        </w:tc>
        <w:tc>
          <w:tcPr>
            <w:tcW w:w="1476"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eastAsia="zh-CN"/>
              </w:rPr>
              <w:t>晴</w:t>
            </w:r>
            <w:r>
              <w:rPr>
                <w:rFonts w:hint="default" w:ascii="Arial" w:hAnsi="Arial" w:eastAsia="宋体" w:cs="Arial"/>
                <w:color w:val="auto"/>
                <w:sz w:val="21"/>
                <w:szCs w:val="21"/>
                <w:lang w:val="en-US" w:eastAsia="zh-CN"/>
              </w:rPr>
              <w:t>转多云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1215" w:type="dxa"/>
            <w:vMerge w:val="restart"/>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202</w:t>
            </w:r>
            <w:r>
              <w:rPr>
                <w:rFonts w:hint="default" w:ascii="Arial" w:hAnsi="Arial" w:eastAsia="宋体" w:cs="Arial"/>
                <w:color w:val="auto"/>
                <w:sz w:val="21"/>
                <w:szCs w:val="21"/>
                <w:lang w:val="en-US" w:eastAsia="zh-CN"/>
              </w:rPr>
              <w:t>2-01-07</w:t>
            </w:r>
          </w:p>
        </w:tc>
        <w:tc>
          <w:tcPr>
            <w:tcW w:w="1701"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r>
              <w:rPr>
                <w:rFonts w:hint="default" w:ascii="Arial" w:hAnsi="Arial" w:eastAsia="宋体" w:cs="Arial"/>
                <w:color w:val="auto"/>
                <w:sz w:val="21"/>
                <w:szCs w:val="21"/>
              </w:rPr>
              <w:t>02:00-03:00</w:t>
            </w:r>
          </w:p>
        </w:tc>
        <w:tc>
          <w:tcPr>
            <w:tcW w:w="1472"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lang w:val="en-US" w:eastAsia="zh-CN"/>
              </w:rPr>
            </w:pPr>
            <w:r>
              <w:rPr>
                <w:rFonts w:hint="default" w:ascii="Arial" w:hAnsi="Arial" w:eastAsia="宋体" w:cs="Arial"/>
                <w:color w:val="auto"/>
                <w:sz w:val="21"/>
                <w:szCs w:val="21"/>
                <w:lang w:val="en-US" w:eastAsia="zh-CN"/>
              </w:rPr>
              <w:t>-15.6</w:t>
            </w:r>
          </w:p>
        </w:tc>
        <w:tc>
          <w:tcPr>
            <w:tcW w:w="1472"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lang w:val="en-US" w:eastAsia="zh-CN"/>
              </w:rPr>
            </w:pPr>
            <w:r>
              <w:rPr>
                <w:rFonts w:hint="default" w:ascii="Arial" w:hAnsi="Arial" w:eastAsia="宋体" w:cs="Arial"/>
                <w:color w:val="auto"/>
                <w:sz w:val="21"/>
                <w:szCs w:val="21"/>
                <w:lang w:val="en-US" w:eastAsia="zh-CN"/>
              </w:rPr>
              <w:t>90.89</w:t>
            </w:r>
          </w:p>
        </w:tc>
        <w:tc>
          <w:tcPr>
            <w:tcW w:w="1701"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西</w:t>
            </w:r>
            <w:r>
              <w:rPr>
                <w:rFonts w:hint="default" w:ascii="Arial" w:hAnsi="Arial" w:eastAsia="宋体" w:cs="Arial"/>
                <w:color w:val="auto"/>
                <w:sz w:val="21"/>
                <w:szCs w:val="21"/>
                <w:lang w:val="en-US" w:eastAsia="zh-CN"/>
              </w:rPr>
              <w:t>北</w:t>
            </w:r>
            <w:r>
              <w:rPr>
                <w:rFonts w:hint="default" w:ascii="Arial" w:hAnsi="Arial" w:eastAsia="宋体" w:cs="Arial"/>
                <w:color w:val="auto"/>
                <w:sz w:val="21"/>
                <w:szCs w:val="21"/>
              </w:rPr>
              <w:t>风</w:t>
            </w:r>
            <w:r>
              <w:rPr>
                <w:rFonts w:hint="default" w:ascii="Arial" w:hAnsi="Arial" w:eastAsia="宋体" w:cs="Arial"/>
                <w:color w:val="auto"/>
                <w:sz w:val="21"/>
                <w:szCs w:val="21"/>
                <w:lang w:val="en-US" w:eastAsia="zh-CN"/>
              </w:rPr>
              <w:t>315</w:t>
            </w:r>
            <w:r>
              <w:rPr>
                <w:rFonts w:hint="default" w:ascii="Arial" w:hAnsi="Arial" w:eastAsia="宋体" w:cs="Arial"/>
                <w:color w:val="auto"/>
                <w:sz w:val="21"/>
                <w:szCs w:val="21"/>
              </w:rPr>
              <w:t>°</w:t>
            </w:r>
          </w:p>
        </w:tc>
        <w:tc>
          <w:tcPr>
            <w:tcW w:w="1472"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lang w:val="en-US" w:eastAsia="zh-CN"/>
              </w:rPr>
            </w:pPr>
            <w:r>
              <w:rPr>
                <w:rFonts w:hint="default" w:ascii="Arial" w:hAnsi="Arial" w:eastAsia="宋体" w:cs="Arial"/>
                <w:color w:val="auto"/>
                <w:sz w:val="21"/>
                <w:szCs w:val="21"/>
                <w:lang w:val="en-US" w:eastAsia="zh-CN"/>
              </w:rPr>
              <w:t>2.3</w:t>
            </w:r>
          </w:p>
        </w:tc>
        <w:tc>
          <w:tcPr>
            <w:tcW w:w="1476"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eastAsia="zh-CN"/>
              </w:rPr>
              <w:t>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1215" w:type="dxa"/>
            <w:vMerge w:val="continue"/>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lang w:val="en-US" w:eastAsia="zh-CN"/>
              </w:rPr>
            </w:pPr>
          </w:p>
        </w:tc>
        <w:tc>
          <w:tcPr>
            <w:tcW w:w="1701"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r>
              <w:rPr>
                <w:rFonts w:hint="default" w:ascii="Arial" w:hAnsi="Arial" w:eastAsia="宋体" w:cs="Arial"/>
                <w:color w:val="auto"/>
                <w:sz w:val="21"/>
                <w:szCs w:val="21"/>
              </w:rPr>
              <w:t>08:00-09:00</w:t>
            </w:r>
          </w:p>
        </w:tc>
        <w:tc>
          <w:tcPr>
            <w:tcW w:w="1472"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lang w:val="en-US" w:eastAsia="zh-CN"/>
              </w:rPr>
            </w:pPr>
            <w:r>
              <w:rPr>
                <w:rFonts w:hint="default" w:ascii="Arial" w:hAnsi="Arial" w:eastAsia="宋体" w:cs="Arial"/>
                <w:color w:val="auto"/>
                <w:sz w:val="21"/>
                <w:szCs w:val="21"/>
                <w:lang w:val="en-US" w:eastAsia="zh-CN"/>
              </w:rPr>
              <w:t>-12.4</w:t>
            </w:r>
          </w:p>
        </w:tc>
        <w:tc>
          <w:tcPr>
            <w:tcW w:w="1472"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lang w:val="en-US" w:eastAsia="zh-CN"/>
              </w:rPr>
            </w:pPr>
            <w:r>
              <w:rPr>
                <w:rFonts w:hint="default" w:ascii="Arial" w:hAnsi="Arial" w:eastAsia="宋体" w:cs="Arial"/>
                <w:color w:val="auto"/>
                <w:sz w:val="21"/>
                <w:szCs w:val="21"/>
                <w:lang w:val="en-US" w:eastAsia="zh-CN"/>
              </w:rPr>
              <w:t>90.97</w:t>
            </w:r>
          </w:p>
        </w:tc>
        <w:tc>
          <w:tcPr>
            <w:tcW w:w="1701"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西</w:t>
            </w:r>
            <w:r>
              <w:rPr>
                <w:rFonts w:hint="default" w:ascii="Arial" w:hAnsi="Arial" w:eastAsia="宋体" w:cs="Arial"/>
                <w:color w:val="auto"/>
                <w:sz w:val="21"/>
                <w:szCs w:val="21"/>
                <w:lang w:val="en-US" w:eastAsia="zh-CN"/>
              </w:rPr>
              <w:t>北</w:t>
            </w:r>
            <w:r>
              <w:rPr>
                <w:rFonts w:hint="default" w:ascii="Arial" w:hAnsi="Arial" w:eastAsia="宋体" w:cs="Arial"/>
                <w:color w:val="auto"/>
                <w:sz w:val="21"/>
                <w:szCs w:val="21"/>
              </w:rPr>
              <w:t>风</w:t>
            </w:r>
            <w:r>
              <w:rPr>
                <w:rFonts w:hint="default" w:ascii="Arial" w:hAnsi="Arial" w:eastAsia="宋体" w:cs="Arial"/>
                <w:color w:val="auto"/>
                <w:sz w:val="21"/>
                <w:szCs w:val="21"/>
                <w:lang w:val="en-US" w:eastAsia="zh-CN"/>
              </w:rPr>
              <w:t>315</w:t>
            </w:r>
            <w:r>
              <w:rPr>
                <w:rFonts w:hint="default" w:ascii="Arial" w:hAnsi="Arial" w:eastAsia="宋体" w:cs="Arial"/>
                <w:color w:val="auto"/>
                <w:sz w:val="21"/>
                <w:szCs w:val="21"/>
              </w:rPr>
              <w:t>°</w:t>
            </w:r>
          </w:p>
        </w:tc>
        <w:tc>
          <w:tcPr>
            <w:tcW w:w="1472"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lang w:val="en-US" w:eastAsia="zh-CN"/>
              </w:rPr>
            </w:pPr>
            <w:r>
              <w:rPr>
                <w:rFonts w:hint="default" w:ascii="Arial" w:hAnsi="Arial" w:eastAsia="宋体" w:cs="Arial"/>
                <w:color w:val="auto"/>
                <w:sz w:val="21"/>
                <w:szCs w:val="21"/>
                <w:lang w:val="en-US" w:eastAsia="zh-CN"/>
              </w:rPr>
              <w:t>2.4</w:t>
            </w:r>
          </w:p>
        </w:tc>
        <w:tc>
          <w:tcPr>
            <w:tcW w:w="1476"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eastAsia="zh-CN"/>
              </w:rPr>
              <w:t>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1215" w:type="dxa"/>
            <w:vMerge w:val="continue"/>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lang w:val="en-US" w:eastAsia="zh-CN"/>
              </w:rPr>
            </w:pPr>
          </w:p>
        </w:tc>
        <w:tc>
          <w:tcPr>
            <w:tcW w:w="1701"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r>
              <w:rPr>
                <w:rFonts w:hint="default" w:ascii="Arial" w:hAnsi="Arial" w:eastAsia="宋体" w:cs="Arial"/>
                <w:color w:val="auto"/>
                <w:sz w:val="21"/>
                <w:szCs w:val="21"/>
              </w:rPr>
              <w:t>14:00-15:00</w:t>
            </w:r>
          </w:p>
        </w:tc>
        <w:tc>
          <w:tcPr>
            <w:tcW w:w="1472"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lang w:val="en-US" w:eastAsia="zh-CN"/>
              </w:rPr>
            </w:pPr>
            <w:r>
              <w:rPr>
                <w:rFonts w:hint="default" w:ascii="Arial" w:hAnsi="Arial" w:eastAsia="宋体" w:cs="Arial"/>
                <w:color w:val="auto"/>
                <w:sz w:val="21"/>
                <w:szCs w:val="21"/>
                <w:lang w:val="en-US" w:eastAsia="zh-CN"/>
              </w:rPr>
              <w:t>-8.8</w:t>
            </w:r>
          </w:p>
        </w:tc>
        <w:tc>
          <w:tcPr>
            <w:tcW w:w="1472"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lang w:val="en-US" w:eastAsia="zh-CN"/>
              </w:rPr>
            </w:pPr>
            <w:r>
              <w:rPr>
                <w:rFonts w:hint="default" w:ascii="Arial" w:hAnsi="Arial" w:eastAsia="宋体" w:cs="Arial"/>
                <w:color w:val="auto"/>
                <w:sz w:val="21"/>
                <w:szCs w:val="21"/>
                <w:lang w:val="en-US" w:eastAsia="zh-CN"/>
              </w:rPr>
              <w:t>90.78</w:t>
            </w:r>
          </w:p>
        </w:tc>
        <w:tc>
          <w:tcPr>
            <w:tcW w:w="1701"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西</w:t>
            </w:r>
            <w:r>
              <w:rPr>
                <w:rFonts w:hint="default" w:ascii="Arial" w:hAnsi="Arial" w:eastAsia="宋体" w:cs="Arial"/>
                <w:color w:val="auto"/>
                <w:sz w:val="21"/>
                <w:szCs w:val="21"/>
                <w:lang w:val="en-US" w:eastAsia="zh-CN"/>
              </w:rPr>
              <w:t>北</w:t>
            </w:r>
            <w:r>
              <w:rPr>
                <w:rFonts w:hint="default" w:ascii="Arial" w:hAnsi="Arial" w:eastAsia="宋体" w:cs="Arial"/>
                <w:color w:val="auto"/>
                <w:sz w:val="21"/>
                <w:szCs w:val="21"/>
              </w:rPr>
              <w:t>风</w:t>
            </w:r>
            <w:r>
              <w:rPr>
                <w:rFonts w:hint="default" w:ascii="Arial" w:hAnsi="Arial" w:eastAsia="宋体" w:cs="Arial"/>
                <w:color w:val="auto"/>
                <w:sz w:val="21"/>
                <w:szCs w:val="21"/>
                <w:lang w:val="en-US" w:eastAsia="zh-CN"/>
              </w:rPr>
              <w:t>310</w:t>
            </w:r>
            <w:r>
              <w:rPr>
                <w:rFonts w:hint="default" w:ascii="Arial" w:hAnsi="Arial" w:eastAsia="宋体" w:cs="Arial"/>
                <w:color w:val="auto"/>
                <w:sz w:val="21"/>
                <w:szCs w:val="21"/>
              </w:rPr>
              <w:t>°</w:t>
            </w:r>
          </w:p>
        </w:tc>
        <w:tc>
          <w:tcPr>
            <w:tcW w:w="1472"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lang w:val="en-US" w:eastAsia="zh-CN"/>
              </w:rPr>
            </w:pPr>
            <w:r>
              <w:rPr>
                <w:rFonts w:hint="default" w:ascii="Arial" w:hAnsi="Arial" w:eastAsia="宋体" w:cs="Arial"/>
                <w:color w:val="auto"/>
                <w:sz w:val="21"/>
                <w:szCs w:val="21"/>
                <w:lang w:val="en-US" w:eastAsia="zh-CN"/>
              </w:rPr>
              <w:t>2.7</w:t>
            </w:r>
          </w:p>
        </w:tc>
        <w:tc>
          <w:tcPr>
            <w:tcW w:w="1476"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eastAsia="zh-CN"/>
              </w:rPr>
              <w:t>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1215" w:type="dxa"/>
            <w:vMerge w:val="continue"/>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lang w:val="en-US" w:eastAsia="zh-CN"/>
              </w:rPr>
            </w:pPr>
          </w:p>
        </w:tc>
        <w:tc>
          <w:tcPr>
            <w:tcW w:w="1701"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r>
              <w:rPr>
                <w:rFonts w:hint="default" w:ascii="Arial" w:hAnsi="Arial" w:eastAsia="宋体" w:cs="Arial"/>
                <w:color w:val="auto"/>
                <w:sz w:val="21"/>
                <w:szCs w:val="21"/>
              </w:rPr>
              <w:t>20:00-21:00</w:t>
            </w:r>
          </w:p>
        </w:tc>
        <w:tc>
          <w:tcPr>
            <w:tcW w:w="1472"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lang w:val="en-US" w:eastAsia="zh-CN"/>
              </w:rPr>
            </w:pPr>
            <w:r>
              <w:rPr>
                <w:rFonts w:hint="default" w:ascii="Arial" w:hAnsi="Arial" w:eastAsia="宋体" w:cs="Arial"/>
                <w:color w:val="auto"/>
                <w:sz w:val="21"/>
                <w:szCs w:val="21"/>
                <w:lang w:val="en-US" w:eastAsia="zh-CN"/>
              </w:rPr>
              <w:t>-13.8</w:t>
            </w:r>
          </w:p>
        </w:tc>
        <w:tc>
          <w:tcPr>
            <w:tcW w:w="1472"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lang w:val="en-US" w:eastAsia="zh-CN"/>
              </w:rPr>
            </w:pPr>
            <w:r>
              <w:rPr>
                <w:rFonts w:hint="default" w:ascii="Arial" w:hAnsi="Arial" w:eastAsia="宋体" w:cs="Arial"/>
                <w:color w:val="auto"/>
                <w:sz w:val="21"/>
                <w:szCs w:val="21"/>
                <w:lang w:val="en-US" w:eastAsia="zh-CN"/>
              </w:rPr>
              <w:t>90.63</w:t>
            </w:r>
          </w:p>
        </w:tc>
        <w:tc>
          <w:tcPr>
            <w:tcW w:w="1701"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西</w:t>
            </w:r>
            <w:r>
              <w:rPr>
                <w:rFonts w:hint="default" w:ascii="Arial" w:hAnsi="Arial" w:eastAsia="宋体" w:cs="Arial"/>
                <w:color w:val="auto"/>
                <w:sz w:val="21"/>
                <w:szCs w:val="21"/>
                <w:lang w:val="en-US" w:eastAsia="zh-CN"/>
              </w:rPr>
              <w:t>北</w:t>
            </w:r>
            <w:r>
              <w:rPr>
                <w:rFonts w:hint="default" w:ascii="Arial" w:hAnsi="Arial" w:eastAsia="宋体" w:cs="Arial"/>
                <w:color w:val="auto"/>
                <w:sz w:val="21"/>
                <w:szCs w:val="21"/>
              </w:rPr>
              <w:t>风</w:t>
            </w:r>
            <w:r>
              <w:rPr>
                <w:rFonts w:hint="default" w:ascii="Arial" w:hAnsi="Arial" w:eastAsia="宋体" w:cs="Arial"/>
                <w:color w:val="auto"/>
                <w:sz w:val="21"/>
                <w:szCs w:val="21"/>
                <w:lang w:val="en-US" w:eastAsia="zh-CN"/>
              </w:rPr>
              <w:t>310</w:t>
            </w:r>
            <w:r>
              <w:rPr>
                <w:rFonts w:hint="default" w:ascii="Arial" w:hAnsi="Arial" w:eastAsia="宋体" w:cs="Arial"/>
                <w:color w:val="auto"/>
                <w:sz w:val="21"/>
                <w:szCs w:val="21"/>
              </w:rPr>
              <w:t>°</w:t>
            </w:r>
          </w:p>
        </w:tc>
        <w:tc>
          <w:tcPr>
            <w:tcW w:w="1472"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lang w:val="en-US" w:eastAsia="zh-CN"/>
              </w:rPr>
            </w:pPr>
            <w:r>
              <w:rPr>
                <w:rFonts w:hint="default" w:ascii="Arial" w:hAnsi="Arial" w:eastAsia="宋体" w:cs="Arial"/>
                <w:color w:val="auto"/>
                <w:sz w:val="21"/>
                <w:szCs w:val="21"/>
                <w:lang w:val="en-US" w:eastAsia="zh-CN"/>
              </w:rPr>
              <w:t>2.6</w:t>
            </w:r>
          </w:p>
        </w:tc>
        <w:tc>
          <w:tcPr>
            <w:tcW w:w="1476"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eastAsia="zh-CN"/>
              </w:rPr>
              <w:t>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1215" w:type="dxa"/>
            <w:vMerge w:val="restart"/>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lang w:val="en-US" w:eastAsia="zh-CN"/>
              </w:rPr>
            </w:pPr>
            <w:r>
              <w:rPr>
                <w:rFonts w:hint="default" w:ascii="Arial" w:hAnsi="Arial" w:eastAsia="宋体" w:cs="Arial"/>
                <w:color w:val="auto"/>
                <w:sz w:val="21"/>
                <w:szCs w:val="21"/>
              </w:rPr>
              <w:t>202</w:t>
            </w:r>
            <w:r>
              <w:rPr>
                <w:rFonts w:hint="default" w:ascii="Arial" w:hAnsi="Arial" w:eastAsia="宋体" w:cs="Arial"/>
                <w:color w:val="auto"/>
                <w:sz w:val="21"/>
                <w:szCs w:val="21"/>
                <w:lang w:val="en-US" w:eastAsia="zh-CN"/>
              </w:rPr>
              <w:t>2-01-08</w:t>
            </w:r>
          </w:p>
        </w:tc>
        <w:tc>
          <w:tcPr>
            <w:tcW w:w="1701"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02:00-03:00</w:t>
            </w:r>
          </w:p>
        </w:tc>
        <w:tc>
          <w:tcPr>
            <w:tcW w:w="1472"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lang w:val="en-US" w:eastAsia="zh-CN"/>
              </w:rPr>
            </w:pPr>
            <w:r>
              <w:rPr>
                <w:rFonts w:hint="default" w:ascii="Arial" w:hAnsi="Arial" w:eastAsia="宋体" w:cs="Arial"/>
                <w:color w:val="auto"/>
                <w:sz w:val="21"/>
                <w:szCs w:val="21"/>
                <w:lang w:val="en-US" w:eastAsia="zh-CN"/>
              </w:rPr>
              <w:t>-12.6</w:t>
            </w:r>
          </w:p>
        </w:tc>
        <w:tc>
          <w:tcPr>
            <w:tcW w:w="1472"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lang w:val="en-US" w:eastAsia="zh-CN"/>
              </w:rPr>
            </w:pPr>
            <w:r>
              <w:rPr>
                <w:rFonts w:hint="default" w:ascii="Arial" w:hAnsi="Arial" w:eastAsia="宋体" w:cs="Arial"/>
                <w:color w:val="auto"/>
                <w:sz w:val="21"/>
                <w:szCs w:val="21"/>
                <w:lang w:val="en-US" w:eastAsia="zh-CN"/>
              </w:rPr>
              <w:t>90.55</w:t>
            </w:r>
          </w:p>
        </w:tc>
        <w:tc>
          <w:tcPr>
            <w:tcW w:w="1701"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西风2</w:t>
            </w:r>
            <w:r>
              <w:rPr>
                <w:rFonts w:hint="default" w:ascii="Arial" w:hAnsi="Arial" w:eastAsia="宋体" w:cs="Arial"/>
                <w:color w:val="auto"/>
                <w:sz w:val="21"/>
                <w:szCs w:val="21"/>
                <w:lang w:val="en-US" w:eastAsia="zh-CN"/>
              </w:rPr>
              <w:t>70</w:t>
            </w:r>
            <w:r>
              <w:rPr>
                <w:rFonts w:hint="default" w:ascii="Arial" w:hAnsi="Arial" w:eastAsia="宋体" w:cs="Arial"/>
                <w:color w:val="auto"/>
                <w:sz w:val="21"/>
                <w:szCs w:val="21"/>
              </w:rPr>
              <w:t>°</w:t>
            </w:r>
          </w:p>
        </w:tc>
        <w:tc>
          <w:tcPr>
            <w:tcW w:w="1472"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lang w:val="en-US" w:eastAsia="zh-CN"/>
              </w:rPr>
            </w:pPr>
            <w:r>
              <w:rPr>
                <w:rFonts w:hint="default" w:ascii="Arial" w:hAnsi="Arial" w:eastAsia="宋体" w:cs="Arial"/>
                <w:color w:val="auto"/>
                <w:sz w:val="21"/>
                <w:szCs w:val="21"/>
                <w:lang w:val="en-US" w:eastAsia="zh-CN"/>
              </w:rPr>
              <w:t>2.3</w:t>
            </w:r>
          </w:p>
        </w:tc>
        <w:tc>
          <w:tcPr>
            <w:tcW w:w="1476"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lang w:eastAsia="zh-CN"/>
              </w:rPr>
            </w:pPr>
            <w:r>
              <w:rPr>
                <w:rFonts w:hint="default" w:ascii="Arial" w:hAnsi="Arial" w:eastAsia="宋体" w:cs="Arial"/>
                <w:color w:val="auto"/>
                <w:sz w:val="21"/>
                <w:szCs w:val="21"/>
                <w:lang w:val="en-US" w:eastAsia="zh-CN"/>
              </w:rPr>
              <w:t>多云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1215" w:type="dxa"/>
            <w:vMerge w:val="continue"/>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lang w:val="en-US" w:eastAsia="zh-CN"/>
              </w:rPr>
            </w:pPr>
          </w:p>
        </w:tc>
        <w:tc>
          <w:tcPr>
            <w:tcW w:w="1701"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08:00-09:00</w:t>
            </w:r>
          </w:p>
        </w:tc>
        <w:tc>
          <w:tcPr>
            <w:tcW w:w="1472"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lang w:val="en-US" w:eastAsia="zh-CN"/>
              </w:rPr>
            </w:pPr>
            <w:r>
              <w:rPr>
                <w:rFonts w:hint="default" w:ascii="Arial" w:hAnsi="Arial" w:eastAsia="宋体" w:cs="Arial"/>
                <w:color w:val="auto"/>
                <w:sz w:val="21"/>
                <w:szCs w:val="21"/>
                <w:lang w:val="en-US" w:eastAsia="zh-CN"/>
              </w:rPr>
              <w:t>-9.4</w:t>
            </w:r>
          </w:p>
        </w:tc>
        <w:tc>
          <w:tcPr>
            <w:tcW w:w="1472"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lang w:val="en-US" w:eastAsia="zh-CN"/>
              </w:rPr>
            </w:pPr>
            <w:r>
              <w:rPr>
                <w:rFonts w:hint="default" w:ascii="Arial" w:hAnsi="Arial" w:eastAsia="宋体" w:cs="Arial"/>
                <w:color w:val="auto"/>
                <w:sz w:val="21"/>
                <w:szCs w:val="21"/>
                <w:lang w:val="en-US" w:eastAsia="zh-CN"/>
              </w:rPr>
              <w:t>90.72</w:t>
            </w:r>
          </w:p>
        </w:tc>
        <w:tc>
          <w:tcPr>
            <w:tcW w:w="1701"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西风2</w:t>
            </w:r>
            <w:r>
              <w:rPr>
                <w:rFonts w:hint="default" w:ascii="Arial" w:hAnsi="Arial" w:eastAsia="宋体" w:cs="Arial"/>
                <w:color w:val="auto"/>
                <w:sz w:val="21"/>
                <w:szCs w:val="21"/>
                <w:lang w:val="en-US" w:eastAsia="zh-CN"/>
              </w:rPr>
              <w:t>65</w:t>
            </w:r>
            <w:r>
              <w:rPr>
                <w:rFonts w:hint="default" w:ascii="Arial" w:hAnsi="Arial" w:eastAsia="宋体" w:cs="Arial"/>
                <w:color w:val="auto"/>
                <w:sz w:val="21"/>
                <w:szCs w:val="21"/>
              </w:rPr>
              <w:t>°</w:t>
            </w:r>
          </w:p>
        </w:tc>
        <w:tc>
          <w:tcPr>
            <w:tcW w:w="1472"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lang w:val="en-US" w:eastAsia="zh-CN"/>
              </w:rPr>
            </w:pPr>
            <w:r>
              <w:rPr>
                <w:rFonts w:hint="default" w:ascii="Arial" w:hAnsi="Arial" w:eastAsia="宋体" w:cs="Arial"/>
                <w:color w:val="auto"/>
                <w:sz w:val="21"/>
                <w:szCs w:val="21"/>
                <w:lang w:val="en-US" w:eastAsia="zh-CN"/>
              </w:rPr>
              <w:t>2.2</w:t>
            </w:r>
          </w:p>
        </w:tc>
        <w:tc>
          <w:tcPr>
            <w:tcW w:w="1476"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lang w:eastAsia="zh-CN"/>
              </w:rPr>
            </w:pPr>
            <w:r>
              <w:rPr>
                <w:rFonts w:hint="default" w:ascii="Arial" w:hAnsi="Arial" w:eastAsia="宋体" w:cs="Arial"/>
                <w:color w:val="auto"/>
                <w:sz w:val="21"/>
                <w:szCs w:val="21"/>
                <w:lang w:val="en-US" w:eastAsia="zh-CN"/>
              </w:rPr>
              <w:t>多云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1215" w:type="dxa"/>
            <w:vMerge w:val="continue"/>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lang w:val="en-US" w:eastAsia="zh-CN"/>
              </w:rPr>
            </w:pPr>
          </w:p>
        </w:tc>
        <w:tc>
          <w:tcPr>
            <w:tcW w:w="1701"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14:00-15:00</w:t>
            </w:r>
          </w:p>
        </w:tc>
        <w:tc>
          <w:tcPr>
            <w:tcW w:w="1472"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lang w:val="en-US" w:eastAsia="zh-CN"/>
              </w:rPr>
            </w:pPr>
            <w:r>
              <w:rPr>
                <w:rFonts w:hint="default" w:ascii="Arial" w:hAnsi="Arial" w:eastAsia="宋体" w:cs="Arial"/>
                <w:color w:val="auto"/>
                <w:sz w:val="21"/>
                <w:szCs w:val="21"/>
                <w:lang w:val="en-US" w:eastAsia="zh-CN"/>
              </w:rPr>
              <w:t>-5.2</w:t>
            </w:r>
          </w:p>
        </w:tc>
        <w:tc>
          <w:tcPr>
            <w:tcW w:w="1472"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lang w:val="en-US" w:eastAsia="zh-CN"/>
              </w:rPr>
            </w:pPr>
            <w:r>
              <w:rPr>
                <w:rFonts w:hint="default" w:ascii="Arial" w:hAnsi="Arial" w:eastAsia="宋体" w:cs="Arial"/>
                <w:color w:val="auto"/>
                <w:sz w:val="21"/>
                <w:szCs w:val="21"/>
                <w:lang w:val="en-US" w:eastAsia="zh-CN"/>
              </w:rPr>
              <w:t>90.88</w:t>
            </w:r>
          </w:p>
        </w:tc>
        <w:tc>
          <w:tcPr>
            <w:tcW w:w="1701"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西风</w:t>
            </w:r>
            <w:r>
              <w:rPr>
                <w:rFonts w:hint="default" w:ascii="Arial" w:hAnsi="Arial" w:eastAsia="宋体" w:cs="Arial"/>
                <w:color w:val="auto"/>
                <w:sz w:val="21"/>
                <w:szCs w:val="21"/>
                <w:lang w:val="en-US" w:eastAsia="zh-CN"/>
              </w:rPr>
              <w:t>275</w:t>
            </w:r>
            <w:r>
              <w:rPr>
                <w:rFonts w:hint="default" w:ascii="Arial" w:hAnsi="Arial" w:eastAsia="宋体" w:cs="Arial"/>
                <w:color w:val="auto"/>
                <w:sz w:val="21"/>
                <w:szCs w:val="21"/>
              </w:rPr>
              <w:t>°</w:t>
            </w:r>
          </w:p>
        </w:tc>
        <w:tc>
          <w:tcPr>
            <w:tcW w:w="1472"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lang w:val="en-US" w:eastAsia="zh-CN"/>
              </w:rPr>
            </w:pPr>
            <w:r>
              <w:rPr>
                <w:rFonts w:hint="default" w:ascii="Arial" w:hAnsi="Arial" w:eastAsia="宋体" w:cs="Arial"/>
                <w:color w:val="auto"/>
                <w:sz w:val="21"/>
                <w:szCs w:val="21"/>
                <w:lang w:val="en-US" w:eastAsia="zh-CN"/>
              </w:rPr>
              <w:t>2.2</w:t>
            </w:r>
          </w:p>
        </w:tc>
        <w:tc>
          <w:tcPr>
            <w:tcW w:w="1476"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lang w:eastAsia="zh-CN"/>
              </w:rPr>
            </w:pPr>
            <w:r>
              <w:rPr>
                <w:rFonts w:hint="default" w:ascii="Arial" w:hAnsi="Arial" w:eastAsia="宋体" w:cs="Arial"/>
                <w:color w:val="auto"/>
                <w:sz w:val="21"/>
                <w:szCs w:val="21"/>
                <w:lang w:val="en-US" w:eastAsia="zh-CN"/>
              </w:rPr>
              <w:t>多云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1215" w:type="dxa"/>
            <w:vMerge w:val="continue"/>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lang w:val="en-US" w:eastAsia="zh-CN"/>
              </w:rPr>
            </w:pPr>
          </w:p>
        </w:tc>
        <w:tc>
          <w:tcPr>
            <w:tcW w:w="1701"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20:00-21:00</w:t>
            </w:r>
          </w:p>
        </w:tc>
        <w:tc>
          <w:tcPr>
            <w:tcW w:w="1472"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lang w:val="en-US" w:eastAsia="zh-CN"/>
              </w:rPr>
            </w:pPr>
            <w:r>
              <w:rPr>
                <w:rFonts w:hint="default" w:ascii="Arial" w:hAnsi="Arial" w:eastAsia="宋体" w:cs="Arial"/>
                <w:color w:val="auto"/>
                <w:sz w:val="21"/>
                <w:szCs w:val="21"/>
                <w:lang w:val="en-US" w:eastAsia="zh-CN"/>
              </w:rPr>
              <w:t>-10.3</w:t>
            </w:r>
          </w:p>
        </w:tc>
        <w:tc>
          <w:tcPr>
            <w:tcW w:w="1472"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lang w:val="en-US" w:eastAsia="zh-CN"/>
              </w:rPr>
            </w:pPr>
            <w:r>
              <w:rPr>
                <w:rFonts w:hint="default" w:ascii="Arial" w:hAnsi="Arial" w:eastAsia="宋体" w:cs="Arial"/>
                <w:color w:val="auto"/>
                <w:sz w:val="21"/>
                <w:szCs w:val="21"/>
                <w:lang w:val="en-US" w:eastAsia="zh-CN"/>
              </w:rPr>
              <w:t>90.45</w:t>
            </w:r>
          </w:p>
        </w:tc>
        <w:tc>
          <w:tcPr>
            <w:tcW w:w="1701"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西风</w:t>
            </w:r>
            <w:r>
              <w:rPr>
                <w:rFonts w:hint="default" w:ascii="Arial" w:hAnsi="Arial" w:eastAsia="宋体" w:cs="Arial"/>
                <w:color w:val="auto"/>
                <w:sz w:val="21"/>
                <w:szCs w:val="21"/>
                <w:lang w:val="en-US" w:eastAsia="zh-CN"/>
              </w:rPr>
              <w:t>275</w:t>
            </w:r>
            <w:r>
              <w:rPr>
                <w:rFonts w:hint="default" w:ascii="Arial" w:hAnsi="Arial" w:eastAsia="宋体" w:cs="Arial"/>
                <w:color w:val="auto"/>
                <w:sz w:val="21"/>
                <w:szCs w:val="21"/>
              </w:rPr>
              <w:t>°</w:t>
            </w:r>
          </w:p>
        </w:tc>
        <w:tc>
          <w:tcPr>
            <w:tcW w:w="1472"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lang w:val="en-US" w:eastAsia="zh-CN"/>
              </w:rPr>
            </w:pPr>
            <w:r>
              <w:rPr>
                <w:rFonts w:hint="default" w:ascii="Arial" w:hAnsi="Arial" w:eastAsia="宋体" w:cs="Arial"/>
                <w:color w:val="auto"/>
                <w:sz w:val="21"/>
                <w:szCs w:val="21"/>
                <w:lang w:val="en-US" w:eastAsia="zh-CN"/>
              </w:rPr>
              <w:t>2.6</w:t>
            </w:r>
          </w:p>
        </w:tc>
        <w:tc>
          <w:tcPr>
            <w:tcW w:w="1476"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lang w:eastAsia="zh-CN"/>
              </w:rPr>
            </w:pPr>
            <w:r>
              <w:rPr>
                <w:rFonts w:hint="default" w:ascii="Arial" w:hAnsi="Arial" w:eastAsia="宋体" w:cs="Arial"/>
                <w:color w:val="auto"/>
                <w:sz w:val="21"/>
                <w:szCs w:val="21"/>
                <w:lang w:val="en-US" w:eastAsia="zh-CN"/>
              </w:rPr>
              <w:t>多云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1215" w:type="dxa"/>
            <w:vMerge w:val="restart"/>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lang w:val="en-US" w:eastAsia="zh-CN"/>
              </w:rPr>
            </w:pPr>
            <w:r>
              <w:rPr>
                <w:rFonts w:hint="default" w:ascii="Arial" w:hAnsi="Arial" w:eastAsia="宋体" w:cs="Arial"/>
                <w:color w:val="auto"/>
                <w:sz w:val="21"/>
                <w:szCs w:val="21"/>
              </w:rPr>
              <w:t>202</w:t>
            </w:r>
            <w:r>
              <w:rPr>
                <w:rFonts w:hint="default" w:ascii="Arial" w:hAnsi="Arial" w:eastAsia="宋体" w:cs="Arial"/>
                <w:color w:val="auto"/>
                <w:sz w:val="21"/>
                <w:szCs w:val="21"/>
                <w:lang w:val="en-US" w:eastAsia="zh-CN"/>
              </w:rPr>
              <w:t>2-01-09</w:t>
            </w:r>
          </w:p>
        </w:tc>
        <w:tc>
          <w:tcPr>
            <w:tcW w:w="1701"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02:00-03:00</w:t>
            </w:r>
          </w:p>
        </w:tc>
        <w:tc>
          <w:tcPr>
            <w:tcW w:w="1472"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lang w:val="en-US" w:eastAsia="zh-CN"/>
              </w:rPr>
            </w:pPr>
            <w:r>
              <w:rPr>
                <w:rFonts w:hint="default" w:ascii="Arial" w:hAnsi="Arial" w:eastAsia="宋体" w:cs="Arial"/>
                <w:color w:val="auto"/>
                <w:sz w:val="21"/>
                <w:szCs w:val="21"/>
                <w:lang w:val="en-US" w:eastAsia="zh-CN"/>
              </w:rPr>
              <w:t>-10.4</w:t>
            </w:r>
          </w:p>
        </w:tc>
        <w:tc>
          <w:tcPr>
            <w:tcW w:w="1472"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lang w:val="en-US" w:eastAsia="zh-CN"/>
              </w:rPr>
            </w:pPr>
            <w:r>
              <w:rPr>
                <w:rFonts w:hint="default" w:ascii="Arial" w:hAnsi="Arial" w:eastAsia="宋体" w:cs="Arial"/>
                <w:color w:val="auto"/>
                <w:sz w:val="21"/>
                <w:szCs w:val="21"/>
                <w:lang w:val="en-US" w:eastAsia="zh-CN"/>
              </w:rPr>
              <w:t>90.76</w:t>
            </w:r>
          </w:p>
        </w:tc>
        <w:tc>
          <w:tcPr>
            <w:tcW w:w="1701"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西风265°</w:t>
            </w:r>
          </w:p>
        </w:tc>
        <w:tc>
          <w:tcPr>
            <w:tcW w:w="1472"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lang w:val="en-US" w:eastAsia="zh-CN"/>
              </w:rPr>
            </w:pPr>
            <w:r>
              <w:rPr>
                <w:rFonts w:hint="default" w:ascii="Arial" w:hAnsi="Arial" w:eastAsia="宋体" w:cs="Arial"/>
                <w:color w:val="auto"/>
                <w:sz w:val="21"/>
                <w:szCs w:val="21"/>
                <w:lang w:val="en-US" w:eastAsia="zh-CN"/>
              </w:rPr>
              <w:t>2.3</w:t>
            </w:r>
          </w:p>
        </w:tc>
        <w:tc>
          <w:tcPr>
            <w:tcW w:w="1476"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lang w:eastAsia="zh-CN"/>
              </w:rPr>
            </w:pPr>
            <w:r>
              <w:rPr>
                <w:rFonts w:hint="default" w:ascii="Arial" w:hAnsi="Arial" w:eastAsia="宋体" w:cs="Arial"/>
                <w:color w:val="auto"/>
                <w:sz w:val="21"/>
                <w:szCs w:val="21"/>
                <w:lang w:eastAsia="zh-CN"/>
              </w:rPr>
              <w:t>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1215" w:type="dxa"/>
            <w:vMerge w:val="continue"/>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lang w:val="en-US" w:eastAsia="zh-CN"/>
              </w:rPr>
            </w:pPr>
          </w:p>
        </w:tc>
        <w:tc>
          <w:tcPr>
            <w:tcW w:w="1701"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08:00-09:00</w:t>
            </w:r>
          </w:p>
        </w:tc>
        <w:tc>
          <w:tcPr>
            <w:tcW w:w="1472"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lang w:val="en-US" w:eastAsia="zh-CN"/>
              </w:rPr>
            </w:pPr>
            <w:r>
              <w:rPr>
                <w:rFonts w:hint="default" w:ascii="Arial" w:hAnsi="Arial" w:eastAsia="宋体" w:cs="Arial"/>
                <w:color w:val="auto"/>
                <w:sz w:val="21"/>
                <w:szCs w:val="21"/>
                <w:lang w:val="en-US" w:eastAsia="zh-CN"/>
              </w:rPr>
              <w:t>-8.5</w:t>
            </w:r>
          </w:p>
        </w:tc>
        <w:tc>
          <w:tcPr>
            <w:tcW w:w="1472"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lang w:val="en-US" w:eastAsia="zh-CN"/>
              </w:rPr>
            </w:pPr>
            <w:r>
              <w:rPr>
                <w:rFonts w:hint="default" w:ascii="Arial" w:hAnsi="Arial" w:eastAsia="宋体" w:cs="Arial"/>
                <w:color w:val="auto"/>
                <w:sz w:val="21"/>
                <w:szCs w:val="21"/>
                <w:lang w:val="en-US" w:eastAsia="zh-CN"/>
              </w:rPr>
              <w:t>90.84</w:t>
            </w:r>
          </w:p>
        </w:tc>
        <w:tc>
          <w:tcPr>
            <w:tcW w:w="1701"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西风265°</w:t>
            </w:r>
          </w:p>
        </w:tc>
        <w:tc>
          <w:tcPr>
            <w:tcW w:w="1472"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lang w:val="en-US" w:eastAsia="zh-CN"/>
              </w:rPr>
            </w:pPr>
            <w:r>
              <w:rPr>
                <w:rFonts w:hint="default" w:ascii="Arial" w:hAnsi="Arial" w:eastAsia="宋体" w:cs="Arial"/>
                <w:color w:val="auto"/>
                <w:sz w:val="21"/>
                <w:szCs w:val="21"/>
                <w:lang w:val="en-US" w:eastAsia="zh-CN"/>
              </w:rPr>
              <w:t>2.5</w:t>
            </w:r>
          </w:p>
        </w:tc>
        <w:tc>
          <w:tcPr>
            <w:tcW w:w="1476"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lang w:eastAsia="zh-CN"/>
              </w:rPr>
            </w:pPr>
            <w:r>
              <w:rPr>
                <w:rFonts w:hint="default" w:ascii="Arial" w:hAnsi="Arial" w:eastAsia="宋体" w:cs="Arial"/>
                <w:color w:val="auto"/>
                <w:sz w:val="21"/>
                <w:szCs w:val="21"/>
                <w:lang w:eastAsia="zh-CN"/>
              </w:rPr>
              <w:t>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1215" w:type="dxa"/>
            <w:vMerge w:val="continue"/>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lang w:val="en-US" w:eastAsia="zh-CN"/>
              </w:rPr>
            </w:pPr>
          </w:p>
        </w:tc>
        <w:tc>
          <w:tcPr>
            <w:tcW w:w="1701"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14:00-15:00</w:t>
            </w:r>
          </w:p>
        </w:tc>
        <w:tc>
          <w:tcPr>
            <w:tcW w:w="1472"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lang w:val="en-US" w:eastAsia="zh-CN"/>
              </w:rPr>
            </w:pPr>
            <w:r>
              <w:rPr>
                <w:rFonts w:hint="default" w:ascii="Arial" w:hAnsi="Arial" w:eastAsia="宋体" w:cs="Arial"/>
                <w:color w:val="auto"/>
                <w:sz w:val="21"/>
                <w:szCs w:val="21"/>
                <w:lang w:val="en-US" w:eastAsia="zh-CN"/>
              </w:rPr>
              <w:t>-4.7</w:t>
            </w:r>
          </w:p>
        </w:tc>
        <w:tc>
          <w:tcPr>
            <w:tcW w:w="1472"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lang w:val="en-US" w:eastAsia="zh-CN"/>
              </w:rPr>
            </w:pPr>
            <w:r>
              <w:rPr>
                <w:rFonts w:hint="default" w:ascii="Arial" w:hAnsi="Arial" w:eastAsia="宋体" w:cs="Arial"/>
                <w:color w:val="auto"/>
                <w:sz w:val="21"/>
                <w:szCs w:val="21"/>
                <w:lang w:val="en-US" w:eastAsia="zh-CN"/>
              </w:rPr>
              <w:t>90.95</w:t>
            </w:r>
          </w:p>
        </w:tc>
        <w:tc>
          <w:tcPr>
            <w:tcW w:w="1701"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西风275°</w:t>
            </w:r>
          </w:p>
        </w:tc>
        <w:tc>
          <w:tcPr>
            <w:tcW w:w="1472"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lang w:val="en-US" w:eastAsia="zh-CN"/>
              </w:rPr>
            </w:pPr>
            <w:r>
              <w:rPr>
                <w:rFonts w:hint="default" w:ascii="Arial" w:hAnsi="Arial" w:eastAsia="宋体" w:cs="Arial"/>
                <w:color w:val="auto"/>
                <w:sz w:val="21"/>
                <w:szCs w:val="21"/>
                <w:lang w:val="en-US" w:eastAsia="zh-CN"/>
              </w:rPr>
              <w:t>2.5</w:t>
            </w:r>
          </w:p>
        </w:tc>
        <w:tc>
          <w:tcPr>
            <w:tcW w:w="1476"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lang w:eastAsia="zh-CN"/>
              </w:rPr>
            </w:pPr>
            <w:r>
              <w:rPr>
                <w:rFonts w:hint="default" w:ascii="Arial" w:hAnsi="Arial" w:eastAsia="宋体" w:cs="Arial"/>
                <w:color w:val="auto"/>
                <w:sz w:val="21"/>
                <w:szCs w:val="21"/>
                <w:lang w:eastAsia="zh-CN"/>
              </w:rPr>
              <w:t>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1215" w:type="dxa"/>
            <w:vMerge w:val="continue"/>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lang w:val="en-US" w:eastAsia="zh-CN"/>
              </w:rPr>
            </w:pPr>
          </w:p>
        </w:tc>
        <w:tc>
          <w:tcPr>
            <w:tcW w:w="1701"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20:00-21:00</w:t>
            </w:r>
          </w:p>
        </w:tc>
        <w:tc>
          <w:tcPr>
            <w:tcW w:w="1472"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lang w:val="en-US" w:eastAsia="zh-CN"/>
              </w:rPr>
            </w:pPr>
            <w:r>
              <w:rPr>
                <w:rFonts w:hint="default" w:ascii="Arial" w:hAnsi="Arial" w:eastAsia="宋体" w:cs="Arial"/>
                <w:color w:val="auto"/>
                <w:sz w:val="21"/>
                <w:szCs w:val="21"/>
                <w:lang w:val="en-US" w:eastAsia="zh-CN"/>
              </w:rPr>
              <w:t>-9.8</w:t>
            </w:r>
          </w:p>
        </w:tc>
        <w:tc>
          <w:tcPr>
            <w:tcW w:w="1472"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lang w:val="en-US" w:eastAsia="zh-CN"/>
              </w:rPr>
            </w:pPr>
            <w:r>
              <w:rPr>
                <w:rFonts w:hint="default" w:ascii="Arial" w:hAnsi="Arial" w:eastAsia="宋体" w:cs="Arial"/>
                <w:color w:val="auto"/>
                <w:sz w:val="21"/>
                <w:szCs w:val="21"/>
                <w:lang w:val="en-US" w:eastAsia="zh-CN"/>
              </w:rPr>
              <w:t>91.02</w:t>
            </w:r>
          </w:p>
        </w:tc>
        <w:tc>
          <w:tcPr>
            <w:tcW w:w="1701"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西风275°</w:t>
            </w:r>
          </w:p>
        </w:tc>
        <w:tc>
          <w:tcPr>
            <w:tcW w:w="1472"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lang w:val="en-US" w:eastAsia="zh-CN"/>
              </w:rPr>
            </w:pPr>
            <w:r>
              <w:rPr>
                <w:rFonts w:hint="default" w:ascii="Arial" w:hAnsi="Arial" w:eastAsia="宋体" w:cs="Arial"/>
                <w:color w:val="auto"/>
                <w:sz w:val="21"/>
                <w:szCs w:val="21"/>
                <w:lang w:val="en-US" w:eastAsia="zh-CN"/>
              </w:rPr>
              <w:t>2.7</w:t>
            </w:r>
          </w:p>
        </w:tc>
        <w:tc>
          <w:tcPr>
            <w:tcW w:w="1476"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lang w:eastAsia="zh-CN"/>
              </w:rPr>
            </w:pPr>
            <w:r>
              <w:rPr>
                <w:rFonts w:hint="default" w:ascii="Arial" w:hAnsi="Arial" w:eastAsia="宋体" w:cs="Arial"/>
                <w:color w:val="auto"/>
                <w:sz w:val="21"/>
                <w:szCs w:val="21"/>
                <w:lang w:eastAsia="zh-CN"/>
              </w:rPr>
              <w:t>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1215" w:type="dxa"/>
            <w:vMerge w:val="restart"/>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lang w:val="en-US" w:eastAsia="zh-CN"/>
              </w:rPr>
            </w:pPr>
            <w:r>
              <w:rPr>
                <w:rFonts w:hint="default" w:ascii="Arial" w:hAnsi="Arial" w:eastAsia="宋体" w:cs="Arial"/>
                <w:color w:val="auto"/>
                <w:sz w:val="21"/>
                <w:szCs w:val="21"/>
              </w:rPr>
              <w:t>202</w:t>
            </w:r>
            <w:r>
              <w:rPr>
                <w:rFonts w:hint="default" w:ascii="Arial" w:hAnsi="Arial" w:eastAsia="宋体" w:cs="Arial"/>
                <w:color w:val="auto"/>
                <w:sz w:val="21"/>
                <w:szCs w:val="21"/>
                <w:lang w:val="en-US" w:eastAsia="zh-CN"/>
              </w:rPr>
              <w:t>2-01-10</w:t>
            </w:r>
          </w:p>
        </w:tc>
        <w:tc>
          <w:tcPr>
            <w:tcW w:w="1701"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02:00-03:00</w:t>
            </w:r>
          </w:p>
        </w:tc>
        <w:tc>
          <w:tcPr>
            <w:tcW w:w="1472"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lang w:val="en-US" w:eastAsia="zh-CN"/>
              </w:rPr>
            </w:pPr>
            <w:r>
              <w:rPr>
                <w:rFonts w:hint="default" w:ascii="Arial" w:hAnsi="Arial" w:eastAsia="宋体" w:cs="Arial"/>
                <w:color w:val="auto"/>
                <w:sz w:val="21"/>
                <w:szCs w:val="21"/>
                <w:lang w:val="en-US" w:eastAsia="zh-CN"/>
              </w:rPr>
              <w:t>-13.7</w:t>
            </w:r>
          </w:p>
        </w:tc>
        <w:tc>
          <w:tcPr>
            <w:tcW w:w="1472"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lang w:val="en-US" w:eastAsia="zh-CN"/>
              </w:rPr>
            </w:pPr>
            <w:r>
              <w:rPr>
                <w:rFonts w:hint="default" w:ascii="Arial" w:hAnsi="Arial" w:eastAsia="宋体" w:cs="Arial"/>
                <w:color w:val="auto"/>
                <w:sz w:val="21"/>
                <w:szCs w:val="21"/>
                <w:lang w:val="en-US" w:eastAsia="zh-CN"/>
              </w:rPr>
              <w:t>90.67</w:t>
            </w:r>
          </w:p>
        </w:tc>
        <w:tc>
          <w:tcPr>
            <w:tcW w:w="1701"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lang w:val="en-US" w:eastAsia="zh-CN"/>
              </w:rPr>
            </w:pPr>
            <w:r>
              <w:rPr>
                <w:rFonts w:hint="default" w:ascii="Arial" w:hAnsi="Arial" w:eastAsia="宋体" w:cs="Arial"/>
                <w:color w:val="auto"/>
                <w:sz w:val="21"/>
                <w:szCs w:val="21"/>
              </w:rPr>
              <w:t>西</w:t>
            </w:r>
            <w:r>
              <w:rPr>
                <w:rFonts w:hint="default" w:ascii="Arial" w:hAnsi="Arial" w:eastAsia="宋体" w:cs="Arial"/>
                <w:color w:val="auto"/>
                <w:sz w:val="21"/>
                <w:szCs w:val="21"/>
                <w:lang w:val="en-US" w:eastAsia="zh-CN"/>
              </w:rPr>
              <w:t>北</w:t>
            </w:r>
            <w:r>
              <w:rPr>
                <w:rFonts w:hint="default" w:ascii="Arial" w:hAnsi="Arial" w:eastAsia="宋体" w:cs="Arial"/>
                <w:color w:val="auto"/>
                <w:sz w:val="21"/>
                <w:szCs w:val="21"/>
              </w:rPr>
              <w:t>风</w:t>
            </w:r>
            <w:r>
              <w:rPr>
                <w:rFonts w:hint="default" w:ascii="Arial" w:hAnsi="Arial" w:eastAsia="宋体" w:cs="Arial"/>
                <w:color w:val="auto"/>
                <w:sz w:val="21"/>
                <w:szCs w:val="21"/>
                <w:lang w:val="en-US" w:eastAsia="zh-CN"/>
              </w:rPr>
              <w:t>315</w:t>
            </w:r>
            <w:r>
              <w:rPr>
                <w:rFonts w:hint="default" w:ascii="Arial" w:hAnsi="Arial" w:eastAsia="宋体" w:cs="Arial"/>
                <w:color w:val="auto"/>
                <w:sz w:val="21"/>
                <w:szCs w:val="21"/>
              </w:rPr>
              <w:t>°</w:t>
            </w:r>
          </w:p>
        </w:tc>
        <w:tc>
          <w:tcPr>
            <w:tcW w:w="1472"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lang w:val="en-US" w:eastAsia="zh-CN"/>
              </w:rPr>
            </w:pPr>
            <w:r>
              <w:rPr>
                <w:rFonts w:hint="default" w:ascii="Arial" w:hAnsi="Arial" w:eastAsia="宋体" w:cs="Arial"/>
                <w:color w:val="auto"/>
                <w:sz w:val="21"/>
                <w:szCs w:val="21"/>
                <w:lang w:val="en-US" w:eastAsia="zh-CN"/>
              </w:rPr>
              <w:t>2.1</w:t>
            </w:r>
          </w:p>
        </w:tc>
        <w:tc>
          <w:tcPr>
            <w:tcW w:w="1476"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晴转多云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1215" w:type="dxa"/>
            <w:vMerge w:val="continue"/>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lang w:val="en-US" w:eastAsia="zh-CN"/>
              </w:rPr>
            </w:pPr>
          </w:p>
        </w:tc>
        <w:tc>
          <w:tcPr>
            <w:tcW w:w="1701"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08:00-09:00</w:t>
            </w:r>
          </w:p>
        </w:tc>
        <w:tc>
          <w:tcPr>
            <w:tcW w:w="1472"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lang w:val="en-US" w:eastAsia="zh-CN"/>
              </w:rPr>
            </w:pPr>
            <w:r>
              <w:rPr>
                <w:rFonts w:hint="default" w:ascii="Arial" w:hAnsi="Arial" w:eastAsia="宋体" w:cs="Arial"/>
                <w:color w:val="auto"/>
                <w:sz w:val="21"/>
                <w:szCs w:val="21"/>
                <w:lang w:val="en-US" w:eastAsia="zh-CN"/>
              </w:rPr>
              <w:t>-10.6</w:t>
            </w:r>
          </w:p>
        </w:tc>
        <w:tc>
          <w:tcPr>
            <w:tcW w:w="1472"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lang w:val="en-US" w:eastAsia="zh-CN"/>
              </w:rPr>
            </w:pPr>
            <w:r>
              <w:rPr>
                <w:rFonts w:hint="default" w:ascii="Arial" w:hAnsi="Arial" w:eastAsia="宋体" w:cs="Arial"/>
                <w:color w:val="auto"/>
                <w:sz w:val="21"/>
                <w:szCs w:val="21"/>
                <w:lang w:val="en-US" w:eastAsia="zh-CN"/>
              </w:rPr>
              <w:t>90.73</w:t>
            </w:r>
          </w:p>
        </w:tc>
        <w:tc>
          <w:tcPr>
            <w:tcW w:w="1701"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lang w:val="en-US" w:eastAsia="zh-CN"/>
              </w:rPr>
            </w:pPr>
            <w:r>
              <w:rPr>
                <w:rFonts w:hint="default" w:ascii="Arial" w:hAnsi="Arial" w:eastAsia="宋体" w:cs="Arial"/>
                <w:color w:val="auto"/>
                <w:sz w:val="21"/>
                <w:szCs w:val="21"/>
              </w:rPr>
              <w:t>西</w:t>
            </w:r>
            <w:r>
              <w:rPr>
                <w:rFonts w:hint="default" w:ascii="Arial" w:hAnsi="Arial" w:eastAsia="宋体" w:cs="Arial"/>
                <w:color w:val="auto"/>
                <w:sz w:val="21"/>
                <w:szCs w:val="21"/>
                <w:lang w:val="en-US" w:eastAsia="zh-CN"/>
              </w:rPr>
              <w:t>北</w:t>
            </w:r>
            <w:r>
              <w:rPr>
                <w:rFonts w:hint="default" w:ascii="Arial" w:hAnsi="Arial" w:eastAsia="宋体" w:cs="Arial"/>
                <w:color w:val="auto"/>
                <w:sz w:val="21"/>
                <w:szCs w:val="21"/>
              </w:rPr>
              <w:t>风</w:t>
            </w:r>
            <w:r>
              <w:rPr>
                <w:rFonts w:hint="default" w:ascii="Arial" w:hAnsi="Arial" w:eastAsia="宋体" w:cs="Arial"/>
                <w:color w:val="auto"/>
                <w:sz w:val="21"/>
                <w:szCs w:val="21"/>
                <w:lang w:val="en-US" w:eastAsia="zh-CN"/>
              </w:rPr>
              <w:t>315</w:t>
            </w:r>
            <w:r>
              <w:rPr>
                <w:rFonts w:hint="default" w:ascii="Arial" w:hAnsi="Arial" w:eastAsia="宋体" w:cs="Arial"/>
                <w:color w:val="auto"/>
                <w:sz w:val="21"/>
                <w:szCs w:val="21"/>
              </w:rPr>
              <w:t>°</w:t>
            </w:r>
          </w:p>
        </w:tc>
        <w:tc>
          <w:tcPr>
            <w:tcW w:w="1472"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lang w:val="en-US" w:eastAsia="zh-CN"/>
              </w:rPr>
            </w:pPr>
            <w:r>
              <w:rPr>
                <w:rFonts w:hint="default" w:ascii="Arial" w:hAnsi="Arial" w:eastAsia="宋体" w:cs="Arial"/>
                <w:color w:val="auto"/>
                <w:sz w:val="21"/>
                <w:szCs w:val="21"/>
                <w:lang w:val="en-US" w:eastAsia="zh-CN"/>
              </w:rPr>
              <w:t>2.4</w:t>
            </w:r>
          </w:p>
        </w:tc>
        <w:tc>
          <w:tcPr>
            <w:tcW w:w="1476"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晴转多云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1215" w:type="dxa"/>
            <w:vMerge w:val="continue"/>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lang w:val="en-US" w:eastAsia="zh-CN"/>
              </w:rPr>
            </w:pPr>
          </w:p>
        </w:tc>
        <w:tc>
          <w:tcPr>
            <w:tcW w:w="1701"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14:00-15:00</w:t>
            </w:r>
          </w:p>
        </w:tc>
        <w:tc>
          <w:tcPr>
            <w:tcW w:w="1472"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lang w:val="en-US" w:eastAsia="zh-CN"/>
              </w:rPr>
            </w:pPr>
            <w:r>
              <w:rPr>
                <w:rFonts w:hint="default" w:ascii="Arial" w:hAnsi="Arial" w:eastAsia="宋体" w:cs="Arial"/>
                <w:color w:val="auto"/>
                <w:sz w:val="21"/>
                <w:szCs w:val="21"/>
                <w:lang w:val="en-US" w:eastAsia="zh-CN"/>
              </w:rPr>
              <w:t>-7.4</w:t>
            </w:r>
          </w:p>
        </w:tc>
        <w:tc>
          <w:tcPr>
            <w:tcW w:w="1472"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lang w:val="en-US" w:eastAsia="zh-CN"/>
              </w:rPr>
            </w:pPr>
            <w:r>
              <w:rPr>
                <w:rFonts w:hint="default" w:ascii="Arial" w:hAnsi="Arial" w:eastAsia="宋体" w:cs="Arial"/>
                <w:color w:val="auto"/>
                <w:sz w:val="21"/>
                <w:szCs w:val="21"/>
                <w:lang w:val="en-US" w:eastAsia="zh-CN"/>
              </w:rPr>
              <w:t>90.81</w:t>
            </w:r>
          </w:p>
        </w:tc>
        <w:tc>
          <w:tcPr>
            <w:tcW w:w="1701"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lang w:val="en-US" w:eastAsia="zh-CN"/>
              </w:rPr>
            </w:pPr>
            <w:r>
              <w:rPr>
                <w:rFonts w:hint="default" w:ascii="Arial" w:hAnsi="Arial" w:eastAsia="宋体" w:cs="Arial"/>
                <w:color w:val="auto"/>
                <w:sz w:val="21"/>
                <w:szCs w:val="21"/>
              </w:rPr>
              <w:t>西</w:t>
            </w:r>
            <w:r>
              <w:rPr>
                <w:rFonts w:hint="default" w:ascii="Arial" w:hAnsi="Arial" w:eastAsia="宋体" w:cs="Arial"/>
                <w:color w:val="auto"/>
                <w:sz w:val="21"/>
                <w:szCs w:val="21"/>
                <w:lang w:val="en-US" w:eastAsia="zh-CN"/>
              </w:rPr>
              <w:t>北</w:t>
            </w:r>
            <w:r>
              <w:rPr>
                <w:rFonts w:hint="default" w:ascii="Arial" w:hAnsi="Arial" w:eastAsia="宋体" w:cs="Arial"/>
                <w:color w:val="auto"/>
                <w:sz w:val="21"/>
                <w:szCs w:val="21"/>
              </w:rPr>
              <w:t>风</w:t>
            </w:r>
            <w:r>
              <w:rPr>
                <w:rFonts w:hint="default" w:ascii="Arial" w:hAnsi="Arial" w:eastAsia="宋体" w:cs="Arial"/>
                <w:color w:val="auto"/>
                <w:sz w:val="21"/>
                <w:szCs w:val="21"/>
                <w:lang w:val="en-US" w:eastAsia="zh-CN"/>
              </w:rPr>
              <w:t>310</w:t>
            </w:r>
            <w:r>
              <w:rPr>
                <w:rFonts w:hint="default" w:ascii="Arial" w:hAnsi="Arial" w:eastAsia="宋体" w:cs="Arial"/>
                <w:color w:val="auto"/>
                <w:sz w:val="21"/>
                <w:szCs w:val="21"/>
              </w:rPr>
              <w:t>°</w:t>
            </w:r>
          </w:p>
        </w:tc>
        <w:tc>
          <w:tcPr>
            <w:tcW w:w="1472"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lang w:val="en-US" w:eastAsia="zh-CN"/>
              </w:rPr>
            </w:pPr>
            <w:r>
              <w:rPr>
                <w:rFonts w:hint="default" w:ascii="Arial" w:hAnsi="Arial" w:eastAsia="宋体" w:cs="Arial"/>
                <w:color w:val="auto"/>
                <w:sz w:val="21"/>
                <w:szCs w:val="21"/>
                <w:lang w:val="en-US" w:eastAsia="zh-CN"/>
              </w:rPr>
              <w:t>2.3</w:t>
            </w:r>
          </w:p>
        </w:tc>
        <w:tc>
          <w:tcPr>
            <w:tcW w:w="1476"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晴转多云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1215" w:type="dxa"/>
            <w:vMerge w:val="continue"/>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lang w:val="en-US" w:eastAsia="zh-CN"/>
              </w:rPr>
            </w:pPr>
          </w:p>
        </w:tc>
        <w:tc>
          <w:tcPr>
            <w:tcW w:w="1701"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20:00-21:00</w:t>
            </w:r>
          </w:p>
        </w:tc>
        <w:tc>
          <w:tcPr>
            <w:tcW w:w="1472"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lang w:val="en-US" w:eastAsia="zh-CN"/>
              </w:rPr>
            </w:pPr>
            <w:r>
              <w:rPr>
                <w:rFonts w:hint="default" w:ascii="Arial" w:hAnsi="Arial" w:eastAsia="宋体" w:cs="Arial"/>
                <w:color w:val="auto"/>
                <w:sz w:val="21"/>
                <w:szCs w:val="21"/>
                <w:lang w:val="en-US" w:eastAsia="zh-CN"/>
              </w:rPr>
              <w:t>-12.8</w:t>
            </w:r>
          </w:p>
        </w:tc>
        <w:tc>
          <w:tcPr>
            <w:tcW w:w="1472"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lang w:val="en-US" w:eastAsia="zh-CN"/>
              </w:rPr>
            </w:pPr>
            <w:r>
              <w:rPr>
                <w:rFonts w:hint="default" w:ascii="Arial" w:hAnsi="Arial" w:eastAsia="宋体" w:cs="Arial"/>
                <w:color w:val="auto"/>
                <w:sz w:val="21"/>
                <w:szCs w:val="21"/>
                <w:lang w:val="en-US" w:eastAsia="zh-CN"/>
              </w:rPr>
              <w:t>90.75</w:t>
            </w:r>
          </w:p>
        </w:tc>
        <w:tc>
          <w:tcPr>
            <w:tcW w:w="1701"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lang w:val="en-US" w:eastAsia="zh-CN"/>
              </w:rPr>
            </w:pPr>
            <w:r>
              <w:rPr>
                <w:rFonts w:hint="default" w:ascii="Arial" w:hAnsi="Arial" w:eastAsia="宋体" w:cs="Arial"/>
                <w:color w:val="auto"/>
                <w:sz w:val="21"/>
                <w:szCs w:val="21"/>
              </w:rPr>
              <w:t>西</w:t>
            </w:r>
            <w:r>
              <w:rPr>
                <w:rFonts w:hint="default" w:ascii="Arial" w:hAnsi="Arial" w:eastAsia="宋体" w:cs="Arial"/>
                <w:color w:val="auto"/>
                <w:sz w:val="21"/>
                <w:szCs w:val="21"/>
                <w:lang w:val="en-US" w:eastAsia="zh-CN"/>
              </w:rPr>
              <w:t>北</w:t>
            </w:r>
            <w:r>
              <w:rPr>
                <w:rFonts w:hint="default" w:ascii="Arial" w:hAnsi="Arial" w:eastAsia="宋体" w:cs="Arial"/>
                <w:color w:val="auto"/>
                <w:sz w:val="21"/>
                <w:szCs w:val="21"/>
              </w:rPr>
              <w:t>风</w:t>
            </w:r>
            <w:r>
              <w:rPr>
                <w:rFonts w:hint="default" w:ascii="Arial" w:hAnsi="Arial" w:eastAsia="宋体" w:cs="Arial"/>
                <w:color w:val="auto"/>
                <w:sz w:val="21"/>
                <w:szCs w:val="21"/>
                <w:lang w:val="en-US" w:eastAsia="zh-CN"/>
              </w:rPr>
              <w:t>310</w:t>
            </w:r>
            <w:r>
              <w:rPr>
                <w:rFonts w:hint="default" w:ascii="Arial" w:hAnsi="Arial" w:eastAsia="宋体" w:cs="Arial"/>
                <w:color w:val="auto"/>
                <w:sz w:val="21"/>
                <w:szCs w:val="21"/>
              </w:rPr>
              <w:t>°</w:t>
            </w:r>
          </w:p>
        </w:tc>
        <w:tc>
          <w:tcPr>
            <w:tcW w:w="1472"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lang w:val="en-US" w:eastAsia="zh-CN"/>
              </w:rPr>
            </w:pPr>
            <w:r>
              <w:rPr>
                <w:rFonts w:hint="default" w:ascii="Arial" w:hAnsi="Arial" w:eastAsia="宋体" w:cs="Arial"/>
                <w:color w:val="auto"/>
                <w:sz w:val="21"/>
                <w:szCs w:val="21"/>
                <w:lang w:val="en-US" w:eastAsia="zh-CN"/>
              </w:rPr>
              <w:t>2.7</w:t>
            </w:r>
          </w:p>
        </w:tc>
        <w:tc>
          <w:tcPr>
            <w:tcW w:w="1476"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晴转多云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1215" w:type="dxa"/>
            <w:vMerge w:val="restart"/>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lang w:val="en-US" w:eastAsia="zh-CN"/>
              </w:rPr>
            </w:pPr>
            <w:r>
              <w:rPr>
                <w:rFonts w:hint="default" w:ascii="Arial" w:hAnsi="Arial" w:eastAsia="宋体" w:cs="Arial"/>
                <w:color w:val="auto"/>
                <w:sz w:val="21"/>
                <w:szCs w:val="21"/>
                <w:lang w:val="en-US" w:eastAsia="zh-CN"/>
              </w:rPr>
              <w:t>2022-01-11</w:t>
            </w:r>
          </w:p>
        </w:tc>
        <w:tc>
          <w:tcPr>
            <w:tcW w:w="1701"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02:00-03:00</w:t>
            </w:r>
          </w:p>
        </w:tc>
        <w:tc>
          <w:tcPr>
            <w:tcW w:w="1472"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lang w:val="en-US" w:eastAsia="zh-CN"/>
              </w:rPr>
            </w:pPr>
            <w:r>
              <w:rPr>
                <w:rFonts w:hint="default" w:ascii="Arial" w:hAnsi="Arial" w:eastAsia="宋体" w:cs="Arial"/>
                <w:color w:val="auto"/>
                <w:sz w:val="21"/>
                <w:szCs w:val="21"/>
                <w:lang w:val="en-US" w:eastAsia="zh-CN"/>
              </w:rPr>
              <w:t>-13.2</w:t>
            </w:r>
          </w:p>
        </w:tc>
        <w:tc>
          <w:tcPr>
            <w:tcW w:w="1472"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lang w:val="en-US" w:eastAsia="zh-CN"/>
              </w:rPr>
            </w:pPr>
            <w:r>
              <w:rPr>
                <w:rFonts w:hint="default" w:ascii="Arial" w:hAnsi="Arial" w:eastAsia="宋体" w:cs="Arial"/>
                <w:color w:val="auto"/>
                <w:sz w:val="21"/>
                <w:szCs w:val="21"/>
                <w:lang w:val="en-US" w:eastAsia="zh-CN"/>
              </w:rPr>
              <w:t>90.89</w:t>
            </w:r>
          </w:p>
        </w:tc>
        <w:tc>
          <w:tcPr>
            <w:tcW w:w="1701"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lang w:val="en-US" w:eastAsia="zh-CN"/>
              </w:rPr>
            </w:pPr>
            <w:r>
              <w:rPr>
                <w:rFonts w:hint="default" w:ascii="Arial" w:hAnsi="Arial" w:eastAsia="宋体" w:cs="Arial"/>
                <w:color w:val="auto"/>
                <w:sz w:val="21"/>
                <w:szCs w:val="21"/>
                <w:lang w:val="en-US" w:eastAsia="zh-CN"/>
              </w:rPr>
              <w:t>西风275°</w:t>
            </w:r>
          </w:p>
        </w:tc>
        <w:tc>
          <w:tcPr>
            <w:tcW w:w="1472"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lang w:val="en-US" w:eastAsia="zh-CN"/>
              </w:rPr>
            </w:pPr>
            <w:r>
              <w:rPr>
                <w:rFonts w:hint="default" w:ascii="Arial" w:hAnsi="Arial" w:eastAsia="宋体" w:cs="Arial"/>
                <w:color w:val="auto"/>
                <w:sz w:val="21"/>
                <w:szCs w:val="21"/>
                <w:lang w:val="en-US" w:eastAsia="zh-CN"/>
              </w:rPr>
              <w:t>2.6</w:t>
            </w:r>
          </w:p>
        </w:tc>
        <w:tc>
          <w:tcPr>
            <w:tcW w:w="1476"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lang w:val="en-US" w:eastAsia="zh-CN"/>
              </w:rPr>
            </w:pPr>
            <w:r>
              <w:rPr>
                <w:rFonts w:hint="default" w:ascii="Arial" w:hAnsi="Arial" w:eastAsia="宋体" w:cs="Arial"/>
                <w:color w:val="auto"/>
                <w:sz w:val="21"/>
                <w:szCs w:val="21"/>
                <w:lang w:val="en-US" w:eastAsia="zh-CN"/>
              </w:rPr>
              <w:t>晴转多云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1215" w:type="dxa"/>
            <w:vMerge w:val="continue"/>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lang w:val="en-US" w:eastAsia="zh-CN"/>
              </w:rPr>
            </w:pPr>
          </w:p>
        </w:tc>
        <w:tc>
          <w:tcPr>
            <w:tcW w:w="1701"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08:00-09:00</w:t>
            </w:r>
          </w:p>
        </w:tc>
        <w:tc>
          <w:tcPr>
            <w:tcW w:w="1472"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lang w:val="en-US" w:eastAsia="zh-CN"/>
              </w:rPr>
            </w:pPr>
            <w:r>
              <w:rPr>
                <w:rFonts w:hint="default" w:ascii="Arial" w:hAnsi="Arial" w:eastAsia="宋体" w:cs="Arial"/>
                <w:color w:val="auto"/>
                <w:sz w:val="21"/>
                <w:szCs w:val="21"/>
                <w:lang w:val="en-US" w:eastAsia="zh-CN"/>
              </w:rPr>
              <w:t>-11.5</w:t>
            </w:r>
          </w:p>
        </w:tc>
        <w:tc>
          <w:tcPr>
            <w:tcW w:w="1472"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lang w:val="en-US" w:eastAsia="zh-CN"/>
              </w:rPr>
            </w:pPr>
            <w:r>
              <w:rPr>
                <w:rFonts w:hint="default" w:ascii="Arial" w:hAnsi="Arial" w:eastAsia="宋体" w:cs="Arial"/>
                <w:color w:val="auto"/>
                <w:sz w:val="21"/>
                <w:szCs w:val="21"/>
                <w:lang w:val="en-US" w:eastAsia="zh-CN"/>
              </w:rPr>
              <w:t>91.05</w:t>
            </w:r>
          </w:p>
        </w:tc>
        <w:tc>
          <w:tcPr>
            <w:tcW w:w="1701"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lang w:val="en-US" w:eastAsia="zh-CN"/>
              </w:rPr>
            </w:pPr>
            <w:r>
              <w:rPr>
                <w:rFonts w:hint="default" w:ascii="Arial" w:hAnsi="Arial" w:eastAsia="宋体" w:cs="Arial"/>
                <w:color w:val="auto"/>
                <w:sz w:val="21"/>
                <w:szCs w:val="21"/>
                <w:lang w:val="en-US" w:eastAsia="zh-CN"/>
              </w:rPr>
              <w:t>西风265°</w:t>
            </w:r>
          </w:p>
        </w:tc>
        <w:tc>
          <w:tcPr>
            <w:tcW w:w="1472"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lang w:val="en-US" w:eastAsia="zh-CN"/>
              </w:rPr>
            </w:pPr>
            <w:r>
              <w:rPr>
                <w:rFonts w:hint="default" w:ascii="Arial" w:hAnsi="Arial" w:eastAsia="宋体" w:cs="Arial"/>
                <w:color w:val="auto"/>
                <w:sz w:val="21"/>
                <w:szCs w:val="21"/>
                <w:lang w:val="en-US" w:eastAsia="zh-CN"/>
              </w:rPr>
              <w:t>2.9</w:t>
            </w:r>
          </w:p>
        </w:tc>
        <w:tc>
          <w:tcPr>
            <w:tcW w:w="1476"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lang w:eastAsia="zh-CN"/>
              </w:rPr>
            </w:pPr>
            <w:r>
              <w:rPr>
                <w:rFonts w:hint="default" w:ascii="Arial" w:hAnsi="Arial" w:eastAsia="宋体" w:cs="Arial"/>
                <w:color w:val="auto"/>
                <w:sz w:val="21"/>
                <w:szCs w:val="21"/>
                <w:lang w:val="en-US" w:eastAsia="zh-CN"/>
              </w:rPr>
              <w:t>晴转多云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1215" w:type="dxa"/>
            <w:vMerge w:val="continue"/>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lang w:val="en-US" w:eastAsia="zh-CN"/>
              </w:rPr>
            </w:pPr>
          </w:p>
        </w:tc>
        <w:tc>
          <w:tcPr>
            <w:tcW w:w="1701"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14:00-15:00</w:t>
            </w:r>
          </w:p>
        </w:tc>
        <w:tc>
          <w:tcPr>
            <w:tcW w:w="1472"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lang w:val="en-US" w:eastAsia="zh-CN"/>
              </w:rPr>
            </w:pPr>
            <w:r>
              <w:rPr>
                <w:rFonts w:hint="default" w:ascii="Arial" w:hAnsi="Arial" w:eastAsia="宋体" w:cs="Arial"/>
                <w:color w:val="auto"/>
                <w:sz w:val="21"/>
                <w:szCs w:val="21"/>
                <w:lang w:val="en-US" w:eastAsia="zh-CN"/>
              </w:rPr>
              <w:t>-7.6</w:t>
            </w:r>
          </w:p>
        </w:tc>
        <w:tc>
          <w:tcPr>
            <w:tcW w:w="1472"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lang w:val="en-US" w:eastAsia="zh-CN"/>
              </w:rPr>
            </w:pPr>
            <w:r>
              <w:rPr>
                <w:rFonts w:hint="default" w:ascii="Arial" w:hAnsi="Arial" w:eastAsia="宋体" w:cs="Arial"/>
                <w:color w:val="auto"/>
                <w:sz w:val="21"/>
                <w:szCs w:val="21"/>
                <w:lang w:val="en-US" w:eastAsia="zh-CN"/>
              </w:rPr>
              <w:t>91.12</w:t>
            </w:r>
          </w:p>
        </w:tc>
        <w:tc>
          <w:tcPr>
            <w:tcW w:w="1701"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lang w:val="en-US" w:eastAsia="zh-CN"/>
              </w:rPr>
            </w:pPr>
            <w:r>
              <w:rPr>
                <w:rFonts w:hint="default" w:ascii="Arial" w:hAnsi="Arial" w:eastAsia="宋体" w:cs="Arial"/>
                <w:color w:val="auto"/>
                <w:sz w:val="21"/>
                <w:szCs w:val="21"/>
                <w:lang w:val="en-US" w:eastAsia="zh-CN"/>
              </w:rPr>
              <w:t>西风265°</w:t>
            </w:r>
          </w:p>
        </w:tc>
        <w:tc>
          <w:tcPr>
            <w:tcW w:w="1472"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lang w:val="en-US" w:eastAsia="zh-CN"/>
              </w:rPr>
            </w:pPr>
            <w:r>
              <w:rPr>
                <w:rFonts w:hint="default" w:ascii="Arial" w:hAnsi="Arial" w:eastAsia="宋体" w:cs="Arial"/>
                <w:color w:val="auto"/>
                <w:sz w:val="21"/>
                <w:szCs w:val="21"/>
                <w:lang w:val="en-US" w:eastAsia="zh-CN"/>
              </w:rPr>
              <w:t>2.4</w:t>
            </w:r>
          </w:p>
        </w:tc>
        <w:tc>
          <w:tcPr>
            <w:tcW w:w="1476"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lang w:eastAsia="zh-CN"/>
              </w:rPr>
            </w:pPr>
            <w:r>
              <w:rPr>
                <w:rFonts w:hint="default" w:ascii="Arial" w:hAnsi="Arial" w:eastAsia="宋体" w:cs="Arial"/>
                <w:color w:val="auto"/>
                <w:sz w:val="21"/>
                <w:szCs w:val="21"/>
                <w:lang w:val="en-US" w:eastAsia="zh-CN"/>
              </w:rPr>
              <w:t>晴转多云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1215" w:type="dxa"/>
            <w:vMerge w:val="continue"/>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lang w:val="en-US" w:eastAsia="zh-CN"/>
              </w:rPr>
            </w:pPr>
          </w:p>
        </w:tc>
        <w:tc>
          <w:tcPr>
            <w:tcW w:w="1701"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20:00-21:00</w:t>
            </w:r>
          </w:p>
        </w:tc>
        <w:tc>
          <w:tcPr>
            <w:tcW w:w="1472"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lang w:val="en-US" w:eastAsia="zh-CN"/>
              </w:rPr>
            </w:pPr>
            <w:r>
              <w:rPr>
                <w:rFonts w:hint="default" w:ascii="Arial" w:hAnsi="Arial" w:eastAsia="宋体" w:cs="Arial"/>
                <w:color w:val="auto"/>
                <w:sz w:val="21"/>
                <w:szCs w:val="21"/>
                <w:lang w:val="en-US" w:eastAsia="zh-CN"/>
              </w:rPr>
              <w:t>-12.1</w:t>
            </w:r>
          </w:p>
        </w:tc>
        <w:tc>
          <w:tcPr>
            <w:tcW w:w="1472"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lang w:val="en-US" w:eastAsia="zh-CN"/>
              </w:rPr>
            </w:pPr>
            <w:r>
              <w:rPr>
                <w:rFonts w:hint="default" w:ascii="Arial" w:hAnsi="Arial" w:eastAsia="宋体" w:cs="Arial"/>
                <w:color w:val="auto"/>
                <w:sz w:val="21"/>
                <w:szCs w:val="21"/>
                <w:lang w:val="en-US" w:eastAsia="zh-CN"/>
              </w:rPr>
              <w:t>91.08</w:t>
            </w:r>
          </w:p>
        </w:tc>
        <w:tc>
          <w:tcPr>
            <w:tcW w:w="1701"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lang w:val="en-US" w:eastAsia="zh-CN"/>
              </w:rPr>
            </w:pPr>
            <w:r>
              <w:rPr>
                <w:rFonts w:hint="default" w:ascii="Arial" w:hAnsi="Arial" w:eastAsia="宋体" w:cs="Arial"/>
                <w:color w:val="auto"/>
                <w:sz w:val="21"/>
                <w:szCs w:val="21"/>
                <w:lang w:val="en-US" w:eastAsia="zh-CN"/>
              </w:rPr>
              <w:t>西风275°</w:t>
            </w:r>
          </w:p>
        </w:tc>
        <w:tc>
          <w:tcPr>
            <w:tcW w:w="1472"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lang w:val="en-US" w:eastAsia="zh-CN"/>
              </w:rPr>
            </w:pPr>
            <w:r>
              <w:rPr>
                <w:rFonts w:hint="default" w:ascii="Arial" w:hAnsi="Arial" w:eastAsia="宋体" w:cs="Arial"/>
                <w:color w:val="auto"/>
                <w:sz w:val="21"/>
                <w:szCs w:val="21"/>
                <w:lang w:val="en-US" w:eastAsia="zh-CN"/>
              </w:rPr>
              <w:t>2.8</w:t>
            </w:r>
          </w:p>
        </w:tc>
        <w:tc>
          <w:tcPr>
            <w:tcW w:w="1476"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lang w:eastAsia="zh-CN"/>
              </w:rPr>
            </w:pPr>
            <w:r>
              <w:rPr>
                <w:rFonts w:hint="default" w:ascii="Arial" w:hAnsi="Arial" w:eastAsia="宋体" w:cs="Arial"/>
                <w:color w:val="auto"/>
                <w:sz w:val="21"/>
                <w:szCs w:val="21"/>
                <w:lang w:val="en-US" w:eastAsia="zh-CN"/>
              </w:rPr>
              <w:t>晴转多云</w:t>
            </w:r>
          </w:p>
        </w:tc>
      </w:tr>
    </w:tbl>
    <w:p>
      <w:pPr>
        <w:overflowPunct w:val="0"/>
        <w:autoSpaceDE/>
        <w:ind w:firstLine="480"/>
        <w:rPr>
          <w:rFonts w:hint="default" w:ascii="Arial" w:hAnsi="Arial" w:eastAsia="宋体" w:cs="Arial"/>
          <w:color w:val="auto"/>
          <w:szCs w:val="24"/>
          <w:highlight w:val="none"/>
        </w:rPr>
      </w:pPr>
      <w:r>
        <w:rPr>
          <w:rFonts w:hint="default" w:ascii="Arial" w:hAnsi="Arial" w:eastAsia="宋体" w:cs="Arial"/>
          <w:color w:val="auto"/>
          <w:szCs w:val="24"/>
          <w:highlight w:val="none"/>
        </w:rPr>
        <w:t>（2）环境空气质量现状</w:t>
      </w:r>
    </w:p>
    <w:p>
      <w:pPr>
        <w:overflowPunct w:val="0"/>
        <w:autoSpaceDE/>
        <w:ind w:firstLine="480"/>
        <w:rPr>
          <w:rFonts w:hint="default" w:ascii="Arial" w:hAnsi="Arial" w:eastAsia="宋体" w:cs="Arial"/>
          <w:color w:val="auto"/>
          <w:szCs w:val="24"/>
          <w:highlight w:val="none"/>
        </w:rPr>
      </w:pPr>
      <w:r>
        <w:rPr>
          <w:rFonts w:hint="default" w:ascii="Arial" w:hAnsi="Arial" w:eastAsia="宋体" w:cs="Arial"/>
          <w:color w:val="auto"/>
          <w:szCs w:val="24"/>
          <w:highlight w:val="none"/>
        </w:rPr>
        <w:t>项目其他污染物环境质量现状，见下表。</w:t>
      </w:r>
    </w:p>
    <w:p>
      <w:pPr>
        <w:pStyle w:val="8"/>
        <w:rPr>
          <w:rFonts w:hint="default" w:ascii="Arial" w:hAnsi="Arial" w:eastAsia="宋体" w:cs="Arial"/>
          <w:snapToGrid w:val="0"/>
          <w:color w:val="auto"/>
          <w:highlight w:val="none"/>
        </w:rPr>
      </w:pPr>
      <w:r>
        <w:rPr>
          <w:rFonts w:hint="default" w:ascii="Arial" w:hAnsi="Arial" w:eastAsia="宋体" w:cs="Arial"/>
          <w:snapToGrid w:val="0"/>
          <w:color w:val="auto"/>
          <w:highlight w:val="none"/>
        </w:rPr>
        <w:t>表4.2-5    项目其他污染物环境质量现状表</w:t>
      </w:r>
    </w:p>
    <w:tbl>
      <w:tblPr>
        <w:tblStyle w:val="39"/>
        <w:tblW w:w="9014" w:type="dxa"/>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1027"/>
        <w:gridCol w:w="1142"/>
        <w:gridCol w:w="1596"/>
        <w:gridCol w:w="689"/>
        <w:gridCol w:w="1132"/>
        <w:gridCol w:w="915"/>
        <w:gridCol w:w="915"/>
        <w:gridCol w:w="1598"/>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020"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highlight w:val="none"/>
              </w:rPr>
            </w:pPr>
            <w:r>
              <w:rPr>
                <w:rFonts w:hint="default" w:ascii="Arial" w:hAnsi="Arial" w:eastAsia="宋体" w:cs="Arial"/>
                <w:color w:val="auto"/>
                <w:highlight w:val="none"/>
              </w:rPr>
              <w:t>污染物</w:t>
            </w:r>
          </w:p>
        </w:tc>
        <w:tc>
          <w:tcPr>
            <w:tcW w:w="1135"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highlight w:val="none"/>
              </w:rPr>
            </w:pPr>
            <w:r>
              <w:rPr>
                <w:rFonts w:hint="default" w:ascii="Arial" w:hAnsi="Arial" w:eastAsia="宋体" w:cs="Arial"/>
                <w:color w:val="auto"/>
                <w:highlight w:val="none"/>
              </w:rPr>
              <w:t>有效天数</w:t>
            </w:r>
          </w:p>
        </w:tc>
        <w:tc>
          <w:tcPr>
            <w:tcW w:w="1586"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highlight w:val="none"/>
              </w:rPr>
            </w:pPr>
            <w:r>
              <w:rPr>
                <w:rFonts w:hint="default" w:ascii="Arial" w:hAnsi="Arial" w:eastAsia="宋体" w:cs="Arial"/>
                <w:color w:val="auto"/>
                <w:highlight w:val="none"/>
              </w:rPr>
              <w:t>浓度范围</w:t>
            </w:r>
          </w:p>
        </w:tc>
        <w:tc>
          <w:tcPr>
            <w:tcW w:w="1809" w:type="dxa"/>
            <w:gridSpan w:val="2"/>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highlight w:val="none"/>
              </w:rPr>
            </w:pPr>
            <w:r>
              <w:rPr>
                <w:rFonts w:hint="default" w:ascii="Arial" w:hAnsi="Arial" w:eastAsia="宋体" w:cs="Arial"/>
                <w:color w:val="auto"/>
                <w:highlight w:val="none"/>
              </w:rPr>
              <w:t>标准</w:t>
            </w:r>
          </w:p>
        </w:tc>
        <w:tc>
          <w:tcPr>
            <w:tcW w:w="909" w:type="dxa"/>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highlight w:val="none"/>
              </w:rPr>
            </w:pPr>
            <w:r>
              <w:rPr>
                <w:rFonts w:hint="default" w:ascii="Arial" w:hAnsi="Arial" w:eastAsia="宋体" w:cs="Arial"/>
                <w:color w:val="auto"/>
                <w:highlight w:val="none"/>
              </w:rPr>
              <w:t>占标率</w:t>
            </w:r>
          </w:p>
        </w:tc>
        <w:tc>
          <w:tcPr>
            <w:tcW w:w="909"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highlight w:val="none"/>
              </w:rPr>
            </w:pPr>
            <w:r>
              <w:rPr>
                <w:rFonts w:hint="default" w:ascii="Arial" w:hAnsi="Arial" w:eastAsia="宋体" w:cs="Arial"/>
                <w:color w:val="auto"/>
                <w:highlight w:val="none"/>
              </w:rPr>
              <w:t>超标率</w:t>
            </w:r>
          </w:p>
        </w:tc>
        <w:tc>
          <w:tcPr>
            <w:tcW w:w="1587"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highlight w:val="none"/>
              </w:rPr>
            </w:pPr>
            <w:r>
              <w:rPr>
                <w:rFonts w:hint="default" w:ascii="Arial" w:hAnsi="Arial" w:eastAsia="宋体" w:cs="Arial"/>
                <w:color w:val="auto"/>
                <w:highlight w:val="none"/>
              </w:rPr>
              <w:t>最大超标倍数</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020"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highlight w:val="none"/>
              </w:rPr>
            </w:pPr>
            <w:r>
              <w:rPr>
                <w:rFonts w:hint="default" w:ascii="Arial" w:hAnsi="Arial" w:eastAsia="宋体" w:cs="Arial"/>
                <w:color w:val="auto"/>
                <w:highlight w:val="none"/>
              </w:rPr>
              <w:t>NH</w:t>
            </w:r>
            <w:r>
              <w:rPr>
                <w:rFonts w:hint="default" w:ascii="Arial" w:hAnsi="Arial" w:eastAsia="宋体" w:cs="Arial"/>
                <w:color w:val="auto"/>
                <w:highlight w:val="none"/>
                <w:vertAlign w:val="subscript"/>
              </w:rPr>
              <w:t>3</w:t>
            </w:r>
          </w:p>
        </w:tc>
        <w:tc>
          <w:tcPr>
            <w:tcW w:w="1135"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highlight w:val="none"/>
              </w:rPr>
            </w:pPr>
            <w:r>
              <w:rPr>
                <w:rFonts w:hint="default" w:ascii="Arial" w:hAnsi="Arial" w:eastAsia="宋体" w:cs="Arial"/>
                <w:color w:val="auto"/>
                <w:highlight w:val="none"/>
              </w:rPr>
              <w:t>7</w:t>
            </w:r>
          </w:p>
        </w:tc>
        <w:tc>
          <w:tcPr>
            <w:tcW w:w="1586"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highlight w:val="none"/>
              </w:rPr>
            </w:pPr>
            <w:r>
              <w:rPr>
                <w:rFonts w:hint="default" w:ascii="Arial" w:hAnsi="Arial" w:eastAsia="宋体" w:cs="Arial"/>
                <w:bCs/>
                <w:color w:val="auto"/>
                <w:szCs w:val="21"/>
                <w:highlight w:val="none"/>
                <w:lang w:val="en-US" w:eastAsia="zh-CN"/>
              </w:rPr>
              <w:t>10</w:t>
            </w:r>
            <w:r>
              <w:rPr>
                <w:rFonts w:hint="default" w:ascii="Arial" w:hAnsi="Arial" w:eastAsia="宋体" w:cs="Arial"/>
                <w:color w:val="auto"/>
                <w:highlight w:val="none"/>
              </w:rPr>
              <w:t>～</w:t>
            </w:r>
            <w:r>
              <w:rPr>
                <w:rFonts w:hint="default" w:ascii="Arial" w:hAnsi="Arial" w:eastAsia="宋体" w:cs="Arial"/>
                <w:color w:val="auto"/>
                <w:highlight w:val="none"/>
                <w:lang w:val="en-US" w:eastAsia="zh-CN"/>
              </w:rPr>
              <w:t>4</w:t>
            </w:r>
            <w:r>
              <w:rPr>
                <w:rFonts w:hint="default" w:ascii="Arial" w:hAnsi="Arial" w:eastAsia="宋体" w:cs="Arial"/>
                <w:color w:val="auto"/>
                <w:highlight w:val="none"/>
              </w:rPr>
              <w:t>0ug/m</w:t>
            </w:r>
            <w:r>
              <w:rPr>
                <w:rFonts w:hint="default" w:ascii="Arial" w:hAnsi="Arial" w:eastAsia="宋体" w:cs="Arial"/>
                <w:color w:val="auto"/>
                <w:highlight w:val="none"/>
                <w:vertAlign w:val="superscript"/>
              </w:rPr>
              <w:t>3</w:t>
            </w:r>
          </w:p>
        </w:tc>
        <w:tc>
          <w:tcPr>
            <w:tcW w:w="684"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highlight w:val="none"/>
              </w:rPr>
            </w:pPr>
            <w:r>
              <w:rPr>
                <w:rFonts w:hint="default" w:ascii="Arial" w:hAnsi="Arial" w:eastAsia="宋体" w:cs="Arial"/>
                <w:color w:val="auto"/>
                <w:highlight w:val="none"/>
              </w:rPr>
              <w:t>一次</w:t>
            </w:r>
          </w:p>
        </w:tc>
        <w:tc>
          <w:tcPr>
            <w:tcW w:w="1125"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highlight w:val="none"/>
              </w:rPr>
            </w:pPr>
            <w:r>
              <w:rPr>
                <w:rFonts w:hint="default" w:ascii="Arial" w:hAnsi="Arial" w:eastAsia="宋体" w:cs="Arial"/>
                <w:color w:val="auto"/>
                <w:highlight w:val="none"/>
              </w:rPr>
              <w:t>200µg/m</w:t>
            </w:r>
            <w:r>
              <w:rPr>
                <w:rFonts w:hint="default" w:ascii="Arial" w:hAnsi="Arial" w:eastAsia="宋体" w:cs="Arial"/>
                <w:color w:val="auto"/>
                <w:highlight w:val="none"/>
                <w:vertAlign w:val="superscript"/>
              </w:rPr>
              <w:t>3</w:t>
            </w:r>
          </w:p>
        </w:tc>
        <w:tc>
          <w:tcPr>
            <w:tcW w:w="909" w:type="dxa"/>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highlight w:val="none"/>
              </w:rPr>
            </w:pPr>
            <w:r>
              <w:rPr>
                <w:rFonts w:hint="default" w:ascii="Arial" w:hAnsi="Arial" w:eastAsia="宋体" w:cs="Arial"/>
                <w:color w:val="auto"/>
                <w:highlight w:val="none"/>
                <w:lang w:val="en-US" w:eastAsia="zh-CN"/>
              </w:rPr>
              <w:t>20</w:t>
            </w:r>
            <w:r>
              <w:rPr>
                <w:rFonts w:hint="default" w:ascii="Arial" w:hAnsi="Arial" w:eastAsia="宋体" w:cs="Arial"/>
                <w:color w:val="auto"/>
                <w:highlight w:val="none"/>
              </w:rPr>
              <w:t>%</w:t>
            </w:r>
          </w:p>
        </w:tc>
        <w:tc>
          <w:tcPr>
            <w:tcW w:w="909"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highlight w:val="none"/>
              </w:rPr>
            </w:pPr>
            <w:r>
              <w:rPr>
                <w:rFonts w:hint="default" w:ascii="Arial" w:hAnsi="Arial" w:eastAsia="宋体" w:cs="Arial"/>
                <w:color w:val="auto"/>
                <w:highlight w:val="none"/>
              </w:rPr>
              <w:t>0%</w:t>
            </w:r>
          </w:p>
        </w:tc>
        <w:tc>
          <w:tcPr>
            <w:tcW w:w="1587"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highlight w:val="none"/>
              </w:rPr>
            </w:pPr>
            <w:r>
              <w:rPr>
                <w:rFonts w:hint="default" w:ascii="Arial" w:hAnsi="Arial" w:eastAsia="宋体" w:cs="Arial"/>
                <w:color w:val="auto"/>
                <w:highlight w:val="none"/>
              </w:rPr>
              <w:t>0%</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020"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highlight w:val="none"/>
              </w:rPr>
            </w:pPr>
            <w:r>
              <w:rPr>
                <w:rFonts w:hint="default" w:ascii="Arial" w:hAnsi="Arial" w:eastAsia="宋体" w:cs="Arial"/>
                <w:color w:val="auto"/>
                <w:highlight w:val="none"/>
              </w:rPr>
              <w:t>H</w:t>
            </w:r>
            <w:r>
              <w:rPr>
                <w:rFonts w:hint="default" w:ascii="Arial" w:hAnsi="Arial" w:eastAsia="宋体" w:cs="Arial"/>
                <w:color w:val="auto"/>
                <w:highlight w:val="none"/>
                <w:vertAlign w:val="subscript"/>
              </w:rPr>
              <w:t>2</w:t>
            </w:r>
            <w:r>
              <w:rPr>
                <w:rFonts w:hint="default" w:ascii="Arial" w:hAnsi="Arial" w:eastAsia="宋体" w:cs="Arial"/>
                <w:color w:val="auto"/>
                <w:highlight w:val="none"/>
              </w:rPr>
              <w:t>S</w:t>
            </w:r>
          </w:p>
        </w:tc>
        <w:tc>
          <w:tcPr>
            <w:tcW w:w="1135"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highlight w:val="none"/>
              </w:rPr>
            </w:pPr>
            <w:r>
              <w:rPr>
                <w:rFonts w:hint="default" w:ascii="Arial" w:hAnsi="Arial" w:eastAsia="宋体" w:cs="Arial"/>
                <w:color w:val="auto"/>
                <w:highlight w:val="none"/>
              </w:rPr>
              <w:t>7</w:t>
            </w:r>
          </w:p>
        </w:tc>
        <w:tc>
          <w:tcPr>
            <w:tcW w:w="1586"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highlight w:val="none"/>
              </w:rPr>
            </w:pPr>
            <w:r>
              <w:rPr>
                <w:rFonts w:hint="default" w:ascii="Arial" w:hAnsi="Arial" w:eastAsia="宋体" w:cs="Arial"/>
                <w:bCs/>
                <w:color w:val="auto"/>
                <w:szCs w:val="21"/>
                <w:highlight w:val="none"/>
                <w:lang w:val="en-US" w:eastAsia="zh-CN"/>
              </w:rPr>
              <w:t>1</w:t>
            </w:r>
            <w:r>
              <w:rPr>
                <w:rFonts w:hint="default" w:ascii="Arial" w:hAnsi="Arial" w:eastAsia="宋体" w:cs="Arial"/>
                <w:color w:val="auto"/>
                <w:highlight w:val="none"/>
              </w:rPr>
              <w:t>～</w:t>
            </w:r>
            <w:r>
              <w:rPr>
                <w:rFonts w:hint="default" w:ascii="Arial" w:hAnsi="Arial" w:eastAsia="宋体" w:cs="Arial"/>
                <w:color w:val="auto"/>
                <w:highlight w:val="none"/>
                <w:lang w:val="en-US" w:eastAsia="zh-CN"/>
              </w:rPr>
              <w:t>3</w:t>
            </w:r>
            <w:r>
              <w:rPr>
                <w:rFonts w:hint="default" w:ascii="Arial" w:hAnsi="Arial" w:eastAsia="宋体" w:cs="Arial"/>
                <w:color w:val="auto"/>
                <w:highlight w:val="none"/>
              </w:rPr>
              <w:t>µg/m</w:t>
            </w:r>
            <w:r>
              <w:rPr>
                <w:rFonts w:hint="default" w:ascii="Arial" w:hAnsi="Arial" w:eastAsia="宋体" w:cs="Arial"/>
                <w:color w:val="auto"/>
                <w:highlight w:val="none"/>
                <w:vertAlign w:val="superscript"/>
              </w:rPr>
              <w:t>3</w:t>
            </w:r>
          </w:p>
        </w:tc>
        <w:tc>
          <w:tcPr>
            <w:tcW w:w="684"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highlight w:val="none"/>
              </w:rPr>
            </w:pPr>
            <w:r>
              <w:rPr>
                <w:rFonts w:hint="default" w:ascii="Arial" w:hAnsi="Arial" w:eastAsia="宋体" w:cs="Arial"/>
                <w:color w:val="auto"/>
                <w:highlight w:val="none"/>
              </w:rPr>
              <w:t>一次</w:t>
            </w:r>
          </w:p>
        </w:tc>
        <w:tc>
          <w:tcPr>
            <w:tcW w:w="1125"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highlight w:val="none"/>
              </w:rPr>
            </w:pPr>
            <w:r>
              <w:rPr>
                <w:rFonts w:hint="default" w:ascii="Arial" w:hAnsi="Arial" w:eastAsia="宋体" w:cs="Arial"/>
                <w:color w:val="auto"/>
                <w:highlight w:val="none"/>
              </w:rPr>
              <w:t>10µg/m</w:t>
            </w:r>
            <w:r>
              <w:rPr>
                <w:rFonts w:hint="default" w:ascii="Arial" w:hAnsi="Arial" w:eastAsia="宋体" w:cs="Arial"/>
                <w:color w:val="auto"/>
                <w:highlight w:val="none"/>
                <w:vertAlign w:val="superscript"/>
              </w:rPr>
              <w:t>3</w:t>
            </w:r>
          </w:p>
        </w:tc>
        <w:tc>
          <w:tcPr>
            <w:tcW w:w="909" w:type="dxa"/>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highlight w:val="none"/>
              </w:rPr>
            </w:pPr>
            <w:r>
              <w:rPr>
                <w:rFonts w:hint="default" w:ascii="Arial" w:hAnsi="Arial" w:eastAsia="宋体" w:cs="Arial"/>
                <w:color w:val="auto"/>
                <w:highlight w:val="none"/>
                <w:lang w:val="en-US" w:eastAsia="zh-CN"/>
              </w:rPr>
              <w:t>3</w:t>
            </w:r>
            <w:r>
              <w:rPr>
                <w:rFonts w:hint="default" w:ascii="Arial" w:hAnsi="Arial" w:eastAsia="宋体" w:cs="Arial"/>
                <w:color w:val="auto"/>
                <w:highlight w:val="none"/>
              </w:rPr>
              <w:t>0%</w:t>
            </w:r>
          </w:p>
        </w:tc>
        <w:tc>
          <w:tcPr>
            <w:tcW w:w="909"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highlight w:val="none"/>
              </w:rPr>
            </w:pPr>
            <w:r>
              <w:rPr>
                <w:rFonts w:hint="default" w:ascii="Arial" w:hAnsi="Arial" w:eastAsia="宋体" w:cs="Arial"/>
                <w:color w:val="auto"/>
                <w:highlight w:val="none"/>
              </w:rPr>
              <w:t>0%</w:t>
            </w:r>
          </w:p>
        </w:tc>
        <w:tc>
          <w:tcPr>
            <w:tcW w:w="1587"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highlight w:val="none"/>
              </w:rPr>
            </w:pPr>
            <w:r>
              <w:rPr>
                <w:rFonts w:hint="default" w:ascii="Arial" w:hAnsi="Arial" w:eastAsia="宋体" w:cs="Arial"/>
                <w:color w:val="auto"/>
                <w:highlight w:val="none"/>
              </w:rPr>
              <w:t>0%</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020"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highlight w:val="none"/>
              </w:rPr>
            </w:pPr>
            <w:r>
              <w:rPr>
                <w:rFonts w:hint="default" w:ascii="Arial" w:hAnsi="Arial" w:eastAsia="宋体" w:cs="Arial"/>
                <w:color w:val="auto"/>
                <w:highlight w:val="none"/>
              </w:rPr>
              <w:t>TSP</w:t>
            </w:r>
          </w:p>
        </w:tc>
        <w:tc>
          <w:tcPr>
            <w:tcW w:w="1135"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highlight w:val="none"/>
              </w:rPr>
            </w:pPr>
            <w:r>
              <w:rPr>
                <w:rFonts w:hint="default" w:ascii="Arial" w:hAnsi="Arial" w:eastAsia="宋体" w:cs="Arial"/>
                <w:color w:val="auto"/>
                <w:highlight w:val="none"/>
              </w:rPr>
              <w:t>7</w:t>
            </w:r>
          </w:p>
        </w:tc>
        <w:tc>
          <w:tcPr>
            <w:tcW w:w="1586"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highlight w:val="none"/>
              </w:rPr>
            </w:pPr>
            <w:r>
              <w:rPr>
                <w:rFonts w:hint="default" w:ascii="Arial" w:hAnsi="Arial" w:eastAsia="宋体" w:cs="Arial"/>
                <w:color w:val="auto"/>
                <w:highlight w:val="none"/>
                <w:lang w:val="en-US" w:eastAsia="zh-CN"/>
              </w:rPr>
              <w:t>173</w:t>
            </w:r>
            <w:r>
              <w:rPr>
                <w:rFonts w:hint="default" w:ascii="Arial" w:hAnsi="Arial" w:eastAsia="宋体" w:cs="Arial"/>
                <w:color w:val="auto"/>
                <w:highlight w:val="none"/>
              </w:rPr>
              <w:t>~</w:t>
            </w:r>
            <w:r>
              <w:rPr>
                <w:rFonts w:hint="default" w:ascii="Arial" w:hAnsi="Arial" w:eastAsia="宋体" w:cs="Arial"/>
                <w:color w:val="auto"/>
                <w:highlight w:val="none"/>
                <w:lang w:val="en-US" w:eastAsia="zh-CN"/>
              </w:rPr>
              <w:t>231</w:t>
            </w:r>
            <w:r>
              <w:rPr>
                <w:rFonts w:hint="default" w:ascii="Arial" w:hAnsi="Arial" w:eastAsia="宋体" w:cs="Arial"/>
                <w:color w:val="auto"/>
                <w:highlight w:val="none"/>
              </w:rPr>
              <w:t>µg/m</w:t>
            </w:r>
            <w:r>
              <w:rPr>
                <w:rFonts w:hint="default" w:ascii="Arial" w:hAnsi="Arial" w:eastAsia="宋体" w:cs="Arial"/>
                <w:color w:val="auto"/>
                <w:highlight w:val="none"/>
                <w:vertAlign w:val="superscript"/>
              </w:rPr>
              <w:t>3</w:t>
            </w:r>
          </w:p>
        </w:tc>
        <w:tc>
          <w:tcPr>
            <w:tcW w:w="684"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highlight w:val="none"/>
              </w:rPr>
            </w:pPr>
            <w:r>
              <w:rPr>
                <w:rFonts w:hint="default" w:ascii="Arial" w:hAnsi="Arial" w:eastAsia="宋体" w:cs="Arial"/>
                <w:color w:val="auto"/>
                <w:highlight w:val="none"/>
              </w:rPr>
              <w:t>日均</w:t>
            </w:r>
          </w:p>
        </w:tc>
        <w:tc>
          <w:tcPr>
            <w:tcW w:w="1125"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highlight w:val="none"/>
              </w:rPr>
            </w:pPr>
            <w:r>
              <w:rPr>
                <w:rFonts w:hint="default" w:ascii="Arial" w:hAnsi="Arial" w:eastAsia="宋体" w:cs="Arial"/>
                <w:color w:val="auto"/>
                <w:highlight w:val="none"/>
              </w:rPr>
              <w:t>300µg/m</w:t>
            </w:r>
            <w:r>
              <w:rPr>
                <w:rFonts w:hint="default" w:ascii="Arial" w:hAnsi="Arial" w:eastAsia="宋体" w:cs="Arial"/>
                <w:color w:val="auto"/>
                <w:highlight w:val="none"/>
                <w:vertAlign w:val="superscript"/>
              </w:rPr>
              <w:t>3</w:t>
            </w:r>
          </w:p>
        </w:tc>
        <w:tc>
          <w:tcPr>
            <w:tcW w:w="909" w:type="dxa"/>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highlight w:val="none"/>
              </w:rPr>
            </w:pPr>
            <w:r>
              <w:rPr>
                <w:rFonts w:hint="default" w:ascii="Arial" w:hAnsi="Arial" w:eastAsia="宋体" w:cs="Arial"/>
                <w:color w:val="auto"/>
                <w:highlight w:val="none"/>
                <w:lang w:val="en-US" w:eastAsia="zh-CN"/>
              </w:rPr>
              <w:t>77</w:t>
            </w:r>
            <w:r>
              <w:rPr>
                <w:rFonts w:hint="default" w:ascii="Arial" w:hAnsi="Arial" w:eastAsia="宋体" w:cs="Arial"/>
                <w:color w:val="auto"/>
                <w:highlight w:val="none"/>
              </w:rPr>
              <w:t>%</w:t>
            </w:r>
          </w:p>
        </w:tc>
        <w:tc>
          <w:tcPr>
            <w:tcW w:w="909"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highlight w:val="none"/>
              </w:rPr>
            </w:pPr>
            <w:r>
              <w:rPr>
                <w:rFonts w:hint="default" w:ascii="Arial" w:hAnsi="Arial" w:eastAsia="宋体" w:cs="Arial"/>
                <w:color w:val="auto"/>
                <w:highlight w:val="none"/>
              </w:rPr>
              <w:t>0%</w:t>
            </w:r>
          </w:p>
        </w:tc>
        <w:tc>
          <w:tcPr>
            <w:tcW w:w="1587"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highlight w:val="none"/>
              </w:rPr>
            </w:pPr>
            <w:r>
              <w:rPr>
                <w:rFonts w:hint="default" w:ascii="Arial" w:hAnsi="Arial" w:eastAsia="宋体" w:cs="Arial"/>
                <w:color w:val="auto"/>
                <w:highlight w:val="none"/>
              </w:rPr>
              <w:t>0%</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020"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highlight w:val="none"/>
              </w:rPr>
            </w:pPr>
            <w:r>
              <w:rPr>
                <w:rFonts w:hint="default" w:ascii="Arial" w:hAnsi="Arial" w:eastAsia="宋体" w:cs="Arial"/>
                <w:color w:val="auto"/>
                <w:sz w:val="21"/>
                <w:szCs w:val="21"/>
                <w:lang w:eastAsia="zh-CN"/>
              </w:rPr>
              <w:t>臭气浓度</w:t>
            </w:r>
          </w:p>
        </w:tc>
        <w:tc>
          <w:tcPr>
            <w:tcW w:w="1135"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highlight w:val="none"/>
              </w:rPr>
            </w:pPr>
            <w:r>
              <w:rPr>
                <w:rFonts w:hint="default" w:ascii="Arial" w:hAnsi="Arial" w:eastAsia="宋体" w:cs="Arial"/>
                <w:color w:val="auto"/>
                <w:highlight w:val="none"/>
              </w:rPr>
              <w:t>7</w:t>
            </w:r>
          </w:p>
        </w:tc>
        <w:tc>
          <w:tcPr>
            <w:tcW w:w="1586"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highlight w:val="none"/>
                <w:lang w:val="en-US" w:eastAsia="zh-CN"/>
              </w:rPr>
            </w:pPr>
            <w:r>
              <w:rPr>
                <w:rFonts w:hint="default" w:ascii="Arial" w:hAnsi="Arial" w:eastAsia="宋体" w:cs="Arial"/>
                <w:color w:val="auto"/>
                <w:highlight w:val="none"/>
                <w:lang w:val="en-US" w:eastAsia="zh-CN"/>
              </w:rPr>
              <w:t>10~12</w:t>
            </w:r>
          </w:p>
        </w:tc>
        <w:tc>
          <w:tcPr>
            <w:tcW w:w="684"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highlight w:val="none"/>
                <w:lang w:val="en-US" w:eastAsia="zh-CN"/>
              </w:rPr>
            </w:pPr>
            <w:r>
              <w:rPr>
                <w:rFonts w:hint="default" w:ascii="Arial" w:hAnsi="Arial" w:eastAsia="宋体" w:cs="Arial"/>
                <w:color w:val="auto"/>
                <w:highlight w:val="none"/>
              </w:rPr>
              <w:t>一次</w:t>
            </w:r>
          </w:p>
        </w:tc>
        <w:tc>
          <w:tcPr>
            <w:tcW w:w="1125"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highlight w:val="none"/>
                <w:lang w:val="en-US" w:eastAsia="zh-CN"/>
              </w:rPr>
            </w:pPr>
            <w:r>
              <w:rPr>
                <w:rFonts w:hint="default" w:ascii="Arial" w:hAnsi="Arial" w:eastAsia="宋体" w:cs="Arial"/>
                <w:color w:val="auto"/>
                <w:highlight w:val="none"/>
                <w:lang w:val="en-US" w:eastAsia="zh-CN"/>
              </w:rPr>
              <w:t>/</w:t>
            </w:r>
          </w:p>
        </w:tc>
        <w:tc>
          <w:tcPr>
            <w:tcW w:w="909" w:type="dxa"/>
            <w:vAlign w:val="center"/>
          </w:tcPr>
          <w:p>
            <w:pPr>
              <w:pStyle w:val="63"/>
              <w:keepNext w:val="0"/>
              <w:keepLines w:val="0"/>
              <w:pageBreakBefore w:val="0"/>
              <w:widowControl w:val="0"/>
              <w:kinsoku/>
              <w:wordWrap/>
              <w:overflowPunct/>
              <w:topLinePunct/>
              <w:autoSpaceDE w:val="0"/>
              <w:autoSpaceDN/>
              <w:bidi w:val="0"/>
              <w:adjustRightInd/>
              <w:snapToGrid/>
              <w:jc w:val="center"/>
              <w:textAlignment w:val="center"/>
              <w:rPr>
                <w:rFonts w:hint="default" w:ascii="Arial" w:hAnsi="Arial" w:eastAsia="宋体" w:cs="Arial"/>
                <w:color w:val="auto"/>
                <w:highlight w:val="none"/>
                <w:lang w:val="en-US" w:eastAsia="zh-CN"/>
              </w:rPr>
            </w:pPr>
            <w:r>
              <w:rPr>
                <w:rFonts w:hint="default" w:ascii="Arial" w:hAnsi="Arial" w:eastAsia="宋体" w:cs="Arial"/>
                <w:color w:val="auto"/>
                <w:highlight w:val="none"/>
                <w:lang w:val="en-US" w:eastAsia="zh-CN"/>
              </w:rPr>
              <w:t>/</w:t>
            </w:r>
          </w:p>
        </w:tc>
        <w:tc>
          <w:tcPr>
            <w:tcW w:w="909" w:type="dxa"/>
            <w:vAlign w:val="center"/>
          </w:tcPr>
          <w:p>
            <w:pPr>
              <w:pStyle w:val="63"/>
              <w:keepNext w:val="0"/>
              <w:keepLines w:val="0"/>
              <w:pageBreakBefore w:val="0"/>
              <w:widowControl w:val="0"/>
              <w:kinsoku/>
              <w:wordWrap/>
              <w:overflowPunct/>
              <w:topLinePunct/>
              <w:autoSpaceDE w:val="0"/>
              <w:autoSpaceDN/>
              <w:bidi w:val="0"/>
              <w:adjustRightInd/>
              <w:snapToGrid/>
              <w:jc w:val="center"/>
              <w:textAlignment w:val="center"/>
              <w:rPr>
                <w:rFonts w:hint="default" w:ascii="Arial" w:hAnsi="Arial" w:eastAsia="宋体" w:cs="Arial"/>
                <w:color w:val="auto"/>
                <w:highlight w:val="none"/>
              </w:rPr>
            </w:pPr>
            <w:r>
              <w:rPr>
                <w:rFonts w:hint="default" w:ascii="Arial" w:hAnsi="Arial" w:eastAsia="宋体" w:cs="Arial"/>
                <w:color w:val="auto"/>
                <w:highlight w:val="none"/>
                <w:lang w:val="en-US" w:eastAsia="zh-CN"/>
              </w:rPr>
              <w:t>/</w:t>
            </w:r>
          </w:p>
        </w:tc>
        <w:tc>
          <w:tcPr>
            <w:tcW w:w="1587" w:type="dxa"/>
            <w:vAlign w:val="center"/>
          </w:tcPr>
          <w:p>
            <w:pPr>
              <w:pStyle w:val="63"/>
              <w:keepNext w:val="0"/>
              <w:keepLines w:val="0"/>
              <w:pageBreakBefore w:val="0"/>
              <w:widowControl w:val="0"/>
              <w:kinsoku/>
              <w:wordWrap/>
              <w:overflowPunct/>
              <w:topLinePunct/>
              <w:autoSpaceDE w:val="0"/>
              <w:autoSpaceDN/>
              <w:bidi w:val="0"/>
              <w:adjustRightInd/>
              <w:snapToGrid/>
              <w:jc w:val="center"/>
              <w:textAlignment w:val="center"/>
              <w:rPr>
                <w:rFonts w:hint="default" w:ascii="Arial" w:hAnsi="Arial" w:eastAsia="宋体" w:cs="Arial"/>
                <w:color w:val="auto"/>
                <w:highlight w:val="none"/>
              </w:rPr>
            </w:pPr>
            <w:r>
              <w:rPr>
                <w:rFonts w:hint="default" w:ascii="Arial" w:hAnsi="Arial" w:eastAsia="宋体" w:cs="Arial"/>
                <w:color w:val="auto"/>
                <w:highlight w:val="none"/>
                <w:lang w:val="en-US" w:eastAsia="zh-CN"/>
              </w:rPr>
              <w:t>/</w:t>
            </w:r>
          </w:p>
        </w:tc>
      </w:tr>
    </w:tbl>
    <w:p>
      <w:pPr>
        <w:pageBreakBefore w:val="0"/>
        <w:widowControl w:val="0"/>
        <w:kinsoku/>
        <w:wordWrap/>
        <w:topLinePunct/>
        <w:autoSpaceDE w:val="0"/>
        <w:autoSpaceDN/>
        <w:bidi w:val="0"/>
        <w:adjustRightInd/>
        <w:snapToGrid/>
        <w:spacing w:line="480" w:lineRule="exact"/>
        <w:ind w:firstLine="480"/>
        <w:textAlignment w:val="auto"/>
        <w:rPr>
          <w:rFonts w:hint="default" w:ascii="Arial" w:hAnsi="Arial" w:eastAsia="宋体" w:cs="Arial"/>
          <w:color w:val="auto"/>
          <w:szCs w:val="24"/>
          <w:highlight w:val="none"/>
        </w:rPr>
      </w:pPr>
      <w:r>
        <w:rPr>
          <w:rFonts w:hint="default" w:ascii="Arial" w:hAnsi="Arial" w:eastAsia="宋体" w:cs="Arial"/>
          <w:color w:val="auto"/>
          <w:szCs w:val="24"/>
          <w:highlight w:val="none"/>
        </w:rPr>
        <w:t>由结果可知，当地的H</w:t>
      </w:r>
      <w:r>
        <w:rPr>
          <w:rFonts w:hint="default" w:ascii="Arial" w:hAnsi="Arial" w:eastAsia="宋体" w:cs="Arial"/>
          <w:color w:val="auto"/>
          <w:szCs w:val="24"/>
          <w:highlight w:val="none"/>
          <w:vertAlign w:val="subscript"/>
        </w:rPr>
        <w:t>2</w:t>
      </w:r>
      <w:r>
        <w:rPr>
          <w:rFonts w:hint="default" w:ascii="Arial" w:hAnsi="Arial" w:eastAsia="宋体" w:cs="Arial"/>
          <w:color w:val="auto"/>
          <w:szCs w:val="24"/>
          <w:highlight w:val="none"/>
        </w:rPr>
        <w:t>S、NH</w:t>
      </w:r>
      <w:r>
        <w:rPr>
          <w:rFonts w:hint="default" w:ascii="Arial" w:hAnsi="Arial" w:eastAsia="宋体" w:cs="Arial"/>
          <w:color w:val="auto"/>
          <w:szCs w:val="24"/>
          <w:highlight w:val="none"/>
          <w:vertAlign w:val="subscript"/>
        </w:rPr>
        <w:t>3</w:t>
      </w:r>
      <w:r>
        <w:rPr>
          <w:rFonts w:hint="default" w:ascii="Arial" w:hAnsi="Arial" w:eastAsia="宋体" w:cs="Arial"/>
          <w:color w:val="auto"/>
          <w:szCs w:val="24"/>
          <w:highlight w:val="none"/>
        </w:rPr>
        <w:t>浓度符合《环境影响评价技术导则 大气环境》（HJ2.2－2018）附录D其他污染物空气质量浓度参考限值；TSP满足《环境空气质量标准》（GB3095-2012）中的二级标准。</w:t>
      </w:r>
    </w:p>
    <w:p>
      <w:pPr>
        <w:pStyle w:val="6"/>
        <w:pageBreakBefore w:val="0"/>
        <w:widowControl w:val="0"/>
        <w:kinsoku/>
        <w:wordWrap/>
        <w:topLinePunct/>
        <w:autoSpaceDE w:val="0"/>
        <w:autoSpaceDN/>
        <w:bidi w:val="0"/>
        <w:adjustRightInd/>
        <w:snapToGrid/>
        <w:spacing w:line="480" w:lineRule="exact"/>
        <w:textAlignment w:val="auto"/>
        <w:rPr>
          <w:rFonts w:hint="default" w:ascii="Arial" w:hAnsi="Arial" w:eastAsia="宋体" w:cs="Arial"/>
          <w:color w:val="auto"/>
          <w:highlight w:val="none"/>
        </w:rPr>
      </w:pPr>
      <w:bookmarkStart w:id="294" w:name="_Toc18049"/>
      <w:r>
        <w:rPr>
          <w:rFonts w:hint="default" w:ascii="Arial" w:hAnsi="Arial" w:eastAsia="宋体" w:cs="Arial"/>
          <w:color w:val="auto"/>
          <w:highlight w:val="none"/>
        </w:rPr>
        <w:t>4.2.2</w:t>
      </w:r>
      <w:bookmarkStart w:id="295" w:name="_Toc494206317"/>
      <w:bookmarkStart w:id="296" w:name="_Toc521342155"/>
      <w:r>
        <w:rPr>
          <w:rFonts w:hint="default" w:ascii="Arial" w:hAnsi="Arial" w:eastAsia="宋体" w:cs="Arial"/>
          <w:color w:val="auto"/>
          <w:highlight w:val="none"/>
        </w:rPr>
        <w:t>地下水质量现状调查与评价</w:t>
      </w:r>
      <w:bookmarkEnd w:id="294"/>
      <w:bookmarkEnd w:id="295"/>
      <w:bookmarkEnd w:id="296"/>
    </w:p>
    <w:p>
      <w:pPr>
        <w:pStyle w:val="7"/>
        <w:pageBreakBefore w:val="0"/>
        <w:widowControl w:val="0"/>
        <w:kinsoku/>
        <w:wordWrap/>
        <w:topLinePunct/>
        <w:autoSpaceDE w:val="0"/>
        <w:autoSpaceDN/>
        <w:bidi w:val="0"/>
        <w:adjustRightInd/>
        <w:snapToGrid/>
        <w:spacing w:line="480" w:lineRule="exact"/>
        <w:textAlignment w:val="auto"/>
        <w:rPr>
          <w:rFonts w:hint="default" w:ascii="Arial" w:hAnsi="Arial" w:eastAsia="宋体" w:cs="Arial"/>
          <w:color w:val="auto"/>
          <w:highlight w:val="none"/>
        </w:rPr>
      </w:pPr>
      <w:r>
        <w:rPr>
          <w:rFonts w:hint="default" w:ascii="Arial" w:hAnsi="Arial" w:eastAsia="宋体" w:cs="Arial"/>
          <w:color w:val="auto"/>
          <w:highlight w:val="none"/>
        </w:rPr>
        <w:t>4.2.2.1水位现状监测</w:t>
      </w:r>
    </w:p>
    <w:p>
      <w:pPr>
        <w:pageBreakBefore w:val="0"/>
        <w:widowControl w:val="0"/>
        <w:kinsoku/>
        <w:wordWrap/>
        <w:overflowPunct w:val="0"/>
        <w:topLinePunct/>
        <w:autoSpaceDE w:val="0"/>
        <w:autoSpaceDN/>
        <w:bidi w:val="0"/>
        <w:adjustRightInd/>
        <w:snapToGrid/>
        <w:spacing w:line="480" w:lineRule="exact"/>
        <w:ind w:firstLine="480"/>
        <w:textAlignment w:val="auto"/>
        <w:rPr>
          <w:rFonts w:hint="default" w:ascii="Arial" w:hAnsi="Arial" w:eastAsia="宋体" w:cs="Arial"/>
          <w:color w:val="auto"/>
          <w:highlight w:val="none"/>
        </w:rPr>
      </w:pPr>
      <w:bookmarkStart w:id="297" w:name="_Hlk46689585"/>
      <w:r>
        <w:rPr>
          <w:rFonts w:hint="default" w:ascii="Arial" w:hAnsi="Arial" w:eastAsia="宋体" w:cs="Arial"/>
          <w:color w:val="auto"/>
          <w:highlight w:val="none"/>
        </w:rPr>
        <w:t>本次评价共布设水位监测点6个，布设3个地下水水质监测点，</w:t>
      </w:r>
      <w:r>
        <w:rPr>
          <w:rFonts w:hint="default" w:ascii="Arial" w:hAnsi="Arial" w:eastAsia="宋体" w:cs="Arial"/>
          <w:color w:val="auto"/>
          <w:highlight w:val="none"/>
          <w:lang w:val="en-US" w:eastAsia="zh-CN"/>
        </w:rPr>
        <w:t>采样</w:t>
      </w:r>
      <w:r>
        <w:rPr>
          <w:rFonts w:hint="default" w:ascii="Arial" w:hAnsi="Arial" w:eastAsia="宋体" w:cs="Arial"/>
          <w:color w:val="auto"/>
          <w:highlight w:val="none"/>
        </w:rPr>
        <w:t>时间为202</w:t>
      </w:r>
      <w:r>
        <w:rPr>
          <w:rFonts w:hint="default" w:ascii="Arial" w:hAnsi="Arial" w:eastAsia="宋体" w:cs="Arial"/>
          <w:color w:val="auto"/>
          <w:highlight w:val="none"/>
          <w:lang w:val="en-US" w:eastAsia="zh-CN"/>
        </w:rPr>
        <w:t>2</w:t>
      </w:r>
      <w:r>
        <w:rPr>
          <w:rFonts w:hint="default" w:ascii="Arial" w:hAnsi="Arial" w:eastAsia="宋体" w:cs="Arial"/>
          <w:color w:val="auto"/>
          <w:highlight w:val="none"/>
        </w:rPr>
        <w:t>年</w:t>
      </w:r>
      <w:r>
        <w:rPr>
          <w:rFonts w:hint="default" w:ascii="Arial" w:hAnsi="Arial" w:eastAsia="宋体" w:cs="Arial"/>
          <w:color w:val="auto"/>
          <w:highlight w:val="none"/>
          <w:lang w:val="en-US" w:eastAsia="zh-CN"/>
        </w:rPr>
        <w:t>1</w:t>
      </w:r>
      <w:r>
        <w:rPr>
          <w:rFonts w:hint="default" w:ascii="Arial" w:hAnsi="Arial" w:eastAsia="宋体" w:cs="Arial"/>
          <w:color w:val="auto"/>
          <w:highlight w:val="none"/>
        </w:rPr>
        <w:t>月</w:t>
      </w:r>
      <w:r>
        <w:rPr>
          <w:rFonts w:hint="default" w:ascii="Arial" w:hAnsi="Arial" w:eastAsia="宋体" w:cs="Arial"/>
          <w:color w:val="auto"/>
          <w:highlight w:val="none"/>
          <w:lang w:val="en-US" w:eastAsia="zh-CN"/>
        </w:rPr>
        <w:t>5</w:t>
      </w:r>
      <w:r>
        <w:rPr>
          <w:rFonts w:hint="default" w:ascii="Arial" w:hAnsi="Arial" w:eastAsia="宋体" w:cs="Arial"/>
          <w:color w:val="auto"/>
          <w:highlight w:val="none"/>
        </w:rPr>
        <w:t>日</w:t>
      </w:r>
      <w:r>
        <w:rPr>
          <w:rFonts w:hint="default" w:ascii="Arial" w:hAnsi="Arial" w:eastAsia="宋体" w:cs="Arial"/>
          <w:color w:val="auto"/>
          <w:highlight w:val="none"/>
          <w:lang w:val="en-US" w:eastAsia="zh-CN"/>
        </w:rPr>
        <w:t>~1月6日</w:t>
      </w:r>
      <w:r>
        <w:rPr>
          <w:rFonts w:hint="default" w:ascii="Arial" w:hAnsi="Arial" w:eastAsia="宋体" w:cs="Arial"/>
          <w:color w:val="auto"/>
          <w:highlight w:val="none"/>
        </w:rPr>
        <w:t>，监测单位为</w:t>
      </w:r>
      <w:r>
        <w:rPr>
          <w:rFonts w:hint="default" w:ascii="Arial" w:hAnsi="Arial" w:eastAsia="宋体" w:cs="Arial"/>
          <w:color w:val="auto"/>
          <w:szCs w:val="24"/>
          <w:highlight w:val="none"/>
        </w:rPr>
        <w:t>内蒙古华智鼎环保科技有限公司</w:t>
      </w:r>
      <w:r>
        <w:rPr>
          <w:rFonts w:hint="default" w:ascii="Arial" w:hAnsi="Arial" w:eastAsia="宋体" w:cs="Arial"/>
          <w:color w:val="auto"/>
          <w:highlight w:val="none"/>
        </w:rPr>
        <w:t>，水质水位位置布点见下表，如图4.2-1所示。</w:t>
      </w:r>
      <w:bookmarkEnd w:id="297"/>
    </w:p>
    <w:p>
      <w:pPr>
        <w:pStyle w:val="8"/>
        <w:pageBreakBefore w:val="0"/>
        <w:widowControl w:val="0"/>
        <w:kinsoku/>
        <w:wordWrap/>
        <w:topLinePunct/>
        <w:autoSpaceDE w:val="0"/>
        <w:autoSpaceDN/>
        <w:bidi w:val="0"/>
        <w:adjustRightInd/>
        <w:snapToGrid/>
        <w:spacing w:line="480" w:lineRule="exact"/>
        <w:textAlignment w:val="auto"/>
        <w:rPr>
          <w:rFonts w:hint="default" w:ascii="Arial" w:hAnsi="Arial" w:eastAsia="宋体" w:cs="Arial"/>
          <w:color w:val="auto"/>
          <w:highlight w:val="none"/>
          <w:lang w:eastAsia="zh-CN"/>
        </w:rPr>
      </w:pPr>
      <w:r>
        <w:rPr>
          <w:rFonts w:hint="default" w:ascii="Arial" w:hAnsi="Arial" w:eastAsia="宋体" w:cs="Arial"/>
          <w:color w:val="auto"/>
          <w:highlight w:val="none"/>
        </w:rPr>
        <w:t>表4.2-6    地下水水位监测布点</w:t>
      </w:r>
      <w:r>
        <w:rPr>
          <w:rFonts w:hint="default" w:ascii="Arial" w:hAnsi="Arial" w:eastAsia="宋体" w:cs="Arial"/>
          <w:color w:val="auto"/>
          <w:highlight w:val="none"/>
          <w:lang w:eastAsia="zh-CN"/>
        </w:rPr>
        <w:t>情况表</w:t>
      </w:r>
    </w:p>
    <w:tbl>
      <w:tblPr>
        <w:tblStyle w:val="39"/>
        <w:tblW w:w="9003" w:type="dxa"/>
        <w:tblInd w:w="0" w:type="dxa"/>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1974"/>
        <w:gridCol w:w="1311"/>
        <w:gridCol w:w="3290"/>
        <w:gridCol w:w="1104"/>
        <w:gridCol w:w="1324"/>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974" w:type="dxa"/>
            <w:vAlign w:val="center"/>
          </w:tcPr>
          <w:p>
            <w:pPr>
              <w:keepNext w:val="0"/>
              <w:keepLines w:val="0"/>
              <w:pageBreakBefore w:val="0"/>
              <w:widowControl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点位</w:t>
            </w:r>
          </w:p>
        </w:tc>
        <w:tc>
          <w:tcPr>
            <w:tcW w:w="1311"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jc w:val="center"/>
              <w:rPr>
                <w:rFonts w:hint="default" w:ascii="Arial" w:hAnsi="Arial" w:eastAsia="宋体" w:cs="Arial"/>
                <w:color w:val="auto"/>
                <w:highlight w:val="none"/>
              </w:rPr>
            </w:pPr>
            <w:r>
              <w:rPr>
                <w:rFonts w:hint="default" w:ascii="Arial" w:hAnsi="Arial" w:eastAsia="宋体" w:cs="Arial"/>
                <w:color w:val="auto"/>
                <w:highlight w:val="none"/>
              </w:rPr>
              <w:t>方位</w:t>
            </w:r>
          </w:p>
        </w:tc>
        <w:tc>
          <w:tcPr>
            <w:tcW w:w="3290"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jc w:val="center"/>
              <w:rPr>
                <w:rFonts w:hint="default" w:ascii="Arial" w:hAnsi="Arial" w:eastAsia="宋体" w:cs="Arial"/>
                <w:color w:val="auto"/>
                <w:highlight w:val="none"/>
              </w:rPr>
            </w:pPr>
            <w:r>
              <w:rPr>
                <w:rFonts w:hint="default" w:ascii="Arial" w:hAnsi="Arial" w:eastAsia="宋体" w:cs="Arial"/>
                <w:color w:val="auto"/>
                <w:highlight w:val="none"/>
              </w:rPr>
              <w:t>坐标</w:t>
            </w:r>
          </w:p>
        </w:tc>
        <w:tc>
          <w:tcPr>
            <w:tcW w:w="1104"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jc w:val="center"/>
              <w:rPr>
                <w:rFonts w:hint="default" w:ascii="Arial" w:hAnsi="Arial" w:eastAsia="宋体" w:cs="Arial"/>
                <w:color w:val="auto"/>
                <w:highlight w:val="none"/>
              </w:rPr>
            </w:pPr>
            <w:r>
              <w:rPr>
                <w:rFonts w:hint="default" w:ascii="Arial" w:hAnsi="Arial" w:eastAsia="宋体" w:cs="Arial"/>
                <w:color w:val="auto"/>
                <w:highlight w:val="none"/>
              </w:rPr>
              <w:t>水井功能</w:t>
            </w:r>
          </w:p>
        </w:tc>
        <w:tc>
          <w:tcPr>
            <w:tcW w:w="1324"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jc w:val="center"/>
              <w:rPr>
                <w:rFonts w:hint="default" w:ascii="Arial" w:hAnsi="Arial" w:eastAsia="宋体" w:cs="Arial"/>
                <w:color w:val="auto"/>
                <w:highlight w:val="none"/>
              </w:rPr>
            </w:pPr>
            <w:r>
              <w:rPr>
                <w:rFonts w:hint="default" w:ascii="Arial" w:hAnsi="Arial" w:eastAsia="宋体" w:cs="Arial"/>
                <w:color w:val="auto"/>
                <w:highlight w:val="none"/>
              </w:rPr>
              <w:t>监测内容</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974" w:type="dxa"/>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lang w:val="en-US" w:eastAsia="zh-CN"/>
              </w:rPr>
              <w:t>☆1项目南侧新义五社水井（1#）</w:t>
            </w:r>
          </w:p>
        </w:tc>
        <w:tc>
          <w:tcPr>
            <w:tcW w:w="1311"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南侧</w:t>
            </w:r>
          </w:p>
        </w:tc>
        <w:tc>
          <w:tcPr>
            <w:tcW w:w="3290" w:type="dxa"/>
            <w:vAlign w:val="center"/>
          </w:tcPr>
          <w:p>
            <w:pPr>
              <w:keepNext w:val="0"/>
              <w:keepLines w:val="0"/>
              <w:pageBreakBefore w:val="0"/>
              <w:widowControl w:val="0"/>
              <w:kinsoku/>
              <w:wordWrap/>
              <w:overflowPunct/>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zh-CN" w:eastAsia="zh-CN" w:bidi="ar-SA"/>
              </w:rPr>
            </w:pPr>
            <w:r>
              <w:rPr>
                <w:rFonts w:hint="default" w:ascii="Arial" w:hAnsi="Arial" w:eastAsia="宋体" w:cs="Arial"/>
                <w:color w:val="auto"/>
                <w:kern w:val="2"/>
                <w:sz w:val="21"/>
                <w:szCs w:val="21"/>
                <w:highlight w:val="none"/>
                <w:lang w:val="en-US" w:eastAsia="zh-CN" w:bidi="ar-SA"/>
              </w:rPr>
              <w:t>E107°40′33.3″,N40°55′36.12″</w:t>
            </w:r>
          </w:p>
        </w:tc>
        <w:tc>
          <w:tcPr>
            <w:tcW w:w="1104" w:type="dxa"/>
            <w:vAlign w:val="center"/>
          </w:tcPr>
          <w:p>
            <w:pPr>
              <w:pStyle w:val="63"/>
              <w:keepNext w:val="0"/>
              <w:keepLines w:val="0"/>
              <w:pageBreakBefore w:val="0"/>
              <w:widowControl w:val="0"/>
              <w:kinsoku/>
              <w:wordWrap/>
              <w:overflowPunct/>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饮用水井</w:t>
            </w:r>
          </w:p>
        </w:tc>
        <w:tc>
          <w:tcPr>
            <w:tcW w:w="1324"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水质、水位</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974" w:type="dxa"/>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lang w:val="en-US" w:eastAsia="zh-CN"/>
              </w:rPr>
              <w:t>☆2项目北侧新胜五社水井（1#）</w:t>
            </w:r>
          </w:p>
        </w:tc>
        <w:tc>
          <w:tcPr>
            <w:tcW w:w="1311"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北侧</w:t>
            </w:r>
          </w:p>
        </w:tc>
        <w:tc>
          <w:tcPr>
            <w:tcW w:w="3290" w:type="dxa"/>
            <w:vAlign w:val="center"/>
          </w:tcPr>
          <w:p>
            <w:pPr>
              <w:keepNext w:val="0"/>
              <w:keepLines w:val="0"/>
              <w:pageBreakBefore w:val="0"/>
              <w:widowControl w:val="0"/>
              <w:kinsoku/>
              <w:wordWrap/>
              <w:overflowPunct/>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zh-CN" w:eastAsia="zh-CN" w:bidi="ar-SA"/>
              </w:rPr>
            </w:pPr>
            <w:r>
              <w:rPr>
                <w:rFonts w:hint="default" w:ascii="Arial" w:hAnsi="Arial" w:eastAsia="宋体" w:cs="Arial"/>
                <w:color w:val="auto"/>
                <w:kern w:val="2"/>
                <w:sz w:val="21"/>
                <w:szCs w:val="21"/>
                <w:highlight w:val="none"/>
                <w:lang w:val="en-US" w:eastAsia="zh-CN" w:bidi="ar-SA"/>
              </w:rPr>
              <w:t>E107°40′57.43″,N40°57′1.61″</w:t>
            </w:r>
          </w:p>
        </w:tc>
        <w:tc>
          <w:tcPr>
            <w:tcW w:w="1104" w:type="dxa"/>
            <w:vAlign w:val="center"/>
          </w:tcPr>
          <w:p>
            <w:pPr>
              <w:pStyle w:val="63"/>
              <w:keepNext w:val="0"/>
              <w:keepLines w:val="0"/>
              <w:pageBreakBefore w:val="0"/>
              <w:widowControl w:val="0"/>
              <w:kinsoku/>
              <w:wordWrap/>
              <w:overflowPunct/>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饮用水井</w:t>
            </w:r>
          </w:p>
        </w:tc>
        <w:tc>
          <w:tcPr>
            <w:tcW w:w="1324"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水质、水位</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974" w:type="dxa"/>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lang w:val="en-US" w:eastAsia="zh-CN"/>
              </w:rPr>
              <w:t>☆3项目东侧养殖场水井</w:t>
            </w:r>
          </w:p>
        </w:tc>
        <w:tc>
          <w:tcPr>
            <w:tcW w:w="1311"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东侧</w:t>
            </w:r>
          </w:p>
        </w:tc>
        <w:tc>
          <w:tcPr>
            <w:tcW w:w="3290" w:type="dxa"/>
            <w:vAlign w:val="center"/>
          </w:tcPr>
          <w:p>
            <w:pPr>
              <w:keepNext w:val="0"/>
              <w:keepLines w:val="0"/>
              <w:pageBreakBefore w:val="0"/>
              <w:widowControl w:val="0"/>
              <w:kinsoku/>
              <w:wordWrap/>
              <w:overflowPunct/>
              <w:autoSpaceDN/>
              <w:bidi w:val="0"/>
              <w:adjustRightInd/>
              <w:snapToGrid/>
              <w:spacing w:line="360" w:lineRule="exact"/>
              <w:ind w:firstLine="0" w:firstLineChars="0"/>
              <w:rPr>
                <w:rFonts w:hint="default" w:ascii="Arial" w:hAnsi="Arial" w:eastAsia="宋体" w:cs="Arial"/>
                <w:color w:val="auto"/>
                <w:kern w:val="2"/>
                <w:sz w:val="21"/>
                <w:szCs w:val="21"/>
                <w:highlight w:val="none"/>
                <w:lang w:val="zh-CN" w:eastAsia="zh-CN" w:bidi="ar-SA"/>
              </w:rPr>
            </w:pPr>
            <w:r>
              <w:rPr>
                <w:rFonts w:hint="default" w:ascii="Arial" w:hAnsi="Arial" w:eastAsia="宋体" w:cs="Arial"/>
                <w:color w:val="auto"/>
                <w:kern w:val="2"/>
                <w:sz w:val="21"/>
                <w:szCs w:val="21"/>
                <w:highlight w:val="none"/>
                <w:lang w:val="en-US" w:eastAsia="zh-CN" w:bidi="ar-SA"/>
              </w:rPr>
              <w:t>E107°41′6.45″,N40°56′8.17″</w:t>
            </w:r>
          </w:p>
        </w:tc>
        <w:tc>
          <w:tcPr>
            <w:tcW w:w="1104" w:type="dxa"/>
            <w:vAlign w:val="center"/>
          </w:tcPr>
          <w:p>
            <w:pPr>
              <w:pStyle w:val="63"/>
              <w:keepNext w:val="0"/>
              <w:keepLines w:val="0"/>
              <w:pageBreakBefore w:val="0"/>
              <w:widowControl w:val="0"/>
              <w:kinsoku/>
              <w:wordWrap/>
              <w:overflowPunct/>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lang w:val="en-US" w:eastAsia="zh-CN"/>
              </w:rPr>
              <w:t>养殖用水井</w:t>
            </w:r>
          </w:p>
        </w:tc>
        <w:tc>
          <w:tcPr>
            <w:tcW w:w="1324"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水质、水位</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974" w:type="dxa"/>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lang w:val="en-US" w:eastAsia="zh-CN"/>
              </w:rPr>
              <w:t>☆4项目南侧新义五社水井（2#）</w:t>
            </w:r>
          </w:p>
        </w:tc>
        <w:tc>
          <w:tcPr>
            <w:tcW w:w="1311"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南侧</w:t>
            </w:r>
          </w:p>
        </w:tc>
        <w:tc>
          <w:tcPr>
            <w:tcW w:w="3290" w:type="dxa"/>
            <w:vAlign w:val="center"/>
          </w:tcPr>
          <w:p>
            <w:pPr>
              <w:keepNext w:val="0"/>
              <w:keepLines w:val="0"/>
              <w:pageBreakBefore w:val="0"/>
              <w:widowControl w:val="0"/>
              <w:kinsoku/>
              <w:wordWrap/>
              <w:overflowPunct/>
              <w:autoSpaceDN/>
              <w:bidi w:val="0"/>
              <w:adjustRightInd/>
              <w:snapToGrid/>
              <w:spacing w:line="360" w:lineRule="exact"/>
              <w:ind w:firstLine="0" w:firstLineChars="0"/>
              <w:rPr>
                <w:rFonts w:hint="default" w:ascii="Arial" w:hAnsi="Arial" w:eastAsia="宋体" w:cs="Arial"/>
                <w:color w:val="auto"/>
                <w:kern w:val="2"/>
                <w:sz w:val="21"/>
                <w:szCs w:val="21"/>
                <w:highlight w:val="none"/>
                <w:lang w:val="zh-CN" w:eastAsia="zh-CN" w:bidi="ar-SA"/>
              </w:rPr>
            </w:pPr>
            <w:r>
              <w:rPr>
                <w:rFonts w:hint="default" w:ascii="Arial" w:hAnsi="Arial" w:eastAsia="宋体" w:cs="Arial"/>
                <w:color w:val="auto"/>
                <w:kern w:val="2"/>
                <w:sz w:val="21"/>
                <w:szCs w:val="21"/>
                <w:highlight w:val="none"/>
                <w:lang w:val="en-US" w:eastAsia="zh-CN" w:bidi="ar-SA"/>
              </w:rPr>
              <w:t>E107°40′31.01″，N40°55′41.63″</w:t>
            </w:r>
          </w:p>
        </w:tc>
        <w:tc>
          <w:tcPr>
            <w:tcW w:w="1104" w:type="dxa"/>
            <w:vAlign w:val="center"/>
          </w:tcPr>
          <w:p>
            <w:pPr>
              <w:pStyle w:val="63"/>
              <w:keepNext w:val="0"/>
              <w:keepLines w:val="0"/>
              <w:pageBreakBefore w:val="0"/>
              <w:widowControl w:val="0"/>
              <w:kinsoku/>
              <w:wordWrap/>
              <w:overflowPunct/>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饮用水井</w:t>
            </w:r>
          </w:p>
        </w:tc>
        <w:tc>
          <w:tcPr>
            <w:tcW w:w="1324"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水位</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974" w:type="dxa"/>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lang w:val="en-US" w:eastAsia="zh-CN"/>
              </w:rPr>
              <w:t>☆5项目北侧新胜五社水井（2#）</w:t>
            </w:r>
          </w:p>
        </w:tc>
        <w:tc>
          <w:tcPr>
            <w:tcW w:w="1311"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北侧</w:t>
            </w:r>
          </w:p>
        </w:tc>
        <w:tc>
          <w:tcPr>
            <w:tcW w:w="3290" w:type="dxa"/>
            <w:vAlign w:val="center"/>
          </w:tcPr>
          <w:p>
            <w:pPr>
              <w:keepNext w:val="0"/>
              <w:keepLines w:val="0"/>
              <w:pageBreakBefore w:val="0"/>
              <w:widowControl w:val="0"/>
              <w:kinsoku/>
              <w:wordWrap/>
              <w:overflowPunct/>
              <w:autoSpaceDN/>
              <w:bidi w:val="0"/>
              <w:adjustRightInd/>
              <w:snapToGrid/>
              <w:spacing w:line="360" w:lineRule="exact"/>
              <w:ind w:firstLine="0" w:firstLineChars="0"/>
              <w:rPr>
                <w:rFonts w:hint="default" w:ascii="Arial" w:hAnsi="Arial" w:eastAsia="宋体" w:cs="Arial"/>
                <w:color w:val="auto"/>
                <w:kern w:val="2"/>
                <w:sz w:val="21"/>
                <w:szCs w:val="21"/>
                <w:highlight w:val="none"/>
                <w:lang w:val="zh-CN" w:eastAsia="zh-CN" w:bidi="ar-SA"/>
              </w:rPr>
            </w:pPr>
            <w:r>
              <w:rPr>
                <w:rFonts w:hint="default" w:ascii="Arial" w:hAnsi="Arial" w:eastAsia="宋体" w:cs="Arial"/>
                <w:color w:val="auto"/>
                <w:kern w:val="2"/>
                <w:sz w:val="21"/>
                <w:szCs w:val="21"/>
                <w:highlight w:val="none"/>
                <w:lang w:val="en-US" w:eastAsia="zh-CN" w:bidi="ar-SA"/>
              </w:rPr>
              <w:t>E107°40′50.5″，N40°57′2.33″</w:t>
            </w:r>
          </w:p>
        </w:tc>
        <w:tc>
          <w:tcPr>
            <w:tcW w:w="1104" w:type="dxa"/>
            <w:vAlign w:val="center"/>
          </w:tcPr>
          <w:p>
            <w:pPr>
              <w:pStyle w:val="63"/>
              <w:keepNext w:val="0"/>
              <w:keepLines w:val="0"/>
              <w:pageBreakBefore w:val="0"/>
              <w:widowControl w:val="0"/>
              <w:kinsoku/>
              <w:wordWrap/>
              <w:overflowPunct/>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饮用水井</w:t>
            </w:r>
          </w:p>
        </w:tc>
        <w:tc>
          <w:tcPr>
            <w:tcW w:w="1324"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水位</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974" w:type="dxa"/>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lang w:val="en-US" w:eastAsia="zh-CN"/>
              </w:rPr>
              <w:t>☆6项目西北侧水井</w:t>
            </w:r>
          </w:p>
        </w:tc>
        <w:tc>
          <w:tcPr>
            <w:tcW w:w="1311"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西北侧</w:t>
            </w:r>
          </w:p>
        </w:tc>
        <w:tc>
          <w:tcPr>
            <w:tcW w:w="3290" w:type="dxa"/>
            <w:vAlign w:val="center"/>
          </w:tcPr>
          <w:p>
            <w:pPr>
              <w:keepNext w:val="0"/>
              <w:keepLines w:val="0"/>
              <w:pageBreakBefore w:val="0"/>
              <w:widowControl w:val="0"/>
              <w:kinsoku/>
              <w:wordWrap/>
              <w:overflowPunct/>
              <w:autoSpaceDN/>
              <w:bidi w:val="0"/>
              <w:adjustRightInd/>
              <w:snapToGrid/>
              <w:spacing w:line="360" w:lineRule="exact"/>
              <w:ind w:firstLine="0" w:firstLineChars="0"/>
              <w:rPr>
                <w:rFonts w:hint="default" w:ascii="Arial" w:hAnsi="Arial" w:eastAsia="宋体" w:cs="Arial"/>
                <w:color w:val="auto"/>
                <w:kern w:val="2"/>
                <w:sz w:val="21"/>
                <w:szCs w:val="21"/>
                <w:highlight w:val="none"/>
                <w:lang w:val="zh-CN" w:eastAsia="zh-CN" w:bidi="ar-SA"/>
              </w:rPr>
            </w:pPr>
            <w:r>
              <w:rPr>
                <w:rFonts w:hint="default" w:ascii="Arial" w:hAnsi="Arial" w:eastAsia="宋体" w:cs="Arial"/>
                <w:color w:val="auto"/>
                <w:kern w:val="2"/>
                <w:sz w:val="21"/>
                <w:szCs w:val="21"/>
                <w:highlight w:val="none"/>
                <w:lang w:val="en-US" w:eastAsia="zh-CN" w:bidi="ar-SA"/>
              </w:rPr>
              <w:t>E107°40′31.83″，N40°56′34.1″</w:t>
            </w:r>
          </w:p>
        </w:tc>
        <w:tc>
          <w:tcPr>
            <w:tcW w:w="1104" w:type="dxa"/>
            <w:vAlign w:val="center"/>
          </w:tcPr>
          <w:p>
            <w:pPr>
              <w:pStyle w:val="63"/>
              <w:keepNext w:val="0"/>
              <w:keepLines w:val="0"/>
              <w:pageBreakBefore w:val="0"/>
              <w:widowControl w:val="0"/>
              <w:kinsoku/>
              <w:wordWrap/>
              <w:overflowPunct/>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lang w:val="en-US" w:eastAsia="zh-CN"/>
              </w:rPr>
              <w:t>灌溉水井</w:t>
            </w:r>
          </w:p>
        </w:tc>
        <w:tc>
          <w:tcPr>
            <w:tcW w:w="1324"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水位</w:t>
            </w:r>
          </w:p>
        </w:tc>
      </w:tr>
    </w:tbl>
    <w:p>
      <w:pPr>
        <w:pStyle w:val="7"/>
        <w:pageBreakBefore w:val="0"/>
        <w:widowControl w:val="0"/>
        <w:kinsoku/>
        <w:wordWrap/>
        <w:overflowPunct/>
        <w:topLinePunct/>
        <w:autoSpaceDE w:val="0"/>
        <w:autoSpaceDN/>
        <w:bidi w:val="0"/>
        <w:adjustRightInd/>
        <w:snapToGrid/>
        <w:textAlignment w:val="auto"/>
        <w:rPr>
          <w:rFonts w:hint="default" w:ascii="Arial" w:hAnsi="Arial" w:eastAsia="宋体" w:cs="Arial"/>
          <w:color w:val="auto"/>
          <w:highlight w:val="none"/>
        </w:rPr>
      </w:pPr>
      <w:r>
        <w:rPr>
          <w:rFonts w:hint="default" w:ascii="Arial" w:hAnsi="Arial" w:eastAsia="宋体" w:cs="Arial"/>
          <w:color w:val="auto"/>
          <w:highlight w:val="none"/>
        </w:rPr>
        <w:t>4.2.2.2水质现状监测</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1、水质监测因子</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kern w:val="0"/>
          <w:szCs w:val="21"/>
          <w:highlight w:val="none"/>
        </w:rPr>
        <w:t>监测项目：Ka</w:t>
      </w:r>
      <w:r>
        <w:rPr>
          <w:rFonts w:hint="default" w:ascii="Arial" w:hAnsi="Arial" w:eastAsia="宋体" w:cs="Arial"/>
          <w:color w:val="auto"/>
          <w:kern w:val="0"/>
          <w:szCs w:val="21"/>
          <w:highlight w:val="none"/>
          <w:vertAlign w:val="superscript"/>
        </w:rPr>
        <w:t>+</w:t>
      </w:r>
      <w:r>
        <w:rPr>
          <w:rFonts w:hint="default" w:ascii="Arial" w:hAnsi="Arial" w:eastAsia="宋体" w:cs="Arial"/>
          <w:color w:val="auto"/>
          <w:kern w:val="0"/>
          <w:szCs w:val="21"/>
          <w:highlight w:val="none"/>
        </w:rPr>
        <w:t>、Na</w:t>
      </w:r>
      <w:r>
        <w:rPr>
          <w:rFonts w:hint="default" w:ascii="Arial" w:hAnsi="Arial" w:eastAsia="宋体" w:cs="Arial"/>
          <w:color w:val="auto"/>
          <w:kern w:val="0"/>
          <w:szCs w:val="21"/>
          <w:highlight w:val="none"/>
          <w:vertAlign w:val="superscript"/>
        </w:rPr>
        <w:t>+</w:t>
      </w:r>
      <w:r>
        <w:rPr>
          <w:rFonts w:hint="default" w:ascii="Arial" w:hAnsi="Arial" w:eastAsia="宋体" w:cs="Arial"/>
          <w:color w:val="auto"/>
          <w:kern w:val="0"/>
          <w:szCs w:val="21"/>
          <w:highlight w:val="none"/>
        </w:rPr>
        <w:t>、Ca</w:t>
      </w:r>
      <w:r>
        <w:rPr>
          <w:rFonts w:hint="default" w:ascii="Arial" w:hAnsi="Arial" w:eastAsia="宋体" w:cs="Arial"/>
          <w:color w:val="auto"/>
          <w:kern w:val="0"/>
          <w:szCs w:val="21"/>
          <w:highlight w:val="none"/>
          <w:vertAlign w:val="superscript"/>
        </w:rPr>
        <w:t>2+</w:t>
      </w:r>
      <w:r>
        <w:rPr>
          <w:rFonts w:hint="default" w:ascii="Arial" w:hAnsi="Arial" w:eastAsia="宋体" w:cs="Arial"/>
          <w:color w:val="auto"/>
          <w:kern w:val="0"/>
          <w:szCs w:val="21"/>
          <w:highlight w:val="none"/>
        </w:rPr>
        <w:t>、Mg</w:t>
      </w:r>
      <w:r>
        <w:rPr>
          <w:rFonts w:hint="default" w:ascii="Arial" w:hAnsi="Arial" w:eastAsia="宋体" w:cs="Arial"/>
          <w:color w:val="auto"/>
          <w:kern w:val="0"/>
          <w:szCs w:val="21"/>
          <w:highlight w:val="none"/>
          <w:vertAlign w:val="superscript"/>
        </w:rPr>
        <w:t>2+</w:t>
      </w:r>
      <w:r>
        <w:rPr>
          <w:rFonts w:hint="default" w:ascii="Arial" w:hAnsi="Arial" w:eastAsia="宋体" w:cs="Arial"/>
          <w:color w:val="auto"/>
          <w:kern w:val="0"/>
          <w:szCs w:val="21"/>
          <w:highlight w:val="none"/>
        </w:rPr>
        <w:t>、CO</w:t>
      </w:r>
      <w:r>
        <w:rPr>
          <w:rFonts w:hint="default" w:ascii="Arial" w:hAnsi="Arial" w:eastAsia="宋体" w:cs="Arial"/>
          <w:color w:val="auto"/>
          <w:kern w:val="0"/>
          <w:szCs w:val="21"/>
          <w:highlight w:val="none"/>
          <w:vertAlign w:val="subscript"/>
        </w:rPr>
        <w:t>3</w:t>
      </w:r>
      <w:r>
        <w:rPr>
          <w:rFonts w:hint="default" w:ascii="Arial" w:hAnsi="Arial" w:eastAsia="宋体" w:cs="Arial"/>
          <w:color w:val="auto"/>
          <w:kern w:val="0"/>
          <w:szCs w:val="21"/>
          <w:highlight w:val="none"/>
          <w:vertAlign w:val="superscript"/>
        </w:rPr>
        <w:t>2-</w:t>
      </w:r>
      <w:r>
        <w:rPr>
          <w:rFonts w:hint="default" w:ascii="Arial" w:hAnsi="Arial" w:eastAsia="宋体" w:cs="Arial"/>
          <w:color w:val="auto"/>
          <w:kern w:val="0"/>
          <w:szCs w:val="21"/>
          <w:highlight w:val="none"/>
        </w:rPr>
        <w:t>、HCO</w:t>
      </w:r>
      <w:r>
        <w:rPr>
          <w:rFonts w:hint="default" w:ascii="Arial" w:hAnsi="Arial" w:eastAsia="宋体" w:cs="Arial"/>
          <w:color w:val="auto"/>
          <w:kern w:val="0"/>
          <w:szCs w:val="21"/>
          <w:highlight w:val="none"/>
          <w:vertAlign w:val="subscript"/>
        </w:rPr>
        <w:t>3</w:t>
      </w:r>
      <w:r>
        <w:rPr>
          <w:rFonts w:hint="default" w:ascii="Arial" w:hAnsi="Arial" w:eastAsia="宋体" w:cs="Arial"/>
          <w:color w:val="auto"/>
          <w:kern w:val="0"/>
          <w:szCs w:val="21"/>
          <w:highlight w:val="none"/>
          <w:vertAlign w:val="superscript"/>
        </w:rPr>
        <w:t>-</w:t>
      </w:r>
      <w:r>
        <w:rPr>
          <w:rFonts w:hint="default" w:ascii="Arial" w:hAnsi="Arial" w:eastAsia="宋体" w:cs="Arial"/>
          <w:color w:val="auto"/>
          <w:kern w:val="0"/>
          <w:szCs w:val="21"/>
          <w:highlight w:val="none"/>
        </w:rPr>
        <w:t>、Cl</w:t>
      </w:r>
      <w:r>
        <w:rPr>
          <w:rFonts w:hint="default" w:ascii="Arial" w:hAnsi="Arial" w:eastAsia="宋体" w:cs="Arial"/>
          <w:color w:val="auto"/>
          <w:kern w:val="0"/>
          <w:szCs w:val="21"/>
          <w:highlight w:val="none"/>
          <w:vertAlign w:val="superscript"/>
        </w:rPr>
        <w:t>-</w:t>
      </w:r>
      <w:r>
        <w:rPr>
          <w:rFonts w:hint="default" w:ascii="Arial" w:hAnsi="Arial" w:eastAsia="宋体" w:cs="Arial"/>
          <w:color w:val="auto"/>
          <w:kern w:val="0"/>
          <w:szCs w:val="21"/>
          <w:highlight w:val="none"/>
        </w:rPr>
        <w:t>、SO</w:t>
      </w:r>
      <w:r>
        <w:rPr>
          <w:rFonts w:hint="default" w:ascii="Arial" w:hAnsi="Arial" w:eastAsia="宋体" w:cs="Arial"/>
          <w:color w:val="auto"/>
          <w:kern w:val="0"/>
          <w:szCs w:val="21"/>
          <w:highlight w:val="none"/>
          <w:vertAlign w:val="subscript"/>
        </w:rPr>
        <w:t>4</w:t>
      </w:r>
      <w:r>
        <w:rPr>
          <w:rFonts w:hint="default" w:ascii="Arial" w:hAnsi="Arial" w:eastAsia="宋体" w:cs="Arial"/>
          <w:color w:val="auto"/>
          <w:kern w:val="0"/>
          <w:szCs w:val="21"/>
          <w:highlight w:val="none"/>
          <w:vertAlign w:val="superscript"/>
        </w:rPr>
        <w:t>2-</w:t>
      </w:r>
      <w:r>
        <w:rPr>
          <w:rFonts w:hint="default" w:ascii="Arial" w:hAnsi="Arial" w:eastAsia="宋体" w:cs="Arial"/>
          <w:color w:val="auto"/>
          <w:kern w:val="0"/>
          <w:szCs w:val="21"/>
          <w:highlight w:val="none"/>
        </w:rPr>
        <w:t>；pH、总硬度、耗氧量、硫酸盐、氯化物、硝酸盐、氨氮、亚硝酸盐、挥发性酚类、氰化物、氟、溶解性总固体、六价铬、砷、汞、铅、镉、铁、锰、</w:t>
      </w:r>
      <w:r>
        <w:rPr>
          <w:rFonts w:hint="default" w:ascii="Arial" w:hAnsi="Arial" w:eastAsia="宋体" w:cs="Arial"/>
          <w:color w:val="auto"/>
          <w:kern w:val="0"/>
          <w:szCs w:val="21"/>
          <w:highlight w:val="none"/>
          <w:lang w:eastAsia="zh-CN"/>
        </w:rPr>
        <w:t>菌落总数</w:t>
      </w:r>
      <w:r>
        <w:rPr>
          <w:rFonts w:hint="default" w:ascii="Arial" w:hAnsi="Arial" w:eastAsia="宋体" w:cs="Arial"/>
          <w:color w:val="auto"/>
          <w:kern w:val="0"/>
          <w:szCs w:val="21"/>
          <w:highlight w:val="none"/>
        </w:rPr>
        <w:t>、总大肠菌群。</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bookmarkStart w:id="298" w:name="_Toc386049604"/>
      <w:bookmarkStart w:id="299" w:name="_Toc436308534"/>
      <w:bookmarkStart w:id="300" w:name="_Toc346129902"/>
      <w:bookmarkStart w:id="301" w:name="_Toc439163209"/>
      <w:bookmarkStart w:id="302" w:name="_Toc346615958"/>
      <w:bookmarkStart w:id="303" w:name="_Toc346129691"/>
      <w:bookmarkStart w:id="304" w:name="_Toc439163832"/>
      <w:r>
        <w:rPr>
          <w:rFonts w:hint="default" w:ascii="Arial" w:hAnsi="Arial" w:eastAsia="宋体" w:cs="Arial"/>
          <w:color w:val="auto"/>
          <w:highlight w:val="none"/>
        </w:rPr>
        <w:t>2、</w:t>
      </w:r>
      <w:r>
        <w:rPr>
          <w:rFonts w:hint="default" w:ascii="Arial" w:hAnsi="Arial" w:eastAsia="宋体" w:cs="Arial"/>
          <w:color w:val="auto"/>
          <w:highlight w:val="none"/>
          <w:lang w:eastAsia="zh-CN"/>
        </w:rPr>
        <w:t>采样</w:t>
      </w:r>
      <w:r>
        <w:rPr>
          <w:rFonts w:hint="default" w:ascii="Arial" w:hAnsi="Arial" w:eastAsia="宋体" w:cs="Arial"/>
          <w:color w:val="auto"/>
          <w:highlight w:val="none"/>
        </w:rPr>
        <w:t>时间及频次</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lang w:eastAsia="zh-CN"/>
        </w:rPr>
        <w:t>采样</w:t>
      </w:r>
      <w:r>
        <w:rPr>
          <w:rFonts w:hint="default" w:ascii="Arial" w:hAnsi="Arial" w:eastAsia="宋体" w:cs="Arial"/>
          <w:color w:val="auto"/>
          <w:highlight w:val="none"/>
        </w:rPr>
        <w:t>时间为20</w:t>
      </w:r>
      <w:r>
        <w:rPr>
          <w:rFonts w:hint="default" w:ascii="Arial" w:hAnsi="Arial" w:eastAsia="宋体" w:cs="Arial"/>
          <w:color w:val="auto"/>
          <w:highlight w:val="none"/>
          <w:lang w:val="en-US" w:eastAsia="zh-CN"/>
        </w:rPr>
        <w:t>22</w:t>
      </w:r>
      <w:r>
        <w:rPr>
          <w:rFonts w:hint="default" w:ascii="Arial" w:hAnsi="Arial" w:eastAsia="宋体" w:cs="Arial"/>
          <w:color w:val="auto"/>
          <w:highlight w:val="none"/>
        </w:rPr>
        <w:t>年</w:t>
      </w:r>
      <w:r>
        <w:rPr>
          <w:rFonts w:hint="default" w:ascii="Arial" w:hAnsi="Arial" w:eastAsia="宋体" w:cs="Arial"/>
          <w:color w:val="auto"/>
          <w:highlight w:val="none"/>
          <w:lang w:val="en-US" w:eastAsia="zh-CN"/>
        </w:rPr>
        <w:t>1</w:t>
      </w:r>
      <w:r>
        <w:rPr>
          <w:rFonts w:hint="default" w:ascii="Arial" w:hAnsi="Arial" w:eastAsia="宋体" w:cs="Arial"/>
          <w:color w:val="auto"/>
          <w:highlight w:val="none"/>
        </w:rPr>
        <w:t>月</w:t>
      </w:r>
      <w:r>
        <w:rPr>
          <w:rFonts w:hint="default" w:ascii="Arial" w:hAnsi="Arial" w:eastAsia="宋体" w:cs="Arial"/>
          <w:color w:val="auto"/>
          <w:highlight w:val="none"/>
          <w:lang w:val="en-US" w:eastAsia="zh-CN"/>
        </w:rPr>
        <w:t>5</w:t>
      </w:r>
      <w:r>
        <w:rPr>
          <w:rFonts w:hint="default" w:ascii="Arial" w:hAnsi="Arial" w:eastAsia="宋体" w:cs="Arial"/>
          <w:color w:val="auto"/>
          <w:highlight w:val="none"/>
        </w:rPr>
        <w:t>日</w:t>
      </w:r>
      <w:r>
        <w:rPr>
          <w:rFonts w:hint="default" w:ascii="Arial" w:hAnsi="Arial" w:eastAsia="宋体" w:cs="Arial"/>
          <w:color w:val="auto"/>
          <w:highlight w:val="none"/>
          <w:lang w:val="en-US" w:eastAsia="zh-CN"/>
        </w:rPr>
        <w:t>~1月6日</w:t>
      </w:r>
      <w:r>
        <w:rPr>
          <w:rFonts w:hint="default" w:ascii="Arial" w:hAnsi="Arial" w:eastAsia="宋体" w:cs="Arial"/>
          <w:color w:val="auto"/>
          <w:highlight w:val="none"/>
        </w:rPr>
        <w:t>，</w:t>
      </w:r>
      <w:r>
        <w:rPr>
          <w:rFonts w:hint="default" w:ascii="Arial" w:hAnsi="Arial" w:eastAsia="宋体" w:cs="Arial"/>
          <w:color w:val="auto"/>
          <w:highlight w:val="none"/>
          <w:lang w:eastAsia="zh-CN"/>
        </w:rPr>
        <w:t>采样</w:t>
      </w:r>
      <w:r>
        <w:rPr>
          <w:rFonts w:hint="default" w:ascii="Arial" w:hAnsi="Arial" w:eastAsia="宋体" w:cs="Arial"/>
          <w:color w:val="auto"/>
          <w:highlight w:val="none"/>
          <w:lang w:val="en-US" w:eastAsia="zh-CN"/>
        </w:rPr>
        <w:t>2</w:t>
      </w:r>
      <w:r>
        <w:rPr>
          <w:rFonts w:hint="default" w:ascii="Arial" w:hAnsi="Arial" w:eastAsia="宋体" w:cs="Arial"/>
          <w:color w:val="auto"/>
          <w:highlight w:val="none"/>
        </w:rPr>
        <w:t>次。</w:t>
      </w:r>
    </w:p>
    <w:bookmarkEnd w:id="298"/>
    <w:bookmarkEnd w:id="299"/>
    <w:bookmarkEnd w:id="300"/>
    <w:bookmarkEnd w:id="301"/>
    <w:bookmarkEnd w:id="302"/>
    <w:bookmarkEnd w:id="303"/>
    <w:bookmarkEnd w:id="304"/>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3、监测分析方法</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lang w:val="zh-CN"/>
        </w:rPr>
      </w:pPr>
      <w:r>
        <w:rPr>
          <w:rFonts w:hint="default" w:ascii="Arial" w:hAnsi="Arial" w:eastAsia="宋体" w:cs="Arial"/>
          <w:color w:val="auto"/>
          <w:highlight w:val="none"/>
        </w:rPr>
        <w:t>样品的采集、保存及分析均按照相关的标准及规范进行，各水质监测项目的分析方法见下表</w:t>
      </w:r>
      <w:r>
        <w:rPr>
          <w:rFonts w:hint="default" w:ascii="Arial" w:hAnsi="Arial" w:eastAsia="宋体" w:cs="Arial"/>
          <w:color w:val="auto"/>
          <w:highlight w:val="none"/>
          <w:lang w:val="zh-CN"/>
        </w:rPr>
        <w:t>。</w:t>
      </w:r>
    </w:p>
    <w:p>
      <w:pPr>
        <w:pStyle w:val="8"/>
        <w:pageBreakBefore w:val="0"/>
        <w:widowControl w:val="0"/>
        <w:kinsoku/>
        <w:wordWrap/>
        <w:overflowPunct/>
        <w:topLinePunct/>
        <w:autoSpaceDE w:val="0"/>
        <w:autoSpaceDN/>
        <w:bidi w:val="0"/>
        <w:adjustRightInd/>
        <w:snapToGrid/>
        <w:textAlignment w:val="auto"/>
        <w:rPr>
          <w:rFonts w:hint="default" w:ascii="Arial" w:hAnsi="Arial" w:eastAsia="宋体" w:cs="Arial"/>
          <w:color w:val="auto"/>
        </w:rPr>
      </w:pPr>
      <w:r>
        <w:rPr>
          <w:rFonts w:hint="default" w:ascii="Arial" w:hAnsi="Arial" w:eastAsia="宋体" w:cs="Arial"/>
          <w:color w:val="auto"/>
          <w:highlight w:val="none"/>
        </w:rPr>
        <w:t>表4.2-7    地下水监测分析方法及依据</w:t>
      </w:r>
    </w:p>
    <w:tbl>
      <w:tblPr>
        <w:tblStyle w:val="39"/>
        <w:tblW w:w="9003" w:type="dxa"/>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38"/>
        <w:gridCol w:w="1008"/>
        <w:gridCol w:w="3588"/>
        <w:gridCol w:w="890"/>
        <w:gridCol w:w="1503"/>
        <w:gridCol w:w="1376"/>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638"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r>
              <w:rPr>
                <w:rFonts w:hint="default" w:ascii="Arial" w:hAnsi="Arial" w:eastAsia="宋体" w:cs="Arial"/>
                <w:color w:val="auto"/>
                <w:sz w:val="21"/>
                <w:szCs w:val="21"/>
              </w:rPr>
              <w:t>序号</w:t>
            </w:r>
          </w:p>
        </w:tc>
        <w:tc>
          <w:tcPr>
            <w:tcW w:w="1008"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r>
              <w:rPr>
                <w:rFonts w:hint="default" w:ascii="Arial" w:hAnsi="Arial" w:eastAsia="宋体" w:cs="Arial"/>
                <w:color w:val="auto"/>
                <w:sz w:val="21"/>
                <w:szCs w:val="21"/>
              </w:rPr>
              <w:t>检测项目</w:t>
            </w:r>
          </w:p>
        </w:tc>
        <w:tc>
          <w:tcPr>
            <w:tcW w:w="3588"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r>
              <w:rPr>
                <w:rFonts w:hint="default" w:ascii="Arial" w:hAnsi="Arial" w:eastAsia="宋体" w:cs="Arial"/>
                <w:color w:val="auto"/>
                <w:sz w:val="21"/>
                <w:szCs w:val="21"/>
              </w:rPr>
              <w:t>方法名称及来源</w:t>
            </w:r>
          </w:p>
        </w:tc>
        <w:tc>
          <w:tcPr>
            <w:tcW w:w="890"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r>
              <w:rPr>
                <w:rFonts w:hint="default" w:ascii="Arial" w:hAnsi="Arial" w:eastAsia="宋体" w:cs="Arial"/>
                <w:color w:val="auto"/>
                <w:sz w:val="21"/>
                <w:szCs w:val="21"/>
              </w:rPr>
              <w:t>检出限</w:t>
            </w:r>
          </w:p>
        </w:tc>
        <w:tc>
          <w:tcPr>
            <w:tcW w:w="1503"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r>
              <w:rPr>
                <w:rFonts w:hint="default" w:ascii="Arial" w:hAnsi="Arial" w:eastAsia="宋体" w:cs="Arial"/>
                <w:color w:val="auto"/>
                <w:sz w:val="21"/>
                <w:szCs w:val="21"/>
              </w:rPr>
              <w:t>仪器设备名称/型号</w:t>
            </w:r>
          </w:p>
        </w:tc>
        <w:tc>
          <w:tcPr>
            <w:tcW w:w="1376"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r>
              <w:rPr>
                <w:rFonts w:hint="default" w:ascii="Arial" w:hAnsi="Arial" w:eastAsia="宋体" w:cs="Arial"/>
                <w:color w:val="auto"/>
                <w:sz w:val="21"/>
                <w:szCs w:val="21"/>
              </w:rPr>
              <w:t>仪器管理编号</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638"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r>
              <w:rPr>
                <w:rFonts w:hint="default" w:ascii="Arial" w:hAnsi="Arial" w:eastAsia="宋体" w:cs="Arial"/>
                <w:color w:val="auto"/>
                <w:sz w:val="21"/>
                <w:szCs w:val="21"/>
              </w:rPr>
              <w:t>1</w:t>
            </w:r>
          </w:p>
        </w:tc>
        <w:tc>
          <w:tcPr>
            <w:tcW w:w="1008"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pH</w:t>
            </w:r>
          </w:p>
        </w:tc>
        <w:tc>
          <w:tcPr>
            <w:tcW w:w="3588"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r>
              <w:rPr>
                <w:rFonts w:hint="default" w:ascii="Arial" w:hAnsi="Arial" w:eastAsia="宋体" w:cs="Arial"/>
                <w:color w:val="auto"/>
                <w:sz w:val="21"/>
                <w:szCs w:val="21"/>
              </w:rPr>
              <w:t>《水质 pH值的测定 电极法》</w:t>
            </w:r>
          </w:p>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（HJ 1147-2020）</w:t>
            </w:r>
          </w:p>
        </w:tc>
        <w:tc>
          <w:tcPr>
            <w:tcW w:w="890"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p>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w:t>
            </w:r>
          </w:p>
        </w:tc>
        <w:tc>
          <w:tcPr>
            <w:tcW w:w="1503"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便携式酸度计/AL5534</w:t>
            </w:r>
          </w:p>
        </w:tc>
        <w:tc>
          <w:tcPr>
            <w:tcW w:w="1376"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HZD-023-</w:t>
            </w:r>
            <w:r>
              <w:rPr>
                <w:rFonts w:hint="default" w:ascii="Arial" w:hAnsi="Arial" w:eastAsia="宋体" w:cs="Arial"/>
                <w:color w:val="auto"/>
                <w:sz w:val="21"/>
                <w:szCs w:val="21"/>
                <w:lang w:val="en-US" w:eastAsia="zh-CN"/>
              </w:rPr>
              <w:t>G</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638"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2</w:t>
            </w:r>
          </w:p>
        </w:tc>
        <w:tc>
          <w:tcPr>
            <w:tcW w:w="1008"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可溶性阳离子K</w:t>
            </w:r>
            <w:r>
              <w:rPr>
                <w:rFonts w:hint="default" w:ascii="Arial" w:hAnsi="Arial" w:eastAsia="宋体" w:cs="Arial"/>
                <w:color w:val="auto"/>
                <w:sz w:val="21"/>
                <w:szCs w:val="21"/>
                <w:vertAlign w:val="superscript"/>
              </w:rPr>
              <w:t>+</w:t>
            </w:r>
          </w:p>
        </w:tc>
        <w:tc>
          <w:tcPr>
            <w:tcW w:w="3588"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《水质可溶性阳离子（Li</w:t>
            </w:r>
            <w:r>
              <w:rPr>
                <w:rFonts w:hint="default" w:ascii="Arial" w:hAnsi="Arial" w:eastAsia="宋体" w:cs="Arial"/>
                <w:color w:val="auto"/>
                <w:sz w:val="21"/>
                <w:szCs w:val="21"/>
                <w:vertAlign w:val="superscript"/>
              </w:rPr>
              <w:t>+</w:t>
            </w:r>
            <w:r>
              <w:rPr>
                <w:rFonts w:hint="default" w:ascii="Arial" w:hAnsi="Arial" w:eastAsia="宋体" w:cs="Arial"/>
                <w:color w:val="auto"/>
                <w:sz w:val="21"/>
                <w:szCs w:val="21"/>
              </w:rPr>
              <w:t>、Na</w:t>
            </w:r>
            <w:r>
              <w:rPr>
                <w:rFonts w:hint="default" w:ascii="Arial" w:hAnsi="Arial" w:eastAsia="宋体" w:cs="Arial"/>
                <w:color w:val="auto"/>
                <w:sz w:val="21"/>
                <w:szCs w:val="21"/>
                <w:vertAlign w:val="superscript"/>
              </w:rPr>
              <w:t>+</w:t>
            </w:r>
            <w:r>
              <w:rPr>
                <w:rFonts w:hint="default" w:ascii="Arial" w:hAnsi="Arial" w:eastAsia="宋体" w:cs="Arial"/>
                <w:color w:val="auto"/>
                <w:sz w:val="21"/>
                <w:szCs w:val="21"/>
              </w:rPr>
              <w:t>、NH</w:t>
            </w:r>
            <w:r>
              <w:rPr>
                <w:rFonts w:hint="default" w:ascii="Arial" w:hAnsi="Arial" w:eastAsia="宋体" w:cs="Arial"/>
                <w:color w:val="auto"/>
                <w:sz w:val="21"/>
                <w:szCs w:val="21"/>
                <w:vertAlign w:val="subscript"/>
              </w:rPr>
              <w:t>4</w:t>
            </w:r>
            <w:r>
              <w:rPr>
                <w:rFonts w:hint="default" w:ascii="Arial" w:hAnsi="Arial" w:eastAsia="宋体" w:cs="Arial"/>
                <w:color w:val="auto"/>
                <w:sz w:val="21"/>
                <w:szCs w:val="21"/>
                <w:vertAlign w:val="superscript"/>
              </w:rPr>
              <w:t>+</w:t>
            </w:r>
            <w:r>
              <w:rPr>
                <w:rFonts w:hint="default" w:ascii="Arial" w:hAnsi="Arial" w:eastAsia="宋体" w:cs="Arial"/>
                <w:color w:val="auto"/>
                <w:sz w:val="21"/>
                <w:szCs w:val="21"/>
              </w:rPr>
              <w:t>、K</w:t>
            </w:r>
            <w:r>
              <w:rPr>
                <w:rFonts w:hint="default" w:ascii="Arial" w:hAnsi="Arial" w:eastAsia="宋体" w:cs="Arial"/>
                <w:color w:val="auto"/>
                <w:sz w:val="21"/>
                <w:szCs w:val="21"/>
                <w:vertAlign w:val="superscript"/>
              </w:rPr>
              <w:t>+</w:t>
            </w:r>
            <w:r>
              <w:rPr>
                <w:rFonts w:hint="default" w:ascii="Arial" w:hAnsi="Arial" w:eastAsia="宋体" w:cs="Arial"/>
                <w:color w:val="auto"/>
                <w:sz w:val="21"/>
                <w:szCs w:val="21"/>
              </w:rPr>
              <w:t>、Ca</w:t>
            </w:r>
            <w:r>
              <w:rPr>
                <w:rFonts w:hint="default" w:ascii="Arial" w:hAnsi="Arial" w:eastAsia="宋体" w:cs="Arial"/>
                <w:color w:val="auto"/>
                <w:sz w:val="21"/>
                <w:szCs w:val="21"/>
                <w:vertAlign w:val="superscript"/>
              </w:rPr>
              <w:t>2+</w:t>
            </w:r>
            <w:r>
              <w:rPr>
                <w:rFonts w:hint="default" w:ascii="Arial" w:hAnsi="Arial" w:eastAsia="宋体" w:cs="Arial"/>
                <w:color w:val="auto"/>
                <w:sz w:val="21"/>
                <w:szCs w:val="21"/>
              </w:rPr>
              <w:t>、Mg</w:t>
            </w:r>
            <w:r>
              <w:rPr>
                <w:rFonts w:hint="default" w:ascii="Arial" w:hAnsi="Arial" w:eastAsia="宋体" w:cs="Arial"/>
                <w:color w:val="auto"/>
                <w:sz w:val="21"/>
                <w:szCs w:val="21"/>
                <w:vertAlign w:val="superscript"/>
              </w:rPr>
              <w:t>2+</w:t>
            </w:r>
            <w:r>
              <w:rPr>
                <w:rFonts w:hint="default" w:ascii="Arial" w:hAnsi="Arial" w:eastAsia="宋体" w:cs="Arial"/>
                <w:color w:val="auto"/>
                <w:sz w:val="21"/>
                <w:szCs w:val="21"/>
              </w:rPr>
              <w:t>）的测定离子色谱法》（HJ812-2016）</w:t>
            </w:r>
          </w:p>
        </w:tc>
        <w:tc>
          <w:tcPr>
            <w:tcW w:w="890"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r>
              <w:rPr>
                <w:rFonts w:hint="default" w:ascii="Arial" w:hAnsi="Arial" w:eastAsia="宋体" w:cs="Arial"/>
                <w:color w:val="auto"/>
                <w:sz w:val="21"/>
                <w:szCs w:val="21"/>
              </w:rPr>
              <w:t>0.02</w:t>
            </w:r>
          </w:p>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mg/L</w:t>
            </w:r>
          </w:p>
        </w:tc>
        <w:tc>
          <w:tcPr>
            <w:tcW w:w="1503"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离子色谱仪/ISC-600</w:t>
            </w:r>
          </w:p>
        </w:tc>
        <w:tc>
          <w:tcPr>
            <w:tcW w:w="1376"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HZD-001-A</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638"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3</w:t>
            </w:r>
          </w:p>
        </w:tc>
        <w:tc>
          <w:tcPr>
            <w:tcW w:w="1008"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可溶性阳离子Na</w:t>
            </w:r>
            <w:r>
              <w:rPr>
                <w:rFonts w:hint="default" w:ascii="Arial" w:hAnsi="Arial" w:eastAsia="宋体" w:cs="Arial"/>
                <w:color w:val="auto"/>
                <w:sz w:val="21"/>
                <w:szCs w:val="21"/>
                <w:vertAlign w:val="superscript"/>
              </w:rPr>
              <w:t>+</w:t>
            </w:r>
          </w:p>
        </w:tc>
        <w:tc>
          <w:tcPr>
            <w:tcW w:w="3588"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《水质可溶性阳离子（Li</w:t>
            </w:r>
            <w:r>
              <w:rPr>
                <w:rFonts w:hint="default" w:ascii="Arial" w:hAnsi="Arial" w:eastAsia="宋体" w:cs="Arial"/>
                <w:color w:val="auto"/>
                <w:sz w:val="21"/>
                <w:szCs w:val="21"/>
                <w:vertAlign w:val="superscript"/>
              </w:rPr>
              <w:t>+</w:t>
            </w:r>
            <w:r>
              <w:rPr>
                <w:rFonts w:hint="default" w:ascii="Arial" w:hAnsi="Arial" w:eastAsia="宋体" w:cs="Arial"/>
                <w:color w:val="auto"/>
                <w:sz w:val="21"/>
                <w:szCs w:val="21"/>
              </w:rPr>
              <w:t>、Na</w:t>
            </w:r>
            <w:r>
              <w:rPr>
                <w:rFonts w:hint="default" w:ascii="Arial" w:hAnsi="Arial" w:eastAsia="宋体" w:cs="Arial"/>
                <w:color w:val="auto"/>
                <w:sz w:val="21"/>
                <w:szCs w:val="21"/>
                <w:vertAlign w:val="superscript"/>
              </w:rPr>
              <w:t>+</w:t>
            </w:r>
            <w:r>
              <w:rPr>
                <w:rFonts w:hint="default" w:ascii="Arial" w:hAnsi="Arial" w:eastAsia="宋体" w:cs="Arial"/>
                <w:color w:val="auto"/>
                <w:sz w:val="21"/>
                <w:szCs w:val="21"/>
              </w:rPr>
              <w:t>、NH</w:t>
            </w:r>
            <w:r>
              <w:rPr>
                <w:rFonts w:hint="default" w:ascii="Arial" w:hAnsi="Arial" w:eastAsia="宋体" w:cs="Arial"/>
                <w:color w:val="auto"/>
                <w:sz w:val="21"/>
                <w:szCs w:val="21"/>
                <w:vertAlign w:val="subscript"/>
              </w:rPr>
              <w:t>4</w:t>
            </w:r>
            <w:r>
              <w:rPr>
                <w:rFonts w:hint="default" w:ascii="Arial" w:hAnsi="Arial" w:eastAsia="宋体" w:cs="Arial"/>
                <w:color w:val="auto"/>
                <w:sz w:val="21"/>
                <w:szCs w:val="21"/>
                <w:vertAlign w:val="superscript"/>
              </w:rPr>
              <w:t>+</w:t>
            </w:r>
            <w:r>
              <w:rPr>
                <w:rFonts w:hint="default" w:ascii="Arial" w:hAnsi="Arial" w:eastAsia="宋体" w:cs="Arial"/>
                <w:color w:val="auto"/>
                <w:sz w:val="21"/>
                <w:szCs w:val="21"/>
              </w:rPr>
              <w:t>、K</w:t>
            </w:r>
            <w:r>
              <w:rPr>
                <w:rFonts w:hint="default" w:ascii="Arial" w:hAnsi="Arial" w:eastAsia="宋体" w:cs="Arial"/>
                <w:color w:val="auto"/>
                <w:sz w:val="21"/>
                <w:szCs w:val="21"/>
                <w:vertAlign w:val="superscript"/>
              </w:rPr>
              <w:t>+</w:t>
            </w:r>
            <w:r>
              <w:rPr>
                <w:rFonts w:hint="default" w:ascii="Arial" w:hAnsi="Arial" w:eastAsia="宋体" w:cs="Arial"/>
                <w:color w:val="auto"/>
                <w:sz w:val="21"/>
                <w:szCs w:val="21"/>
              </w:rPr>
              <w:t>、Ca</w:t>
            </w:r>
            <w:r>
              <w:rPr>
                <w:rFonts w:hint="default" w:ascii="Arial" w:hAnsi="Arial" w:eastAsia="宋体" w:cs="Arial"/>
                <w:color w:val="auto"/>
                <w:sz w:val="21"/>
                <w:szCs w:val="21"/>
                <w:vertAlign w:val="superscript"/>
              </w:rPr>
              <w:t>2+</w:t>
            </w:r>
            <w:r>
              <w:rPr>
                <w:rFonts w:hint="default" w:ascii="Arial" w:hAnsi="Arial" w:eastAsia="宋体" w:cs="Arial"/>
                <w:color w:val="auto"/>
                <w:sz w:val="21"/>
                <w:szCs w:val="21"/>
              </w:rPr>
              <w:t>、Mg</w:t>
            </w:r>
            <w:r>
              <w:rPr>
                <w:rFonts w:hint="default" w:ascii="Arial" w:hAnsi="Arial" w:eastAsia="宋体" w:cs="Arial"/>
                <w:color w:val="auto"/>
                <w:sz w:val="21"/>
                <w:szCs w:val="21"/>
                <w:vertAlign w:val="superscript"/>
              </w:rPr>
              <w:t>2+</w:t>
            </w:r>
            <w:r>
              <w:rPr>
                <w:rFonts w:hint="default" w:ascii="Arial" w:hAnsi="Arial" w:eastAsia="宋体" w:cs="Arial"/>
                <w:color w:val="auto"/>
                <w:sz w:val="21"/>
                <w:szCs w:val="21"/>
              </w:rPr>
              <w:t>）的测定离子色谱法》（HJ812-2016）</w:t>
            </w:r>
          </w:p>
        </w:tc>
        <w:tc>
          <w:tcPr>
            <w:tcW w:w="890"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r>
              <w:rPr>
                <w:rFonts w:hint="default" w:ascii="Arial" w:hAnsi="Arial" w:eastAsia="宋体" w:cs="Arial"/>
                <w:color w:val="auto"/>
                <w:sz w:val="21"/>
                <w:szCs w:val="21"/>
              </w:rPr>
              <w:t>0.02</w:t>
            </w:r>
          </w:p>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mg/L</w:t>
            </w:r>
          </w:p>
        </w:tc>
        <w:tc>
          <w:tcPr>
            <w:tcW w:w="1503"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离子色谱仪/ISC-600</w:t>
            </w:r>
          </w:p>
        </w:tc>
        <w:tc>
          <w:tcPr>
            <w:tcW w:w="1376"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HZD-001-A</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638"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4</w:t>
            </w:r>
          </w:p>
        </w:tc>
        <w:tc>
          <w:tcPr>
            <w:tcW w:w="1008"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可溶性阳离子Ca</w:t>
            </w:r>
            <w:r>
              <w:rPr>
                <w:rFonts w:hint="default" w:ascii="Arial" w:hAnsi="Arial" w:eastAsia="宋体" w:cs="Arial"/>
                <w:color w:val="auto"/>
                <w:sz w:val="21"/>
                <w:szCs w:val="21"/>
                <w:vertAlign w:val="superscript"/>
              </w:rPr>
              <w:t>2+</w:t>
            </w:r>
          </w:p>
        </w:tc>
        <w:tc>
          <w:tcPr>
            <w:tcW w:w="3588"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《水质可溶性阳离子（Li</w:t>
            </w:r>
            <w:r>
              <w:rPr>
                <w:rFonts w:hint="default" w:ascii="Arial" w:hAnsi="Arial" w:eastAsia="宋体" w:cs="Arial"/>
                <w:color w:val="auto"/>
                <w:sz w:val="21"/>
                <w:szCs w:val="21"/>
                <w:vertAlign w:val="superscript"/>
              </w:rPr>
              <w:t>+</w:t>
            </w:r>
            <w:r>
              <w:rPr>
                <w:rFonts w:hint="default" w:ascii="Arial" w:hAnsi="Arial" w:eastAsia="宋体" w:cs="Arial"/>
                <w:color w:val="auto"/>
                <w:sz w:val="21"/>
                <w:szCs w:val="21"/>
              </w:rPr>
              <w:t>、Na</w:t>
            </w:r>
            <w:r>
              <w:rPr>
                <w:rFonts w:hint="default" w:ascii="Arial" w:hAnsi="Arial" w:eastAsia="宋体" w:cs="Arial"/>
                <w:color w:val="auto"/>
                <w:sz w:val="21"/>
                <w:szCs w:val="21"/>
                <w:vertAlign w:val="superscript"/>
              </w:rPr>
              <w:t>+</w:t>
            </w:r>
            <w:r>
              <w:rPr>
                <w:rFonts w:hint="default" w:ascii="Arial" w:hAnsi="Arial" w:eastAsia="宋体" w:cs="Arial"/>
                <w:color w:val="auto"/>
                <w:sz w:val="21"/>
                <w:szCs w:val="21"/>
              </w:rPr>
              <w:t>、NH</w:t>
            </w:r>
            <w:r>
              <w:rPr>
                <w:rFonts w:hint="default" w:ascii="Arial" w:hAnsi="Arial" w:eastAsia="宋体" w:cs="Arial"/>
                <w:color w:val="auto"/>
                <w:sz w:val="21"/>
                <w:szCs w:val="21"/>
                <w:vertAlign w:val="subscript"/>
              </w:rPr>
              <w:t>4</w:t>
            </w:r>
            <w:r>
              <w:rPr>
                <w:rFonts w:hint="default" w:ascii="Arial" w:hAnsi="Arial" w:eastAsia="宋体" w:cs="Arial"/>
                <w:color w:val="auto"/>
                <w:sz w:val="21"/>
                <w:szCs w:val="21"/>
                <w:vertAlign w:val="superscript"/>
              </w:rPr>
              <w:t>+</w:t>
            </w:r>
            <w:r>
              <w:rPr>
                <w:rFonts w:hint="default" w:ascii="Arial" w:hAnsi="Arial" w:eastAsia="宋体" w:cs="Arial"/>
                <w:color w:val="auto"/>
                <w:sz w:val="21"/>
                <w:szCs w:val="21"/>
              </w:rPr>
              <w:t>、K</w:t>
            </w:r>
            <w:r>
              <w:rPr>
                <w:rFonts w:hint="default" w:ascii="Arial" w:hAnsi="Arial" w:eastAsia="宋体" w:cs="Arial"/>
                <w:color w:val="auto"/>
                <w:sz w:val="21"/>
                <w:szCs w:val="21"/>
                <w:vertAlign w:val="superscript"/>
              </w:rPr>
              <w:t>+</w:t>
            </w:r>
            <w:r>
              <w:rPr>
                <w:rFonts w:hint="default" w:ascii="Arial" w:hAnsi="Arial" w:eastAsia="宋体" w:cs="Arial"/>
                <w:color w:val="auto"/>
                <w:sz w:val="21"/>
                <w:szCs w:val="21"/>
              </w:rPr>
              <w:t>、Ca</w:t>
            </w:r>
            <w:r>
              <w:rPr>
                <w:rFonts w:hint="default" w:ascii="Arial" w:hAnsi="Arial" w:eastAsia="宋体" w:cs="Arial"/>
                <w:color w:val="auto"/>
                <w:sz w:val="21"/>
                <w:szCs w:val="21"/>
                <w:vertAlign w:val="superscript"/>
              </w:rPr>
              <w:t>2+</w:t>
            </w:r>
            <w:r>
              <w:rPr>
                <w:rFonts w:hint="default" w:ascii="Arial" w:hAnsi="Arial" w:eastAsia="宋体" w:cs="Arial"/>
                <w:color w:val="auto"/>
                <w:sz w:val="21"/>
                <w:szCs w:val="21"/>
              </w:rPr>
              <w:t>、Mg</w:t>
            </w:r>
            <w:r>
              <w:rPr>
                <w:rFonts w:hint="default" w:ascii="Arial" w:hAnsi="Arial" w:eastAsia="宋体" w:cs="Arial"/>
                <w:color w:val="auto"/>
                <w:sz w:val="21"/>
                <w:szCs w:val="21"/>
                <w:vertAlign w:val="superscript"/>
              </w:rPr>
              <w:t>2+</w:t>
            </w:r>
            <w:r>
              <w:rPr>
                <w:rFonts w:hint="default" w:ascii="Arial" w:hAnsi="Arial" w:eastAsia="宋体" w:cs="Arial"/>
                <w:color w:val="auto"/>
                <w:sz w:val="21"/>
                <w:szCs w:val="21"/>
              </w:rPr>
              <w:t>）的测定离子色谱法》（HJ812-2016）</w:t>
            </w:r>
          </w:p>
        </w:tc>
        <w:tc>
          <w:tcPr>
            <w:tcW w:w="890"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r>
              <w:rPr>
                <w:rFonts w:hint="default" w:ascii="Arial" w:hAnsi="Arial" w:eastAsia="宋体" w:cs="Arial"/>
                <w:color w:val="auto"/>
                <w:sz w:val="21"/>
                <w:szCs w:val="21"/>
              </w:rPr>
              <w:t>0.03</w:t>
            </w:r>
          </w:p>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mg/L</w:t>
            </w:r>
          </w:p>
        </w:tc>
        <w:tc>
          <w:tcPr>
            <w:tcW w:w="1503"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离子色谱仪/ISC-600</w:t>
            </w:r>
          </w:p>
        </w:tc>
        <w:tc>
          <w:tcPr>
            <w:tcW w:w="1376"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HZD-001-A</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638"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5</w:t>
            </w:r>
          </w:p>
        </w:tc>
        <w:tc>
          <w:tcPr>
            <w:tcW w:w="1008"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可溶性阳离子Mg</w:t>
            </w:r>
            <w:r>
              <w:rPr>
                <w:rFonts w:hint="default" w:ascii="Arial" w:hAnsi="Arial" w:eastAsia="宋体" w:cs="Arial"/>
                <w:color w:val="auto"/>
                <w:sz w:val="21"/>
                <w:szCs w:val="21"/>
                <w:vertAlign w:val="superscript"/>
              </w:rPr>
              <w:t>2+</w:t>
            </w:r>
          </w:p>
        </w:tc>
        <w:tc>
          <w:tcPr>
            <w:tcW w:w="3588"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《水质可溶性阳离子（Li</w:t>
            </w:r>
            <w:r>
              <w:rPr>
                <w:rFonts w:hint="default" w:ascii="Arial" w:hAnsi="Arial" w:eastAsia="宋体" w:cs="Arial"/>
                <w:color w:val="auto"/>
                <w:sz w:val="21"/>
                <w:szCs w:val="21"/>
                <w:vertAlign w:val="superscript"/>
              </w:rPr>
              <w:t>+</w:t>
            </w:r>
            <w:r>
              <w:rPr>
                <w:rFonts w:hint="default" w:ascii="Arial" w:hAnsi="Arial" w:eastAsia="宋体" w:cs="Arial"/>
                <w:color w:val="auto"/>
                <w:sz w:val="21"/>
                <w:szCs w:val="21"/>
              </w:rPr>
              <w:t>、Na</w:t>
            </w:r>
            <w:r>
              <w:rPr>
                <w:rFonts w:hint="default" w:ascii="Arial" w:hAnsi="Arial" w:eastAsia="宋体" w:cs="Arial"/>
                <w:color w:val="auto"/>
                <w:sz w:val="21"/>
                <w:szCs w:val="21"/>
                <w:vertAlign w:val="superscript"/>
              </w:rPr>
              <w:t>+</w:t>
            </w:r>
            <w:r>
              <w:rPr>
                <w:rFonts w:hint="default" w:ascii="Arial" w:hAnsi="Arial" w:eastAsia="宋体" w:cs="Arial"/>
                <w:color w:val="auto"/>
                <w:sz w:val="21"/>
                <w:szCs w:val="21"/>
              </w:rPr>
              <w:t>、NH</w:t>
            </w:r>
            <w:r>
              <w:rPr>
                <w:rFonts w:hint="default" w:ascii="Arial" w:hAnsi="Arial" w:eastAsia="宋体" w:cs="Arial"/>
                <w:color w:val="auto"/>
                <w:sz w:val="21"/>
                <w:szCs w:val="21"/>
                <w:vertAlign w:val="subscript"/>
              </w:rPr>
              <w:t>4</w:t>
            </w:r>
            <w:r>
              <w:rPr>
                <w:rFonts w:hint="default" w:ascii="Arial" w:hAnsi="Arial" w:eastAsia="宋体" w:cs="Arial"/>
                <w:color w:val="auto"/>
                <w:sz w:val="21"/>
                <w:szCs w:val="21"/>
                <w:vertAlign w:val="superscript"/>
              </w:rPr>
              <w:t>+</w:t>
            </w:r>
            <w:r>
              <w:rPr>
                <w:rFonts w:hint="default" w:ascii="Arial" w:hAnsi="Arial" w:eastAsia="宋体" w:cs="Arial"/>
                <w:color w:val="auto"/>
                <w:sz w:val="21"/>
                <w:szCs w:val="21"/>
              </w:rPr>
              <w:t>、K</w:t>
            </w:r>
            <w:r>
              <w:rPr>
                <w:rFonts w:hint="default" w:ascii="Arial" w:hAnsi="Arial" w:eastAsia="宋体" w:cs="Arial"/>
                <w:color w:val="auto"/>
                <w:sz w:val="21"/>
                <w:szCs w:val="21"/>
                <w:vertAlign w:val="superscript"/>
              </w:rPr>
              <w:t>+</w:t>
            </w:r>
            <w:r>
              <w:rPr>
                <w:rFonts w:hint="default" w:ascii="Arial" w:hAnsi="Arial" w:eastAsia="宋体" w:cs="Arial"/>
                <w:color w:val="auto"/>
                <w:sz w:val="21"/>
                <w:szCs w:val="21"/>
              </w:rPr>
              <w:t>、Ca</w:t>
            </w:r>
            <w:r>
              <w:rPr>
                <w:rFonts w:hint="default" w:ascii="Arial" w:hAnsi="Arial" w:eastAsia="宋体" w:cs="Arial"/>
                <w:color w:val="auto"/>
                <w:sz w:val="21"/>
                <w:szCs w:val="21"/>
                <w:vertAlign w:val="superscript"/>
              </w:rPr>
              <w:t>2+</w:t>
            </w:r>
            <w:r>
              <w:rPr>
                <w:rFonts w:hint="default" w:ascii="Arial" w:hAnsi="Arial" w:eastAsia="宋体" w:cs="Arial"/>
                <w:color w:val="auto"/>
                <w:sz w:val="21"/>
                <w:szCs w:val="21"/>
              </w:rPr>
              <w:t>、Mg</w:t>
            </w:r>
            <w:r>
              <w:rPr>
                <w:rFonts w:hint="default" w:ascii="Arial" w:hAnsi="Arial" w:eastAsia="宋体" w:cs="Arial"/>
                <w:color w:val="auto"/>
                <w:sz w:val="21"/>
                <w:szCs w:val="21"/>
                <w:vertAlign w:val="superscript"/>
              </w:rPr>
              <w:t>2+</w:t>
            </w:r>
            <w:r>
              <w:rPr>
                <w:rFonts w:hint="default" w:ascii="Arial" w:hAnsi="Arial" w:eastAsia="宋体" w:cs="Arial"/>
                <w:color w:val="auto"/>
                <w:sz w:val="21"/>
                <w:szCs w:val="21"/>
              </w:rPr>
              <w:t>）的测定离子色谱法》（HJ812-2016）</w:t>
            </w:r>
          </w:p>
        </w:tc>
        <w:tc>
          <w:tcPr>
            <w:tcW w:w="890"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r>
              <w:rPr>
                <w:rFonts w:hint="default" w:ascii="Arial" w:hAnsi="Arial" w:eastAsia="宋体" w:cs="Arial"/>
                <w:color w:val="auto"/>
                <w:sz w:val="21"/>
                <w:szCs w:val="21"/>
              </w:rPr>
              <w:t>0.02</w:t>
            </w:r>
          </w:p>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mg/L</w:t>
            </w:r>
          </w:p>
        </w:tc>
        <w:tc>
          <w:tcPr>
            <w:tcW w:w="1503"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离子色谱仪/ISC-600</w:t>
            </w:r>
          </w:p>
        </w:tc>
        <w:tc>
          <w:tcPr>
            <w:tcW w:w="1376"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HZD-001-A</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638"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6</w:t>
            </w:r>
          </w:p>
        </w:tc>
        <w:tc>
          <w:tcPr>
            <w:tcW w:w="1008"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重碳酸盐</w:t>
            </w:r>
          </w:p>
        </w:tc>
        <w:tc>
          <w:tcPr>
            <w:tcW w:w="3588"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《水和废水检测分析方法（第四版）国家环境保护总局》（2002年） 第三篇 第一章 十二、碱度 （一）酸碱指示剂滴定法（B）</w:t>
            </w:r>
          </w:p>
        </w:tc>
        <w:tc>
          <w:tcPr>
            <w:tcW w:w="890"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w:t>
            </w:r>
          </w:p>
        </w:tc>
        <w:tc>
          <w:tcPr>
            <w:tcW w:w="1503"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滴定管</w:t>
            </w:r>
          </w:p>
        </w:tc>
        <w:tc>
          <w:tcPr>
            <w:tcW w:w="1376"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638"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7</w:t>
            </w:r>
          </w:p>
        </w:tc>
        <w:tc>
          <w:tcPr>
            <w:tcW w:w="1008"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碳酸盐</w:t>
            </w:r>
          </w:p>
        </w:tc>
        <w:tc>
          <w:tcPr>
            <w:tcW w:w="3588"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《水和废水检测分析方法（第四版）国家环境保护总局》（2002年） 第三篇 第一章 十二、碱度 （一）酸碱指示剂滴定法（B）</w:t>
            </w:r>
          </w:p>
        </w:tc>
        <w:tc>
          <w:tcPr>
            <w:tcW w:w="890"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w:t>
            </w:r>
          </w:p>
        </w:tc>
        <w:tc>
          <w:tcPr>
            <w:tcW w:w="1503"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滴定管</w:t>
            </w:r>
          </w:p>
        </w:tc>
        <w:tc>
          <w:tcPr>
            <w:tcW w:w="1376"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638"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8</w:t>
            </w:r>
          </w:p>
        </w:tc>
        <w:tc>
          <w:tcPr>
            <w:tcW w:w="1008"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无机阴离子Cl</w:t>
            </w:r>
            <w:r>
              <w:rPr>
                <w:rFonts w:hint="default" w:ascii="Arial" w:hAnsi="Arial" w:eastAsia="宋体" w:cs="Arial"/>
                <w:color w:val="auto"/>
                <w:sz w:val="21"/>
                <w:szCs w:val="21"/>
                <w:vertAlign w:val="superscript"/>
              </w:rPr>
              <w:t>-</w:t>
            </w:r>
          </w:p>
        </w:tc>
        <w:tc>
          <w:tcPr>
            <w:tcW w:w="3588"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《水质无机阴离子（F</w:t>
            </w:r>
            <w:r>
              <w:rPr>
                <w:rFonts w:hint="default" w:ascii="Arial" w:hAnsi="Arial" w:eastAsia="宋体" w:cs="Arial"/>
                <w:color w:val="auto"/>
                <w:sz w:val="21"/>
                <w:szCs w:val="21"/>
                <w:vertAlign w:val="superscript"/>
              </w:rPr>
              <w:t>-</w:t>
            </w:r>
            <w:r>
              <w:rPr>
                <w:rFonts w:hint="default" w:ascii="Arial" w:hAnsi="Arial" w:eastAsia="宋体" w:cs="Arial"/>
                <w:color w:val="auto"/>
                <w:sz w:val="21"/>
                <w:szCs w:val="21"/>
              </w:rPr>
              <w:t>、Cl</w:t>
            </w:r>
            <w:r>
              <w:rPr>
                <w:rFonts w:hint="default" w:ascii="Arial" w:hAnsi="Arial" w:eastAsia="宋体" w:cs="Arial"/>
                <w:color w:val="auto"/>
                <w:sz w:val="21"/>
                <w:szCs w:val="21"/>
                <w:vertAlign w:val="superscript"/>
              </w:rPr>
              <w:t>-</w:t>
            </w:r>
            <w:r>
              <w:rPr>
                <w:rFonts w:hint="default" w:ascii="Arial" w:hAnsi="Arial" w:eastAsia="宋体" w:cs="Arial"/>
                <w:color w:val="auto"/>
                <w:sz w:val="21"/>
                <w:szCs w:val="21"/>
              </w:rPr>
              <w:t>、NO</w:t>
            </w:r>
            <w:r>
              <w:rPr>
                <w:rFonts w:hint="default" w:ascii="Arial" w:hAnsi="Arial" w:eastAsia="宋体" w:cs="Arial"/>
                <w:color w:val="auto"/>
                <w:sz w:val="21"/>
                <w:szCs w:val="21"/>
                <w:vertAlign w:val="subscript"/>
              </w:rPr>
              <w:t>2</w:t>
            </w:r>
            <w:r>
              <w:rPr>
                <w:rFonts w:hint="default" w:ascii="Arial" w:hAnsi="Arial" w:eastAsia="宋体" w:cs="Arial"/>
                <w:color w:val="auto"/>
                <w:sz w:val="21"/>
                <w:szCs w:val="21"/>
                <w:vertAlign w:val="superscript"/>
              </w:rPr>
              <w:t>-</w:t>
            </w:r>
            <w:r>
              <w:rPr>
                <w:rFonts w:hint="default" w:ascii="Arial" w:hAnsi="Arial" w:eastAsia="宋体" w:cs="Arial"/>
                <w:color w:val="auto"/>
                <w:sz w:val="21"/>
                <w:szCs w:val="21"/>
              </w:rPr>
              <w:t>、Br</w:t>
            </w:r>
            <w:r>
              <w:rPr>
                <w:rFonts w:hint="default" w:ascii="Arial" w:hAnsi="Arial" w:eastAsia="宋体" w:cs="Arial"/>
                <w:color w:val="auto"/>
                <w:sz w:val="21"/>
                <w:szCs w:val="21"/>
                <w:vertAlign w:val="superscript"/>
              </w:rPr>
              <w:t>-</w:t>
            </w:r>
            <w:r>
              <w:rPr>
                <w:rFonts w:hint="default" w:ascii="Arial" w:hAnsi="Arial" w:eastAsia="宋体" w:cs="Arial"/>
                <w:color w:val="auto"/>
                <w:sz w:val="21"/>
                <w:szCs w:val="21"/>
              </w:rPr>
              <w:t>、NO</w:t>
            </w:r>
            <w:r>
              <w:rPr>
                <w:rFonts w:hint="default" w:ascii="Arial" w:hAnsi="Arial" w:eastAsia="宋体" w:cs="Arial"/>
                <w:color w:val="auto"/>
                <w:sz w:val="21"/>
                <w:szCs w:val="21"/>
                <w:vertAlign w:val="subscript"/>
              </w:rPr>
              <w:t>3</w:t>
            </w:r>
            <w:r>
              <w:rPr>
                <w:rFonts w:hint="default" w:ascii="Arial" w:hAnsi="Arial" w:eastAsia="宋体" w:cs="Arial"/>
                <w:color w:val="auto"/>
                <w:sz w:val="21"/>
                <w:szCs w:val="21"/>
                <w:vertAlign w:val="superscript"/>
              </w:rPr>
              <w:t>-</w:t>
            </w:r>
            <w:r>
              <w:rPr>
                <w:rFonts w:hint="default" w:ascii="Arial" w:hAnsi="Arial" w:eastAsia="宋体" w:cs="Arial"/>
                <w:color w:val="auto"/>
                <w:sz w:val="21"/>
                <w:szCs w:val="21"/>
              </w:rPr>
              <w:t>、PO</w:t>
            </w:r>
            <w:r>
              <w:rPr>
                <w:rFonts w:hint="default" w:ascii="Arial" w:hAnsi="Arial" w:eastAsia="宋体" w:cs="Arial"/>
                <w:color w:val="auto"/>
                <w:sz w:val="21"/>
                <w:szCs w:val="21"/>
                <w:vertAlign w:val="subscript"/>
              </w:rPr>
              <w:t>4</w:t>
            </w:r>
            <w:r>
              <w:rPr>
                <w:rFonts w:hint="default" w:ascii="Arial" w:hAnsi="Arial" w:eastAsia="宋体" w:cs="Arial"/>
                <w:color w:val="auto"/>
                <w:sz w:val="21"/>
                <w:szCs w:val="21"/>
                <w:vertAlign w:val="superscript"/>
              </w:rPr>
              <w:t>3-</w:t>
            </w:r>
            <w:r>
              <w:rPr>
                <w:rFonts w:hint="default" w:ascii="Arial" w:hAnsi="Arial" w:eastAsia="宋体" w:cs="Arial"/>
                <w:color w:val="auto"/>
                <w:sz w:val="21"/>
                <w:szCs w:val="21"/>
              </w:rPr>
              <w:t>、SO</w:t>
            </w:r>
            <w:r>
              <w:rPr>
                <w:rFonts w:hint="default" w:ascii="Arial" w:hAnsi="Arial" w:eastAsia="宋体" w:cs="Arial"/>
                <w:color w:val="auto"/>
                <w:sz w:val="21"/>
                <w:szCs w:val="21"/>
                <w:vertAlign w:val="subscript"/>
              </w:rPr>
              <w:t>3</w:t>
            </w:r>
            <w:r>
              <w:rPr>
                <w:rFonts w:hint="default" w:ascii="Arial" w:hAnsi="Arial" w:eastAsia="宋体" w:cs="Arial"/>
                <w:color w:val="auto"/>
                <w:sz w:val="21"/>
                <w:szCs w:val="21"/>
                <w:vertAlign w:val="superscript"/>
              </w:rPr>
              <w:t>2-</w:t>
            </w:r>
            <w:r>
              <w:rPr>
                <w:rFonts w:hint="default" w:ascii="Arial" w:hAnsi="Arial" w:eastAsia="宋体" w:cs="Arial"/>
                <w:color w:val="auto"/>
                <w:sz w:val="21"/>
                <w:szCs w:val="21"/>
              </w:rPr>
              <w:t>、SO</w:t>
            </w:r>
            <w:r>
              <w:rPr>
                <w:rFonts w:hint="default" w:ascii="Arial" w:hAnsi="Arial" w:eastAsia="宋体" w:cs="Arial"/>
                <w:color w:val="auto"/>
                <w:sz w:val="21"/>
                <w:szCs w:val="21"/>
                <w:vertAlign w:val="subscript"/>
              </w:rPr>
              <w:t>4</w:t>
            </w:r>
            <w:r>
              <w:rPr>
                <w:rFonts w:hint="default" w:ascii="Arial" w:hAnsi="Arial" w:eastAsia="宋体" w:cs="Arial"/>
                <w:color w:val="auto"/>
                <w:sz w:val="21"/>
                <w:szCs w:val="21"/>
                <w:vertAlign w:val="superscript"/>
              </w:rPr>
              <w:t>2-</w:t>
            </w:r>
            <w:r>
              <w:rPr>
                <w:rFonts w:hint="default" w:ascii="Arial" w:hAnsi="Arial" w:eastAsia="宋体" w:cs="Arial"/>
                <w:color w:val="auto"/>
                <w:sz w:val="21"/>
                <w:szCs w:val="21"/>
              </w:rPr>
              <w:t>）的测定离子色谱法》（HJ 84-2016）</w:t>
            </w:r>
          </w:p>
        </w:tc>
        <w:tc>
          <w:tcPr>
            <w:tcW w:w="890"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r>
              <w:rPr>
                <w:rFonts w:hint="default" w:ascii="Arial" w:hAnsi="Arial" w:eastAsia="宋体" w:cs="Arial"/>
                <w:color w:val="auto"/>
                <w:sz w:val="21"/>
                <w:szCs w:val="21"/>
              </w:rPr>
              <w:t>0.007</w:t>
            </w:r>
          </w:p>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mg/L</w:t>
            </w:r>
          </w:p>
        </w:tc>
        <w:tc>
          <w:tcPr>
            <w:tcW w:w="1503"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离子色谱仪/ISC-600</w:t>
            </w:r>
          </w:p>
        </w:tc>
        <w:tc>
          <w:tcPr>
            <w:tcW w:w="1376"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HZD-001-A</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638"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9</w:t>
            </w:r>
          </w:p>
        </w:tc>
        <w:tc>
          <w:tcPr>
            <w:tcW w:w="1008"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无机阴离子SO</w:t>
            </w:r>
            <w:r>
              <w:rPr>
                <w:rFonts w:hint="default" w:ascii="Arial" w:hAnsi="Arial" w:eastAsia="宋体" w:cs="Arial"/>
                <w:color w:val="auto"/>
                <w:sz w:val="21"/>
                <w:szCs w:val="21"/>
                <w:vertAlign w:val="subscript"/>
              </w:rPr>
              <w:t>4</w:t>
            </w:r>
            <w:r>
              <w:rPr>
                <w:rFonts w:hint="default" w:ascii="Arial" w:hAnsi="Arial" w:eastAsia="宋体" w:cs="Arial"/>
                <w:color w:val="auto"/>
                <w:sz w:val="21"/>
                <w:szCs w:val="21"/>
                <w:vertAlign w:val="superscript"/>
              </w:rPr>
              <w:t>2-</w:t>
            </w:r>
          </w:p>
        </w:tc>
        <w:tc>
          <w:tcPr>
            <w:tcW w:w="3588"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《水质无机阴离子（F</w:t>
            </w:r>
            <w:r>
              <w:rPr>
                <w:rFonts w:hint="default" w:ascii="Arial" w:hAnsi="Arial" w:eastAsia="宋体" w:cs="Arial"/>
                <w:color w:val="auto"/>
                <w:sz w:val="21"/>
                <w:szCs w:val="21"/>
                <w:vertAlign w:val="superscript"/>
              </w:rPr>
              <w:t>-</w:t>
            </w:r>
            <w:r>
              <w:rPr>
                <w:rFonts w:hint="default" w:ascii="Arial" w:hAnsi="Arial" w:eastAsia="宋体" w:cs="Arial"/>
                <w:color w:val="auto"/>
                <w:sz w:val="21"/>
                <w:szCs w:val="21"/>
              </w:rPr>
              <w:t>、Cl</w:t>
            </w:r>
            <w:r>
              <w:rPr>
                <w:rFonts w:hint="default" w:ascii="Arial" w:hAnsi="Arial" w:eastAsia="宋体" w:cs="Arial"/>
                <w:color w:val="auto"/>
                <w:sz w:val="21"/>
                <w:szCs w:val="21"/>
                <w:vertAlign w:val="superscript"/>
              </w:rPr>
              <w:t>-</w:t>
            </w:r>
            <w:r>
              <w:rPr>
                <w:rFonts w:hint="default" w:ascii="Arial" w:hAnsi="Arial" w:eastAsia="宋体" w:cs="Arial"/>
                <w:color w:val="auto"/>
                <w:sz w:val="21"/>
                <w:szCs w:val="21"/>
              </w:rPr>
              <w:t>、NO</w:t>
            </w:r>
            <w:r>
              <w:rPr>
                <w:rFonts w:hint="default" w:ascii="Arial" w:hAnsi="Arial" w:eastAsia="宋体" w:cs="Arial"/>
                <w:color w:val="auto"/>
                <w:sz w:val="21"/>
                <w:szCs w:val="21"/>
                <w:vertAlign w:val="subscript"/>
              </w:rPr>
              <w:t>2</w:t>
            </w:r>
            <w:r>
              <w:rPr>
                <w:rFonts w:hint="default" w:ascii="Arial" w:hAnsi="Arial" w:eastAsia="宋体" w:cs="Arial"/>
                <w:color w:val="auto"/>
                <w:sz w:val="21"/>
                <w:szCs w:val="21"/>
                <w:vertAlign w:val="superscript"/>
              </w:rPr>
              <w:t>-</w:t>
            </w:r>
            <w:r>
              <w:rPr>
                <w:rFonts w:hint="default" w:ascii="Arial" w:hAnsi="Arial" w:eastAsia="宋体" w:cs="Arial"/>
                <w:color w:val="auto"/>
                <w:sz w:val="21"/>
                <w:szCs w:val="21"/>
              </w:rPr>
              <w:t>、Br</w:t>
            </w:r>
            <w:r>
              <w:rPr>
                <w:rFonts w:hint="default" w:ascii="Arial" w:hAnsi="Arial" w:eastAsia="宋体" w:cs="Arial"/>
                <w:color w:val="auto"/>
                <w:sz w:val="21"/>
                <w:szCs w:val="21"/>
                <w:vertAlign w:val="superscript"/>
              </w:rPr>
              <w:t>-</w:t>
            </w:r>
            <w:r>
              <w:rPr>
                <w:rFonts w:hint="default" w:ascii="Arial" w:hAnsi="Arial" w:eastAsia="宋体" w:cs="Arial"/>
                <w:color w:val="auto"/>
                <w:sz w:val="21"/>
                <w:szCs w:val="21"/>
              </w:rPr>
              <w:t>、NO</w:t>
            </w:r>
            <w:r>
              <w:rPr>
                <w:rFonts w:hint="default" w:ascii="Arial" w:hAnsi="Arial" w:eastAsia="宋体" w:cs="Arial"/>
                <w:color w:val="auto"/>
                <w:sz w:val="21"/>
                <w:szCs w:val="21"/>
                <w:vertAlign w:val="subscript"/>
              </w:rPr>
              <w:t>3</w:t>
            </w:r>
            <w:r>
              <w:rPr>
                <w:rFonts w:hint="default" w:ascii="Arial" w:hAnsi="Arial" w:eastAsia="宋体" w:cs="Arial"/>
                <w:color w:val="auto"/>
                <w:sz w:val="21"/>
                <w:szCs w:val="21"/>
                <w:vertAlign w:val="superscript"/>
              </w:rPr>
              <w:t>-</w:t>
            </w:r>
            <w:r>
              <w:rPr>
                <w:rFonts w:hint="default" w:ascii="Arial" w:hAnsi="Arial" w:eastAsia="宋体" w:cs="Arial"/>
                <w:color w:val="auto"/>
                <w:sz w:val="21"/>
                <w:szCs w:val="21"/>
              </w:rPr>
              <w:t>、PO</w:t>
            </w:r>
            <w:r>
              <w:rPr>
                <w:rFonts w:hint="default" w:ascii="Arial" w:hAnsi="Arial" w:eastAsia="宋体" w:cs="Arial"/>
                <w:color w:val="auto"/>
                <w:sz w:val="21"/>
                <w:szCs w:val="21"/>
                <w:vertAlign w:val="subscript"/>
              </w:rPr>
              <w:t>4</w:t>
            </w:r>
            <w:r>
              <w:rPr>
                <w:rFonts w:hint="default" w:ascii="Arial" w:hAnsi="Arial" w:eastAsia="宋体" w:cs="Arial"/>
                <w:color w:val="auto"/>
                <w:sz w:val="21"/>
                <w:szCs w:val="21"/>
                <w:vertAlign w:val="superscript"/>
              </w:rPr>
              <w:t>3-</w:t>
            </w:r>
            <w:r>
              <w:rPr>
                <w:rFonts w:hint="default" w:ascii="Arial" w:hAnsi="Arial" w:eastAsia="宋体" w:cs="Arial"/>
                <w:color w:val="auto"/>
                <w:sz w:val="21"/>
                <w:szCs w:val="21"/>
              </w:rPr>
              <w:t>、SO</w:t>
            </w:r>
            <w:r>
              <w:rPr>
                <w:rFonts w:hint="default" w:ascii="Arial" w:hAnsi="Arial" w:eastAsia="宋体" w:cs="Arial"/>
                <w:color w:val="auto"/>
                <w:sz w:val="21"/>
                <w:szCs w:val="21"/>
                <w:vertAlign w:val="subscript"/>
              </w:rPr>
              <w:t>3</w:t>
            </w:r>
            <w:r>
              <w:rPr>
                <w:rFonts w:hint="default" w:ascii="Arial" w:hAnsi="Arial" w:eastAsia="宋体" w:cs="Arial"/>
                <w:color w:val="auto"/>
                <w:sz w:val="21"/>
                <w:szCs w:val="21"/>
                <w:vertAlign w:val="superscript"/>
              </w:rPr>
              <w:t>2-</w:t>
            </w:r>
            <w:r>
              <w:rPr>
                <w:rFonts w:hint="default" w:ascii="Arial" w:hAnsi="Arial" w:eastAsia="宋体" w:cs="Arial"/>
                <w:color w:val="auto"/>
                <w:sz w:val="21"/>
                <w:szCs w:val="21"/>
              </w:rPr>
              <w:t>、SO</w:t>
            </w:r>
            <w:r>
              <w:rPr>
                <w:rFonts w:hint="default" w:ascii="Arial" w:hAnsi="Arial" w:eastAsia="宋体" w:cs="Arial"/>
                <w:color w:val="auto"/>
                <w:sz w:val="21"/>
                <w:szCs w:val="21"/>
                <w:vertAlign w:val="subscript"/>
              </w:rPr>
              <w:t>4</w:t>
            </w:r>
            <w:r>
              <w:rPr>
                <w:rFonts w:hint="default" w:ascii="Arial" w:hAnsi="Arial" w:eastAsia="宋体" w:cs="Arial"/>
                <w:color w:val="auto"/>
                <w:sz w:val="21"/>
                <w:szCs w:val="21"/>
                <w:vertAlign w:val="superscript"/>
              </w:rPr>
              <w:t>2-</w:t>
            </w:r>
            <w:r>
              <w:rPr>
                <w:rFonts w:hint="default" w:ascii="Arial" w:hAnsi="Arial" w:eastAsia="宋体" w:cs="Arial"/>
                <w:color w:val="auto"/>
                <w:sz w:val="21"/>
                <w:szCs w:val="21"/>
              </w:rPr>
              <w:t>）的测定离子色谱法》（HJ 84-2016）</w:t>
            </w:r>
          </w:p>
        </w:tc>
        <w:tc>
          <w:tcPr>
            <w:tcW w:w="890"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r>
              <w:rPr>
                <w:rFonts w:hint="default" w:ascii="Arial" w:hAnsi="Arial" w:eastAsia="宋体" w:cs="Arial"/>
                <w:color w:val="auto"/>
                <w:sz w:val="21"/>
                <w:szCs w:val="21"/>
              </w:rPr>
              <w:t>0.018</w:t>
            </w:r>
          </w:p>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mg/L</w:t>
            </w:r>
          </w:p>
        </w:tc>
        <w:tc>
          <w:tcPr>
            <w:tcW w:w="1503"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离子色谱仪/ISC-600</w:t>
            </w:r>
          </w:p>
        </w:tc>
        <w:tc>
          <w:tcPr>
            <w:tcW w:w="1376"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HZD-001-A</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638"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10</w:t>
            </w:r>
          </w:p>
        </w:tc>
        <w:tc>
          <w:tcPr>
            <w:tcW w:w="1008"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总硬度</w:t>
            </w:r>
          </w:p>
        </w:tc>
        <w:tc>
          <w:tcPr>
            <w:tcW w:w="3588"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《水质钙和镁总量的测定EDTA滴定法》（GB 7477-1987）</w:t>
            </w:r>
          </w:p>
        </w:tc>
        <w:tc>
          <w:tcPr>
            <w:tcW w:w="890"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5mg/L</w:t>
            </w:r>
          </w:p>
        </w:tc>
        <w:tc>
          <w:tcPr>
            <w:tcW w:w="1503"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滴定管</w:t>
            </w:r>
          </w:p>
        </w:tc>
        <w:tc>
          <w:tcPr>
            <w:tcW w:w="1376"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638"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11</w:t>
            </w:r>
          </w:p>
        </w:tc>
        <w:tc>
          <w:tcPr>
            <w:tcW w:w="1008"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硝酸盐氮</w:t>
            </w:r>
          </w:p>
        </w:tc>
        <w:tc>
          <w:tcPr>
            <w:tcW w:w="3588"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《水质 硝酸盐氮的测定 紫外分光光度法（试行）》（HJ/T 346-2007）</w:t>
            </w:r>
          </w:p>
        </w:tc>
        <w:tc>
          <w:tcPr>
            <w:tcW w:w="890"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r>
              <w:rPr>
                <w:rFonts w:hint="default" w:ascii="Arial" w:hAnsi="Arial" w:eastAsia="宋体" w:cs="Arial"/>
                <w:color w:val="auto"/>
                <w:sz w:val="21"/>
                <w:szCs w:val="21"/>
              </w:rPr>
              <w:t>0.08</w:t>
            </w:r>
          </w:p>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mg/L</w:t>
            </w:r>
          </w:p>
        </w:tc>
        <w:tc>
          <w:tcPr>
            <w:tcW w:w="1503"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紫外分光光度/UV-5100</w:t>
            </w:r>
          </w:p>
        </w:tc>
        <w:tc>
          <w:tcPr>
            <w:tcW w:w="1376"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HZD-021-A</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638"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12</w:t>
            </w:r>
          </w:p>
        </w:tc>
        <w:tc>
          <w:tcPr>
            <w:tcW w:w="1008"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氨氮</w:t>
            </w:r>
          </w:p>
        </w:tc>
        <w:tc>
          <w:tcPr>
            <w:tcW w:w="3588"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《水质 氨氮的测定纳氏试剂分光光度法》（HJ 535-2009）</w:t>
            </w:r>
          </w:p>
        </w:tc>
        <w:tc>
          <w:tcPr>
            <w:tcW w:w="890"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r>
              <w:rPr>
                <w:rFonts w:hint="default" w:ascii="Arial" w:hAnsi="Arial" w:eastAsia="宋体" w:cs="Arial"/>
                <w:color w:val="auto"/>
                <w:sz w:val="21"/>
                <w:szCs w:val="21"/>
              </w:rPr>
              <w:t>0.025</w:t>
            </w:r>
          </w:p>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mg/L</w:t>
            </w:r>
          </w:p>
        </w:tc>
        <w:tc>
          <w:tcPr>
            <w:tcW w:w="1503"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可见分光光度计/7230G</w:t>
            </w:r>
          </w:p>
        </w:tc>
        <w:tc>
          <w:tcPr>
            <w:tcW w:w="1376"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HZD-022-A</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638"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13</w:t>
            </w:r>
          </w:p>
        </w:tc>
        <w:tc>
          <w:tcPr>
            <w:tcW w:w="1008"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r>
              <w:rPr>
                <w:rFonts w:hint="default" w:ascii="Arial" w:hAnsi="Arial" w:eastAsia="宋体" w:cs="Arial"/>
                <w:color w:val="auto"/>
                <w:sz w:val="21"/>
                <w:szCs w:val="21"/>
              </w:rPr>
              <w:t>亚硝酸</w:t>
            </w:r>
          </w:p>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盐氮</w:t>
            </w:r>
          </w:p>
        </w:tc>
        <w:tc>
          <w:tcPr>
            <w:tcW w:w="3588"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《水质 亚硝酸盐氮的测定 分光光度法》（GB 7493-87）</w:t>
            </w:r>
          </w:p>
        </w:tc>
        <w:tc>
          <w:tcPr>
            <w:tcW w:w="890"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r>
              <w:rPr>
                <w:rFonts w:hint="default" w:ascii="Arial" w:hAnsi="Arial" w:eastAsia="宋体" w:cs="Arial"/>
                <w:color w:val="auto"/>
                <w:sz w:val="21"/>
                <w:szCs w:val="21"/>
              </w:rPr>
              <w:t>0.003</w:t>
            </w:r>
          </w:p>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mg/L</w:t>
            </w:r>
          </w:p>
        </w:tc>
        <w:tc>
          <w:tcPr>
            <w:tcW w:w="1503"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可见分光光度计/7230G</w:t>
            </w:r>
          </w:p>
        </w:tc>
        <w:tc>
          <w:tcPr>
            <w:tcW w:w="1376"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HZD-022-A</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638"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14</w:t>
            </w:r>
          </w:p>
        </w:tc>
        <w:tc>
          <w:tcPr>
            <w:tcW w:w="1008"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挥发酚</w:t>
            </w:r>
          </w:p>
        </w:tc>
        <w:tc>
          <w:tcPr>
            <w:tcW w:w="3588"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《水质 挥发酚的测定 4-氨基安替比林分光光度法》（HJ 503-2009）（方法1 萃取分光光度法）</w:t>
            </w:r>
          </w:p>
        </w:tc>
        <w:tc>
          <w:tcPr>
            <w:tcW w:w="890"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r>
              <w:rPr>
                <w:rFonts w:hint="default" w:ascii="Arial" w:hAnsi="Arial" w:eastAsia="宋体" w:cs="Arial"/>
                <w:color w:val="auto"/>
                <w:sz w:val="21"/>
                <w:szCs w:val="21"/>
              </w:rPr>
              <w:t>0.0003</w:t>
            </w:r>
          </w:p>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mg/L</w:t>
            </w:r>
          </w:p>
        </w:tc>
        <w:tc>
          <w:tcPr>
            <w:tcW w:w="1503"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可见分光光度计/7230G</w:t>
            </w:r>
          </w:p>
        </w:tc>
        <w:tc>
          <w:tcPr>
            <w:tcW w:w="1376"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HZD-022-A</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638"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15</w:t>
            </w:r>
          </w:p>
        </w:tc>
        <w:tc>
          <w:tcPr>
            <w:tcW w:w="1008"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氰化物</w:t>
            </w:r>
          </w:p>
        </w:tc>
        <w:tc>
          <w:tcPr>
            <w:tcW w:w="3588"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r>
              <w:rPr>
                <w:rFonts w:hint="default" w:ascii="Arial" w:hAnsi="Arial" w:eastAsia="宋体" w:cs="Arial"/>
                <w:color w:val="auto"/>
                <w:sz w:val="21"/>
                <w:szCs w:val="21"/>
              </w:rPr>
              <w:t>《水质 氰化物的测定 容量法和分光光度法（异烟酸-吡唑啉酮分光光度法）》</w:t>
            </w:r>
          </w:p>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（HJ 484-2009）</w:t>
            </w:r>
          </w:p>
        </w:tc>
        <w:tc>
          <w:tcPr>
            <w:tcW w:w="890"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r>
              <w:rPr>
                <w:rFonts w:hint="default" w:ascii="Arial" w:hAnsi="Arial" w:eastAsia="宋体" w:cs="Arial"/>
                <w:color w:val="auto"/>
                <w:sz w:val="21"/>
                <w:szCs w:val="21"/>
              </w:rPr>
              <w:t>0.004</w:t>
            </w:r>
          </w:p>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mg/L</w:t>
            </w:r>
          </w:p>
        </w:tc>
        <w:tc>
          <w:tcPr>
            <w:tcW w:w="1503"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可见分光光度计/7230G</w:t>
            </w:r>
          </w:p>
        </w:tc>
        <w:tc>
          <w:tcPr>
            <w:tcW w:w="1376"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HZD-022-A</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638"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16</w:t>
            </w:r>
          </w:p>
        </w:tc>
        <w:tc>
          <w:tcPr>
            <w:tcW w:w="1008"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溶解性总固体</w:t>
            </w:r>
          </w:p>
        </w:tc>
        <w:tc>
          <w:tcPr>
            <w:tcW w:w="3588"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《生活饮用水标准检验方法 感官性状和物理指》(GB/T5750.4-2006) （8.1 溶解性总固体 称重法）</w:t>
            </w:r>
          </w:p>
        </w:tc>
        <w:tc>
          <w:tcPr>
            <w:tcW w:w="890"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w:t>
            </w:r>
          </w:p>
        </w:tc>
        <w:tc>
          <w:tcPr>
            <w:tcW w:w="1503"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电子天平（万分之一）/FA2004B</w:t>
            </w:r>
          </w:p>
        </w:tc>
        <w:tc>
          <w:tcPr>
            <w:tcW w:w="1376"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HZD-011-A</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638"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17</w:t>
            </w:r>
          </w:p>
        </w:tc>
        <w:tc>
          <w:tcPr>
            <w:tcW w:w="1008"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六价铬</w:t>
            </w:r>
          </w:p>
        </w:tc>
        <w:tc>
          <w:tcPr>
            <w:tcW w:w="3588"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《水质 六价铬的测定 二苯碳酰二肼分光光度法》（GB 7467-87）</w:t>
            </w:r>
          </w:p>
        </w:tc>
        <w:tc>
          <w:tcPr>
            <w:tcW w:w="890"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r>
              <w:rPr>
                <w:rFonts w:hint="default" w:ascii="Arial" w:hAnsi="Arial" w:eastAsia="宋体" w:cs="Arial"/>
                <w:color w:val="auto"/>
                <w:sz w:val="21"/>
                <w:szCs w:val="21"/>
              </w:rPr>
              <w:t>0.004</w:t>
            </w:r>
          </w:p>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mg/L</w:t>
            </w:r>
          </w:p>
        </w:tc>
        <w:tc>
          <w:tcPr>
            <w:tcW w:w="1503"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可见分光光度计/7230G</w:t>
            </w:r>
          </w:p>
        </w:tc>
        <w:tc>
          <w:tcPr>
            <w:tcW w:w="1376"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HZD-022-A</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638"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18</w:t>
            </w:r>
          </w:p>
        </w:tc>
        <w:tc>
          <w:tcPr>
            <w:tcW w:w="1008"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砷</w:t>
            </w:r>
          </w:p>
        </w:tc>
        <w:tc>
          <w:tcPr>
            <w:tcW w:w="3588"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《水质 汞、砷、硒、铋和锑的测定 原子荧光法》（HJ 694-2014）</w:t>
            </w:r>
          </w:p>
        </w:tc>
        <w:tc>
          <w:tcPr>
            <w:tcW w:w="890"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r>
              <w:rPr>
                <w:rFonts w:hint="default" w:ascii="Arial" w:hAnsi="Arial" w:eastAsia="宋体" w:cs="Arial"/>
                <w:color w:val="auto"/>
                <w:sz w:val="21"/>
                <w:szCs w:val="21"/>
              </w:rPr>
              <w:t>0.3</w:t>
            </w:r>
          </w:p>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μg/L</w:t>
            </w:r>
          </w:p>
        </w:tc>
        <w:tc>
          <w:tcPr>
            <w:tcW w:w="1503"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原子荧光光度计/AFS-8220</w:t>
            </w:r>
          </w:p>
        </w:tc>
        <w:tc>
          <w:tcPr>
            <w:tcW w:w="1376"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HZD-003-A</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638"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19</w:t>
            </w:r>
          </w:p>
        </w:tc>
        <w:tc>
          <w:tcPr>
            <w:tcW w:w="1008"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汞</w:t>
            </w:r>
          </w:p>
        </w:tc>
        <w:tc>
          <w:tcPr>
            <w:tcW w:w="3588"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《水质 汞、砷、硒、铋和锑的测定 原子荧光法》（HJ 694-2014）</w:t>
            </w:r>
          </w:p>
        </w:tc>
        <w:tc>
          <w:tcPr>
            <w:tcW w:w="890"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r>
              <w:rPr>
                <w:rFonts w:hint="default" w:ascii="Arial" w:hAnsi="Arial" w:eastAsia="宋体" w:cs="Arial"/>
                <w:color w:val="auto"/>
                <w:sz w:val="21"/>
                <w:szCs w:val="21"/>
              </w:rPr>
              <w:t>0.04</w:t>
            </w:r>
          </w:p>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μg/L</w:t>
            </w:r>
          </w:p>
        </w:tc>
        <w:tc>
          <w:tcPr>
            <w:tcW w:w="1503"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原子荧光光度计/AFS-8220</w:t>
            </w:r>
          </w:p>
        </w:tc>
        <w:tc>
          <w:tcPr>
            <w:tcW w:w="1376"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HZD-003-A</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638"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20</w:t>
            </w:r>
          </w:p>
        </w:tc>
        <w:tc>
          <w:tcPr>
            <w:tcW w:w="1008"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铅</w:t>
            </w:r>
          </w:p>
        </w:tc>
        <w:tc>
          <w:tcPr>
            <w:tcW w:w="3588"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《水和废水检测分析方法（第四版）》国家环境保护总局（2002年） 第三篇 第四章 十六、铅 （五）石墨炉原子吸收法（B）</w:t>
            </w:r>
          </w:p>
        </w:tc>
        <w:tc>
          <w:tcPr>
            <w:tcW w:w="890"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r>
              <w:rPr>
                <w:rFonts w:hint="default" w:ascii="Arial" w:hAnsi="Arial" w:eastAsia="宋体" w:cs="Arial"/>
                <w:color w:val="auto"/>
                <w:sz w:val="21"/>
                <w:szCs w:val="21"/>
              </w:rPr>
              <w:t>1</w:t>
            </w:r>
          </w:p>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μg/L</w:t>
            </w:r>
          </w:p>
        </w:tc>
        <w:tc>
          <w:tcPr>
            <w:tcW w:w="1503"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原子吸收光谱仪/ICE-3500</w:t>
            </w:r>
          </w:p>
        </w:tc>
        <w:tc>
          <w:tcPr>
            <w:tcW w:w="1376"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HZD-020-A</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638"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21</w:t>
            </w:r>
          </w:p>
        </w:tc>
        <w:tc>
          <w:tcPr>
            <w:tcW w:w="1008"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镉</w:t>
            </w:r>
          </w:p>
        </w:tc>
        <w:tc>
          <w:tcPr>
            <w:tcW w:w="3588"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《水和废水检测分析方法（第四版）》国家环境保护总局（2002年）第三篇 第四章七、镉石墨炉原子吸收法测定镉、铜、铅（B）</w:t>
            </w:r>
          </w:p>
        </w:tc>
        <w:tc>
          <w:tcPr>
            <w:tcW w:w="890"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r>
              <w:rPr>
                <w:rFonts w:hint="default" w:ascii="Arial" w:hAnsi="Arial" w:eastAsia="宋体" w:cs="Arial"/>
                <w:color w:val="auto"/>
                <w:sz w:val="21"/>
                <w:szCs w:val="21"/>
              </w:rPr>
              <w:t>0.1</w:t>
            </w:r>
          </w:p>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μg/L</w:t>
            </w:r>
          </w:p>
        </w:tc>
        <w:tc>
          <w:tcPr>
            <w:tcW w:w="1503"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原子吸收光谱仪/ICE-3500</w:t>
            </w:r>
          </w:p>
        </w:tc>
        <w:tc>
          <w:tcPr>
            <w:tcW w:w="1376"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HZD-020-A</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638"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22</w:t>
            </w:r>
          </w:p>
        </w:tc>
        <w:tc>
          <w:tcPr>
            <w:tcW w:w="1008"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铁</w:t>
            </w:r>
          </w:p>
        </w:tc>
        <w:tc>
          <w:tcPr>
            <w:tcW w:w="3588"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0"/>
                <w:sz w:val="21"/>
                <w:szCs w:val="21"/>
                <w:lang w:val="en-US" w:eastAsia="zh-CN" w:bidi="ar"/>
              </w:rPr>
            </w:pPr>
            <w:r>
              <w:rPr>
                <w:rFonts w:hint="default" w:ascii="Arial" w:hAnsi="Arial" w:eastAsia="宋体" w:cs="Arial"/>
                <w:color w:val="auto"/>
                <w:sz w:val="21"/>
                <w:szCs w:val="21"/>
              </w:rPr>
              <w:t>《水质铁、锰的测定火焰原子吸收分光光度法》（GB 11911-89）</w:t>
            </w:r>
          </w:p>
        </w:tc>
        <w:tc>
          <w:tcPr>
            <w:tcW w:w="890"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r>
              <w:rPr>
                <w:rFonts w:hint="default" w:ascii="Arial" w:hAnsi="Arial" w:eastAsia="宋体" w:cs="Arial"/>
                <w:color w:val="auto"/>
                <w:sz w:val="21"/>
                <w:szCs w:val="21"/>
              </w:rPr>
              <w:t>0.03</w:t>
            </w:r>
          </w:p>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mg/L</w:t>
            </w:r>
          </w:p>
        </w:tc>
        <w:tc>
          <w:tcPr>
            <w:tcW w:w="1503"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原子吸收光谱仪/ICE-3500</w:t>
            </w:r>
          </w:p>
        </w:tc>
        <w:tc>
          <w:tcPr>
            <w:tcW w:w="1376"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HZD-020-A</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638"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23</w:t>
            </w:r>
          </w:p>
        </w:tc>
        <w:tc>
          <w:tcPr>
            <w:tcW w:w="1008"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锰</w:t>
            </w:r>
          </w:p>
        </w:tc>
        <w:tc>
          <w:tcPr>
            <w:tcW w:w="3588"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《水质铁、锰的测定火焰原子吸收分光光度法》（GB 11911-89）</w:t>
            </w:r>
          </w:p>
        </w:tc>
        <w:tc>
          <w:tcPr>
            <w:tcW w:w="890"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r>
              <w:rPr>
                <w:rFonts w:hint="default" w:ascii="Arial" w:hAnsi="Arial" w:eastAsia="宋体" w:cs="Arial"/>
                <w:color w:val="auto"/>
                <w:sz w:val="21"/>
                <w:szCs w:val="21"/>
              </w:rPr>
              <w:t>0.01</w:t>
            </w:r>
          </w:p>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mg/L</w:t>
            </w:r>
          </w:p>
        </w:tc>
        <w:tc>
          <w:tcPr>
            <w:tcW w:w="1503"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原子吸收光谱仪ICE-3500</w:t>
            </w:r>
          </w:p>
        </w:tc>
        <w:tc>
          <w:tcPr>
            <w:tcW w:w="1376"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HZD-020-A</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638"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24</w:t>
            </w:r>
          </w:p>
        </w:tc>
        <w:tc>
          <w:tcPr>
            <w:tcW w:w="1008"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r>
              <w:rPr>
                <w:rFonts w:hint="default" w:ascii="Arial" w:hAnsi="Arial" w:eastAsia="宋体" w:cs="Arial"/>
                <w:color w:val="auto"/>
                <w:sz w:val="21"/>
                <w:szCs w:val="21"/>
              </w:rPr>
              <w:t>总大肠</w:t>
            </w:r>
          </w:p>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菌群</w:t>
            </w:r>
          </w:p>
        </w:tc>
        <w:tc>
          <w:tcPr>
            <w:tcW w:w="3588"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r>
              <w:rPr>
                <w:rFonts w:hint="default" w:ascii="Arial" w:hAnsi="Arial" w:eastAsia="宋体" w:cs="Arial"/>
                <w:color w:val="auto"/>
                <w:sz w:val="21"/>
                <w:szCs w:val="21"/>
              </w:rPr>
              <w:t>《水质 总大肠菌群、粪大肠菌群和大肠埃希氏菌的测定 酶底物法》</w:t>
            </w:r>
          </w:p>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（HJ 1001-2018）</w:t>
            </w:r>
          </w:p>
        </w:tc>
        <w:tc>
          <w:tcPr>
            <w:tcW w:w="890"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r>
              <w:rPr>
                <w:rFonts w:hint="default" w:ascii="Arial" w:hAnsi="Arial" w:eastAsia="宋体" w:cs="Arial"/>
                <w:color w:val="auto"/>
                <w:sz w:val="21"/>
                <w:szCs w:val="21"/>
              </w:rPr>
              <w:t>10</w:t>
            </w:r>
          </w:p>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MPN/L</w:t>
            </w:r>
          </w:p>
        </w:tc>
        <w:tc>
          <w:tcPr>
            <w:tcW w:w="1503"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干燥/培养两用箱/PH-070A型</w:t>
            </w:r>
          </w:p>
        </w:tc>
        <w:tc>
          <w:tcPr>
            <w:tcW w:w="1376"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HZD-006-B</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638"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25</w:t>
            </w:r>
          </w:p>
        </w:tc>
        <w:tc>
          <w:tcPr>
            <w:tcW w:w="1008"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细菌总数</w:t>
            </w:r>
          </w:p>
        </w:tc>
        <w:tc>
          <w:tcPr>
            <w:tcW w:w="3588"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r>
              <w:rPr>
                <w:rFonts w:hint="default" w:ascii="Arial" w:hAnsi="Arial" w:eastAsia="宋体" w:cs="Arial"/>
                <w:color w:val="auto"/>
                <w:sz w:val="21"/>
                <w:szCs w:val="21"/>
              </w:rPr>
              <w:t>《水质 细菌总数的测定 平皿计数法》</w:t>
            </w:r>
          </w:p>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（HJ 1000-2018）</w:t>
            </w:r>
          </w:p>
        </w:tc>
        <w:tc>
          <w:tcPr>
            <w:tcW w:w="890"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w:t>
            </w:r>
          </w:p>
        </w:tc>
        <w:tc>
          <w:tcPr>
            <w:tcW w:w="1503"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干燥/培养两用箱/PH-070A型</w:t>
            </w:r>
          </w:p>
        </w:tc>
        <w:tc>
          <w:tcPr>
            <w:tcW w:w="1376"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HZD-006-A</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638"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26</w:t>
            </w:r>
          </w:p>
        </w:tc>
        <w:tc>
          <w:tcPr>
            <w:tcW w:w="1008"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耗氧量</w:t>
            </w:r>
          </w:p>
        </w:tc>
        <w:tc>
          <w:tcPr>
            <w:tcW w:w="3588"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r>
              <w:rPr>
                <w:rFonts w:hint="default" w:ascii="Arial" w:hAnsi="Arial" w:eastAsia="宋体" w:cs="Arial"/>
                <w:color w:val="auto"/>
                <w:sz w:val="21"/>
                <w:szCs w:val="21"/>
              </w:rPr>
              <w:t>《生活饮用水标准检验方法 有机物综合指标》(GB/T 5750.7-2006)</w:t>
            </w:r>
          </w:p>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（1.1 耗氧量 酸性高锰酸钾滴定法）</w:t>
            </w:r>
          </w:p>
        </w:tc>
        <w:tc>
          <w:tcPr>
            <w:tcW w:w="890"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r>
              <w:rPr>
                <w:rFonts w:hint="default" w:ascii="Arial" w:hAnsi="Arial" w:eastAsia="宋体" w:cs="Arial"/>
                <w:color w:val="auto"/>
                <w:sz w:val="21"/>
                <w:szCs w:val="21"/>
              </w:rPr>
              <w:t>0.05</w:t>
            </w:r>
          </w:p>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mg/L</w:t>
            </w:r>
          </w:p>
        </w:tc>
        <w:tc>
          <w:tcPr>
            <w:tcW w:w="1503"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滴定管</w:t>
            </w:r>
          </w:p>
        </w:tc>
        <w:tc>
          <w:tcPr>
            <w:tcW w:w="1376"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638"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27</w:t>
            </w:r>
          </w:p>
        </w:tc>
        <w:tc>
          <w:tcPr>
            <w:tcW w:w="1008"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硫酸盐</w:t>
            </w:r>
          </w:p>
        </w:tc>
        <w:tc>
          <w:tcPr>
            <w:tcW w:w="3588"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《水质 硫酸盐的测定 铬酸钡分光光度法（试行）》（HJ/T 342-2007）</w:t>
            </w:r>
          </w:p>
        </w:tc>
        <w:tc>
          <w:tcPr>
            <w:tcW w:w="890"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r>
              <w:rPr>
                <w:rFonts w:hint="default" w:ascii="Arial" w:hAnsi="Arial" w:eastAsia="宋体" w:cs="Arial"/>
                <w:color w:val="auto"/>
                <w:sz w:val="21"/>
                <w:szCs w:val="21"/>
              </w:rPr>
              <w:t>8</w:t>
            </w:r>
          </w:p>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mg/L</w:t>
            </w:r>
          </w:p>
        </w:tc>
        <w:tc>
          <w:tcPr>
            <w:tcW w:w="1503"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可见分光光度计/7230G</w:t>
            </w:r>
          </w:p>
        </w:tc>
        <w:tc>
          <w:tcPr>
            <w:tcW w:w="1376"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HZD-022-A</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638"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28</w:t>
            </w:r>
          </w:p>
        </w:tc>
        <w:tc>
          <w:tcPr>
            <w:tcW w:w="1008"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氯化物</w:t>
            </w:r>
          </w:p>
        </w:tc>
        <w:tc>
          <w:tcPr>
            <w:tcW w:w="3588"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r>
              <w:rPr>
                <w:rFonts w:hint="default" w:ascii="Arial" w:hAnsi="Arial" w:eastAsia="宋体" w:cs="Arial"/>
                <w:color w:val="auto"/>
                <w:sz w:val="21"/>
                <w:szCs w:val="21"/>
              </w:rPr>
              <w:t>《水质 氯化物的测定 硝酸银滴定法》</w:t>
            </w:r>
          </w:p>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（GB 11896-89）</w:t>
            </w:r>
          </w:p>
        </w:tc>
        <w:tc>
          <w:tcPr>
            <w:tcW w:w="890"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r>
              <w:rPr>
                <w:rFonts w:hint="default" w:ascii="Arial" w:hAnsi="Arial" w:eastAsia="宋体" w:cs="Arial"/>
                <w:color w:val="auto"/>
                <w:sz w:val="21"/>
                <w:szCs w:val="21"/>
              </w:rPr>
              <w:t>10</w:t>
            </w:r>
          </w:p>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mg/L</w:t>
            </w:r>
          </w:p>
        </w:tc>
        <w:tc>
          <w:tcPr>
            <w:tcW w:w="1503"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滴定管</w:t>
            </w:r>
          </w:p>
        </w:tc>
        <w:tc>
          <w:tcPr>
            <w:tcW w:w="1376"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638"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29</w:t>
            </w:r>
          </w:p>
        </w:tc>
        <w:tc>
          <w:tcPr>
            <w:tcW w:w="1008"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氟化物</w:t>
            </w:r>
          </w:p>
        </w:tc>
        <w:tc>
          <w:tcPr>
            <w:tcW w:w="3588"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《水质氟化物的测定 离子选择电极法》（GB 7484-87）</w:t>
            </w:r>
          </w:p>
        </w:tc>
        <w:tc>
          <w:tcPr>
            <w:tcW w:w="890"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r>
              <w:rPr>
                <w:rFonts w:hint="default" w:ascii="Arial" w:hAnsi="Arial" w:eastAsia="宋体" w:cs="Arial"/>
                <w:color w:val="auto"/>
                <w:sz w:val="21"/>
                <w:szCs w:val="21"/>
              </w:rPr>
              <w:t>0.05</w:t>
            </w:r>
          </w:p>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mg/L</w:t>
            </w:r>
          </w:p>
        </w:tc>
        <w:tc>
          <w:tcPr>
            <w:tcW w:w="1503"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pH计/PHSJ-4F</w:t>
            </w:r>
          </w:p>
        </w:tc>
        <w:tc>
          <w:tcPr>
            <w:tcW w:w="1376"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HZD-009-A</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638"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30</w:t>
            </w:r>
          </w:p>
        </w:tc>
        <w:tc>
          <w:tcPr>
            <w:tcW w:w="1008"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lang w:val="en-US" w:eastAsia="zh-CN"/>
              </w:rPr>
              <w:t>锌</w:t>
            </w:r>
          </w:p>
        </w:tc>
        <w:tc>
          <w:tcPr>
            <w:tcW w:w="3588"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0"/>
                <w:sz w:val="21"/>
                <w:szCs w:val="21"/>
                <w:highlight w:val="none"/>
                <w:lang w:bidi="ar"/>
              </w:rPr>
              <w:t>《水质 铜、锌、铅、镉的测定 原子吸收分光光度法》（GB 7475-87 ）</w:t>
            </w:r>
          </w:p>
        </w:tc>
        <w:tc>
          <w:tcPr>
            <w:tcW w:w="890"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0.05</w:t>
            </w:r>
            <w:r>
              <w:rPr>
                <w:rFonts w:hint="default" w:ascii="Arial" w:hAnsi="Arial" w:eastAsia="宋体" w:cs="Arial"/>
                <w:color w:val="auto"/>
                <w:sz w:val="21"/>
                <w:szCs w:val="21"/>
                <w:highlight w:val="none"/>
                <w:lang w:val="en-US" w:eastAsia="zh-CN"/>
              </w:rPr>
              <w:t>mg/L</w:t>
            </w:r>
          </w:p>
        </w:tc>
        <w:tc>
          <w:tcPr>
            <w:tcW w:w="1503"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lang w:eastAsia="zh-CN"/>
              </w:rPr>
              <w:t>原子吸收光谱仪/</w:t>
            </w:r>
            <w:r>
              <w:rPr>
                <w:rFonts w:hint="default" w:ascii="Arial" w:hAnsi="Arial" w:eastAsia="宋体" w:cs="Arial"/>
                <w:color w:val="auto"/>
                <w:sz w:val="21"/>
                <w:szCs w:val="21"/>
                <w:highlight w:val="none"/>
              </w:rPr>
              <w:t>ICE-3500</w:t>
            </w:r>
          </w:p>
        </w:tc>
        <w:tc>
          <w:tcPr>
            <w:tcW w:w="1376"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HZD-020-A</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638"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31</w:t>
            </w:r>
          </w:p>
        </w:tc>
        <w:tc>
          <w:tcPr>
            <w:tcW w:w="1008"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lang w:val="en-US" w:eastAsia="zh-CN"/>
              </w:rPr>
              <w:t>铜</w:t>
            </w:r>
          </w:p>
        </w:tc>
        <w:tc>
          <w:tcPr>
            <w:tcW w:w="3588"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0"/>
                <w:sz w:val="21"/>
                <w:szCs w:val="21"/>
                <w:highlight w:val="none"/>
                <w:lang w:bidi="ar"/>
              </w:rPr>
              <w:t>《水质 铜、锌、铅、镉的测定 原子吸收分光光度法》（GB 7475-87 ）</w:t>
            </w:r>
          </w:p>
        </w:tc>
        <w:tc>
          <w:tcPr>
            <w:tcW w:w="890"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0.05</w:t>
            </w:r>
            <w:r>
              <w:rPr>
                <w:rFonts w:hint="default" w:ascii="Arial" w:hAnsi="Arial" w:eastAsia="宋体" w:cs="Arial"/>
                <w:color w:val="auto"/>
                <w:sz w:val="21"/>
                <w:szCs w:val="21"/>
                <w:highlight w:val="none"/>
                <w:lang w:val="en-US" w:eastAsia="zh-CN"/>
              </w:rPr>
              <w:t>mg/L</w:t>
            </w:r>
          </w:p>
        </w:tc>
        <w:tc>
          <w:tcPr>
            <w:tcW w:w="1503"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lang w:eastAsia="zh-CN"/>
              </w:rPr>
              <w:t>原子吸收光谱仪/</w:t>
            </w:r>
            <w:r>
              <w:rPr>
                <w:rFonts w:hint="default" w:ascii="Arial" w:hAnsi="Arial" w:eastAsia="宋体" w:cs="Arial"/>
                <w:color w:val="auto"/>
                <w:sz w:val="21"/>
                <w:szCs w:val="21"/>
                <w:highlight w:val="none"/>
              </w:rPr>
              <w:t>ICE-3500</w:t>
            </w:r>
          </w:p>
        </w:tc>
        <w:tc>
          <w:tcPr>
            <w:tcW w:w="1376"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HZD-020-A</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638"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32</w:t>
            </w:r>
          </w:p>
        </w:tc>
        <w:tc>
          <w:tcPr>
            <w:tcW w:w="1008"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铝</w:t>
            </w:r>
          </w:p>
        </w:tc>
        <w:tc>
          <w:tcPr>
            <w:tcW w:w="3588"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《水和废水监测分析方法（第四版）》国家环境 保护总局（2002 年）第三篇 第四章 二、铝（二）间接火焰原子吸收法（B）</w:t>
            </w:r>
          </w:p>
        </w:tc>
        <w:tc>
          <w:tcPr>
            <w:tcW w:w="890"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0.025</w:t>
            </w:r>
            <w:r>
              <w:rPr>
                <w:rFonts w:hint="default" w:ascii="Arial" w:hAnsi="Arial" w:eastAsia="宋体" w:cs="Arial"/>
                <w:color w:val="auto"/>
                <w:sz w:val="21"/>
                <w:szCs w:val="21"/>
                <w:highlight w:val="none"/>
                <w:lang w:val="en-US" w:eastAsia="zh-CN"/>
              </w:rPr>
              <w:t>mg/L</w:t>
            </w:r>
          </w:p>
        </w:tc>
        <w:tc>
          <w:tcPr>
            <w:tcW w:w="1503"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原子吸收光谱仪/ICE-3500</w:t>
            </w:r>
          </w:p>
        </w:tc>
        <w:tc>
          <w:tcPr>
            <w:tcW w:w="1376"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HZD-020-A</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638"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33</w:t>
            </w:r>
          </w:p>
        </w:tc>
        <w:tc>
          <w:tcPr>
            <w:tcW w:w="1008"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lang w:val="en-US" w:eastAsia="zh-CN"/>
              </w:rPr>
              <w:t>硒</w:t>
            </w:r>
          </w:p>
        </w:tc>
        <w:tc>
          <w:tcPr>
            <w:tcW w:w="3588"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0"/>
                <w:sz w:val="21"/>
                <w:szCs w:val="21"/>
                <w:highlight w:val="none"/>
                <w:lang w:bidi="ar"/>
              </w:rPr>
              <w:t>《水质汞、砷、硒、铋和锑的测定原子荧光法》（HJ 694-2014）</w:t>
            </w:r>
          </w:p>
        </w:tc>
        <w:tc>
          <w:tcPr>
            <w:tcW w:w="890"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0.4</w:t>
            </w:r>
          </w:p>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lang w:val="en-US" w:eastAsia="zh-CN"/>
              </w:rPr>
              <w:t>μg/L</w:t>
            </w:r>
          </w:p>
        </w:tc>
        <w:tc>
          <w:tcPr>
            <w:tcW w:w="1503"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原子荧光</w:t>
            </w:r>
            <w:r>
              <w:rPr>
                <w:rFonts w:hint="default" w:ascii="Arial" w:hAnsi="Arial" w:eastAsia="宋体" w:cs="Arial"/>
                <w:color w:val="auto"/>
                <w:sz w:val="21"/>
                <w:szCs w:val="21"/>
                <w:highlight w:val="none"/>
                <w:lang w:eastAsia="zh-CN"/>
              </w:rPr>
              <w:t>光度计/</w:t>
            </w:r>
            <w:r>
              <w:rPr>
                <w:rFonts w:hint="default" w:ascii="Arial" w:hAnsi="Arial" w:eastAsia="宋体" w:cs="Arial"/>
                <w:color w:val="auto"/>
                <w:sz w:val="21"/>
                <w:szCs w:val="21"/>
                <w:highlight w:val="none"/>
              </w:rPr>
              <w:t>AFS-8220</w:t>
            </w:r>
          </w:p>
        </w:tc>
        <w:tc>
          <w:tcPr>
            <w:tcW w:w="1376"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HZD-003-A</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638"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34</w:t>
            </w:r>
          </w:p>
        </w:tc>
        <w:tc>
          <w:tcPr>
            <w:tcW w:w="1008"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0"/>
                <w:sz w:val="21"/>
                <w:szCs w:val="21"/>
                <w:highlight w:val="none"/>
                <w:lang w:val="en-US" w:eastAsia="zh-CN" w:bidi="ar"/>
              </w:rPr>
            </w:pPr>
            <w:r>
              <w:rPr>
                <w:rFonts w:hint="default" w:ascii="Arial" w:hAnsi="Arial" w:eastAsia="宋体" w:cs="Arial"/>
                <w:color w:val="auto"/>
                <w:sz w:val="21"/>
                <w:szCs w:val="21"/>
                <w:highlight w:val="none"/>
                <w:lang w:val="en-US" w:eastAsia="zh-CN"/>
              </w:rPr>
              <w:t>苯</w:t>
            </w:r>
          </w:p>
        </w:tc>
        <w:tc>
          <w:tcPr>
            <w:tcW w:w="3588"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Arial" w:hAnsi="Arial" w:eastAsia="宋体" w:cs="Arial"/>
                <w:color w:val="auto"/>
                <w:kern w:val="0"/>
                <w:sz w:val="21"/>
                <w:szCs w:val="21"/>
                <w:highlight w:val="none"/>
                <w:lang w:val="en-US" w:eastAsia="zh-CN" w:bidi="ar"/>
              </w:rPr>
            </w:pPr>
            <w:r>
              <w:rPr>
                <w:rFonts w:hint="default" w:ascii="Arial" w:hAnsi="Arial" w:eastAsia="宋体" w:cs="Arial"/>
                <w:color w:val="auto"/>
                <w:kern w:val="0"/>
                <w:sz w:val="21"/>
                <w:szCs w:val="21"/>
                <w:highlight w:val="none"/>
                <w:lang w:val="en-US" w:eastAsia="zh-CN" w:bidi="ar"/>
              </w:rPr>
              <w:t>《水质挥发性有机物的测定顶空/气相色谱-质谱法》（HJ810-2016）</w:t>
            </w:r>
          </w:p>
        </w:tc>
        <w:tc>
          <w:tcPr>
            <w:tcW w:w="890"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lang w:val="en-US" w:eastAsia="zh-CN"/>
              </w:rPr>
              <w:t>3ug/L</w:t>
            </w:r>
          </w:p>
        </w:tc>
        <w:tc>
          <w:tcPr>
            <w:tcW w:w="1503"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气相色谱质谱联用仪/ISQ7000</w:t>
            </w:r>
          </w:p>
        </w:tc>
        <w:tc>
          <w:tcPr>
            <w:tcW w:w="1376"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HZD-018-A</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638"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35</w:t>
            </w:r>
          </w:p>
        </w:tc>
        <w:tc>
          <w:tcPr>
            <w:tcW w:w="1008"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0"/>
                <w:sz w:val="21"/>
                <w:szCs w:val="21"/>
                <w:highlight w:val="none"/>
                <w:lang w:val="en-US" w:eastAsia="zh-CN" w:bidi="ar"/>
              </w:rPr>
            </w:pPr>
            <w:r>
              <w:rPr>
                <w:rFonts w:hint="default" w:ascii="Arial" w:hAnsi="Arial" w:eastAsia="宋体" w:cs="Arial"/>
                <w:color w:val="auto"/>
                <w:sz w:val="21"/>
                <w:szCs w:val="21"/>
                <w:highlight w:val="none"/>
                <w:lang w:val="en-US" w:eastAsia="zh-CN"/>
              </w:rPr>
              <w:t>甲苯</w:t>
            </w:r>
          </w:p>
        </w:tc>
        <w:tc>
          <w:tcPr>
            <w:tcW w:w="3588"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Arial" w:hAnsi="Arial" w:eastAsia="宋体" w:cs="Arial"/>
                <w:color w:val="auto"/>
                <w:kern w:val="0"/>
                <w:sz w:val="21"/>
                <w:szCs w:val="21"/>
                <w:highlight w:val="none"/>
                <w:lang w:val="en-US" w:eastAsia="zh-CN" w:bidi="ar"/>
              </w:rPr>
            </w:pPr>
            <w:r>
              <w:rPr>
                <w:rFonts w:hint="default" w:ascii="Arial" w:hAnsi="Arial" w:eastAsia="宋体" w:cs="Arial"/>
                <w:color w:val="auto"/>
                <w:kern w:val="0"/>
                <w:sz w:val="21"/>
                <w:szCs w:val="21"/>
                <w:highlight w:val="none"/>
                <w:lang w:val="en-US" w:eastAsia="zh-CN" w:bidi="ar"/>
              </w:rPr>
              <w:t>水质挥发性有机物的测定顶空/气相色谱-</w:t>
            </w:r>
          </w:p>
          <w:p>
            <w:pPr>
              <w:keepNext w:val="0"/>
              <w:keepLines w:val="0"/>
              <w:pageBreakBefore w:val="0"/>
              <w:widowControl/>
              <w:suppressLineNumbers w:val="0"/>
              <w:kinsoku/>
              <w:wordWrap/>
              <w:overflowPunct/>
              <w:topLinePunct w:val="0"/>
              <w:autoSpaceDE/>
              <w:autoSpaceDN/>
              <w:bidi w:val="0"/>
              <w:adjustRightInd/>
              <w:snapToGrid/>
              <w:spacing w:line="360" w:lineRule="exact"/>
              <w:ind w:left="0" w:leftChars="0" w:firstLine="0" w:firstLineChars="0"/>
              <w:jc w:val="center"/>
              <w:textAlignment w:val="auto"/>
              <w:rPr>
                <w:rFonts w:hint="default" w:ascii="Arial" w:hAnsi="Arial" w:eastAsia="宋体" w:cs="Arial"/>
                <w:color w:val="auto"/>
                <w:kern w:val="0"/>
                <w:sz w:val="21"/>
                <w:szCs w:val="21"/>
                <w:highlight w:val="none"/>
                <w:lang w:val="en-US" w:eastAsia="zh-CN" w:bidi="ar"/>
              </w:rPr>
            </w:pPr>
            <w:r>
              <w:rPr>
                <w:rFonts w:hint="default" w:ascii="Arial" w:hAnsi="Arial" w:eastAsia="宋体" w:cs="Arial"/>
                <w:color w:val="auto"/>
                <w:kern w:val="0"/>
                <w:sz w:val="21"/>
                <w:szCs w:val="21"/>
                <w:highlight w:val="none"/>
                <w:lang w:val="en-US" w:eastAsia="zh-CN" w:bidi="ar"/>
              </w:rPr>
              <w:t>质谱法》（HJ810-2016）</w:t>
            </w:r>
          </w:p>
        </w:tc>
        <w:tc>
          <w:tcPr>
            <w:tcW w:w="890"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lang w:val="en-US" w:eastAsia="zh-CN"/>
              </w:rPr>
              <w:t>3ug/L</w:t>
            </w:r>
          </w:p>
        </w:tc>
        <w:tc>
          <w:tcPr>
            <w:tcW w:w="1503"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气相色谱质谱联用仪/ISQ7000</w:t>
            </w:r>
          </w:p>
        </w:tc>
        <w:tc>
          <w:tcPr>
            <w:tcW w:w="1376"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HZD-018-A</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638"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36</w:t>
            </w:r>
          </w:p>
        </w:tc>
        <w:tc>
          <w:tcPr>
            <w:tcW w:w="1008"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lang w:val="en-US" w:eastAsia="zh-CN"/>
              </w:rPr>
              <w:t>阴离子表面活性剂</w:t>
            </w:r>
          </w:p>
        </w:tc>
        <w:tc>
          <w:tcPr>
            <w:tcW w:w="3588"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0"/>
                <w:sz w:val="21"/>
                <w:szCs w:val="21"/>
                <w:highlight w:val="none"/>
                <w:lang w:bidi="ar"/>
              </w:rPr>
              <w:t>《水质阴离子表面活性剂的测定亚甲蓝分光光度法》（GB 7494-87）</w:t>
            </w:r>
          </w:p>
        </w:tc>
        <w:tc>
          <w:tcPr>
            <w:tcW w:w="890"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lang w:val="en-US" w:eastAsia="zh-CN"/>
              </w:rPr>
              <w:t>0.05 mg/L</w:t>
            </w:r>
          </w:p>
        </w:tc>
        <w:tc>
          <w:tcPr>
            <w:tcW w:w="1503"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lang w:val="en-US" w:eastAsia="zh-CN"/>
              </w:rPr>
              <w:t>可见分光光度计/7230G</w:t>
            </w:r>
          </w:p>
        </w:tc>
        <w:tc>
          <w:tcPr>
            <w:tcW w:w="1376"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lang w:val="en-US" w:eastAsia="zh-CN"/>
              </w:rPr>
              <w:t>HZD-022-A</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638"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37</w:t>
            </w:r>
          </w:p>
        </w:tc>
        <w:tc>
          <w:tcPr>
            <w:tcW w:w="1008"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硫化物</w:t>
            </w:r>
          </w:p>
        </w:tc>
        <w:tc>
          <w:tcPr>
            <w:tcW w:w="3588"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《水质硫化物的测定亚甲基蓝分光光度法》（GB/T 16489-1996）</w:t>
            </w:r>
          </w:p>
        </w:tc>
        <w:tc>
          <w:tcPr>
            <w:tcW w:w="890"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0.005</w:t>
            </w:r>
            <w:r>
              <w:rPr>
                <w:rFonts w:hint="default" w:ascii="Arial" w:hAnsi="Arial" w:eastAsia="宋体" w:cs="Arial"/>
                <w:color w:val="auto"/>
                <w:sz w:val="21"/>
                <w:szCs w:val="21"/>
                <w:highlight w:val="none"/>
                <w:lang w:val="en-US" w:eastAsia="zh-CN"/>
              </w:rPr>
              <w:t>mg/L</w:t>
            </w:r>
          </w:p>
        </w:tc>
        <w:tc>
          <w:tcPr>
            <w:tcW w:w="1503"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lang w:val="en-US" w:eastAsia="zh-CN"/>
              </w:rPr>
              <w:t>可见分光光度计/7230G</w:t>
            </w:r>
          </w:p>
        </w:tc>
        <w:tc>
          <w:tcPr>
            <w:tcW w:w="1376"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lang w:val="en-US" w:eastAsia="zh-CN"/>
              </w:rPr>
              <w:t>HZD-022-A</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638"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38</w:t>
            </w:r>
          </w:p>
        </w:tc>
        <w:tc>
          <w:tcPr>
            <w:tcW w:w="1008"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碘化物</w:t>
            </w:r>
          </w:p>
        </w:tc>
        <w:tc>
          <w:tcPr>
            <w:tcW w:w="3588"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sz w:val="21"/>
                <w:szCs w:val="21"/>
                <w:lang w:val="en-US" w:eastAsia="zh-CN"/>
              </w:rPr>
            </w:pPr>
            <w:r>
              <w:rPr>
                <w:rFonts w:hint="default" w:ascii="Arial" w:hAnsi="Arial" w:eastAsia="宋体" w:cs="Arial"/>
                <w:color w:val="auto"/>
                <w:sz w:val="21"/>
                <w:szCs w:val="21"/>
                <w:lang w:val="en-US" w:eastAsia="zh-CN"/>
              </w:rPr>
              <w:t>《水质碘化物的测定离子色谱法》</w:t>
            </w:r>
          </w:p>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（HJ778-2015）</w:t>
            </w:r>
          </w:p>
        </w:tc>
        <w:tc>
          <w:tcPr>
            <w:tcW w:w="890"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0.002</w:t>
            </w:r>
            <w:r>
              <w:rPr>
                <w:rFonts w:hint="default" w:ascii="Arial" w:hAnsi="Arial" w:eastAsia="宋体" w:cs="Arial"/>
                <w:color w:val="auto"/>
                <w:sz w:val="21"/>
                <w:szCs w:val="21"/>
                <w:highlight w:val="none"/>
                <w:lang w:val="en-US" w:eastAsia="zh-CN"/>
              </w:rPr>
              <w:t>mg/L</w:t>
            </w:r>
          </w:p>
        </w:tc>
        <w:tc>
          <w:tcPr>
            <w:tcW w:w="1503"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离子色谱仪/ISC-600</w:t>
            </w:r>
          </w:p>
        </w:tc>
        <w:tc>
          <w:tcPr>
            <w:tcW w:w="1376"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HZD-001-A</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638"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39</w:t>
            </w:r>
          </w:p>
        </w:tc>
        <w:tc>
          <w:tcPr>
            <w:tcW w:w="1008"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钠</w:t>
            </w:r>
          </w:p>
        </w:tc>
        <w:tc>
          <w:tcPr>
            <w:tcW w:w="3588"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《水质钾和钠的测定火焰原子吸收分光光度法》(GB/T 11904-1989)</w:t>
            </w:r>
          </w:p>
        </w:tc>
        <w:tc>
          <w:tcPr>
            <w:tcW w:w="890"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0.01</w:t>
            </w:r>
            <w:r>
              <w:rPr>
                <w:rFonts w:hint="default" w:ascii="Arial" w:hAnsi="Arial" w:eastAsia="宋体" w:cs="Arial"/>
                <w:color w:val="auto"/>
                <w:sz w:val="21"/>
                <w:szCs w:val="21"/>
                <w:highlight w:val="none"/>
                <w:lang w:val="en-US" w:eastAsia="zh-CN"/>
              </w:rPr>
              <w:t>mg/L</w:t>
            </w:r>
          </w:p>
        </w:tc>
        <w:tc>
          <w:tcPr>
            <w:tcW w:w="1503"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原子吸收光谱仪/ICE-3500</w:t>
            </w:r>
          </w:p>
        </w:tc>
        <w:tc>
          <w:tcPr>
            <w:tcW w:w="1376"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HZD-020-A</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638"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40</w:t>
            </w:r>
          </w:p>
        </w:tc>
        <w:tc>
          <w:tcPr>
            <w:tcW w:w="1008"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三氯甲烷</w:t>
            </w:r>
          </w:p>
        </w:tc>
        <w:tc>
          <w:tcPr>
            <w:tcW w:w="3588"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《水质 挥发性有机物的测定 顶空/气相色谱-质谱法》（HJ 810-2016）</w:t>
            </w:r>
          </w:p>
        </w:tc>
        <w:tc>
          <w:tcPr>
            <w:tcW w:w="890"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1.1μ</w:t>
            </w:r>
            <w:r>
              <w:rPr>
                <w:rFonts w:hint="default" w:ascii="Arial" w:hAnsi="Arial" w:eastAsia="宋体" w:cs="Arial"/>
                <w:color w:val="auto"/>
                <w:sz w:val="21"/>
                <w:szCs w:val="21"/>
              </w:rPr>
              <w:t>g/L</w:t>
            </w:r>
          </w:p>
        </w:tc>
        <w:tc>
          <w:tcPr>
            <w:tcW w:w="1503"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eastAsia="zh-CN"/>
              </w:rPr>
              <w:t>气相色谱-质谱联用仪</w:t>
            </w:r>
            <w:r>
              <w:rPr>
                <w:rFonts w:hint="default" w:ascii="Arial" w:hAnsi="Arial" w:eastAsia="宋体" w:cs="Arial"/>
                <w:color w:val="auto"/>
                <w:sz w:val="21"/>
                <w:szCs w:val="21"/>
                <w:lang w:val="en-US" w:eastAsia="zh-CN"/>
              </w:rPr>
              <w:t>/ISQ7000</w:t>
            </w:r>
          </w:p>
        </w:tc>
        <w:tc>
          <w:tcPr>
            <w:tcW w:w="1376"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HZD-018-A</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638"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41</w:t>
            </w:r>
          </w:p>
        </w:tc>
        <w:tc>
          <w:tcPr>
            <w:tcW w:w="1008"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色度</w:t>
            </w:r>
          </w:p>
        </w:tc>
        <w:tc>
          <w:tcPr>
            <w:tcW w:w="3588"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sz w:val="21"/>
                <w:szCs w:val="21"/>
                <w:lang w:val="en-US" w:eastAsia="zh-CN"/>
              </w:rPr>
            </w:pPr>
            <w:r>
              <w:rPr>
                <w:rFonts w:hint="default" w:ascii="Arial" w:hAnsi="Arial" w:eastAsia="宋体" w:cs="Arial"/>
                <w:color w:val="auto"/>
                <w:sz w:val="21"/>
                <w:szCs w:val="21"/>
                <w:lang w:val="en-US" w:eastAsia="zh-CN"/>
              </w:rPr>
              <w:t>《水质 色度的测定（铂钴比色法）》</w:t>
            </w:r>
          </w:p>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(GB/T 11903-89)</w:t>
            </w:r>
          </w:p>
        </w:tc>
        <w:tc>
          <w:tcPr>
            <w:tcW w:w="890"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w:t>
            </w:r>
          </w:p>
        </w:tc>
        <w:tc>
          <w:tcPr>
            <w:tcW w:w="1503"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w:t>
            </w:r>
          </w:p>
        </w:tc>
        <w:tc>
          <w:tcPr>
            <w:tcW w:w="1376"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638"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42</w:t>
            </w:r>
          </w:p>
        </w:tc>
        <w:tc>
          <w:tcPr>
            <w:tcW w:w="1008"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臭</w:t>
            </w:r>
          </w:p>
        </w:tc>
        <w:tc>
          <w:tcPr>
            <w:tcW w:w="3588"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《水和废水监测分析方法》（第四版）国家环境保护总局（2002 年）第三篇第一章 三、臭（一） 文字描述法（B）</w:t>
            </w:r>
          </w:p>
        </w:tc>
        <w:tc>
          <w:tcPr>
            <w:tcW w:w="890"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w:t>
            </w:r>
          </w:p>
        </w:tc>
        <w:tc>
          <w:tcPr>
            <w:tcW w:w="1503"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w:t>
            </w:r>
          </w:p>
        </w:tc>
        <w:tc>
          <w:tcPr>
            <w:tcW w:w="1376"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638"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43</w:t>
            </w:r>
          </w:p>
        </w:tc>
        <w:tc>
          <w:tcPr>
            <w:tcW w:w="1008"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浑浊度</w:t>
            </w:r>
          </w:p>
        </w:tc>
        <w:tc>
          <w:tcPr>
            <w:tcW w:w="3588"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r>
              <w:rPr>
                <w:rFonts w:hint="default" w:ascii="Arial" w:hAnsi="Arial" w:eastAsia="宋体" w:cs="Arial"/>
                <w:color w:val="auto"/>
                <w:sz w:val="21"/>
                <w:szCs w:val="21"/>
                <w:lang w:val="en-US" w:eastAsia="zh-CN"/>
              </w:rPr>
              <w:t>《水质 浊度的测定（目视比浊法）》</w:t>
            </w:r>
          </w:p>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(GB 13200-91)</w:t>
            </w:r>
          </w:p>
        </w:tc>
        <w:tc>
          <w:tcPr>
            <w:tcW w:w="890"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1度</w:t>
            </w:r>
          </w:p>
        </w:tc>
        <w:tc>
          <w:tcPr>
            <w:tcW w:w="1503"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w:t>
            </w:r>
          </w:p>
        </w:tc>
        <w:tc>
          <w:tcPr>
            <w:tcW w:w="1376"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638" w:type="dxa"/>
            <w:tcBorders>
              <w:bottom w:val="single" w:color="auto" w:sz="4" w:space="0"/>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44</w:t>
            </w:r>
          </w:p>
        </w:tc>
        <w:tc>
          <w:tcPr>
            <w:tcW w:w="1008" w:type="dxa"/>
            <w:tcBorders>
              <w:bottom w:val="single" w:color="auto" w:sz="4" w:space="0"/>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肉眼可见物</w:t>
            </w:r>
          </w:p>
        </w:tc>
        <w:tc>
          <w:tcPr>
            <w:tcW w:w="3588" w:type="dxa"/>
            <w:tcBorders>
              <w:bottom w:val="single" w:color="auto" w:sz="4" w:space="0"/>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sz w:val="21"/>
                <w:szCs w:val="21"/>
                <w:lang w:val="en-US" w:eastAsia="zh-CN"/>
              </w:rPr>
            </w:pPr>
            <w:r>
              <w:rPr>
                <w:rFonts w:hint="default" w:ascii="Arial" w:hAnsi="Arial" w:eastAsia="宋体" w:cs="Arial"/>
                <w:color w:val="auto"/>
                <w:sz w:val="21"/>
                <w:szCs w:val="21"/>
                <w:lang w:val="en-US" w:eastAsia="zh-CN"/>
              </w:rPr>
              <w:t>《生活饮用水标准检验方法感官性状和物理指标》（GB/T 5750.4-2006）</w:t>
            </w:r>
          </w:p>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（4.1 直接观察法）</w:t>
            </w:r>
          </w:p>
        </w:tc>
        <w:tc>
          <w:tcPr>
            <w:tcW w:w="890" w:type="dxa"/>
            <w:tcBorders>
              <w:bottom w:val="single" w:color="auto" w:sz="4" w:space="0"/>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w:t>
            </w:r>
          </w:p>
        </w:tc>
        <w:tc>
          <w:tcPr>
            <w:tcW w:w="1503" w:type="dxa"/>
            <w:tcBorders>
              <w:bottom w:val="single" w:color="auto" w:sz="4" w:space="0"/>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w:t>
            </w:r>
          </w:p>
        </w:tc>
        <w:tc>
          <w:tcPr>
            <w:tcW w:w="1376" w:type="dxa"/>
            <w:tcBorders>
              <w:bottom w:val="single" w:color="auto" w:sz="4" w:space="0"/>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w:t>
            </w:r>
          </w:p>
        </w:tc>
      </w:tr>
    </w:tbl>
    <w:p>
      <w:pPr>
        <w:keepNext w:val="0"/>
        <w:keepLines w:val="0"/>
        <w:pageBreakBefore w:val="0"/>
        <w:widowControl w:val="0"/>
        <w:kinsoku/>
        <w:wordWrap/>
        <w:overflowPunct/>
        <w:topLinePunct/>
        <w:autoSpaceDE w:val="0"/>
        <w:autoSpaceDN/>
        <w:bidi w:val="0"/>
        <w:adjustRightInd/>
        <w:snapToGrid/>
        <w:spacing w:line="480" w:lineRule="exact"/>
        <w:ind w:firstLine="480"/>
        <w:textAlignment w:val="auto"/>
        <w:rPr>
          <w:rFonts w:hint="default" w:ascii="Arial" w:hAnsi="Arial" w:eastAsia="宋体" w:cs="Arial"/>
          <w:color w:val="auto"/>
          <w:kern w:val="0"/>
          <w:highlight w:val="none"/>
          <w:lang w:val="zh-CN"/>
        </w:rPr>
      </w:pPr>
      <w:r>
        <w:rPr>
          <w:rFonts w:hint="default" w:ascii="Arial" w:hAnsi="Arial" w:eastAsia="宋体" w:cs="Arial"/>
          <w:color w:val="auto"/>
          <w:kern w:val="0"/>
          <w:highlight w:val="none"/>
          <w:lang w:val="en-US" w:eastAsia="zh-CN"/>
        </w:rPr>
        <w:t>4</w:t>
      </w:r>
      <w:r>
        <w:rPr>
          <w:rFonts w:hint="default" w:ascii="Arial" w:hAnsi="Arial" w:eastAsia="宋体" w:cs="Arial"/>
          <w:color w:val="auto"/>
          <w:kern w:val="0"/>
          <w:highlight w:val="none"/>
          <w:lang w:val="zh-CN"/>
        </w:rPr>
        <w:t>、监测结果</w:t>
      </w:r>
    </w:p>
    <w:p>
      <w:pPr>
        <w:keepNext w:val="0"/>
        <w:keepLines w:val="0"/>
        <w:pageBreakBefore w:val="0"/>
        <w:widowControl w:val="0"/>
        <w:kinsoku/>
        <w:wordWrap/>
        <w:overflowPunct/>
        <w:topLinePunct/>
        <w:autoSpaceDE w:val="0"/>
        <w:autoSpaceDN/>
        <w:bidi w:val="0"/>
        <w:adjustRightInd/>
        <w:snapToGrid/>
        <w:spacing w:line="480" w:lineRule="exact"/>
        <w:ind w:firstLine="480"/>
        <w:textAlignment w:val="auto"/>
        <w:rPr>
          <w:rFonts w:hint="default" w:ascii="Arial" w:hAnsi="Arial" w:eastAsia="宋体" w:cs="Arial"/>
          <w:color w:val="auto"/>
          <w:kern w:val="0"/>
          <w:highlight w:val="none"/>
          <w:lang w:val="zh-CN"/>
        </w:rPr>
      </w:pPr>
      <w:r>
        <w:rPr>
          <w:rFonts w:hint="default" w:ascii="Arial" w:hAnsi="Arial" w:eastAsia="宋体" w:cs="Arial"/>
          <w:color w:val="auto"/>
          <w:kern w:val="0"/>
          <w:highlight w:val="none"/>
          <w:lang w:val="zh-CN"/>
        </w:rPr>
        <w:t>地下水水位监测结果见表4.2-8，地下水水质监测结果见表4.2-9、表4.2-</w:t>
      </w:r>
      <w:r>
        <w:rPr>
          <w:rFonts w:hint="default" w:ascii="Arial" w:hAnsi="Arial" w:eastAsia="宋体" w:cs="Arial"/>
          <w:color w:val="auto"/>
          <w:kern w:val="0"/>
          <w:highlight w:val="none"/>
          <w:lang w:val="en-US" w:eastAsia="zh-CN"/>
        </w:rPr>
        <w:t>10</w:t>
      </w:r>
      <w:r>
        <w:rPr>
          <w:rFonts w:hint="default" w:ascii="Arial" w:hAnsi="Arial" w:eastAsia="宋体" w:cs="Arial"/>
          <w:color w:val="auto"/>
          <w:kern w:val="0"/>
          <w:highlight w:val="none"/>
          <w:lang w:val="zh-CN"/>
        </w:rPr>
        <w:t>。</w:t>
      </w:r>
    </w:p>
    <w:p>
      <w:pPr>
        <w:keepNext w:val="0"/>
        <w:keepLines w:val="0"/>
        <w:pageBreakBefore w:val="0"/>
        <w:widowControl w:val="0"/>
        <w:kinsoku/>
        <w:wordWrap/>
        <w:overflowPunct/>
        <w:topLinePunct/>
        <w:autoSpaceDE w:val="0"/>
        <w:autoSpaceDN/>
        <w:bidi w:val="0"/>
        <w:adjustRightInd/>
        <w:snapToGrid/>
        <w:spacing w:line="480" w:lineRule="exact"/>
        <w:ind w:firstLine="482"/>
        <w:jc w:val="center"/>
        <w:textAlignment w:val="auto"/>
        <w:rPr>
          <w:rFonts w:hint="default" w:ascii="Arial" w:hAnsi="Arial" w:eastAsia="宋体" w:cs="Arial"/>
          <w:b/>
          <w:color w:val="auto"/>
          <w:highlight w:val="none"/>
        </w:rPr>
      </w:pPr>
      <w:r>
        <w:rPr>
          <w:rFonts w:hint="default" w:ascii="Arial" w:hAnsi="Arial" w:eastAsia="宋体" w:cs="Arial"/>
          <w:b/>
          <w:color w:val="auto"/>
          <w:highlight w:val="none"/>
        </w:rPr>
        <w:t>表4.2-8    各地下水环境现状监测点井深水位一览表</w:t>
      </w:r>
    </w:p>
    <w:tbl>
      <w:tblPr>
        <w:tblStyle w:val="39"/>
        <w:tblW w:w="9003"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0" w:type="dxa"/>
          <w:bottom w:w="0" w:type="dxa"/>
          <w:right w:w="0" w:type="dxa"/>
        </w:tblCellMar>
      </w:tblPr>
      <w:tblGrid>
        <w:gridCol w:w="1762"/>
        <w:gridCol w:w="2457"/>
        <w:gridCol w:w="1024"/>
        <w:gridCol w:w="915"/>
        <w:gridCol w:w="1024"/>
        <w:gridCol w:w="946"/>
        <w:gridCol w:w="875"/>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340" w:hRule="atLeast"/>
          <w:jc w:val="center"/>
        </w:trPr>
        <w:tc>
          <w:tcPr>
            <w:tcW w:w="1762"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sz w:val="21"/>
                <w:szCs w:val="21"/>
                <w:highlight w:val="none"/>
              </w:rPr>
            </w:pPr>
            <w:r>
              <w:rPr>
                <w:rFonts w:hint="default" w:ascii="Arial" w:hAnsi="Arial" w:eastAsia="宋体" w:cs="Arial"/>
                <w:b/>
                <w:bCs/>
                <w:color w:val="auto"/>
                <w:sz w:val="21"/>
                <w:szCs w:val="21"/>
                <w:highlight w:val="none"/>
              </w:rPr>
              <w:t>点位</w:t>
            </w:r>
          </w:p>
        </w:tc>
        <w:tc>
          <w:tcPr>
            <w:tcW w:w="245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b/>
                <w:bCs/>
                <w:color w:val="auto"/>
                <w:sz w:val="21"/>
                <w:szCs w:val="21"/>
                <w:lang w:eastAsia="zh-CN"/>
              </w:rPr>
              <w:t>坐标</w:t>
            </w:r>
          </w:p>
        </w:tc>
        <w:tc>
          <w:tcPr>
            <w:tcW w:w="10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autoSpaceDN/>
              <w:bidi w:val="0"/>
              <w:adjustRightInd/>
              <w:snapToGrid/>
              <w:spacing w:line="360" w:lineRule="exact"/>
              <w:ind w:firstLine="0" w:firstLineChars="0"/>
              <w:jc w:val="center"/>
              <w:textAlignment w:val="auto"/>
              <w:rPr>
                <w:rFonts w:hint="default" w:ascii="Arial" w:hAnsi="Arial" w:eastAsia="宋体" w:cs="Arial"/>
                <w:b/>
                <w:bCs/>
                <w:color w:val="auto"/>
                <w:kern w:val="2"/>
                <w:sz w:val="21"/>
                <w:szCs w:val="21"/>
                <w:lang w:val="en-US" w:eastAsia="zh-CN" w:bidi="ar-SA"/>
              </w:rPr>
            </w:pPr>
            <w:r>
              <w:rPr>
                <w:rFonts w:hint="default" w:ascii="Arial" w:hAnsi="Arial" w:eastAsia="宋体" w:cs="Arial"/>
                <w:b/>
                <w:bCs/>
                <w:color w:val="auto"/>
                <w:sz w:val="21"/>
                <w:szCs w:val="21"/>
              </w:rPr>
              <w:t>水深（m）</w:t>
            </w:r>
          </w:p>
        </w:tc>
        <w:tc>
          <w:tcPr>
            <w:tcW w:w="91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b/>
                <w:bCs/>
                <w:color w:val="auto"/>
                <w:sz w:val="21"/>
                <w:szCs w:val="21"/>
              </w:rPr>
              <w:t>井深（m）</w:t>
            </w:r>
          </w:p>
        </w:tc>
        <w:tc>
          <w:tcPr>
            <w:tcW w:w="10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b/>
                <w:bCs/>
                <w:color w:val="auto"/>
                <w:sz w:val="21"/>
                <w:szCs w:val="21"/>
              </w:rPr>
              <w:t>海拔（m）</w:t>
            </w:r>
          </w:p>
        </w:tc>
        <w:tc>
          <w:tcPr>
            <w:tcW w:w="94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b/>
                <w:bCs/>
                <w:color w:val="auto"/>
                <w:sz w:val="21"/>
                <w:szCs w:val="21"/>
              </w:rPr>
              <w:t>水位（m）</w:t>
            </w:r>
          </w:p>
        </w:tc>
        <w:tc>
          <w:tcPr>
            <w:tcW w:w="875" w:type="dxa"/>
            <w:tcBorders>
              <w:top w:val="single" w:color="auto" w:sz="4" w:space="0"/>
              <w:left w:val="single" w:color="auto" w:sz="4" w:space="0"/>
              <w:bottom w:val="single" w:color="auto" w:sz="4" w:space="0"/>
              <w:right w:val="nil"/>
            </w:tcBorders>
            <w:noWrap w:val="0"/>
            <w:vAlign w:val="center"/>
          </w:tcPr>
          <w:p>
            <w:pPr>
              <w:keepNext w:val="0"/>
              <w:keepLines w:val="0"/>
              <w:pageBreakBefore w:val="0"/>
              <w:widowControl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b/>
                <w:bCs/>
                <w:color w:val="auto"/>
                <w:sz w:val="21"/>
                <w:szCs w:val="21"/>
              </w:rPr>
              <w:t>埋深（m）</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1762"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lang w:val="en-US" w:eastAsia="zh-CN"/>
              </w:rPr>
              <w:t>☆1项目南侧新义五社水井（1#）</w:t>
            </w:r>
          </w:p>
        </w:tc>
        <w:tc>
          <w:tcPr>
            <w:tcW w:w="245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sz w:val="21"/>
                <w:szCs w:val="21"/>
                <w:lang w:eastAsia="zh-CN"/>
              </w:rPr>
            </w:pPr>
            <w:r>
              <w:rPr>
                <w:rFonts w:hint="default" w:ascii="Arial" w:hAnsi="Arial" w:eastAsia="宋体" w:cs="Arial"/>
                <w:color w:val="auto"/>
                <w:sz w:val="21"/>
                <w:szCs w:val="21"/>
                <w:lang w:val="en-US" w:eastAsia="zh-CN"/>
              </w:rPr>
              <w:t>E</w:t>
            </w:r>
            <w:r>
              <w:rPr>
                <w:rFonts w:hint="default" w:ascii="Arial" w:hAnsi="Arial" w:eastAsia="宋体" w:cs="Arial"/>
                <w:color w:val="auto"/>
                <w:sz w:val="21"/>
                <w:szCs w:val="21"/>
                <w:highlight w:val="none"/>
              </w:rPr>
              <w:t>1</w:t>
            </w:r>
            <w:r>
              <w:rPr>
                <w:rFonts w:hint="default" w:ascii="Arial" w:hAnsi="Arial" w:eastAsia="宋体" w:cs="Arial"/>
                <w:color w:val="auto"/>
                <w:sz w:val="21"/>
                <w:szCs w:val="21"/>
                <w:highlight w:val="none"/>
                <w:lang w:val="en-US" w:eastAsia="zh-CN"/>
              </w:rPr>
              <w:t>07</w:t>
            </w:r>
            <w:r>
              <w:rPr>
                <w:rFonts w:hint="default" w:ascii="Arial" w:hAnsi="Arial" w:eastAsia="宋体" w:cs="Arial"/>
                <w:color w:val="auto"/>
                <w:sz w:val="21"/>
                <w:szCs w:val="21"/>
                <w:highlight w:val="none"/>
              </w:rPr>
              <w:t>°</w:t>
            </w:r>
            <w:r>
              <w:rPr>
                <w:rFonts w:hint="default" w:ascii="Arial" w:hAnsi="Arial" w:eastAsia="宋体" w:cs="Arial"/>
                <w:color w:val="auto"/>
                <w:sz w:val="21"/>
                <w:szCs w:val="21"/>
                <w:highlight w:val="none"/>
                <w:lang w:val="en-US" w:eastAsia="zh-CN"/>
              </w:rPr>
              <w:t>40</w:t>
            </w:r>
            <w:r>
              <w:rPr>
                <w:rFonts w:hint="default" w:ascii="Arial" w:hAnsi="Arial" w:eastAsia="宋体" w:cs="Arial"/>
                <w:color w:val="auto"/>
                <w:sz w:val="21"/>
                <w:szCs w:val="21"/>
                <w:highlight w:val="none"/>
                <w:lang w:eastAsia="zh-CN"/>
              </w:rPr>
              <w:t>′</w:t>
            </w:r>
            <w:r>
              <w:rPr>
                <w:rFonts w:hint="default" w:ascii="Arial" w:hAnsi="Arial" w:eastAsia="宋体" w:cs="Arial"/>
                <w:color w:val="auto"/>
                <w:sz w:val="21"/>
                <w:szCs w:val="21"/>
                <w:highlight w:val="none"/>
                <w:lang w:val="en-US" w:eastAsia="zh-CN"/>
              </w:rPr>
              <w:t>33.3</w:t>
            </w:r>
            <w:r>
              <w:rPr>
                <w:rFonts w:hint="default" w:ascii="Arial" w:hAnsi="Arial" w:eastAsia="宋体" w:cs="Arial"/>
                <w:color w:val="auto"/>
                <w:sz w:val="21"/>
                <w:szCs w:val="21"/>
              </w:rPr>
              <w:t>″</w:t>
            </w:r>
            <w:r>
              <w:rPr>
                <w:rFonts w:hint="default" w:ascii="Arial" w:hAnsi="Arial" w:eastAsia="宋体" w:cs="Arial"/>
                <w:color w:val="auto"/>
                <w:sz w:val="21"/>
                <w:szCs w:val="21"/>
                <w:lang w:eastAsia="zh-CN"/>
              </w:rPr>
              <w:t>，</w:t>
            </w:r>
          </w:p>
          <w:p>
            <w:pPr>
              <w:keepNext w:val="0"/>
              <w:keepLines w:val="0"/>
              <w:pageBreakBefore w:val="0"/>
              <w:widowControl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N40°55′36.12″</w:t>
            </w:r>
          </w:p>
        </w:tc>
        <w:tc>
          <w:tcPr>
            <w:tcW w:w="10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2</w:t>
            </w:r>
          </w:p>
        </w:tc>
        <w:tc>
          <w:tcPr>
            <w:tcW w:w="91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9</w:t>
            </w:r>
          </w:p>
        </w:tc>
        <w:tc>
          <w:tcPr>
            <w:tcW w:w="10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1034</w:t>
            </w:r>
          </w:p>
        </w:tc>
        <w:tc>
          <w:tcPr>
            <w:tcW w:w="94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1027</w:t>
            </w:r>
          </w:p>
        </w:tc>
        <w:tc>
          <w:tcPr>
            <w:tcW w:w="875" w:type="dxa"/>
            <w:tcBorders>
              <w:top w:val="single" w:color="auto" w:sz="4" w:space="0"/>
              <w:left w:val="single" w:color="auto" w:sz="4" w:space="0"/>
              <w:bottom w:val="single" w:color="auto" w:sz="4" w:space="0"/>
              <w:right w:val="nil"/>
            </w:tcBorders>
            <w:noWrap w:val="0"/>
            <w:vAlign w:val="center"/>
          </w:tcPr>
          <w:p>
            <w:pPr>
              <w:keepNext w:val="0"/>
              <w:keepLines w:val="0"/>
              <w:pageBreakBefore w:val="0"/>
              <w:widowControl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7</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340" w:hRule="atLeast"/>
          <w:jc w:val="center"/>
        </w:trPr>
        <w:tc>
          <w:tcPr>
            <w:tcW w:w="1762"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lang w:val="en-US" w:eastAsia="zh-CN"/>
              </w:rPr>
              <w:t>☆2项目北侧新胜五社水井（1#）</w:t>
            </w:r>
          </w:p>
        </w:tc>
        <w:tc>
          <w:tcPr>
            <w:tcW w:w="245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E</w:t>
            </w:r>
            <w:r>
              <w:rPr>
                <w:rFonts w:hint="default" w:ascii="Arial" w:hAnsi="Arial" w:eastAsia="宋体" w:cs="Arial"/>
                <w:color w:val="auto"/>
                <w:sz w:val="21"/>
                <w:szCs w:val="21"/>
                <w:highlight w:val="none"/>
              </w:rPr>
              <w:t>1</w:t>
            </w:r>
            <w:r>
              <w:rPr>
                <w:rFonts w:hint="default" w:ascii="Arial" w:hAnsi="Arial" w:eastAsia="宋体" w:cs="Arial"/>
                <w:color w:val="auto"/>
                <w:sz w:val="21"/>
                <w:szCs w:val="21"/>
                <w:highlight w:val="none"/>
                <w:lang w:val="en-US" w:eastAsia="zh-CN"/>
              </w:rPr>
              <w:t>07</w:t>
            </w:r>
            <w:r>
              <w:rPr>
                <w:rFonts w:hint="default" w:ascii="Arial" w:hAnsi="Arial" w:eastAsia="宋体" w:cs="Arial"/>
                <w:color w:val="auto"/>
                <w:sz w:val="21"/>
                <w:szCs w:val="21"/>
                <w:highlight w:val="none"/>
              </w:rPr>
              <w:t>°</w:t>
            </w:r>
            <w:r>
              <w:rPr>
                <w:rFonts w:hint="default" w:ascii="Arial" w:hAnsi="Arial" w:eastAsia="宋体" w:cs="Arial"/>
                <w:color w:val="auto"/>
                <w:sz w:val="21"/>
                <w:szCs w:val="21"/>
                <w:highlight w:val="none"/>
                <w:lang w:val="en-US" w:eastAsia="zh-CN"/>
              </w:rPr>
              <w:t>40</w:t>
            </w:r>
            <w:r>
              <w:rPr>
                <w:rFonts w:hint="default" w:ascii="Arial" w:hAnsi="Arial" w:eastAsia="宋体" w:cs="Arial"/>
                <w:color w:val="auto"/>
                <w:sz w:val="21"/>
                <w:szCs w:val="21"/>
                <w:highlight w:val="none"/>
                <w:lang w:eastAsia="zh-CN"/>
              </w:rPr>
              <w:t>′</w:t>
            </w:r>
            <w:r>
              <w:rPr>
                <w:rFonts w:hint="default" w:ascii="Arial" w:hAnsi="Arial" w:eastAsia="宋体" w:cs="Arial"/>
                <w:color w:val="auto"/>
                <w:sz w:val="21"/>
                <w:szCs w:val="21"/>
                <w:highlight w:val="none"/>
                <w:lang w:val="en-US" w:eastAsia="zh-CN"/>
              </w:rPr>
              <w:t>57.43</w:t>
            </w:r>
            <w:r>
              <w:rPr>
                <w:rFonts w:hint="default" w:ascii="Arial" w:hAnsi="Arial" w:eastAsia="宋体" w:cs="Arial"/>
                <w:color w:val="auto"/>
                <w:sz w:val="21"/>
                <w:szCs w:val="21"/>
                <w:lang w:val="en-US" w:eastAsia="zh-CN"/>
              </w:rPr>
              <w:t>″，N</w:t>
            </w:r>
            <w:r>
              <w:rPr>
                <w:rFonts w:hint="default" w:ascii="Arial" w:hAnsi="Arial" w:eastAsia="宋体" w:cs="Arial"/>
                <w:color w:val="auto"/>
                <w:sz w:val="21"/>
                <w:szCs w:val="21"/>
                <w:highlight w:val="none"/>
                <w:lang w:val="en-US" w:eastAsia="zh-CN"/>
              </w:rPr>
              <w:t>40</w:t>
            </w:r>
            <w:r>
              <w:rPr>
                <w:rFonts w:hint="default" w:ascii="Arial" w:hAnsi="Arial" w:eastAsia="宋体" w:cs="Arial"/>
                <w:color w:val="auto"/>
                <w:sz w:val="21"/>
                <w:szCs w:val="21"/>
                <w:highlight w:val="none"/>
              </w:rPr>
              <w:t>°</w:t>
            </w:r>
            <w:r>
              <w:rPr>
                <w:rFonts w:hint="default" w:ascii="Arial" w:hAnsi="Arial" w:eastAsia="宋体" w:cs="Arial"/>
                <w:color w:val="auto"/>
                <w:sz w:val="21"/>
                <w:szCs w:val="21"/>
                <w:highlight w:val="none"/>
                <w:lang w:val="en-US" w:eastAsia="zh-CN"/>
              </w:rPr>
              <w:t>57</w:t>
            </w:r>
            <w:r>
              <w:rPr>
                <w:rFonts w:hint="default" w:ascii="Arial" w:hAnsi="Arial" w:eastAsia="宋体" w:cs="Arial"/>
                <w:color w:val="auto"/>
                <w:sz w:val="21"/>
                <w:szCs w:val="21"/>
                <w:highlight w:val="none"/>
                <w:lang w:eastAsia="zh-CN"/>
              </w:rPr>
              <w:t>′</w:t>
            </w:r>
            <w:r>
              <w:rPr>
                <w:rFonts w:hint="default" w:ascii="Arial" w:hAnsi="Arial" w:eastAsia="宋体" w:cs="Arial"/>
                <w:color w:val="auto"/>
                <w:sz w:val="21"/>
                <w:szCs w:val="21"/>
                <w:highlight w:val="none"/>
                <w:lang w:val="en-US" w:eastAsia="zh-CN"/>
              </w:rPr>
              <w:t>1.61</w:t>
            </w:r>
            <w:r>
              <w:rPr>
                <w:rFonts w:hint="default" w:ascii="Arial" w:hAnsi="Arial" w:eastAsia="宋体" w:cs="Arial"/>
                <w:color w:val="auto"/>
                <w:sz w:val="21"/>
                <w:szCs w:val="21"/>
                <w:highlight w:val="none"/>
                <w:lang w:eastAsia="zh-CN"/>
              </w:rPr>
              <w:t>″</w:t>
            </w:r>
          </w:p>
        </w:tc>
        <w:tc>
          <w:tcPr>
            <w:tcW w:w="10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6</w:t>
            </w:r>
          </w:p>
        </w:tc>
        <w:tc>
          <w:tcPr>
            <w:tcW w:w="91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14</w:t>
            </w:r>
          </w:p>
        </w:tc>
        <w:tc>
          <w:tcPr>
            <w:tcW w:w="10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1030</w:t>
            </w:r>
          </w:p>
        </w:tc>
        <w:tc>
          <w:tcPr>
            <w:tcW w:w="94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1022</w:t>
            </w:r>
          </w:p>
        </w:tc>
        <w:tc>
          <w:tcPr>
            <w:tcW w:w="875" w:type="dxa"/>
            <w:tcBorders>
              <w:top w:val="single" w:color="auto" w:sz="4" w:space="0"/>
              <w:left w:val="single" w:color="auto" w:sz="4" w:space="0"/>
              <w:bottom w:val="single" w:color="auto" w:sz="4" w:space="0"/>
              <w:right w:val="nil"/>
            </w:tcBorders>
            <w:noWrap w:val="0"/>
            <w:vAlign w:val="center"/>
          </w:tcPr>
          <w:p>
            <w:pPr>
              <w:keepNext w:val="0"/>
              <w:keepLines w:val="0"/>
              <w:pageBreakBefore w:val="0"/>
              <w:widowControl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8</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340" w:hRule="atLeast"/>
          <w:jc w:val="center"/>
        </w:trPr>
        <w:tc>
          <w:tcPr>
            <w:tcW w:w="1762"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lang w:val="en-US" w:eastAsia="zh-CN"/>
              </w:rPr>
              <w:t>☆3项目东侧养殖场水井</w:t>
            </w:r>
          </w:p>
        </w:tc>
        <w:tc>
          <w:tcPr>
            <w:tcW w:w="245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E</w:t>
            </w:r>
            <w:r>
              <w:rPr>
                <w:rFonts w:hint="default" w:ascii="Arial" w:hAnsi="Arial" w:eastAsia="宋体" w:cs="Arial"/>
                <w:color w:val="auto"/>
                <w:sz w:val="21"/>
                <w:szCs w:val="21"/>
                <w:highlight w:val="none"/>
              </w:rPr>
              <w:t>1</w:t>
            </w:r>
            <w:r>
              <w:rPr>
                <w:rFonts w:hint="default" w:ascii="Arial" w:hAnsi="Arial" w:eastAsia="宋体" w:cs="Arial"/>
                <w:color w:val="auto"/>
                <w:sz w:val="21"/>
                <w:szCs w:val="21"/>
                <w:highlight w:val="none"/>
                <w:lang w:val="en-US" w:eastAsia="zh-CN"/>
              </w:rPr>
              <w:t>07</w:t>
            </w:r>
            <w:r>
              <w:rPr>
                <w:rFonts w:hint="default" w:ascii="Arial" w:hAnsi="Arial" w:eastAsia="宋体" w:cs="Arial"/>
                <w:color w:val="auto"/>
                <w:sz w:val="21"/>
                <w:szCs w:val="21"/>
                <w:highlight w:val="none"/>
              </w:rPr>
              <w:t>°</w:t>
            </w:r>
            <w:r>
              <w:rPr>
                <w:rFonts w:hint="default" w:ascii="Arial" w:hAnsi="Arial" w:eastAsia="宋体" w:cs="Arial"/>
                <w:color w:val="auto"/>
                <w:sz w:val="21"/>
                <w:szCs w:val="21"/>
                <w:highlight w:val="none"/>
                <w:lang w:val="en-US" w:eastAsia="zh-CN"/>
              </w:rPr>
              <w:t>41</w:t>
            </w:r>
            <w:r>
              <w:rPr>
                <w:rFonts w:hint="default" w:ascii="Arial" w:hAnsi="Arial" w:eastAsia="宋体" w:cs="Arial"/>
                <w:color w:val="auto"/>
                <w:sz w:val="21"/>
                <w:szCs w:val="21"/>
                <w:highlight w:val="none"/>
                <w:lang w:eastAsia="zh-CN"/>
              </w:rPr>
              <w:t>′</w:t>
            </w:r>
            <w:r>
              <w:rPr>
                <w:rFonts w:hint="default" w:ascii="Arial" w:hAnsi="Arial" w:eastAsia="宋体" w:cs="Arial"/>
                <w:color w:val="auto"/>
                <w:sz w:val="21"/>
                <w:szCs w:val="21"/>
                <w:highlight w:val="none"/>
                <w:lang w:val="en-US" w:eastAsia="zh-CN"/>
              </w:rPr>
              <w:t>6.45</w:t>
            </w:r>
            <w:r>
              <w:rPr>
                <w:rFonts w:hint="default" w:ascii="Arial" w:hAnsi="Arial" w:eastAsia="宋体" w:cs="Arial"/>
                <w:color w:val="auto"/>
                <w:sz w:val="21"/>
                <w:szCs w:val="21"/>
              </w:rPr>
              <w:t>″</w:t>
            </w:r>
            <w:r>
              <w:rPr>
                <w:rFonts w:hint="default" w:ascii="Arial" w:hAnsi="Arial" w:eastAsia="宋体" w:cs="Arial"/>
                <w:color w:val="auto"/>
                <w:sz w:val="21"/>
                <w:szCs w:val="21"/>
                <w:lang w:eastAsia="zh-CN"/>
              </w:rPr>
              <w:t>，</w:t>
            </w:r>
            <w:r>
              <w:rPr>
                <w:rFonts w:hint="default" w:ascii="Arial" w:hAnsi="Arial" w:eastAsia="宋体" w:cs="Arial"/>
                <w:color w:val="auto"/>
                <w:sz w:val="21"/>
                <w:szCs w:val="21"/>
                <w:lang w:val="en-US" w:eastAsia="zh-CN"/>
              </w:rPr>
              <w:t>N</w:t>
            </w:r>
            <w:r>
              <w:rPr>
                <w:rFonts w:hint="default" w:ascii="Arial" w:hAnsi="Arial" w:eastAsia="宋体" w:cs="Arial"/>
                <w:color w:val="auto"/>
                <w:sz w:val="21"/>
                <w:szCs w:val="21"/>
                <w:highlight w:val="none"/>
                <w:lang w:val="en-US" w:eastAsia="zh-CN"/>
              </w:rPr>
              <w:t>40</w:t>
            </w:r>
            <w:r>
              <w:rPr>
                <w:rFonts w:hint="default" w:ascii="Arial" w:hAnsi="Arial" w:eastAsia="宋体" w:cs="Arial"/>
                <w:color w:val="auto"/>
                <w:sz w:val="21"/>
                <w:szCs w:val="21"/>
                <w:highlight w:val="none"/>
              </w:rPr>
              <w:t>°</w:t>
            </w:r>
            <w:r>
              <w:rPr>
                <w:rFonts w:hint="default" w:ascii="Arial" w:hAnsi="Arial" w:eastAsia="宋体" w:cs="Arial"/>
                <w:color w:val="auto"/>
                <w:sz w:val="21"/>
                <w:szCs w:val="21"/>
                <w:highlight w:val="none"/>
                <w:lang w:val="en-US" w:eastAsia="zh-CN"/>
              </w:rPr>
              <w:t>56</w:t>
            </w:r>
            <w:r>
              <w:rPr>
                <w:rFonts w:hint="default" w:ascii="Arial" w:hAnsi="Arial" w:eastAsia="宋体" w:cs="Arial"/>
                <w:color w:val="auto"/>
                <w:sz w:val="21"/>
                <w:szCs w:val="21"/>
                <w:highlight w:val="none"/>
                <w:lang w:eastAsia="zh-CN"/>
              </w:rPr>
              <w:t>′</w:t>
            </w:r>
            <w:r>
              <w:rPr>
                <w:rFonts w:hint="default" w:ascii="Arial" w:hAnsi="Arial" w:eastAsia="宋体" w:cs="Arial"/>
                <w:color w:val="auto"/>
                <w:sz w:val="21"/>
                <w:szCs w:val="21"/>
                <w:highlight w:val="none"/>
                <w:lang w:val="en-US" w:eastAsia="zh-CN"/>
              </w:rPr>
              <w:t>8.17</w:t>
            </w:r>
            <w:r>
              <w:rPr>
                <w:rFonts w:hint="default" w:ascii="Arial" w:hAnsi="Arial" w:eastAsia="宋体" w:cs="Arial"/>
                <w:color w:val="auto"/>
                <w:sz w:val="21"/>
                <w:szCs w:val="21"/>
                <w:highlight w:val="none"/>
                <w:lang w:eastAsia="zh-CN"/>
              </w:rPr>
              <w:t>″</w:t>
            </w:r>
          </w:p>
        </w:tc>
        <w:tc>
          <w:tcPr>
            <w:tcW w:w="10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7</w:t>
            </w:r>
          </w:p>
        </w:tc>
        <w:tc>
          <w:tcPr>
            <w:tcW w:w="91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15</w:t>
            </w:r>
          </w:p>
        </w:tc>
        <w:tc>
          <w:tcPr>
            <w:tcW w:w="10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1028</w:t>
            </w:r>
          </w:p>
        </w:tc>
        <w:tc>
          <w:tcPr>
            <w:tcW w:w="94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1020</w:t>
            </w:r>
          </w:p>
        </w:tc>
        <w:tc>
          <w:tcPr>
            <w:tcW w:w="875" w:type="dxa"/>
            <w:tcBorders>
              <w:top w:val="single" w:color="auto" w:sz="4" w:space="0"/>
              <w:left w:val="single" w:color="auto" w:sz="4" w:space="0"/>
              <w:bottom w:val="single" w:color="auto" w:sz="4" w:space="0"/>
              <w:right w:val="nil"/>
            </w:tcBorders>
            <w:noWrap w:val="0"/>
            <w:vAlign w:val="center"/>
          </w:tcPr>
          <w:p>
            <w:pPr>
              <w:keepNext w:val="0"/>
              <w:keepLines w:val="0"/>
              <w:pageBreakBefore w:val="0"/>
              <w:widowControl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8</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340" w:hRule="atLeast"/>
          <w:jc w:val="center"/>
        </w:trPr>
        <w:tc>
          <w:tcPr>
            <w:tcW w:w="1762"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lang w:val="en-US" w:eastAsia="zh-CN"/>
              </w:rPr>
              <w:t>☆4项目南侧新义五社水井（2#）</w:t>
            </w:r>
          </w:p>
        </w:tc>
        <w:tc>
          <w:tcPr>
            <w:tcW w:w="245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highlight w:val="none"/>
                <w:lang w:val="en-US" w:eastAsia="zh-CN"/>
              </w:rPr>
              <w:t>E</w:t>
            </w:r>
            <w:r>
              <w:rPr>
                <w:rFonts w:hint="default" w:ascii="Arial" w:hAnsi="Arial" w:eastAsia="宋体" w:cs="Arial"/>
                <w:color w:val="auto"/>
                <w:sz w:val="21"/>
                <w:szCs w:val="21"/>
                <w:highlight w:val="none"/>
              </w:rPr>
              <w:t>1</w:t>
            </w:r>
            <w:r>
              <w:rPr>
                <w:rFonts w:hint="default" w:ascii="Arial" w:hAnsi="Arial" w:eastAsia="宋体" w:cs="Arial"/>
                <w:color w:val="auto"/>
                <w:sz w:val="21"/>
                <w:szCs w:val="21"/>
                <w:highlight w:val="none"/>
                <w:lang w:val="en-US" w:eastAsia="zh-CN"/>
              </w:rPr>
              <w:t>07</w:t>
            </w:r>
            <w:r>
              <w:rPr>
                <w:rFonts w:hint="default" w:ascii="Arial" w:hAnsi="Arial" w:eastAsia="宋体" w:cs="Arial"/>
                <w:color w:val="auto"/>
                <w:sz w:val="21"/>
                <w:szCs w:val="21"/>
                <w:highlight w:val="none"/>
              </w:rPr>
              <w:t>°</w:t>
            </w:r>
            <w:r>
              <w:rPr>
                <w:rFonts w:hint="default" w:ascii="Arial" w:hAnsi="Arial" w:eastAsia="宋体" w:cs="Arial"/>
                <w:color w:val="auto"/>
                <w:sz w:val="21"/>
                <w:szCs w:val="21"/>
                <w:highlight w:val="none"/>
                <w:lang w:val="en-US" w:eastAsia="zh-CN"/>
              </w:rPr>
              <w:t>40</w:t>
            </w:r>
            <w:r>
              <w:rPr>
                <w:rFonts w:hint="default" w:ascii="Arial" w:hAnsi="Arial" w:eastAsia="宋体" w:cs="Arial"/>
                <w:color w:val="auto"/>
                <w:sz w:val="21"/>
                <w:szCs w:val="21"/>
                <w:highlight w:val="none"/>
                <w:lang w:eastAsia="zh-CN"/>
              </w:rPr>
              <w:t>′</w:t>
            </w:r>
            <w:r>
              <w:rPr>
                <w:rFonts w:hint="default" w:ascii="Arial" w:hAnsi="Arial" w:eastAsia="宋体" w:cs="Arial"/>
                <w:color w:val="auto"/>
                <w:sz w:val="21"/>
                <w:szCs w:val="21"/>
                <w:highlight w:val="none"/>
                <w:lang w:val="en-US" w:eastAsia="zh-CN"/>
              </w:rPr>
              <w:t>31.01</w:t>
            </w:r>
            <w:r>
              <w:rPr>
                <w:rFonts w:hint="default" w:ascii="Arial" w:hAnsi="Arial" w:eastAsia="宋体" w:cs="Arial"/>
                <w:color w:val="auto"/>
                <w:sz w:val="21"/>
                <w:szCs w:val="21"/>
              </w:rPr>
              <w:t>″</w:t>
            </w:r>
            <w:r>
              <w:rPr>
                <w:rFonts w:hint="default" w:ascii="Arial" w:hAnsi="Arial" w:eastAsia="宋体" w:cs="Arial"/>
                <w:color w:val="auto"/>
                <w:sz w:val="21"/>
                <w:szCs w:val="21"/>
                <w:lang w:eastAsia="zh-CN"/>
              </w:rPr>
              <w:t>，</w:t>
            </w:r>
            <w:r>
              <w:rPr>
                <w:rFonts w:hint="default" w:ascii="Arial" w:hAnsi="Arial" w:eastAsia="宋体" w:cs="Arial"/>
                <w:color w:val="auto"/>
                <w:sz w:val="21"/>
                <w:szCs w:val="21"/>
                <w:lang w:val="en-US" w:eastAsia="zh-CN"/>
              </w:rPr>
              <w:t>N</w:t>
            </w:r>
            <w:r>
              <w:rPr>
                <w:rFonts w:hint="default" w:ascii="Arial" w:hAnsi="Arial" w:eastAsia="宋体" w:cs="Arial"/>
                <w:color w:val="auto"/>
                <w:sz w:val="21"/>
                <w:szCs w:val="21"/>
                <w:highlight w:val="none"/>
                <w:lang w:val="en-US" w:eastAsia="zh-CN"/>
              </w:rPr>
              <w:t>40</w:t>
            </w:r>
            <w:r>
              <w:rPr>
                <w:rFonts w:hint="default" w:ascii="Arial" w:hAnsi="Arial" w:eastAsia="宋体" w:cs="Arial"/>
                <w:color w:val="auto"/>
                <w:sz w:val="21"/>
                <w:szCs w:val="21"/>
                <w:highlight w:val="none"/>
              </w:rPr>
              <w:t>°</w:t>
            </w:r>
            <w:r>
              <w:rPr>
                <w:rFonts w:hint="default" w:ascii="Arial" w:hAnsi="Arial" w:eastAsia="宋体" w:cs="Arial"/>
                <w:color w:val="auto"/>
                <w:sz w:val="21"/>
                <w:szCs w:val="21"/>
                <w:highlight w:val="none"/>
                <w:lang w:val="en-US" w:eastAsia="zh-CN"/>
              </w:rPr>
              <w:t>55</w:t>
            </w:r>
            <w:r>
              <w:rPr>
                <w:rFonts w:hint="default" w:ascii="Arial" w:hAnsi="Arial" w:eastAsia="宋体" w:cs="Arial"/>
                <w:color w:val="auto"/>
                <w:sz w:val="21"/>
                <w:szCs w:val="21"/>
                <w:highlight w:val="none"/>
                <w:lang w:eastAsia="zh-CN"/>
              </w:rPr>
              <w:t>′</w:t>
            </w:r>
            <w:r>
              <w:rPr>
                <w:rFonts w:hint="default" w:ascii="Arial" w:hAnsi="Arial" w:eastAsia="宋体" w:cs="Arial"/>
                <w:color w:val="auto"/>
                <w:sz w:val="21"/>
                <w:szCs w:val="21"/>
                <w:highlight w:val="none"/>
                <w:lang w:val="en-US" w:eastAsia="zh-CN"/>
              </w:rPr>
              <w:t>41.63</w:t>
            </w:r>
            <w:r>
              <w:rPr>
                <w:rFonts w:hint="default" w:ascii="Arial" w:hAnsi="Arial" w:eastAsia="宋体" w:cs="Arial"/>
                <w:color w:val="auto"/>
                <w:sz w:val="21"/>
                <w:szCs w:val="21"/>
                <w:highlight w:val="none"/>
                <w:lang w:eastAsia="zh-CN"/>
              </w:rPr>
              <w:t>″</w:t>
            </w:r>
          </w:p>
        </w:tc>
        <w:tc>
          <w:tcPr>
            <w:tcW w:w="10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6</w:t>
            </w:r>
          </w:p>
        </w:tc>
        <w:tc>
          <w:tcPr>
            <w:tcW w:w="91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15</w:t>
            </w:r>
          </w:p>
        </w:tc>
        <w:tc>
          <w:tcPr>
            <w:tcW w:w="10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1032</w:t>
            </w:r>
          </w:p>
        </w:tc>
        <w:tc>
          <w:tcPr>
            <w:tcW w:w="94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1023</w:t>
            </w:r>
          </w:p>
        </w:tc>
        <w:tc>
          <w:tcPr>
            <w:tcW w:w="875" w:type="dxa"/>
            <w:tcBorders>
              <w:top w:val="single" w:color="auto" w:sz="4" w:space="0"/>
              <w:left w:val="single" w:color="auto" w:sz="4" w:space="0"/>
              <w:bottom w:val="single" w:color="auto" w:sz="4" w:space="0"/>
              <w:right w:val="nil"/>
            </w:tcBorders>
            <w:noWrap w:val="0"/>
            <w:vAlign w:val="center"/>
          </w:tcPr>
          <w:p>
            <w:pPr>
              <w:keepNext w:val="0"/>
              <w:keepLines w:val="0"/>
              <w:pageBreakBefore w:val="0"/>
              <w:widowControl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9</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340" w:hRule="atLeast"/>
          <w:jc w:val="center"/>
        </w:trPr>
        <w:tc>
          <w:tcPr>
            <w:tcW w:w="1762"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lang w:val="en-US" w:eastAsia="zh-CN"/>
              </w:rPr>
              <w:t>☆5项目北侧新胜五社水井（2#）</w:t>
            </w:r>
          </w:p>
        </w:tc>
        <w:tc>
          <w:tcPr>
            <w:tcW w:w="245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highlight w:val="none"/>
                <w:lang w:val="en-US" w:eastAsia="zh-CN"/>
              </w:rPr>
              <w:t>E</w:t>
            </w:r>
            <w:r>
              <w:rPr>
                <w:rFonts w:hint="default" w:ascii="Arial" w:hAnsi="Arial" w:eastAsia="宋体" w:cs="Arial"/>
                <w:color w:val="auto"/>
                <w:sz w:val="21"/>
                <w:szCs w:val="21"/>
                <w:highlight w:val="none"/>
              </w:rPr>
              <w:t>1</w:t>
            </w:r>
            <w:r>
              <w:rPr>
                <w:rFonts w:hint="default" w:ascii="Arial" w:hAnsi="Arial" w:eastAsia="宋体" w:cs="Arial"/>
                <w:color w:val="auto"/>
                <w:sz w:val="21"/>
                <w:szCs w:val="21"/>
                <w:highlight w:val="none"/>
                <w:lang w:val="en-US" w:eastAsia="zh-CN"/>
              </w:rPr>
              <w:t>07</w:t>
            </w:r>
            <w:r>
              <w:rPr>
                <w:rFonts w:hint="default" w:ascii="Arial" w:hAnsi="Arial" w:eastAsia="宋体" w:cs="Arial"/>
                <w:color w:val="auto"/>
                <w:sz w:val="21"/>
                <w:szCs w:val="21"/>
                <w:highlight w:val="none"/>
              </w:rPr>
              <w:t>°</w:t>
            </w:r>
            <w:r>
              <w:rPr>
                <w:rFonts w:hint="default" w:ascii="Arial" w:hAnsi="Arial" w:eastAsia="宋体" w:cs="Arial"/>
                <w:color w:val="auto"/>
                <w:sz w:val="21"/>
                <w:szCs w:val="21"/>
                <w:highlight w:val="none"/>
                <w:lang w:val="en-US" w:eastAsia="zh-CN"/>
              </w:rPr>
              <w:t>40</w:t>
            </w:r>
            <w:r>
              <w:rPr>
                <w:rFonts w:hint="default" w:ascii="Arial" w:hAnsi="Arial" w:eastAsia="宋体" w:cs="Arial"/>
                <w:color w:val="auto"/>
                <w:sz w:val="21"/>
                <w:szCs w:val="21"/>
                <w:highlight w:val="none"/>
                <w:lang w:eastAsia="zh-CN"/>
              </w:rPr>
              <w:t>′</w:t>
            </w:r>
            <w:r>
              <w:rPr>
                <w:rFonts w:hint="default" w:ascii="Arial" w:hAnsi="Arial" w:eastAsia="宋体" w:cs="Arial"/>
                <w:color w:val="auto"/>
                <w:sz w:val="21"/>
                <w:szCs w:val="21"/>
                <w:highlight w:val="none"/>
                <w:lang w:val="en-US" w:eastAsia="zh-CN"/>
              </w:rPr>
              <w:t>50.5</w:t>
            </w:r>
            <w:r>
              <w:rPr>
                <w:rFonts w:hint="default" w:ascii="Arial" w:hAnsi="Arial" w:eastAsia="宋体" w:cs="Arial"/>
                <w:color w:val="auto"/>
                <w:sz w:val="21"/>
                <w:szCs w:val="21"/>
              </w:rPr>
              <w:t>″</w:t>
            </w:r>
            <w:r>
              <w:rPr>
                <w:rFonts w:hint="default" w:ascii="Arial" w:hAnsi="Arial" w:eastAsia="宋体" w:cs="Arial"/>
                <w:color w:val="auto"/>
                <w:sz w:val="21"/>
                <w:szCs w:val="21"/>
                <w:lang w:eastAsia="zh-CN"/>
              </w:rPr>
              <w:t>，</w:t>
            </w:r>
            <w:r>
              <w:rPr>
                <w:rFonts w:hint="default" w:ascii="Arial" w:hAnsi="Arial" w:eastAsia="宋体" w:cs="Arial"/>
                <w:color w:val="auto"/>
                <w:sz w:val="21"/>
                <w:szCs w:val="21"/>
                <w:lang w:val="en-US" w:eastAsia="zh-CN"/>
              </w:rPr>
              <w:t>N</w:t>
            </w:r>
            <w:r>
              <w:rPr>
                <w:rFonts w:hint="default" w:ascii="Arial" w:hAnsi="Arial" w:eastAsia="宋体" w:cs="Arial"/>
                <w:color w:val="auto"/>
                <w:sz w:val="21"/>
                <w:szCs w:val="21"/>
                <w:highlight w:val="none"/>
                <w:lang w:val="en-US" w:eastAsia="zh-CN"/>
              </w:rPr>
              <w:t>40</w:t>
            </w:r>
            <w:r>
              <w:rPr>
                <w:rFonts w:hint="default" w:ascii="Arial" w:hAnsi="Arial" w:eastAsia="宋体" w:cs="Arial"/>
                <w:color w:val="auto"/>
                <w:sz w:val="21"/>
                <w:szCs w:val="21"/>
                <w:highlight w:val="none"/>
              </w:rPr>
              <w:t>°</w:t>
            </w:r>
            <w:r>
              <w:rPr>
                <w:rFonts w:hint="default" w:ascii="Arial" w:hAnsi="Arial" w:eastAsia="宋体" w:cs="Arial"/>
                <w:color w:val="auto"/>
                <w:sz w:val="21"/>
                <w:szCs w:val="21"/>
                <w:highlight w:val="none"/>
                <w:lang w:val="en-US" w:eastAsia="zh-CN"/>
              </w:rPr>
              <w:t>57</w:t>
            </w:r>
            <w:r>
              <w:rPr>
                <w:rFonts w:hint="default" w:ascii="Arial" w:hAnsi="Arial" w:eastAsia="宋体" w:cs="Arial"/>
                <w:color w:val="auto"/>
                <w:sz w:val="21"/>
                <w:szCs w:val="21"/>
                <w:highlight w:val="none"/>
                <w:lang w:eastAsia="zh-CN"/>
              </w:rPr>
              <w:t>′</w:t>
            </w:r>
            <w:r>
              <w:rPr>
                <w:rFonts w:hint="default" w:ascii="Arial" w:hAnsi="Arial" w:eastAsia="宋体" w:cs="Arial"/>
                <w:color w:val="auto"/>
                <w:sz w:val="21"/>
                <w:szCs w:val="21"/>
                <w:highlight w:val="none"/>
                <w:lang w:val="en-US" w:eastAsia="zh-CN"/>
              </w:rPr>
              <w:t>2.33</w:t>
            </w:r>
            <w:r>
              <w:rPr>
                <w:rFonts w:hint="default" w:ascii="Arial" w:hAnsi="Arial" w:eastAsia="宋体" w:cs="Arial"/>
                <w:color w:val="auto"/>
                <w:sz w:val="21"/>
                <w:szCs w:val="21"/>
                <w:highlight w:val="none"/>
                <w:lang w:eastAsia="zh-CN"/>
              </w:rPr>
              <w:t>″</w:t>
            </w:r>
          </w:p>
        </w:tc>
        <w:tc>
          <w:tcPr>
            <w:tcW w:w="10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11</w:t>
            </w:r>
          </w:p>
        </w:tc>
        <w:tc>
          <w:tcPr>
            <w:tcW w:w="91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18</w:t>
            </w:r>
          </w:p>
        </w:tc>
        <w:tc>
          <w:tcPr>
            <w:tcW w:w="10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1032</w:t>
            </w:r>
          </w:p>
        </w:tc>
        <w:tc>
          <w:tcPr>
            <w:tcW w:w="94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1025</w:t>
            </w:r>
          </w:p>
        </w:tc>
        <w:tc>
          <w:tcPr>
            <w:tcW w:w="875" w:type="dxa"/>
            <w:tcBorders>
              <w:top w:val="single" w:color="auto" w:sz="4" w:space="0"/>
              <w:left w:val="single" w:color="auto" w:sz="4" w:space="0"/>
              <w:bottom w:val="single" w:color="auto" w:sz="4" w:space="0"/>
              <w:right w:val="nil"/>
            </w:tcBorders>
            <w:noWrap w:val="0"/>
            <w:vAlign w:val="center"/>
          </w:tcPr>
          <w:p>
            <w:pPr>
              <w:keepNext w:val="0"/>
              <w:keepLines w:val="0"/>
              <w:pageBreakBefore w:val="0"/>
              <w:widowControl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7</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340" w:hRule="atLeast"/>
          <w:jc w:val="center"/>
        </w:trPr>
        <w:tc>
          <w:tcPr>
            <w:tcW w:w="1762" w:type="dxa"/>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lang w:val="en-US" w:eastAsia="zh-CN"/>
              </w:rPr>
              <w:t>☆6项目西北侧水井</w:t>
            </w:r>
          </w:p>
        </w:tc>
        <w:tc>
          <w:tcPr>
            <w:tcW w:w="245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highlight w:val="none"/>
                <w:lang w:val="en-US" w:eastAsia="zh-CN"/>
              </w:rPr>
              <w:t>E</w:t>
            </w:r>
            <w:r>
              <w:rPr>
                <w:rFonts w:hint="default" w:ascii="Arial" w:hAnsi="Arial" w:eastAsia="宋体" w:cs="Arial"/>
                <w:color w:val="auto"/>
                <w:sz w:val="21"/>
                <w:szCs w:val="21"/>
                <w:highlight w:val="none"/>
              </w:rPr>
              <w:t>1</w:t>
            </w:r>
            <w:r>
              <w:rPr>
                <w:rFonts w:hint="default" w:ascii="Arial" w:hAnsi="Arial" w:eastAsia="宋体" w:cs="Arial"/>
                <w:color w:val="auto"/>
                <w:sz w:val="21"/>
                <w:szCs w:val="21"/>
                <w:highlight w:val="none"/>
                <w:lang w:val="en-US" w:eastAsia="zh-CN"/>
              </w:rPr>
              <w:t>07</w:t>
            </w:r>
            <w:r>
              <w:rPr>
                <w:rFonts w:hint="default" w:ascii="Arial" w:hAnsi="Arial" w:eastAsia="宋体" w:cs="Arial"/>
                <w:color w:val="auto"/>
                <w:sz w:val="21"/>
                <w:szCs w:val="21"/>
                <w:highlight w:val="none"/>
              </w:rPr>
              <w:t>°</w:t>
            </w:r>
            <w:r>
              <w:rPr>
                <w:rFonts w:hint="default" w:ascii="Arial" w:hAnsi="Arial" w:eastAsia="宋体" w:cs="Arial"/>
                <w:color w:val="auto"/>
                <w:sz w:val="21"/>
                <w:szCs w:val="21"/>
                <w:highlight w:val="none"/>
                <w:lang w:val="en-US" w:eastAsia="zh-CN"/>
              </w:rPr>
              <w:t>40</w:t>
            </w:r>
            <w:r>
              <w:rPr>
                <w:rFonts w:hint="default" w:ascii="Arial" w:hAnsi="Arial" w:eastAsia="宋体" w:cs="Arial"/>
                <w:color w:val="auto"/>
                <w:sz w:val="21"/>
                <w:szCs w:val="21"/>
                <w:highlight w:val="none"/>
                <w:lang w:eastAsia="zh-CN"/>
              </w:rPr>
              <w:t>′</w:t>
            </w:r>
            <w:r>
              <w:rPr>
                <w:rFonts w:hint="default" w:ascii="Arial" w:hAnsi="Arial" w:eastAsia="宋体" w:cs="Arial"/>
                <w:color w:val="auto"/>
                <w:sz w:val="21"/>
                <w:szCs w:val="21"/>
                <w:highlight w:val="none"/>
                <w:lang w:val="en-US" w:eastAsia="zh-CN"/>
              </w:rPr>
              <w:t>31.83</w:t>
            </w:r>
            <w:r>
              <w:rPr>
                <w:rFonts w:hint="default" w:ascii="Arial" w:hAnsi="Arial" w:eastAsia="宋体" w:cs="Arial"/>
                <w:color w:val="auto"/>
                <w:sz w:val="21"/>
                <w:szCs w:val="21"/>
              </w:rPr>
              <w:t>″</w:t>
            </w:r>
            <w:r>
              <w:rPr>
                <w:rFonts w:hint="default" w:ascii="Arial" w:hAnsi="Arial" w:eastAsia="宋体" w:cs="Arial"/>
                <w:color w:val="auto"/>
                <w:sz w:val="21"/>
                <w:szCs w:val="21"/>
                <w:lang w:eastAsia="zh-CN"/>
              </w:rPr>
              <w:t>，</w:t>
            </w:r>
            <w:r>
              <w:rPr>
                <w:rFonts w:hint="default" w:ascii="Arial" w:hAnsi="Arial" w:eastAsia="宋体" w:cs="Arial"/>
                <w:color w:val="auto"/>
                <w:sz w:val="21"/>
                <w:szCs w:val="21"/>
                <w:lang w:val="en-US" w:eastAsia="zh-CN"/>
              </w:rPr>
              <w:t>N</w:t>
            </w:r>
            <w:r>
              <w:rPr>
                <w:rFonts w:hint="default" w:ascii="Arial" w:hAnsi="Arial" w:eastAsia="宋体" w:cs="Arial"/>
                <w:color w:val="auto"/>
                <w:sz w:val="21"/>
                <w:szCs w:val="21"/>
                <w:highlight w:val="none"/>
                <w:lang w:val="en-US" w:eastAsia="zh-CN"/>
              </w:rPr>
              <w:t>40</w:t>
            </w:r>
            <w:r>
              <w:rPr>
                <w:rFonts w:hint="default" w:ascii="Arial" w:hAnsi="Arial" w:eastAsia="宋体" w:cs="Arial"/>
                <w:color w:val="auto"/>
                <w:sz w:val="21"/>
                <w:szCs w:val="21"/>
                <w:highlight w:val="none"/>
              </w:rPr>
              <w:t>°</w:t>
            </w:r>
            <w:r>
              <w:rPr>
                <w:rFonts w:hint="default" w:ascii="Arial" w:hAnsi="Arial" w:eastAsia="宋体" w:cs="Arial"/>
                <w:color w:val="auto"/>
                <w:sz w:val="21"/>
                <w:szCs w:val="21"/>
                <w:highlight w:val="none"/>
                <w:lang w:val="en-US" w:eastAsia="zh-CN"/>
              </w:rPr>
              <w:t>56</w:t>
            </w:r>
            <w:r>
              <w:rPr>
                <w:rFonts w:hint="default" w:ascii="Arial" w:hAnsi="Arial" w:eastAsia="宋体" w:cs="Arial"/>
                <w:color w:val="auto"/>
                <w:sz w:val="21"/>
                <w:szCs w:val="21"/>
                <w:highlight w:val="none"/>
                <w:lang w:eastAsia="zh-CN"/>
              </w:rPr>
              <w:t>′</w:t>
            </w:r>
            <w:r>
              <w:rPr>
                <w:rFonts w:hint="default" w:ascii="Arial" w:hAnsi="Arial" w:eastAsia="宋体" w:cs="Arial"/>
                <w:color w:val="auto"/>
                <w:sz w:val="21"/>
                <w:szCs w:val="21"/>
                <w:highlight w:val="none"/>
                <w:lang w:val="en-US" w:eastAsia="zh-CN"/>
              </w:rPr>
              <w:t>34.1</w:t>
            </w:r>
            <w:r>
              <w:rPr>
                <w:rFonts w:hint="default" w:ascii="Arial" w:hAnsi="Arial" w:eastAsia="宋体" w:cs="Arial"/>
                <w:color w:val="auto"/>
                <w:sz w:val="21"/>
                <w:szCs w:val="21"/>
                <w:highlight w:val="none"/>
                <w:lang w:eastAsia="zh-CN"/>
              </w:rPr>
              <w:t>″</w:t>
            </w:r>
          </w:p>
        </w:tc>
        <w:tc>
          <w:tcPr>
            <w:tcW w:w="10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16</w:t>
            </w:r>
          </w:p>
        </w:tc>
        <w:tc>
          <w:tcPr>
            <w:tcW w:w="91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25</w:t>
            </w:r>
          </w:p>
        </w:tc>
        <w:tc>
          <w:tcPr>
            <w:tcW w:w="102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1034</w:t>
            </w:r>
          </w:p>
        </w:tc>
        <w:tc>
          <w:tcPr>
            <w:tcW w:w="94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1025</w:t>
            </w:r>
          </w:p>
        </w:tc>
        <w:tc>
          <w:tcPr>
            <w:tcW w:w="875" w:type="dxa"/>
            <w:tcBorders>
              <w:top w:val="single" w:color="auto" w:sz="4" w:space="0"/>
              <w:left w:val="single" w:color="auto" w:sz="4" w:space="0"/>
              <w:bottom w:val="single" w:color="auto" w:sz="4" w:space="0"/>
              <w:right w:val="nil"/>
            </w:tcBorders>
            <w:noWrap w:val="0"/>
            <w:vAlign w:val="center"/>
          </w:tcPr>
          <w:p>
            <w:pPr>
              <w:keepNext w:val="0"/>
              <w:keepLines w:val="0"/>
              <w:pageBreakBefore w:val="0"/>
              <w:widowControl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9</w:t>
            </w:r>
          </w:p>
        </w:tc>
      </w:tr>
    </w:tbl>
    <w:p>
      <w:pPr>
        <w:pStyle w:val="8"/>
        <w:rPr>
          <w:rFonts w:hint="default" w:ascii="Arial" w:hAnsi="Arial" w:eastAsia="宋体" w:cs="Arial"/>
          <w:color w:val="auto"/>
          <w:highlight w:val="none"/>
        </w:rPr>
      </w:pPr>
      <w:r>
        <w:rPr>
          <w:rFonts w:hint="default" w:ascii="Arial" w:hAnsi="Arial" w:eastAsia="宋体" w:cs="Arial"/>
          <w:color w:val="auto"/>
          <w:highlight w:val="none"/>
        </w:rPr>
        <w:t>表4.2-9    评价区水质现状监测统计结果（单位：mg/L，PH无量纲）</w:t>
      </w:r>
    </w:p>
    <w:tbl>
      <w:tblPr>
        <w:tblStyle w:val="39"/>
        <w:tblW w:w="9003" w:type="dxa"/>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639"/>
        <w:gridCol w:w="1394"/>
        <w:gridCol w:w="1394"/>
        <w:gridCol w:w="1394"/>
        <w:gridCol w:w="1394"/>
        <w:gridCol w:w="1394"/>
        <w:gridCol w:w="1394"/>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340" w:hRule="atLeast"/>
          <w:jc w:val="center"/>
        </w:trPr>
        <w:tc>
          <w:tcPr>
            <w:tcW w:w="639" w:type="dxa"/>
            <w:vMerge w:val="restart"/>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r>
              <w:rPr>
                <w:rFonts w:hint="default" w:ascii="Arial" w:hAnsi="Arial" w:eastAsia="宋体" w:cs="Arial"/>
                <w:color w:val="auto"/>
                <w:sz w:val="21"/>
                <w:szCs w:val="21"/>
              </w:rPr>
              <w:t>序</w:t>
            </w:r>
          </w:p>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r>
              <w:rPr>
                <w:rFonts w:hint="default" w:ascii="Arial" w:hAnsi="Arial" w:eastAsia="宋体" w:cs="Arial"/>
                <w:color w:val="auto"/>
                <w:sz w:val="21"/>
                <w:szCs w:val="21"/>
              </w:rPr>
              <w:t>号</w:t>
            </w:r>
          </w:p>
        </w:tc>
        <w:tc>
          <w:tcPr>
            <w:tcW w:w="1394" w:type="dxa"/>
            <w:vMerge w:val="restart"/>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r>
              <w:rPr>
                <w:rFonts w:hint="default" w:ascii="Arial" w:hAnsi="Arial" w:eastAsia="宋体" w:cs="Arial"/>
                <w:color w:val="auto"/>
                <w:sz w:val="21"/>
                <w:szCs w:val="21"/>
              </w:rPr>
              <w:t>检测</w:t>
            </w:r>
          </w:p>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r>
              <w:rPr>
                <w:rFonts w:hint="default" w:ascii="Arial" w:hAnsi="Arial" w:eastAsia="宋体" w:cs="Arial"/>
                <w:color w:val="auto"/>
                <w:sz w:val="21"/>
                <w:szCs w:val="21"/>
              </w:rPr>
              <w:t>项目</w:t>
            </w:r>
          </w:p>
        </w:tc>
        <w:tc>
          <w:tcPr>
            <w:tcW w:w="1394" w:type="dxa"/>
            <w:vMerge w:val="restart"/>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r>
              <w:rPr>
                <w:rFonts w:hint="default" w:ascii="Arial" w:hAnsi="Arial" w:eastAsia="宋体" w:cs="Arial"/>
                <w:color w:val="auto"/>
                <w:sz w:val="21"/>
                <w:szCs w:val="21"/>
              </w:rPr>
              <w:t>单位</w:t>
            </w:r>
          </w:p>
        </w:tc>
        <w:tc>
          <w:tcPr>
            <w:tcW w:w="5576" w:type="dxa"/>
            <w:gridSpan w:val="4"/>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采样日期：202</w:t>
            </w:r>
            <w:r>
              <w:rPr>
                <w:rFonts w:hint="default" w:ascii="Arial" w:hAnsi="Arial" w:eastAsia="宋体" w:cs="Arial"/>
                <w:color w:val="auto"/>
                <w:sz w:val="21"/>
                <w:szCs w:val="21"/>
                <w:lang w:val="en-US" w:eastAsia="zh-CN"/>
              </w:rPr>
              <w:t>2</w:t>
            </w:r>
            <w:r>
              <w:rPr>
                <w:rFonts w:hint="default" w:ascii="Arial" w:hAnsi="Arial" w:eastAsia="宋体" w:cs="Arial"/>
                <w:color w:val="auto"/>
                <w:sz w:val="21"/>
                <w:szCs w:val="21"/>
              </w:rPr>
              <w:t>年</w:t>
            </w:r>
            <w:r>
              <w:rPr>
                <w:rFonts w:hint="default" w:ascii="Arial" w:hAnsi="Arial" w:eastAsia="宋体" w:cs="Arial"/>
                <w:color w:val="auto"/>
                <w:sz w:val="21"/>
                <w:szCs w:val="21"/>
                <w:lang w:val="en-US" w:eastAsia="zh-CN"/>
              </w:rPr>
              <w:t>01</w:t>
            </w:r>
            <w:r>
              <w:rPr>
                <w:rFonts w:hint="default" w:ascii="Arial" w:hAnsi="Arial" w:eastAsia="宋体" w:cs="Arial"/>
                <w:color w:val="auto"/>
                <w:sz w:val="21"/>
                <w:szCs w:val="21"/>
              </w:rPr>
              <w:t>月</w:t>
            </w:r>
            <w:r>
              <w:rPr>
                <w:rFonts w:hint="default" w:ascii="Arial" w:hAnsi="Arial" w:eastAsia="宋体" w:cs="Arial"/>
                <w:color w:val="auto"/>
                <w:sz w:val="21"/>
                <w:szCs w:val="21"/>
                <w:lang w:val="en-US" w:eastAsia="zh-CN"/>
              </w:rPr>
              <w:t>05</w:t>
            </w:r>
            <w:r>
              <w:rPr>
                <w:rFonts w:hint="default" w:ascii="Arial" w:hAnsi="Arial" w:eastAsia="宋体" w:cs="Arial"/>
                <w:color w:val="auto"/>
                <w:sz w:val="21"/>
                <w:szCs w:val="21"/>
              </w:rPr>
              <w:t>日</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3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p>
        </w:tc>
        <w:tc>
          <w:tcPr>
            <w:tcW w:w="1394" w:type="dxa"/>
            <w:vMerge w:val="continue"/>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p>
        </w:tc>
        <w:tc>
          <w:tcPr>
            <w:tcW w:w="1394" w:type="dxa"/>
            <w:vMerge w:val="continue"/>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p>
        </w:tc>
        <w:tc>
          <w:tcPr>
            <w:tcW w:w="5576" w:type="dxa"/>
            <w:gridSpan w:val="4"/>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r>
              <w:rPr>
                <w:rFonts w:hint="default" w:ascii="Arial" w:hAnsi="Arial" w:eastAsia="宋体" w:cs="Arial"/>
                <w:color w:val="auto"/>
                <w:sz w:val="21"/>
                <w:szCs w:val="21"/>
              </w:rPr>
              <w:t>采样点位与检测日期</w:t>
            </w:r>
          </w:p>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（202</w:t>
            </w:r>
            <w:r>
              <w:rPr>
                <w:rFonts w:hint="default" w:ascii="Arial" w:hAnsi="Arial" w:eastAsia="宋体" w:cs="Arial"/>
                <w:color w:val="auto"/>
                <w:sz w:val="21"/>
                <w:szCs w:val="21"/>
                <w:lang w:val="en-US" w:eastAsia="zh-CN"/>
              </w:rPr>
              <w:t>2</w:t>
            </w:r>
            <w:r>
              <w:rPr>
                <w:rFonts w:hint="default" w:ascii="Arial" w:hAnsi="Arial" w:eastAsia="宋体" w:cs="Arial"/>
                <w:color w:val="auto"/>
                <w:sz w:val="21"/>
                <w:szCs w:val="21"/>
              </w:rPr>
              <w:t>年</w:t>
            </w:r>
            <w:r>
              <w:rPr>
                <w:rFonts w:hint="default" w:ascii="Arial" w:hAnsi="Arial" w:eastAsia="宋体" w:cs="Arial"/>
                <w:color w:val="auto"/>
                <w:sz w:val="21"/>
                <w:szCs w:val="21"/>
                <w:lang w:val="en-US" w:eastAsia="zh-CN"/>
              </w:rPr>
              <w:t>01</w:t>
            </w:r>
            <w:r>
              <w:rPr>
                <w:rFonts w:hint="default" w:ascii="Arial" w:hAnsi="Arial" w:eastAsia="宋体" w:cs="Arial"/>
                <w:color w:val="auto"/>
                <w:sz w:val="21"/>
                <w:szCs w:val="21"/>
              </w:rPr>
              <w:t>月</w:t>
            </w:r>
            <w:r>
              <w:rPr>
                <w:rFonts w:hint="default" w:ascii="Arial" w:hAnsi="Arial" w:eastAsia="宋体" w:cs="Arial"/>
                <w:color w:val="auto"/>
                <w:sz w:val="21"/>
                <w:szCs w:val="21"/>
                <w:lang w:val="en-US" w:eastAsia="zh-CN"/>
              </w:rPr>
              <w:t>05</w:t>
            </w:r>
            <w:r>
              <w:rPr>
                <w:rFonts w:hint="default" w:ascii="Arial" w:hAnsi="Arial" w:eastAsia="宋体" w:cs="Arial"/>
                <w:color w:val="auto"/>
                <w:sz w:val="21"/>
                <w:szCs w:val="21"/>
              </w:rPr>
              <w:t>日~202</w:t>
            </w:r>
            <w:r>
              <w:rPr>
                <w:rFonts w:hint="default" w:ascii="Arial" w:hAnsi="Arial" w:eastAsia="宋体" w:cs="Arial"/>
                <w:color w:val="auto"/>
                <w:sz w:val="21"/>
                <w:szCs w:val="21"/>
                <w:lang w:val="en-US" w:eastAsia="zh-CN"/>
              </w:rPr>
              <w:t>2</w:t>
            </w:r>
            <w:r>
              <w:rPr>
                <w:rFonts w:hint="default" w:ascii="Arial" w:hAnsi="Arial" w:eastAsia="宋体" w:cs="Arial"/>
                <w:color w:val="auto"/>
                <w:sz w:val="21"/>
                <w:szCs w:val="21"/>
              </w:rPr>
              <w:t>年</w:t>
            </w:r>
            <w:r>
              <w:rPr>
                <w:rFonts w:hint="default" w:ascii="Arial" w:hAnsi="Arial" w:eastAsia="宋体" w:cs="Arial"/>
                <w:color w:val="auto"/>
                <w:sz w:val="21"/>
                <w:szCs w:val="21"/>
                <w:lang w:val="en-US" w:eastAsia="zh-CN"/>
              </w:rPr>
              <w:t>01</w:t>
            </w:r>
            <w:r>
              <w:rPr>
                <w:rFonts w:hint="default" w:ascii="Arial" w:hAnsi="Arial" w:eastAsia="宋体" w:cs="Arial"/>
                <w:color w:val="auto"/>
                <w:sz w:val="21"/>
                <w:szCs w:val="21"/>
              </w:rPr>
              <w:t>月</w:t>
            </w:r>
            <w:r>
              <w:rPr>
                <w:rFonts w:hint="default" w:ascii="Arial" w:hAnsi="Arial" w:eastAsia="宋体" w:cs="Arial"/>
                <w:color w:val="auto"/>
                <w:sz w:val="21"/>
                <w:szCs w:val="21"/>
                <w:lang w:val="en-US" w:eastAsia="zh-CN"/>
              </w:rPr>
              <w:t>13</w:t>
            </w:r>
            <w:r>
              <w:rPr>
                <w:rFonts w:hint="default" w:ascii="Arial" w:hAnsi="Arial" w:eastAsia="宋体" w:cs="Arial"/>
                <w:color w:val="auto"/>
                <w:sz w:val="21"/>
                <w:szCs w:val="21"/>
              </w:rPr>
              <w:t>日）</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340" w:hRule="atLeast"/>
          <w:jc w:val="center"/>
        </w:trPr>
        <w:tc>
          <w:tcPr>
            <w:tcW w:w="63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p>
        </w:tc>
        <w:tc>
          <w:tcPr>
            <w:tcW w:w="1394" w:type="dxa"/>
            <w:vMerge w:val="continue"/>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p>
        </w:tc>
        <w:tc>
          <w:tcPr>
            <w:tcW w:w="1394" w:type="dxa"/>
            <w:vMerge w:val="continue"/>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项目南侧新义五社水井</w:t>
            </w:r>
            <w:r>
              <w:rPr>
                <w:rFonts w:hint="default" w:ascii="Arial" w:hAnsi="Arial" w:eastAsia="宋体" w:cs="Arial"/>
                <w:color w:val="auto"/>
                <w:sz w:val="21"/>
                <w:szCs w:val="21"/>
              </w:rPr>
              <w:t>☆</w:t>
            </w:r>
            <w:r>
              <w:rPr>
                <w:rFonts w:hint="default" w:ascii="Arial" w:hAnsi="Arial" w:eastAsia="宋体" w:cs="Arial"/>
                <w:color w:val="auto"/>
                <w:sz w:val="21"/>
                <w:szCs w:val="21"/>
                <w:lang w:val="en-US" w:eastAsia="zh-CN"/>
              </w:rPr>
              <w:t>1</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项目北侧新胜五社水井</w:t>
            </w:r>
            <w:r>
              <w:rPr>
                <w:rFonts w:hint="default" w:ascii="Arial" w:hAnsi="Arial" w:eastAsia="宋体" w:cs="Arial"/>
                <w:color w:val="auto"/>
                <w:sz w:val="21"/>
                <w:szCs w:val="21"/>
              </w:rPr>
              <w:t>☆</w:t>
            </w:r>
            <w:r>
              <w:rPr>
                <w:rFonts w:hint="default" w:ascii="Arial" w:hAnsi="Arial" w:eastAsia="宋体" w:cs="Arial"/>
                <w:color w:val="auto"/>
                <w:sz w:val="21"/>
                <w:szCs w:val="21"/>
                <w:lang w:val="en-US" w:eastAsia="zh-CN"/>
              </w:rPr>
              <w:t>2</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项目东侧养殖场水井</w:t>
            </w:r>
            <w:r>
              <w:rPr>
                <w:rFonts w:hint="default" w:ascii="Arial" w:hAnsi="Arial" w:eastAsia="宋体" w:cs="Arial"/>
                <w:color w:val="auto"/>
                <w:sz w:val="21"/>
                <w:szCs w:val="21"/>
              </w:rPr>
              <w:t>☆</w:t>
            </w:r>
            <w:r>
              <w:rPr>
                <w:rFonts w:hint="default" w:ascii="Arial" w:hAnsi="Arial" w:eastAsia="宋体" w:cs="Arial"/>
                <w:color w:val="auto"/>
                <w:sz w:val="21"/>
                <w:szCs w:val="21"/>
                <w:lang w:val="en-US" w:eastAsia="zh-CN"/>
              </w:rPr>
              <w:t>3</w:t>
            </w:r>
          </w:p>
        </w:tc>
        <w:tc>
          <w:tcPr>
            <w:tcW w:w="1394"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sz w:val="21"/>
                <w:szCs w:val="21"/>
                <w:lang w:eastAsia="zh-CN"/>
              </w:rPr>
            </w:pPr>
            <w:r>
              <w:rPr>
                <w:rFonts w:hint="default" w:ascii="Arial" w:hAnsi="Arial" w:eastAsia="宋体" w:cs="Arial"/>
                <w:color w:val="auto"/>
                <w:sz w:val="21"/>
                <w:szCs w:val="21"/>
                <w:lang w:eastAsia="zh-CN"/>
              </w:rPr>
              <w:t>参考</w:t>
            </w:r>
          </w:p>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r>
              <w:rPr>
                <w:rFonts w:hint="default" w:ascii="Arial" w:hAnsi="Arial" w:eastAsia="宋体" w:cs="Arial"/>
                <w:color w:val="auto"/>
                <w:sz w:val="21"/>
                <w:szCs w:val="21"/>
              </w:rPr>
              <w:t>限值</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340" w:hRule="atLeast"/>
          <w:jc w:val="center"/>
        </w:trPr>
        <w:tc>
          <w:tcPr>
            <w:tcW w:w="639"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r>
              <w:rPr>
                <w:rFonts w:hint="default" w:ascii="Arial" w:hAnsi="Arial" w:eastAsia="宋体" w:cs="Arial"/>
                <w:i w:val="0"/>
                <w:color w:val="auto"/>
                <w:kern w:val="0"/>
                <w:sz w:val="21"/>
                <w:szCs w:val="21"/>
                <w:u w:val="none"/>
                <w:lang w:val="en-US" w:eastAsia="zh-CN" w:bidi="ar"/>
              </w:rPr>
              <w:t>1</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pH</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无量纲</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7.48</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7.56</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7.72</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6.5~8.5</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340" w:hRule="atLeast"/>
          <w:jc w:val="center"/>
        </w:trPr>
        <w:tc>
          <w:tcPr>
            <w:tcW w:w="639"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r>
              <w:rPr>
                <w:rFonts w:hint="default" w:ascii="Arial" w:hAnsi="Arial" w:eastAsia="宋体" w:cs="Arial"/>
                <w:i w:val="0"/>
                <w:color w:val="auto"/>
                <w:kern w:val="0"/>
                <w:sz w:val="21"/>
                <w:szCs w:val="21"/>
                <w:u w:val="none"/>
                <w:lang w:val="en-US" w:eastAsia="zh-CN" w:bidi="ar"/>
              </w:rPr>
              <w:t>2</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可溶性阳离子K</w:t>
            </w:r>
            <w:r>
              <w:rPr>
                <w:rFonts w:hint="default" w:ascii="Arial" w:hAnsi="Arial" w:eastAsia="宋体" w:cs="Arial"/>
                <w:color w:val="auto"/>
                <w:sz w:val="21"/>
                <w:szCs w:val="21"/>
                <w:vertAlign w:val="superscript"/>
              </w:rPr>
              <w:t>+</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mg/L</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30.2</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28.5</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7.33</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39"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r>
              <w:rPr>
                <w:rFonts w:hint="default" w:ascii="Arial" w:hAnsi="Arial" w:eastAsia="宋体" w:cs="Arial"/>
                <w:i w:val="0"/>
                <w:color w:val="auto"/>
                <w:kern w:val="0"/>
                <w:sz w:val="21"/>
                <w:szCs w:val="21"/>
                <w:u w:val="none"/>
                <w:lang w:val="en-US" w:eastAsia="zh-CN" w:bidi="ar"/>
              </w:rPr>
              <w:t>3</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可溶性阳离子Na</w:t>
            </w:r>
            <w:r>
              <w:rPr>
                <w:rFonts w:hint="default" w:ascii="Arial" w:hAnsi="Arial" w:eastAsia="宋体" w:cs="Arial"/>
                <w:color w:val="auto"/>
                <w:sz w:val="21"/>
                <w:szCs w:val="21"/>
                <w:vertAlign w:val="superscript"/>
              </w:rPr>
              <w:t>+</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mg/L</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118</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131</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245</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340" w:hRule="atLeast"/>
          <w:jc w:val="center"/>
        </w:trPr>
        <w:tc>
          <w:tcPr>
            <w:tcW w:w="639"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r>
              <w:rPr>
                <w:rFonts w:hint="default" w:ascii="Arial" w:hAnsi="Arial" w:eastAsia="宋体" w:cs="Arial"/>
                <w:i w:val="0"/>
                <w:color w:val="auto"/>
                <w:kern w:val="0"/>
                <w:sz w:val="21"/>
                <w:szCs w:val="21"/>
                <w:u w:val="none"/>
                <w:lang w:val="en-US" w:eastAsia="zh-CN" w:bidi="ar"/>
              </w:rPr>
              <w:t>4</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可溶性阳离子Ca</w:t>
            </w:r>
            <w:r>
              <w:rPr>
                <w:rFonts w:hint="default" w:ascii="Arial" w:hAnsi="Arial" w:eastAsia="宋体" w:cs="Arial"/>
                <w:color w:val="auto"/>
                <w:sz w:val="21"/>
                <w:szCs w:val="21"/>
                <w:vertAlign w:val="superscript"/>
              </w:rPr>
              <w:t>2+</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mg/L</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86.5</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94.5</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25.8</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340" w:hRule="atLeast"/>
          <w:jc w:val="center"/>
        </w:trPr>
        <w:tc>
          <w:tcPr>
            <w:tcW w:w="639"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r>
              <w:rPr>
                <w:rFonts w:hint="default" w:ascii="Arial" w:hAnsi="Arial" w:eastAsia="宋体" w:cs="Arial"/>
                <w:i w:val="0"/>
                <w:color w:val="auto"/>
                <w:kern w:val="0"/>
                <w:sz w:val="21"/>
                <w:szCs w:val="21"/>
                <w:u w:val="none"/>
                <w:lang w:val="en-US" w:eastAsia="zh-CN" w:bidi="ar"/>
              </w:rPr>
              <w:t>5</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可溶性阳离</w:t>
            </w:r>
            <w:r>
              <w:rPr>
                <w:rFonts w:hint="default" w:ascii="Arial" w:hAnsi="Arial" w:eastAsia="宋体" w:cs="Arial"/>
                <w:color w:val="auto"/>
                <w:sz w:val="21"/>
                <w:szCs w:val="21"/>
                <w:lang w:eastAsia="zh-CN"/>
              </w:rPr>
              <w:t>子</w:t>
            </w:r>
            <w:r>
              <w:rPr>
                <w:rFonts w:hint="default" w:ascii="Arial" w:hAnsi="Arial" w:eastAsia="宋体" w:cs="Arial"/>
                <w:color w:val="auto"/>
                <w:sz w:val="21"/>
                <w:szCs w:val="21"/>
              </w:rPr>
              <w:t>Mg</w:t>
            </w:r>
            <w:r>
              <w:rPr>
                <w:rFonts w:hint="default" w:ascii="Arial" w:hAnsi="Arial" w:eastAsia="宋体" w:cs="Arial"/>
                <w:color w:val="auto"/>
                <w:sz w:val="21"/>
                <w:szCs w:val="21"/>
                <w:vertAlign w:val="superscript"/>
              </w:rPr>
              <w:t>2+</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mg/L</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131</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118</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51.5</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340" w:hRule="atLeast"/>
          <w:jc w:val="center"/>
        </w:trPr>
        <w:tc>
          <w:tcPr>
            <w:tcW w:w="639"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r>
              <w:rPr>
                <w:rFonts w:hint="default" w:ascii="Arial" w:hAnsi="Arial" w:eastAsia="宋体" w:cs="Arial"/>
                <w:i w:val="0"/>
                <w:color w:val="auto"/>
                <w:kern w:val="0"/>
                <w:sz w:val="21"/>
                <w:szCs w:val="21"/>
                <w:u w:val="none"/>
                <w:lang w:val="en-US" w:eastAsia="zh-CN" w:bidi="ar"/>
              </w:rPr>
              <w:t>6</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重碳酸盐</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mg/L</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249</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240</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127</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340" w:hRule="atLeast"/>
          <w:jc w:val="center"/>
        </w:trPr>
        <w:tc>
          <w:tcPr>
            <w:tcW w:w="639"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r>
              <w:rPr>
                <w:rFonts w:hint="default" w:ascii="Arial" w:hAnsi="Arial" w:eastAsia="宋体" w:cs="Arial"/>
                <w:i w:val="0"/>
                <w:color w:val="auto"/>
                <w:kern w:val="0"/>
                <w:sz w:val="21"/>
                <w:szCs w:val="21"/>
                <w:u w:val="none"/>
                <w:lang w:val="en-US" w:eastAsia="zh-CN" w:bidi="ar"/>
              </w:rPr>
              <w:t>7</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碳酸盐</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mg/L</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0</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0"/>
                <w:sz w:val="21"/>
                <w:szCs w:val="21"/>
                <w:lang w:val="en-US" w:eastAsia="zh-CN" w:bidi="ar"/>
              </w:rPr>
            </w:pPr>
            <w:r>
              <w:rPr>
                <w:rFonts w:hint="default" w:ascii="Arial" w:hAnsi="Arial" w:eastAsia="宋体" w:cs="Arial"/>
                <w:color w:val="auto"/>
                <w:kern w:val="0"/>
                <w:sz w:val="21"/>
                <w:szCs w:val="21"/>
                <w:lang w:val="en-US" w:eastAsia="zh-CN" w:bidi="ar"/>
              </w:rPr>
              <w:t>0</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0"/>
                <w:sz w:val="21"/>
                <w:szCs w:val="21"/>
                <w:lang w:val="en-US" w:eastAsia="zh-CN" w:bidi="ar"/>
              </w:rPr>
            </w:pPr>
            <w:r>
              <w:rPr>
                <w:rFonts w:hint="default" w:ascii="Arial" w:hAnsi="Arial" w:eastAsia="宋体" w:cs="Arial"/>
                <w:color w:val="auto"/>
                <w:kern w:val="0"/>
                <w:sz w:val="21"/>
                <w:szCs w:val="21"/>
                <w:lang w:val="en-US" w:eastAsia="zh-CN" w:bidi="ar"/>
              </w:rPr>
              <w:t>0</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340" w:hRule="atLeast"/>
          <w:jc w:val="center"/>
        </w:trPr>
        <w:tc>
          <w:tcPr>
            <w:tcW w:w="639"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r>
              <w:rPr>
                <w:rFonts w:hint="default" w:ascii="Arial" w:hAnsi="Arial" w:eastAsia="宋体" w:cs="Arial"/>
                <w:i w:val="0"/>
                <w:color w:val="auto"/>
                <w:kern w:val="0"/>
                <w:sz w:val="21"/>
                <w:szCs w:val="21"/>
                <w:u w:val="none"/>
                <w:lang w:val="en-US" w:eastAsia="zh-CN" w:bidi="ar"/>
              </w:rPr>
              <w:t>8</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无机阴离子Cl</w:t>
            </w:r>
            <w:r>
              <w:rPr>
                <w:rFonts w:hint="default" w:ascii="Arial" w:hAnsi="Arial" w:eastAsia="宋体" w:cs="Arial"/>
                <w:color w:val="auto"/>
                <w:sz w:val="21"/>
                <w:szCs w:val="21"/>
                <w:vertAlign w:val="superscript"/>
              </w:rPr>
              <w:t>-</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mg/L</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382</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0"/>
                <w:sz w:val="21"/>
                <w:szCs w:val="21"/>
                <w:lang w:val="en-US" w:eastAsia="zh-CN" w:bidi="ar"/>
              </w:rPr>
            </w:pPr>
            <w:r>
              <w:rPr>
                <w:rFonts w:hint="default" w:ascii="Arial" w:hAnsi="Arial" w:eastAsia="宋体" w:cs="Arial"/>
                <w:color w:val="auto"/>
                <w:kern w:val="0"/>
                <w:sz w:val="21"/>
                <w:szCs w:val="21"/>
                <w:lang w:val="en-US" w:eastAsia="zh-CN" w:bidi="ar"/>
              </w:rPr>
              <w:t>371</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0"/>
                <w:sz w:val="21"/>
                <w:szCs w:val="21"/>
                <w:lang w:val="en-US" w:eastAsia="zh-CN" w:bidi="ar"/>
              </w:rPr>
            </w:pPr>
            <w:r>
              <w:rPr>
                <w:rFonts w:hint="default" w:ascii="Arial" w:hAnsi="Arial" w:eastAsia="宋体" w:cs="Arial"/>
                <w:color w:val="auto"/>
                <w:kern w:val="0"/>
                <w:sz w:val="21"/>
                <w:szCs w:val="21"/>
                <w:lang w:val="en-US" w:eastAsia="zh-CN" w:bidi="ar"/>
              </w:rPr>
              <w:t>356</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340" w:hRule="atLeast"/>
          <w:jc w:val="center"/>
        </w:trPr>
        <w:tc>
          <w:tcPr>
            <w:tcW w:w="639"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r>
              <w:rPr>
                <w:rFonts w:hint="default" w:ascii="Arial" w:hAnsi="Arial" w:eastAsia="宋体" w:cs="Arial"/>
                <w:i w:val="0"/>
                <w:color w:val="auto"/>
                <w:kern w:val="0"/>
                <w:sz w:val="21"/>
                <w:szCs w:val="21"/>
                <w:u w:val="none"/>
                <w:lang w:val="en-US" w:eastAsia="zh-CN" w:bidi="ar"/>
              </w:rPr>
              <w:t>9</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无机阴离子SO</w:t>
            </w:r>
            <w:r>
              <w:rPr>
                <w:rFonts w:hint="default" w:ascii="Arial" w:hAnsi="Arial" w:eastAsia="宋体" w:cs="Arial"/>
                <w:color w:val="auto"/>
                <w:sz w:val="21"/>
                <w:szCs w:val="21"/>
                <w:vertAlign w:val="subscript"/>
              </w:rPr>
              <w:t>4</w:t>
            </w:r>
            <w:r>
              <w:rPr>
                <w:rFonts w:hint="default" w:ascii="Arial" w:hAnsi="Arial" w:eastAsia="宋体" w:cs="Arial"/>
                <w:color w:val="auto"/>
                <w:sz w:val="21"/>
                <w:szCs w:val="21"/>
                <w:vertAlign w:val="superscript"/>
              </w:rPr>
              <w:t>2-</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mg/L</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325</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316</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0"/>
                <w:sz w:val="21"/>
                <w:szCs w:val="21"/>
                <w:lang w:val="en-US" w:eastAsia="zh-CN" w:bidi="ar"/>
              </w:rPr>
            </w:pPr>
            <w:r>
              <w:rPr>
                <w:rFonts w:hint="default" w:ascii="Arial" w:hAnsi="Arial" w:eastAsia="宋体" w:cs="Arial"/>
                <w:color w:val="auto"/>
                <w:kern w:val="0"/>
                <w:sz w:val="21"/>
                <w:szCs w:val="21"/>
                <w:lang w:val="en-US" w:eastAsia="zh-CN" w:bidi="ar"/>
              </w:rPr>
              <w:t>247</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340" w:hRule="atLeast"/>
          <w:jc w:val="center"/>
        </w:trPr>
        <w:tc>
          <w:tcPr>
            <w:tcW w:w="639"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r>
              <w:rPr>
                <w:rFonts w:hint="default" w:ascii="Arial" w:hAnsi="Arial" w:eastAsia="宋体" w:cs="Arial"/>
                <w:i w:val="0"/>
                <w:color w:val="auto"/>
                <w:kern w:val="0"/>
                <w:sz w:val="21"/>
                <w:szCs w:val="21"/>
                <w:u w:val="none"/>
                <w:lang w:val="en-US" w:eastAsia="zh-CN" w:bidi="ar"/>
              </w:rPr>
              <w:t>10</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总硬度</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mg/L</w:t>
            </w:r>
          </w:p>
        </w:tc>
        <w:tc>
          <w:tcPr>
            <w:tcW w:w="1394" w:type="dxa"/>
            <w:tcBorders>
              <w:tl2br w:val="nil"/>
              <w:tr2bl w:val="nil"/>
            </w:tcBorders>
            <w:noWrap w:val="0"/>
            <w:vAlign w:val="center"/>
          </w:tcPr>
          <w:p>
            <w:pPr>
              <w:keepNext w:val="0"/>
              <w:keepLines w:val="0"/>
              <w:pageBreakBefore w:val="0"/>
              <w:widowControl/>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740</w:t>
            </w:r>
          </w:p>
        </w:tc>
        <w:tc>
          <w:tcPr>
            <w:tcW w:w="1394" w:type="dxa"/>
            <w:tcBorders>
              <w:tl2br w:val="nil"/>
              <w:tr2bl w:val="nil"/>
            </w:tcBorders>
            <w:noWrap w:val="0"/>
            <w:vAlign w:val="center"/>
          </w:tcPr>
          <w:p>
            <w:pPr>
              <w:keepNext w:val="0"/>
              <w:keepLines w:val="0"/>
              <w:pageBreakBefore w:val="0"/>
              <w:widowControl/>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0"/>
                <w:sz w:val="21"/>
                <w:szCs w:val="21"/>
                <w:lang w:val="en-US" w:eastAsia="zh-CN" w:bidi="ar"/>
              </w:rPr>
            </w:pPr>
            <w:r>
              <w:rPr>
                <w:rFonts w:hint="default" w:ascii="Arial" w:hAnsi="Arial" w:eastAsia="宋体" w:cs="Arial"/>
                <w:color w:val="auto"/>
                <w:kern w:val="0"/>
                <w:sz w:val="21"/>
                <w:szCs w:val="21"/>
                <w:lang w:val="en-US" w:eastAsia="zh-CN" w:bidi="ar"/>
              </w:rPr>
              <w:t>711</w:t>
            </w:r>
          </w:p>
        </w:tc>
        <w:tc>
          <w:tcPr>
            <w:tcW w:w="1394" w:type="dxa"/>
            <w:tcBorders>
              <w:tl2br w:val="nil"/>
              <w:tr2bl w:val="nil"/>
            </w:tcBorders>
            <w:noWrap w:val="0"/>
            <w:vAlign w:val="center"/>
          </w:tcPr>
          <w:p>
            <w:pPr>
              <w:keepNext w:val="0"/>
              <w:keepLines w:val="0"/>
              <w:pageBreakBefore w:val="0"/>
              <w:widowControl/>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0"/>
                <w:sz w:val="21"/>
                <w:szCs w:val="21"/>
                <w:lang w:val="en-US" w:eastAsia="zh-CN" w:bidi="ar"/>
              </w:rPr>
            </w:pPr>
            <w:r>
              <w:rPr>
                <w:rFonts w:hint="default" w:ascii="Arial" w:hAnsi="Arial" w:eastAsia="宋体" w:cs="Arial"/>
                <w:color w:val="auto"/>
                <w:kern w:val="0"/>
                <w:sz w:val="21"/>
                <w:szCs w:val="21"/>
                <w:lang w:val="en-US" w:eastAsia="zh-CN" w:bidi="ar"/>
              </w:rPr>
              <w:t>272</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≤450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340" w:hRule="atLeast"/>
          <w:jc w:val="center"/>
        </w:trPr>
        <w:tc>
          <w:tcPr>
            <w:tcW w:w="639"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r>
              <w:rPr>
                <w:rFonts w:hint="default" w:ascii="Arial" w:hAnsi="Arial" w:eastAsia="宋体" w:cs="Arial"/>
                <w:i w:val="0"/>
                <w:color w:val="auto"/>
                <w:kern w:val="0"/>
                <w:sz w:val="21"/>
                <w:szCs w:val="21"/>
                <w:u w:val="none"/>
                <w:lang w:val="en-US" w:eastAsia="zh-CN" w:bidi="ar"/>
              </w:rPr>
              <w:t>11</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耗氧量</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mg/L</w:t>
            </w:r>
          </w:p>
        </w:tc>
        <w:tc>
          <w:tcPr>
            <w:tcW w:w="1394" w:type="dxa"/>
            <w:tcBorders>
              <w:tl2br w:val="nil"/>
              <w:tr2bl w:val="nil"/>
            </w:tcBorders>
            <w:noWrap w:val="0"/>
            <w:vAlign w:val="center"/>
          </w:tcPr>
          <w:p>
            <w:pPr>
              <w:keepNext w:val="0"/>
              <w:keepLines w:val="0"/>
              <w:pageBreakBefore w:val="0"/>
              <w:widowControl/>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1.24</w:t>
            </w:r>
          </w:p>
        </w:tc>
        <w:tc>
          <w:tcPr>
            <w:tcW w:w="1394" w:type="dxa"/>
            <w:tcBorders>
              <w:tl2br w:val="nil"/>
              <w:tr2bl w:val="nil"/>
            </w:tcBorders>
            <w:noWrap w:val="0"/>
            <w:vAlign w:val="center"/>
          </w:tcPr>
          <w:p>
            <w:pPr>
              <w:keepNext w:val="0"/>
              <w:keepLines w:val="0"/>
              <w:pageBreakBefore w:val="0"/>
              <w:widowControl/>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1.17</w:t>
            </w:r>
          </w:p>
        </w:tc>
        <w:tc>
          <w:tcPr>
            <w:tcW w:w="1394" w:type="dxa"/>
            <w:tcBorders>
              <w:tl2br w:val="nil"/>
              <w:tr2bl w:val="nil"/>
            </w:tcBorders>
            <w:noWrap w:val="0"/>
            <w:vAlign w:val="center"/>
          </w:tcPr>
          <w:p>
            <w:pPr>
              <w:keepNext w:val="0"/>
              <w:keepLines w:val="0"/>
              <w:pageBreakBefore w:val="0"/>
              <w:widowControl/>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0"/>
                <w:sz w:val="21"/>
                <w:szCs w:val="21"/>
                <w:lang w:val="en-US" w:eastAsia="zh-CN" w:bidi="ar"/>
              </w:rPr>
            </w:pPr>
            <w:r>
              <w:rPr>
                <w:rFonts w:hint="default" w:ascii="Arial" w:hAnsi="Arial" w:eastAsia="宋体" w:cs="Arial"/>
                <w:color w:val="auto"/>
                <w:kern w:val="0"/>
                <w:sz w:val="21"/>
                <w:szCs w:val="21"/>
                <w:lang w:val="en-US" w:eastAsia="zh-CN" w:bidi="ar"/>
              </w:rPr>
              <w:t>1.21</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≤3.0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340" w:hRule="atLeast"/>
          <w:jc w:val="center"/>
        </w:trPr>
        <w:tc>
          <w:tcPr>
            <w:tcW w:w="639"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r>
              <w:rPr>
                <w:rFonts w:hint="default" w:ascii="Arial" w:hAnsi="Arial" w:eastAsia="宋体" w:cs="Arial"/>
                <w:i w:val="0"/>
                <w:color w:val="auto"/>
                <w:kern w:val="0"/>
                <w:sz w:val="21"/>
                <w:szCs w:val="21"/>
                <w:u w:val="none"/>
                <w:lang w:val="en-US" w:eastAsia="zh-CN" w:bidi="ar"/>
              </w:rPr>
              <w:t>12</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氟化物</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mg/L</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0.43</w:t>
            </w:r>
          </w:p>
        </w:tc>
        <w:tc>
          <w:tcPr>
            <w:tcW w:w="1394" w:type="dxa"/>
            <w:tcBorders>
              <w:tl2br w:val="nil"/>
              <w:tr2bl w:val="nil"/>
            </w:tcBorders>
            <w:noWrap w:val="0"/>
            <w:vAlign w:val="center"/>
          </w:tcPr>
          <w:p>
            <w:pPr>
              <w:keepNext w:val="0"/>
              <w:keepLines w:val="0"/>
              <w:pageBreakBefore w:val="0"/>
              <w:widowControl/>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0"/>
                <w:sz w:val="21"/>
                <w:szCs w:val="21"/>
                <w:lang w:val="en-US" w:eastAsia="zh-CN" w:bidi="ar"/>
              </w:rPr>
            </w:pPr>
            <w:r>
              <w:rPr>
                <w:rFonts w:hint="default" w:ascii="Arial" w:hAnsi="Arial" w:eastAsia="宋体" w:cs="Arial"/>
                <w:color w:val="auto"/>
                <w:kern w:val="0"/>
                <w:sz w:val="21"/>
                <w:szCs w:val="21"/>
                <w:lang w:val="en-US" w:eastAsia="zh-CN" w:bidi="ar"/>
              </w:rPr>
              <w:t>0.42</w:t>
            </w:r>
          </w:p>
        </w:tc>
        <w:tc>
          <w:tcPr>
            <w:tcW w:w="1394" w:type="dxa"/>
            <w:tcBorders>
              <w:tl2br w:val="nil"/>
              <w:tr2bl w:val="nil"/>
            </w:tcBorders>
            <w:noWrap w:val="0"/>
            <w:vAlign w:val="center"/>
          </w:tcPr>
          <w:p>
            <w:pPr>
              <w:keepNext w:val="0"/>
              <w:keepLines w:val="0"/>
              <w:pageBreakBefore w:val="0"/>
              <w:widowControl/>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0"/>
                <w:sz w:val="21"/>
                <w:szCs w:val="21"/>
                <w:lang w:val="en-US" w:eastAsia="zh-CN" w:bidi="ar"/>
              </w:rPr>
            </w:pPr>
            <w:r>
              <w:rPr>
                <w:rFonts w:hint="default" w:ascii="Arial" w:hAnsi="Arial" w:eastAsia="宋体" w:cs="Arial"/>
                <w:color w:val="auto"/>
                <w:kern w:val="0"/>
                <w:sz w:val="21"/>
                <w:szCs w:val="21"/>
                <w:lang w:val="en-US" w:eastAsia="zh-CN" w:bidi="ar"/>
              </w:rPr>
              <w:t>0.46</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≤1.0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340" w:hRule="atLeast"/>
          <w:jc w:val="center"/>
        </w:trPr>
        <w:tc>
          <w:tcPr>
            <w:tcW w:w="639"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r>
              <w:rPr>
                <w:rFonts w:hint="default" w:ascii="Arial" w:hAnsi="Arial" w:eastAsia="宋体" w:cs="Arial"/>
                <w:i w:val="0"/>
                <w:color w:val="auto"/>
                <w:kern w:val="0"/>
                <w:sz w:val="21"/>
                <w:szCs w:val="21"/>
                <w:u w:val="none"/>
                <w:lang w:val="en-US" w:eastAsia="zh-CN" w:bidi="ar"/>
              </w:rPr>
              <w:t>13</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氨氮</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mg/L</w:t>
            </w:r>
          </w:p>
        </w:tc>
        <w:tc>
          <w:tcPr>
            <w:tcW w:w="1394" w:type="dxa"/>
            <w:tcBorders>
              <w:tl2br w:val="nil"/>
              <w:tr2bl w:val="nil"/>
            </w:tcBorders>
            <w:noWrap w:val="0"/>
            <w:vAlign w:val="center"/>
          </w:tcPr>
          <w:p>
            <w:pPr>
              <w:keepNext w:val="0"/>
              <w:keepLines w:val="0"/>
              <w:pageBreakBefore w:val="0"/>
              <w:widowControl/>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0.581</w:t>
            </w:r>
          </w:p>
        </w:tc>
        <w:tc>
          <w:tcPr>
            <w:tcW w:w="1394" w:type="dxa"/>
            <w:tcBorders>
              <w:tl2br w:val="nil"/>
              <w:tr2bl w:val="nil"/>
            </w:tcBorders>
            <w:noWrap w:val="0"/>
            <w:vAlign w:val="center"/>
          </w:tcPr>
          <w:p>
            <w:pPr>
              <w:keepNext w:val="0"/>
              <w:keepLines w:val="0"/>
              <w:pageBreakBefore w:val="0"/>
              <w:widowControl/>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0.486</w:t>
            </w:r>
          </w:p>
        </w:tc>
        <w:tc>
          <w:tcPr>
            <w:tcW w:w="1394" w:type="dxa"/>
            <w:tcBorders>
              <w:tl2br w:val="nil"/>
              <w:tr2bl w:val="nil"/>
            </w:tcBorders>
            <w:noWrap w:val="0"/>
            <w:vAlign w:val="center"/>
          </w:tcPr>
          <w:p>
            <w:pPr>
              <w:keepNext w:val="0"/>
              <w:keepLines w:val="0"/>
              <w:pageBreakBefore w:val="0"/>
              <w:widowControl/>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0"/>
                <w:sz w:val="21"/>
                <w:szCs w:val="21"/>
                <w:lang w:val="en-US" w:eastAsia="zh-CN" w:bidi="ar"/>
              </w:rPr>
            </w:pPr>
            <w:r>
              <w:rPr>
                <w:rFonts w:hint="default" w:ascii="Arial" w:hAnsi="Arial" w:eastAsia="宋体" w:cs="Arial"/>
                <w:color w:val="auto"/>
                <w:kern w:val="0"/>
                <w:sz w:val="21"/>
                <w:szCs w:val="21"/>
                <w:lang w:val="en-US" w:eastAsia="zh-CN" w:bidi="ar"/>
              </w:rPr>
              <w:t>0.645</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≤0.5</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340" w:hRule="atLeast"/>
          <w:jc w:val="center"/>
        </w:trPr>
        <w:tc>
          <w:tcPr>
            <w:tcW w:w="639"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r>
              <w:rPr>
                <w:rFonts w:hint="default" w:ascii="Arial" w:hAnsi="Arial" w:eastAsia="宋体" w:cs="Arial"/>
                <w:i w:val="0"/>
                <w:color w:val="auto"/>
                <w:kern w:val="0"/>
                <w:sz w:val="21"/>
                <w:szCs w:val="21"/>
                <w:u w:val="none"/>
                <w:lang w:val="en-US" w:eastAsia="zh-CN" w:bidi="ar"/>
              </w:rPr>
              <w:t>14</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亚硝酸盐氮</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mg/L</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0.006</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0"/>
                <w:sz w:val="21"/>
                <w:szCs w:val="21"/>
                <w:lang w:val="en-US" w:eastAsia="zh-CN" w:bidi="ar"/>
              </w:rPr>
            </w:pPr>
            <w:r>
              <w:rPr>
                <w:rFonts w:hint="default" w:ascii="Arial" w:hAnsi="Arial" w:eastAsia="宋体" w:cs="Arial"/>
                <w:color w:val="auto"/>
                <w:kern w:val="0"/>
                <w:sz w:val="21"/>
                <w:szCs w:val="21"/>
                <w:lang w:val="en-US" w:eastAsia="zh-CN" w:bidi="ar"/>
              </w:rPr>
              <w:t>0.327</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0.008</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≤1.0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340" w:hRule="atLeast"/>
          <w:jc w:val="center"/>
        </w:trPr>
        <w:tc>
          <w:tcPr>
            <w:tcW w:w="639"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r>
              <w:rPr>
                <w:rFonts w:hint="default" w:ascii="Arial" w:hAnsi="Arial" w:eastAsia="宋体" w:cs="Arial"/>
                <w:i w:val="0"/>
                <w:color w:val="auto"/>
                <w:kern w:val="0"/>
                <w:sz w:val="21"/>
                <w:szCs w:val="21"/>
                <w:u w:val="none"/>
                <w:lang w:val="en-US" w:eastAsia="zh-CN" w:bidi="ar"/>
              </w:rPr>
              <w:t>15</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硝酸盐氮</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mg/L</w:t>
            </w:r>
          </w:p>
        </w:tc>
        <w:tc>
          <w:tcPr>
            <w:tcW w:w="1394" w:type="dxa"/>
            <w:tcBorders>
              <w:tl2br w:val="nil"/>
              <w:tr2bl w:val="nil"/>
            </w:tcBorders>
            <w:noWrap w:val="0"/>
            <w:vAlign w:val="center"/>
          </w:tcPr>
          <w:p>
            <w:pPr>
              <w:keepNext w:val="0"/>
              <w:keepLines w:val="0"/>
              <w:pageBreakBefore w:val="0"/>
              <w:widowControl/>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1.66</w:t>
            </w:r>
          </w:p>
        </w:tc>
        <w:tc>
          <w:tcPr>
            <w:tcW w:w="1394" w:type="dxa"/>
            <w:tcBorders>
              <w:tl2br w:val="nil"/>
              <w:tr2bl w:val="nil"/>
            </w:tcBorders>
            <w:noWrap w:val="0"/>
            <w:vAlign w:val="center"/>
          </w:tcPr>
          <w:p>
            <w:pPr>
              <w:keepNext w:val="0"/>
              <w:keepLines w:val="0"/>
              <w:pageBreakBefore w:val="0"/>
              <w:widowControl/>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0"/>
                <w:sz w:val="21"/>
                <w:szCs w:val="21"/>
                <w:lang w:val="en-US" w:eastAsia="zh-CN" w:bidi="ar"/>
              </w:rPr>
            </w:pPr>
            <w:r>
              <w:rPr>
                <w:rFonts w:hint="default" w:ascii="Arial" w:hAnsi="Arial" w:eastAsia="宋体" w:cs="Arial"/>
                <w:color w:val="auto"/>
                <w:kern w:val="0"/>
                <w:sz w:val="21"/>
                <w:szCs w:val="21"/>
                <w:lang w:val="en-US" w:eastAsia="zh-CN" w:bidi="ar"/>
              </w:rPr>
              <w:t>2.98</w:t>
            </w:r>
          </w:p>
        </w:tc>
        <w:tc>
          <w:tcPr>
            <w:tcW w:w="1394" w:type="dxa"/>
            <w:tcBorders>
              <w:tl2br w:val="nil"/>
              <w:tr2bl w:val="nil"/>
            </w:tcBorders>
            <w:noWrap w:val="0"/>
            <w:vAlign w:val="center"/>
          </w:tcPr>
          <w:p>
            <w:pPr>
              <w:keepNext w:val="0"/>
              <w:keepLines w:val="0"/>
              <w:pageBreakBefore w:val="0"/>
              <w:widowControl/>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0"/>
                <w:sz w:val="21"/>
                <w:szCs w:val="21"/>
                <w:lang w:val="en-US" w:eastAsia="zh-CN" w:bidi="ar"/>
              </w:rPr>
            </w:pPr>
            <w:r>
              <w:rPr>
                <w:rFonts w:hint="default" w:ascii="Arial" w:hAnsi="Arial" w:eastAsia="宋体" w:cs="Arial"/>
                <w:color w:val="auto"/>
                <w:kern w:val="0"/>
                <w:sz w:val="21"/>
                <w:szCs w:val="21"/>
                <w:lang w:val="en-US" w:eastAsia="zh-CN" w:bidi="ar"/>
              </w:rPr>
              <w:t>1.88</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≤20.0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340" w:hRule="atLeast"/>
          <w:jc w:val="center"/>
        </w:trPr>
        <w:tc>
          <w:tcPr>
            <w:tcW w:w="639"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r>
              <w:rPr>
                <w:rFonts w:hint="default" w:ascii="Arial" w:hAnsi="Arial" w:eastAsia="宋体" w:cs="Arial"/>
                <w:i w:val="0"/>
                <w:color w:val="auto"/>
                <w:kern w:val="0"/>
                <w:sz w:val="21"/>
                <w:szCs w:val="21"/>
                <w:u w:val="none"/>
                <w:lang w:val="en-US" w:eastAsia="zh-CN" w:bidi="ar"/>
              </w:rPr>
              <w:t>16</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挥发酚</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mg/L</w:t>
            </w:r>
          </w:p>
        </w:tc>
        <w:tc>
          <w:tcPr>
            <w:tcW w:w="1394" w:type="dxa"/>
            <w:tcBorders>
              <w:tl2br w:val="nil"/>
              <w:tr2bl w:val="nil"/>
            </w:tcBorders>
            <w:noWrap w:val="0"/>
            <w:vAlign w:val="center"/>
          </w:tcPr>
          <w:p>
            <w:pPr>
              <w:keepNext w:val="0"/>
              <w:keepLines w:val="0"/>
              <w:pageBreakBefore w:val="0"/>
              <w:widowControl/>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0.0003L</w:t>
            </w:r>
          </w:p>
        </w:tc>
        <w:tc>
          <w:tcPr>
            <w:tcW w:w="1394" w:type="dxa"/>
            <w:tcBorders>
              <w:tl2br w:val="nil"/>
              <w:tr2bl w:val="nil"/>
            </w:tcBorders>
            <w:noWrap w:val="0"/>
            <w:vAlign w:val="center"/>
          </w:tcPr>
          <w:p>
            <w:pPr>
              <w:keepNext w:val="0"/>
              <w:keepLines w:val="0"/>
              <w:pageBreakBefore w:val="0"/>
              <w:widowControl/>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0"/>
                <w:sz w:val="21"/>
                <w:szCs w:val="21"/>
                <w:lang w:val="en-US" w:eastAsia="zh-CN" w:bidi="ar"/>
              </w:rPr>
            </w:pPr>
            <w:r>
              <w:rPr>
                <w:rFonts w:hint="default" w:ascii="Arial" w:hAnsi="Arial" w:eastAsia="宋体" w:cs="Arial"/>
                <w:color w:val="auto"/>
                <w:sz w:val="21"/>
                <w:szCs w:val="21"/>
              </w:rPr>
              <w:t>0.0003L</w:t>
            </w:r>
          </w:p>
        </w:tc>
        <w:tc>
          <w:tcPr>
            <w:tcW w:w="1394" w:type="dxa"/>
            <w:tcBorders>
              <w:tl2br w:val="nil"/>
              <w:tr2bl w:val="nil"/>
            </w:tcBorders>
            <w:noWrap w:val="0"/>
            <w:vAlign w:val="center"/>
          </w:tcPr>
          <w:p>
            <w:pPr>
              <w:keepNext w:val="0"/>
              <w:keepLines w:val="0"/>
              <w:pageBreakBefore w:val="0"/>
              <w:widowControl/>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0.0003L</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≤0.</w:t>
            </w:r>
            <w:r>
              <w:rPr>
                <w:rFonts w:hint="default" w:ascii="Arial" w:hAnsi="Arial" w:eastAsia="宋体" w:cs="Arial"/>
                <w:color w:val="auto"/>
                <w:sz w:val="21"/>
                <w:szCs w:val="21"/>
                <w:lang w:val="en-US" w:eastAsia="zh-CN"/>
              </w:rPr>
              <w:t>0</w:t>
            </w:r>
            <w:r>
              <w:rPr>
                <w:rFonts w:hint="default" w:ascii="Arial" w:hAnsi="Arial" w:eastAsia="宋体" w:cs="Arial"/>
                <w:color w:val="auto"/>
                <w:sz w:val="21"/>
                <w:szCs w:val="21"/>
              </w:rPr>
              <w:t>02</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39"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r>
              <w:rPr>
                <w:rFonts w:hint="default" w:ascii="Arial" w:hAnsi="Arial" w:eastAsia="宋体" w:cs="Arial"/>
                <w:i w:val="0"/>
                <w:color w:val="auto"/>
                <w:kern w:val="0"/>
                <w:sz w:val="21"/>
                <w:szCs w:val="21"/>
                <w:u w:val="none"/>
                <w:lang w:val="en-US" w:eastAsia="zh-CN" w:bidi="ar"/>
              </w:rPr>
              <w:t>17</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氰化物</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mg/L</w:t>
            </w:r>
          </w:p>
        </w:tc>
        <w:tc>
          <w:tcPr>
            <w:tcW w:w="1394" w:type="dxa"/>
            <w:tcBorders>
              <w:tl2br w:val="nil"/>
              <w:tr2bl w:val="nil"/>
            </w:tcBorders>
            <w:noWrap w:val="0"/>
            <w:vAlign w:val="center"/>
          </w:tcPr>
          <w:p>
            <w:pPr>
              <w:keepNext w:val="0"/>
              <w:keepLines w:val="0"/>
              <w:pageBreakBefore w:val="0"/>
              <w:widowControl/>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0.004L</w:t>
            </w:r>
          </w:p>
        </w:tc>
        <w:tc>
          <w:tcPr>
            <w:tcW w:w="1394" w:type="dxa"/>
            <w:tcBorders>
              <w:tl2br w:val="nil"/>
              <w:tr2bl w:val="nil"/>
            </w:tcBorders>
            <w:noWrap w:val="0"/>
            <w:vAlign w:val="center"/>
          </w:tcPr>
          <w:p>
            <w:pPr>
              <w:keepNext w:val="0"/>
              <w:keepLines w:val="0"/>
              <w:pageBreakBefore w:val="0"/>
              <w:widowControl/>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0"/>
                <w:sz w:val="21"/>
                <w:szCs w:val="21"/>
                <w:lang w:val="en-US" w:eastAsia="zh-CN" w:bidi="ar"/>
              </w:rPr>
            </w:pPr>
            <w:r>
              <w:rPr>
                <w:rFonts w:hint="default" w:ascii="Arial" w:hAnsi="Arial" w:eastAsia="宋体" w:cs="Arial"/>
                <w:color w:val="auto"/>
                <w:sz w:val="21"/>
                <w:szCs w:val="21"/>
              </w:rPr>
              <w:t>0.004L</w:t>
            </w:r>
          </w:p>
        </w:tc>
        <w:tc>
          <w:tcPr>
            <w:tcW w:w="1394" w:type="dxa"/>
            <w:tcBorders>
              <w:tl2br w:val="nil"/>
              <w:tr2bl w:val="nil"/>
            </w:tcBorders>
            <w:noWrap w:val="0"/>
            <w:vAlign w:val="center"/>
          </w:tcPr>
          <w:p>
            <w:pPr>
              <w:keepNext w:val="0"/>
              <w:keepLines w:val="0"/>
              <w:pageBreakBefore w:val="0"/>
              <w:widowControl/>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0.004L</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≤0.05</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340" w:hRule="atLeast"/>
          <w:jc w:val="center"/>
        </w:trPr>
        <w:tc>
          <w:tcPr>
            <w:tcW w:w="639"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r>
              <w:rPr>
                <w:rFonts w:hint="default" w:ascii="Arial" w:hAnsi="Arial" w:eastAsia="宋体" w:cs="Arial"/>
                <w:i w:val="0"/>
                <w:color w:val="auto"/>
                <w:kern w:val="0"/>
                <w:sz w:val="21"/>
                <w:szCs w:val="21"/>
                <w:u w:val="none"/>
                <w:lang w:val="en-US" w:eastAsia="zh-CN" w:bidi="ar"/>
              </w:rPr>
              <w:t>18</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氯化物</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mg/L</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410</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0"/>
                <w:sz w:val="21"/>
                <w:szCs w:val="21"/>
                <w:lang w:val="en-US" w:eastAsia="zh-CN" w:bidi="ar"/>
              </w:rPr>
            </w:pPr>
            <w:r>
              <w:rPr>
                <w:rFonts w:hint="default" w:ascii="Arial" w:hAnsi="Arial" w:eastAsia="宋体" w:cs="Arial"/>
                <w:color w:val="auto"/>
                <w:kern w:val="0"/>
                <w:sz w:val="21"/>
                <w:szCs w:val="21"/>
                <w:lang w:val="en-US" w:eastAsia="zh-CN" w:bidi="ar"/>
              </w:rPr>
              <w:t>394</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0"/>
                <w:sz w:val="21"/>
                <w:szCs w:val="21"/>
                <w:lang w:val="en-US" w:eastAsia="zh-CN" w:bidi="ar"/>
              </w:rPr>
            </w:pPr>
            <w:r>
              <w:rPr>
                <w:rFonts w:hint="default" w:ascii="Arial" w:hAnsi="Arial" w:eastAsia="宋体" w:cs="Arial"/>
                <w:color w:val="auto"/>
                <w:kern w:val="0"/>
                <w:sz w:val="21"/>
                <w:szCs w:val="21"/>
                <w:lang w:val="en-US" w:eastAsia="zh-CN" w:bidi="ar"/>
              </w:rPr>
              <w:t>373</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w:t>
            </w:r>
            <w:r>
              <w:rPr>
                <w:rFonts w:hint="default" w:ascii="Arial" w:hAnsi="Arial" w:eastAsia="宋体" w:cs="Arial"/>
                <w:color w:val="auto"/>
                <w:sz w:val="21"/>
                <w:szCs w:val="21"/>
                <w:lang w:val="en-US" w:eastAsia="zh-CN"/>
              </w:rPr>
              <w:t>250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39"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r>
              <w:rPr>
                <w:rFonts w:hint="default" w:ascii="Arial" w:hAnsi="Arial" w:eastAsia="宋体" w:cs="Arial"/>
                <w:i w:val="0"/>
                <w:color w:val="auto"/>
                <w:kern w:val="0"/>
                <w:sz w:val="21"/>
                <w:szCs w:val="21"/>
                <w:u w:val="none"/>
                <w:lang w:val="en-US" w:eastAsia="zh-CN" w:bidi="ar"/>
              </w:rPr>
              <w:t>19</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溶解性总固体</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mg/L</w:t>
            </w:r>
          </w:p>
        </w:tc>
        <w:tc>
          <w:tcPr>
            <w:tcW w:w="1394" w:type="dxa"/>
            <w:tcBorders>
              <w:tl2br w:val="nil"/>
              <w:tr2bl w:val="nil"/>
            </w:tcBorders>
            <w:noWrap w:val="0"/>
            <w:vAlign w:val="center"/>
          </w:tcPr>
          <w:p>
            <w:pPr>
              <w:keepNext w:val="0"/>
              <w:keepLines w:val="0"/>
              <w:pageBreakBefore w:val="0"/>
              <w:widowControl/>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1184</w:t>
            </w:r>
          </w:p>
        </w:tc>
        <w:tc>
          <w:tcPr>
            <w:tcW w:w="1394" w:type="dxa"/>
            <w:tcBorders>
              <w:tl2br w:val="nil"/>
              <w:tr2bl w:val="nil"/>
            </w:tcBorders>
            <w:noWrap w:val="0"/>
            <w:vAlign w:val="center"/>
          </w:tcPr>
          <w:p>
            <w:pPr>
              <w:keepNext w:val="0"/>
              <w:keepLines w:val="0"/>
              <w:pageBreakBefore w:val="0"/>
              <w:widowControl/>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0"/>
                <w:sz w:val="21"/>
                <w:szCs w:val="21"/>
                <w:lang w:val="en-US" w:eastAsia="zh-CN" w:bidi="ar"/>
              </w:rPr>
            </w:pPr>
            <w:r>
              <w:rPr>
                <w:rFonts w:hint="default" w:ascii="Arial" w:hAnsi="Arial" w:eastAsia="宋体" w:cs="Arial"/>
                <w:color w:val="auto"/>
                <w:kern w:val="0"/>
                <w:sz w:val="21"/>
                <w:szCs w:val="21"/>
                <w:lang w:val="en-US" w:eastAsia="zh-CN" w:bidi="ar"/>
              </w:rPr>
              <w:t>1137</w:t>
            </w:r>
          </w:p>
        </w:tc>
        <w:tc>
          <w:tcPr>
            <w:tcW w:w="1394" w:type="dxa"/>
            <w:tcBorders>
              <w:tl2br w:val="nil"/>
              <w:tr2bl w:val="nil"/>
            </w:tcBorders>
            <w:noWrap w:val="0"/>
            <w:vAlign w:val="center"/>
          </w:tcPr>
          <w:p>
            <w:pPr>
              <w:keepNext w:val="0"/>
              <w:keepLines w:val="0"/>
              <w:pageBreakBefore w:val="0"/>
              <w:widowControl/>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0"/>
                <w:sz w:val="21"/>
                <w:szCs w:val="21"/>
                <w:lang w:val="en-US" w:eastAsia="zh-CN" w:bidi="ar"/>
              </w:rPr>
            </w:pPr>
            <w:r>
              <w:rPr>
                <w:rFonts w:hint="default" w:ascii="Arial" w:hAnsi="Arial" w:eastAsia="宋体" w:cs="Arial"/>
                <w:color w:val="auto"/>
                <w:kern w:val="0"/>
                <w:sz w:val="21"/>
                <w:szCs w:val="21"/>
                <w:lang w:val="en-US" w:eastAsia="zh-CN" w:bidi="ar"/>
              </w:rPr>
              <w:t>732</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≤1000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340" w:hRule="atLeast"/>
          <w:jc w:val="center"/>
        </w:trPr>
        <w:tc>
          <w:tcPr>
            <w:tcW w:w="639"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i w:val="0"/>
                <w:color w:val="auto"/>
                <w:kern w:val="0"/>
                <w:sz w:val="21"/>
                <w:szCs w:val="21"/>
                <w:u w:val="none"/>
                <w:lang w:val="en-US" w:eastAsia="zh-CN" w:bidi="ar"/>
              </w:rPr>
              <w:t>20</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六价铬</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mg/L</w:t>
            </w:r>
          </w:p>
        </w:tc>
        <w:tc>
          <w:tcPr>
            <w:tcW w:w="1394" w:type="dxa"/>
            <w:tcBorders>
              <w:tl2br w:val="nil"/>
              <w:tr2bl w:val="nil"/>
            </w:tcBorders>
            <w:noWrap w:val="0"/>
            <w:vAlign w:val="center"/>
          </w:tcPr>
          <w:p>
            <w:pPr>
              <w:keepNext w:val="0"/>
              <w:keepLines w:val="0"/>
              <w:pageBreakBefore w:val="0"/>
              <w:widowControl/>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0.004L</w:t>
            </w:r>
          </w:p>
        </w:tc>
        <w:tc>
          <w:tcPr>
            <w:tcW w:w="1394" w:type="dxa"/>
            <w:tcBorders>
              <w:tl2br w:val="nil"/>
              <w:tr2bl w:val="nil"/>
            </w:tcBorders>
            <w:noWrap w:val="0"/>
            <w:vAlign w:val="center"/>
          </w:tcPr>
          <w:p>
            <w:pPr>
              <w:keepNext w:val="0"/>
              <w:keepLines w:val="0"/>
              <w:pageBreakBefore w:val="0"/>
              <w:widowControl/>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0"/>
                <w:sz w:val="21"/>
                <w:szCs w:val="21"/>
                <w:lang w:val="en-US" w:eastAsia="zh-CN" w:bidi="ar"/>
              </w:rPr>
            </w:pPr>
            <w:r>
              <w:rPr>
                <w:rFonts w:hint="default" w:ascii="Arial" w:hAnsi="Arial" w:eastAsia="宋体" w:cs="Arial"/>
                <w:color w:val="auto"/>
                <w:sz w:val="21"/>
                <w:szCs w:val="21"/>
              </w:rPr>
              <w:t>0.004L</w:t>
            </w:r>
          </w:p>
        </w:tc>
        <w:tc>
          <w:tcPr>
            <w:tcW w:w="1394" w:type="dxa"/>
            <w:tcBorders>
              <w:tl2br w:val="nil"/>
              <w:tr2bl w:val="nil"/>
            </w:tcBorders>
            <w:noWrap w:val="0"/>
            <w:vAlign w:val="center"/>
          </w:tcPr>
          <w:p>
            <w:pPr>
              <w:keepNext w:val="0"/>
              <w:keepLines w:val="0"/>
              <w:pageBreakBefore w:val="0"/>
              <w:widowControl/>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0"/>
                <w:sz w:val="21"/>
                <w:szCs w:val="21"/>
                <w:lang w:val="en-US" w:eastAsia="zh-CN" w:bidi="ar"/>
              </w:rPr>
            </w:pPr>
            <w:r>
              <w:rPr>
                <w:rFonts w:hint="default" w:ascii="Arial" w:hAnsi="Arial" w:eastAsia="宋体" w:cs="Arial"/>
                <w:color w:val="auto"/>
                <w:sz w:val="21"/>
                <w:szCs w:val="21"/>
              </w:rPr>
              <w:t>0.004L</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≤0.05</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39"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i w:val="0"/>
                <w:color w:val="auto"/>
                <w:kern w:val="0"/>
                <w:sz w:val="21"/>
                <w:szCs w:val="21"/>
                <w:u w:val="none"/>
                <w:lang w:val="en-US" w:eastAsia="zh-CN" w:bidi="ar"/>
              </w:rPr>
              <w:t>21</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砷</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mg/L</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0.0003L</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0"/>
                <w:sz w:val="21"/>
                <w:szCs w:val="21"/>
                <w:lang w:val="en-US" w:eastAsia="zh-CN" w:bidi="ar"/>
              </w:rPr>
            </w:pPr>
            <w:r>
              <w:rPr>
                <w:rFonts w:hint="default" w:ascii="Arial" w:hAnsi="Arial" w:eastAsia="宋体" w:cs="Arial"/>
                <w:color w:val="auto"/>
                <w:sz w:val="21"/>
                <w:szCs w:val="21"/>
              </w:rPr>
              <w:t>0.0003L</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0"/>
                <w:sz w:val="21"/>
                <w:szCs w:val="21"/>
                <w:lang w:val="en-US" w:eastAsia="zh-CN" w:bidi="ar"/>
              </w:rPr>
            </w:pPr>
            <w:r>
              <w:rPr>
                <w:rFonts w:hint="default" w:ascii="Arial" w:hAnsi="Arial" w:eastAsia="宋体" w:cs="Arial"/>
                <w:color w:val="auto"/>
                <w:sz w:val="21"/>
                <w:szCs w:val="21"/>
              </w:rPr>
              <w:t>0.0003L</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≤0.01</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39"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i w:val="0"/>
                <w:color w:val="auto"/>
                <w:kern w:val="0"/>
                <w:sz w:val="21"/>
                <w:szCs w:val="21"/>
                <w:u w:val="none"/>
                <w:lang w:val="en-US" w:eastAsia="zh-CN" w:bidi="ar"/>
              </w:rPr>
              <w:t>22</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汞</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mg/L</w:t>
            </w:r>
          </w:p>
        </w:tc>
        <w:tc>
          <w:tcPr>
            <w:tcW w:w="1394" w:type="dxa"/>
            <w:tcBorders>
              <w:tl2br w:val="nil"/>
              <w:tr2bl w:val="nil"/>
            </w:tcBorders>
            <w:noWrap w:val="0"/>
            <w:vAlign w:val="center"/>
          </w:tcPr>
          <w:p>
            <w:pPr>
              <w:keepNext w:val="0"/>
              <w:keepLines w:val="0"/>
              <w:pageBreakBefore w:val="0"/>
              <w:widowControl/>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0.00004L</w:t>
            </w:r>
          </w:p>
        </w:tc>
        <w:tc>
          <w:tcPr>
            <w:tcW w:w="1394" w:type="dxa"/>
            <w:tcBorders>
              <w:tl2br w:val="nil"/>
              <w:tr2bl w:val="nil"/>
            </w:tcBorders>
            <w:noWrap w:val="0"/>
            <w:vAlign w:val="center"/>
          </w:tcPr>
          <w:p>
            <w:pPr>
              <w:keepNext w:val="0"/>
              <w:keepLines w:val="0"/>
              <w:pageBreakBefore w:val="0"/>
              <w:widowControl/>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0"/>
                <w:sz w:val="21"/>
                <w:szCs w:val="21"/>
                <w:lang w:val="en-US" w:eastAsia="zh-CN" w:bidi="ar"/>
              </w:rPr>
            </w:pPr>
            <w:r>
              <w:rPr>
                <w:rFonts w:hint="default" w:ascii="Arial" w:hAnsi="Arial" w:eastAsia="宋体" w:cs="Arial"/>
                <w:color w:val="auto"/>
                <w:sz w:val="21"/>
                <w:szCs w:val="21"/>
              </w:rPr>
              <w:t>0.00004L</w:t>
            </w:r>
          </w:p>
        </w:tc>
        <w:tc>
          <w:tcPr>
            <w:tcW w:w="1394" w:type="dxa"/>
            <w:tcBorders>
              <w:tl2br w:val="nil"/>
              <w:tr2bl w:val="nil"/>
            </w:tcBorders>
            <w:noWrap w:val="0"/>
            <w:vAlign w:val="center"/>
          </w:tcPr>
          <w:p>
            <w:pPr>
              <w:keepNext w:val="0"/>
              <w:keepLines w:val="0"/>
              <w:pageBreakBefore w:val="0"/>
              <w:widowControl/>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0"/>
                <w:sz w:val="21"/>
                <w:szCs w:val="21"/>
                <w:lang w:val="en-US" w:eastAsia="zh-CN" w:bidi="ar"/>
              </w:rPr>
            </w:pPr>
            <w:r>
              <w:rPr>
                <w:rFonts w:hint="default" w:ascii="Arial" w:hAnsi="Arial" w:eastAsia="宋体" w:cs="Arial"/>
                <w:color w:val="auto"/>
                <w:sz w:val="21"/>
                <w:szCs w:val="21"/>
              </w:rPr>
              <w:t>0.00004L</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≤0.001</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39"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23</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镉</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mg/L</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0.0001L</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0"/>
                <w:sz w:val="21"/>
                <w:szCs w:val="21"/>
                <w:lang w:val="en-US" w:eastAsia="zh-CN" w:bidi="ar"/>
              </w:rPr>
            </w:pPr>
            <w:r>
              <w:rPr>
                <w:rFonts w:hint="default" w:ascii="Arial" w:hAnsi="Arial" w:eastAsia="宋体" w:cs="Arial"/>
                <w:color w:val="auto"/>
                <w:sz w:val="21"/>
                <w:szCs w:val="21"/>
              </w:rPr>
              <w:t>0.0001L</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0"/>
                <w:sz w:val="21"/>
                <w:szCs w:val="21"/>
                <w:lang w:val="en-US" w:eastAsia="zh-CN" w:bidi="ar"/>
              </w:rPr>
            </w:pPr>
            <w:r>
              <w:rPr>
                <w:rFonts w:hint="default" w:ascii="Arial" w:hAnsi="Arial" w:eastAsia="宋体" w:cs="Arial"/>
                <w:color w:val="auto"/>
                <w:sz w:val="21"/>
                <w:szCs w:val="21"/>
              </w:rPr>
              <w:t>0.0001L</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≤0.005</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39"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24</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铁</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mg/L</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0.03L</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0"/>
                <w:sz w:val="21"/>
                <w:szCs w:val="21"/>
                <w:lang w:val="en-US" w:eastAsia="zh-CN" w:bidi="ar"/>
              </w:rPr>
            </w:pPr>
            <w:r>
              <w:rPr>
                <w:rFonts w:hint="default" w:ascii="Arial" w:hAnsi="Arial" w:eastAsia="宋体" w:cs="Arial"/>
                <w:color w:val="auto"/>
                <w:sz w:val="21"/>
                <w:szCs w:val="21"/>
              </w:rPr>
              <w:t>0.03L</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0"/>
                <w:sz w:val="21"/>
                <w:szCs w:val="21"/>
                <w:lang w:val="en-US" w:eastAsia="zh-CN" w:bidi="ar"/>
              </w:rPr>
            </w:pPr>
            <w:r>
              <w:rPr>
                <w:rFonts w:hint="default" w:ascii="Arial" w:hAnsi="Arial" w:eastAsia="宋体" w:cs="Arial"/>
                <w:color w:val="auto"/>
                <w:sz w:val="21"/>
                <w:szCs w:val="21"/>
              </w:rPr>
              <w:t>0.03L</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≤0.3</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39"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i w:val="0"/>
                <w:color w:val="auto"/>
                <w:kern w:val="0"/>
                <w:sz w:val="21"/>
                <w:szCs w:val="21"/>
                <w:u w:val="none"/>
                <w:lang w:val="en-US" w:eastAsia="zh-CN" w:bidi="ar"/>
              </w:rPr>
              <w:t>25</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锰</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mg/L</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0"/>
                <w:sz w:val="21"/>
                <w:szCs w:val="21"/>
                <w:lang w:val="en-US" w:eastAsia="zh-CN" w:bidi="ar"/>
              </w:rPr>
            </w:pPr>
            <w:r>
              <w:rPr>
                <w:rFonts w:hint="default" w:ascii="Arial" w:hAnsi="Arial" w:eastAsia="宋体" w:cs="Arial"/>
                <w:color w:val="auto"/>
                <w:sz w:val="21"/>
                <w:szCs w:val="21"/>
              </w:rPr>
              <w:t>0.01L</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0"/>
                <w:sz w:val="21"/>
                <w:szCs w:val="21"/>
                <w:lang w:val="en-US" w:eastAsia="zh-CN" w:bidi="ar"/>
              </w:rPr>
            </w:pPr>
            <w:r>
              <w:rPr>
                <w:rFonts w:hint="default" w:ascii="Arial" w:hAnsi="Arial" w:eastAsia="宋体" w:cs="Arial"/>
                <w:color w:val="auto"/>
                <w:sz w:val="21"/>
                <w:szCs w:val="21"/>
              </w:rPr>
              <w:t>0.01L</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0"/>
                <w:sz w:val="21"/>
                <w:szCs w:val="21"/>
                <w:lang w:val="en-US" w:eastAsia="zh-CN" w:bidi="ar"/>
              </w:rPr>
            </w:pPr>
            <w:r>
              <w:rPr>
                <w:rFonts w:hint="default" w:ascii="Arial" w:hAnsi="Arial" w:eastAsia="宋体" w:cs="Arial"/>
                <w:color w:val="auto"/>
                <w:sz w:val="21"/>
                <w:szCs w:val="21"/>
              </w:rPr>
              <w:t>0.01L</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≤0.10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340" w:hRule="atLeast"/>
          <w:jc w:val="center"/>
        </w:trPr>
        <w:tc>
          <w:tcPr>
            <w:tcW w:w="639"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i w:val="0"/>
                <w:color w:val="auto"/>
                <w:kern w:val="0"/>
                <w:sz w:val="21"/>
                <w:szCs w:val="21"/>
                <w:u w:val="none"/>
                <w:lang w:val="en-US" w:eastAsia="zh-CN" w:bidi="ar"/>
              </w:rPr>
              <w:t>26</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铅</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mg/L</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0.001L</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0"/>
                <w:sz w:val="21"/>
                <w:szCs w:val="21"/>
                <w:lang w:val="en-US" w:eastAsia="zh-CN" w:bidi="ar"/>
              </w:rPr>
            </w:pPr>
            <w:r>
              <w:rPr>
                <w:rFonts w:hint="default" w:ascii="Arial" w:hAnsi="Arial" w:eastAsia="宋体" w:cs="Arial"/>
                <w:color w:val="auto"/>
                <w:sz w:val="21"/>
                <w:szCs w:val="21"/>
              </w:rPr>
              <w:t>0.001L</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0"/>
                <w:sz w:val="21"/>
                <w:szCs w:val="21"/>
                <w:lang w:val="en-US" w:eastAsia="zh-CN" w:bidi="ar"/>
              </w:rPr>
            </w:pPr>
            <w:r>
              <w:rPr>
                <w:rFonts w:hint="default" w:ascii="Arial" w:hAnsi="Arial" w:eastAsia="宋体" w:cs="Arial"/>
                <w:color w:val="auto"/>
                <w:sz w:val="21"/>
                <w:szCs w:val="21"/>
              </w:rPr>
              <w:t>0.001L</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≤0.01</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39"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i w:val="0"/>
                <w:color w:val="auto"/>
                <w:kern w:val="0"/>
                <w:sz w:val="21"/>
                <w:szCs w:val="21"/>
                <w:u w:val="none"/>
                <w:lang w:val="en-US" w:eastAsia="zh-CN" w:bidi="ar"/>
              </w:rPr>
              <w:t>27</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总大肠菌群</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r>
              <w:rPr>
                <w:rFonts w:hint="default" w:ascii="Arial" w:hAnsi="Arial" w:eastAsia="宋体" w:cs="Arial"/>
                <w:color w:val="auto"/>
                <w:sz w:val="21"/>
                <w:szCs w:val="21"/>
              </w:rPr>
              <w:t>MPN/</w:t>
            </w:r>
          </w:p>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100mL</w:t>
            </w:r>
          </w:p>
        </w:tc>
        <w:tc>
          <w:tcPr>
            <w:tcW w:w="1394" w:type="dxa"/>
            <w:tcBorders>
              <w:tl2br w:val="nil"/>
              <w:tr2bl w:val="nil"/>
            </w:tcBorders>
            <w:noWrap w:val="0"/>
            <w:vAlign w:val="center"/>
          </w:tcPr>
          <w:p>
            <w:pPr>
              <w:keepNext w:val="0"/>
              <w:keepLines w:val="0"/>
              <w:pageBreakBefore w:val="0"/>
              <w:widowControl/>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1</w:t>
            </w:r>
          </w:p>
        </w:tc>
        <w:tc>
          <w:tcPr>
            <w:tcW w:w="1394" w:type="dxa"/>
            <w:tcBorders>
              <w:tl2br w:val="nil"/>
              <w:tr2bl w:val="nil"/>
            </w:tcBorders>
            <w:noWrap w:val="0"/>
            <w:vAlign w:val="center"/>
          </w:tcPr>
          <w:p>
            <w:pPr>
              <w:keepNext w:val="0"/>
              <w:keepLines w:val="0"/>
              <w:pageBreakBefore w:val="0"/>
              <w:widowControl/>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1</w:t>
            </w:r>
          </w:p>
        </w:tc>
        <w:tc>
          <w:tcPr>
            <w:tcW w:w="1394" w:type="dxa"/>
            <w:tcBorders>
              <w:tl2br w:val="nil"/>
              <w:tr2bl w:val="nil"/>
            </w:tcBorders>
            <w:noWrap w:val="0"/>
            <w:vAlign w:val="center"/>
          </w:tcPr>
          <w:p>
            <w:pPr>
              <w:keepNext w:val="0"/>
              <w:keepLines w:val="0"/>
              <w:pageBreakBefore w:val="0"/>
              <w:widowControl/>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1</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≤3</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39"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28</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细菌总数</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r>
              <w:rPr>
                <w:rFonts w:hint="default" w:ascii="Arial" w:hAnsi="Arial" w:eastAsia="宋体" w:cs="Arial"/>
                <w:color w:val="auto"/>
                <w:sz w:val="21"/>
                <w:szCs w:val="21"/>
              </w:rPr>
              <w:t>CFU/</w:t>
            </w:r>
          </w:p>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mL</w:t>
            </w:r>
          </w:p>
        </w:tc>
        <w:tc>
          <w:tcPr>
            <w:tcW w:w="1394" w:type="dxa"/>
            <w:tcBorders>
              <w:tl2br w:val="nil"/>
              <w:tr2bl w:val="nil"/>
            </w:tcBorders>
            <w:noWrap w:val="0"/>
            <w:vAlign w:val="center"/>
          </w:tcPr>
          <w:p>
            <w:pPr>
              <w:keepNext w:val="0"/>
              <w:keepLines w:val="0"/>
              <w:pageBreakBefore w:val="0"/>
              <w:widowControl/>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21</w:t>
            </w:r>
          </w:p>
        </w:tc>
        <w:tc>
          <w:tcPr>
            <w:tcW w:w="1394" w:type="dxa"/>
            <w:tcBorders>
              <w:tl2br w:val="nil"/>
              <w:tr2bl w:val="nil"/>
            </w:tcBorders>
            <w:noWrap w:val="0"/>
            <w:vAlign w:val="center"/>
          </w:tcPr>
          <w:p>
            <w:pPr>
              <w:keepNext w:val="0"/>
              <w:keepLines w:val="0"/>
              <w:pageBreakBefore w:val="0"/>
              <w:widowControl/>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0"/>
                <w:sz w:val="21"/>
                <w:szCs w:val="21"/>
                <w:lang w:val="en-US" w:eastAsia="zh-CN" w:bidi="ar"/>
              </w:rPr>
            </w:pPr>
            <w:r>
              <w:rPr>
                <w:rFonts w:hint="default" w:ascii="Arial" w:hAnsi="Arial" w:eastAsia="宋体" w:cs="Arial"/>
                <w:color w:val="auto"/>
                <w:kern w:val="0"/>
                <w:sz w:val="21"/>
                <w:szCs w:val="21"/>
                <w:lang w:val="en-US" w:eastAsia="zh-CN" w:bidi="ar"/>
              </w:rPr>
              <w:t>32</w:t>
            </w:r>
          </w:p>
        </w:tc>
        <w:tc>
          <w:tcPr>
            <w:tcW w:w="1394" w:type="dxa"/>
            <w:tcBorders>
              <w:tl2br w:val="nil"/>
              <w:tr2bl w:val="nil"/>
            </w:tcBorders>
            <w:noWrap w:val="0"/>
            <w:vAlign w:val="center"/>
          </w:tcPr>
          <w:p>
            <w:pPr>
              <w:keepNext w:val="0"/>
              <w:keepLines w:val="0"/>
              <w:pageBreakBefore w:val="0"/>
              <w:widowControl/>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0"/>
                <w:sz w:val="21"/>
                <w:szCs w:val="21"/>
                <w:lang w:val="en-US" w:eastAsia="zh-CN" w:bidi="ar"/>
              </w:rPr>
            </w:pPr>
            <w:r>
              <w:rPr>
                <w:rFonts w:hint="default" w:ascii="Arial" w:hAnsi="Arial" w:eastAsia="宋体" w:cs="Arial"/>
                <w:color w:val="auto"/>
                <w:kern w:val="0"/>
                <w:sz w:val="21"/>
                <w:szCs w:val="21"/>
                <w:lang w:val="en-US" w:eastAsia="zh-CN" w:bidi="ar"/>
              </w:rPr>
              <w:t>26</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≤100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340" w:hRule="atLeast"/>
          <w:jc w:val="center"/>
        </w:trPr>
        <w:tc>
          <w:tcPr>
            <w:tcW w:w="639"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29</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硫酸盐</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mg/L</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380</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0"/>
                <w:sz w:val="21"/>
                <w:szCs w:val="21"/>
                <w:lang w:val="en-US" w:eastAsia="zh-CN" w:bidi="ar"/>
              </w:rPr>
            </w:pPr>
            <w:r>
              <w:rPr>
                <w:rFonts w:hint="default" w:ascii="Arial" w:hAnsi="Arial" w:eastAsia="宋体" w:cs="Arial"/>
                <w:color w:val="auto"/>
                <w:kern w:val="0"/>
                <w:sz w:val="21"/>
                <w:szCs w:val="21"/>
                <w:lang w:val="en-US" w:eastAsia="zh-CN" w:bidi="ar"/>
              </w:rPr>
              <w:t>334</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0"/>
                <w:sz w:val="21"/>
                <w:szCs w:val="21"/>
                <w:lang w:val="en-US" w:eastAsia="zh-CN" w:bidi="ar"/>
              </w:rPr>
            </w:pPr>
            <w:r>
              <w:rPr>
                <w:rFonts w:hint="default" w:ascii="Arial" w:hAnsi="Arial" w:eastAsia="宋体" w:cs="Arial"/>
                <w:color w:val="auto"/>
                <w:kern w:val="0"/>
                <w:sz w:val="21"/>
                <w:szCs w:val="21"/>
                <w:lang w:val="en-US" w:eastAsia="zh-CN" w:bidi="ar"/>
              </w:rPr>
              <w:t>278</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w:t>
            </w:r>
            <w:r>
              <w:rPr>
                <w:rFonts w:hint="default" w:ascii="Arial" w:hAnsi="Arial" w:eastAsia="宋体" w:cs="Arial"/>
                <w:color w:val="auto"/>
                <w:sz w:val="21"/>
                <w:szCs w:val="21"/>
                <w:lang w:val="en-US" w:eastAsia="zh-CN"/>
              </w:rPr>
              <w:t>250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340" w:hRule="atLeast"/>
          <w:jc w:val="center"/>
        </w:trPr>
        <w:tc>
          <w:tcPr>
            <w:tcW w:w="639"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30</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铜</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mg/L</w:t>
            </w:r>
          </w:p>
        </w:tc>
        <w:tc>
          <w:tcPr>
            <w:tcW w:w="1394" w:type="dxa"/>
            <w:tcBorders>
              <w:tl2br w:val="nil"/>
              <w:tr2bl w:val="nil"/>
            </w:tcBorders>
            <w:noWrap w:val="0"/>
            <w:vAlign w:val="center"/>
          </w:tcPr>
          <w:p>
            <w:pPr>
              <w:keepNext w:val="0"/>
              <w:keepLines w:val="0"/>
              <w:pageBreakBefore w:val="0"/>
              <w:widowControl/>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0.05L</w:t>
            </w:r>
          </w:p>
        </w:tc>
        <w:tc>
          <w:tcPr>
            <w:tcW w:w="1394" w:type="dxa"/>
            <w:tcBorders>
              <w:tl2br w:val="nil"/>
              <w:tr2bl w:val="nil"/>
            </w:tcBorders>
            <w:noWrap w:val="0"/>
            <w:vAlign w:val="center"/>
          </w:tcPr>
          <w:p>
            <w:pPr>
              <w:keepNext w:val="0"/>
              <w:keepLines w:val="0"/>
              <w:pageBreakBefore w:val="0"/>
              <w:widowControl/>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0"/>
                <w:sz w:val="21"/>
                <w:szCs w:val="21"/>
                <w:lang w:val="en-US" w:eastAsia="zh-CN" w:bidi="ar"/>
              </w:rPr>
            </w:pPr>
            <w:r>
              <w:rPr>
                <w:rFonts w:hint="default" w:ascii="Arial" w:hAnsi="Arial" w:eastAsia="宋体" w:cs="Arial"/>
                <w:color w:val="auto"/>
                <w:sz w:val="21"/>
                <w:szCs w:val="21"/>
                <w:lang w:val="en-US" w:eastAsia="zh-CN"/>
              </w:rPr>
              <w:t>0.05L</w:t>
            </w:r>
          </w:p>
        </w:tc>
        <w:tc>
          <w:tcPr>
            <w:tcW w:w="1394" w:type="dxa"/>
            <w:tcBorders>
              <w:tl2br w:val="nil"/>
              <w:tr2bl w:val="nil"/>
            </w:tcBorders>
            <w:noWrap w:val="0"/>
            <w:vAlign w:val="center"/>
          </w:tcPr>
          <w:p>
            <w:pPr>
              <w:keepNext w:val="0"/>
              <w:keepLines w:val="0"/>
              <w:pageBreakBefore w:val="0"/>
              <w:widowControl/>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0"/>
                <w:sz w:val="21"/>
                <w:szCs w:val="21"/>
                <w:lang w:val="en-US" w:eastAsia="zh-CN" w:bidi="ar"/>
              </w:rPr>
            </w:pPr>
            <w:r>
              <w:rPr>
                <w:rFonts w:hint="default" w:ascii="Arial" w:hAnsi="Arial" w:eastAsia="宋体" w:cs="Arial"/>
                <w:color w:val="auto"/>
                <w:sz w:val="21"/>
                <w:szCs w:val="21"/>
                <w:lang w:val="en-US" w:eastAsia="zh-CN"/>
              </w:rPr>
              <w:t>0.05L</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w:t>
            </w:r>
            <w:r>
              <w:rPr>
                <w:rFonts w:hint="default" w:ascii="Arial" w:hAnsi="Arial" w:eastAsia="宋体" w:cs="Arial"/>
                <w:color w:val="auto"/>
                <w:sz w:val="21"/>
                <w:szCs w:val="21"/>
                <w:lang w:val="en-US" w:eastAsia="zh-CN"/>
              </w:rPr>
              <w:t>1.0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340" w:hRule="atLeast"/>
          <w:jc w:val="center"/>
        </w:trPr>
        <w:tc>
          <w:tcPr>
            <w:tcW w:w="639"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31</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锌</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mg/L</w:t>
            </w:r>
          </w:p>
        </w:tc>
        <w:tc>
          <w:tcPr>
            <w:tcW w:w="1394" w:type="dxa"/>
            <w:tcBorders>
              <w:tl2br w:val="nil"/>
              <w:tr2bl w:val="nil"/>
            </w:tcBorders>
            <w:noWrap w:val="0"/>
            <w:vAlign w:val="center"/>
          </w:tcPr>
          <w:p>
            <w:pPr>
              <w:keepNext w:val="0"/>
              <w:keepLines w:val="0"/>
              <w:pageBreakBefore w:val="0"/>
              <w:widowControl/>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0.05L</w:t>
            </w:r>
          </w:p>
        </w:tc>
        <w:tc>
          <w:tcPr>
            <w:tcW w:w="1394" w:type="dxa"/>
            <w:tcBorders>
              <w:tl2br w:val="nil"/>
              <w:tr2bl w:val="nil"/>
            </w:tcBorders>
            <w:noWrap w:val="0"/>
            <w:vAlign w:val="center"/>
          </w:tcPr>
          <w:p>
            <w:pPr>
              <w:keepNext w:val="0"/>
              <w:keepLines w:val="0"/>
              <w:pageBreakBefore w:val="0"/>
              <w:widowControl/>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0"/>
                <w:sz w:val="21"/>
                <w:szCs w:val="21"/>
                <w:lang w:val="en-US" w:eastAsia="zh-CN" w:bidi="ar"/>
              </w:rPr>
            </w:pPr>
            <w:r>
              <w:rPr>
                <w:rFonts w:hint="default" w:ascii="Arial" w:hAnsi="Arial" w:eastAsia="宋体" w:cs="Arial"/>
                <w:color w:val="auto"/>
                <w:sz w:val="21"/>
                <w:szCs w:val="21"/>
                <w:lang w:val="en-US" w:eastAsia="zh-CN"/>
              </w:rPr>
              <w:t>0.05L</w:t>
            </w:r>
          </w:p>
        </w:tc>
        <w:tc>
          <w:tcPr>
            <w:tcW w:w="1394" w:type="dxa"/>
            <w:tcBorders>
              <w:tl2br w:val="nil"/>
              <w:tr2bl w:val="nil"/>
            </w:tcBorders>
            <w:noWrap w:val="0"/>
            <w:vAlign w:val="center"/>
          </w:tcPr>
          <w:p>
            <w:pPr>
              <w:keepNext w:val="0"/>
              <w:keepLines w:val="0"/>
              <w:pageBreakBefore w:val="0"/>
              <w:widowControl/>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0"/>
                <w:sz w:val="21"/>
                <w:szCs w:val="21"/>
                <w:lang w:val="en-US" w:eastAsia="zh-CN" w:bidi="ar"/>
              </w:rPr>
            </w:pPr>
            <w:r>
              <w:rPr>
                <w:rFonts w:hint="default" w:ascii="Arial" w:hAnsi="Arial" w:eastAsia="宋体" w:cs="Arial"/>
                <w:color w:val="auto"/>
                <w:sz w:val="21"/>
                <w:szCs w:val="21"/>
                <w:lang w:val="en-US" w:eastAsia="zh-CN"/>
              </w:rPr>
              <w:t>0.05L</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w:t>
            </w:r>
            <w:r>
              <w:rPr>
                <w:rFonts w:hint="default" w:ascii="Arial" w:hAnsi="Arial" w:eastAsia="宋体" w:cs="Arial"/>
                <w:color w:val="auto"/>
                <w:sz w:val="21"/>
                <w:szCs w:val="21"/>
                <w:lang w:val="en-US" w:eastAsia="zh-CN"/>
              </w:rPr>
              <w:t>1.0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340" w:hRule="atLeast"/>
          <w:jc w:val="center"/>
        </w:trPr>
        <w:tc>
          <w:tcPr>
            <w:tcW w:w="639"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32</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铝</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mg/L</w:t>
            </w:r>
          </w:p>
        </w:tc>
        <w:tc>
          <w:tcPr>
            <w:tcW w:w="1394" w:type="dxa"/>
            <w:tcBorders>
              <w:tl2br w:val="nil"/>
              <w:tr2bl w:val="nil"/>
            </w:tcBorders>
            <w:noWrap w:val="0"/>
            <w:vAlign w:val="center"/>
          </w:tcPr>
          <w:p>
            <w:pPr>
              <w:keepNext w:val="0"/>
              <w:keepLines w:val="0"/>
              <w:pageBreakBefore w:val="0"/>
              <w:widowControl/>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0"/>
                <w:sz w:val="21"/>
                <w:szCs w:val="21"/>
                <w:lang w:val="en-US" w:eastAsia="zh-CN" w:bidi="ar"/>
              </w:rPr>
              <w:t>0.025L</w:t>
            </w:r>
          </w:p>
        </w:tc>
        <w:tc>
          <w:tcPr>
            <w:tcW w:w="1394" w:type="dxa"/>
            <w:tcBorders>
              <w:tl2br w:val="nil"/>
              <w:tr2bl w:val="nil"/>
            </w:tcBorders>
            <w:noWrap w:val="0"/>
            <w:vAlign w:val="center"/>
          </w:tcPr>
          <w:p>
            <w:pPr>
              <w:keepNext w:val="0"/>
              <w:keepLines w:val="0"/>
              <w:pageBreakBefore w:val="0"/>
              <w:widowControl/>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0"/>
                <w:sz w:val="21"/>
                <w:szCs w:val="21"/>
                <w:lang w:val="en-US" w:eastAsia="zh-CN" w:bidi="ar"/>
              </w:rPr>
            </w:pPr>
            <w:r>
              <w:rPr>
                <w:rFonts w:hint="default" w:ascii="Arial" w:hAnsi="Arial" w:eastAsia="宋体" w:cs="Arial"/>
                <w:color w:val="auto"/>
                <w:kern w:val="0"/>
                <w:sz w:val="21"/>
                <w:szCs w:val="21"/>
                <w:lang w:val="en-US" w:eastAsia="zh-CN" w:bidi="ar"/>
              </w:rPr>
              <w:t>0.025L</w:t>
            </w:r>
          </w:p>
        </w:tc>
        <w:tc>
          <w:tcPr>
            <w:tcW w:w="1394" w:type="dxa"/>
            <w:tcBorders>
              <w:tl2br w:val="nil"/>
              <w:tr2bl w:val="nil"/>
            </w:tcBorders>
            <w:noWrap w:val="0"/>
            <w:vAlign w:val="center"/>
          </w:tcPr>
          <w:p>
            <w:pPr>
              <w:keepNext w:val="0"/>
              <w:keepLines w:val="0"/>
              <w:pageBreakBefore w:val="0"/>
              <w:widowControl/>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0"/>
                <w:sz w:val="21"/>
                <w:szCs w:val="21"/>
                <w:lang w:val="en-US" w:eastAsia="zh-CN" w:bidi="ar"/>
              </w:rPr>
            </w:pPr>
            <w:r>
              <w:rPr>
                <w:rFonts w:hint="default" w:ascii="Arial" w:hAnsi="Arial" w:eastAsia="宋体" w:cs="Arial"/>
                <w:color w:val="auto"/>
                <w:kern w:val="0"/>
                <w:sz w:val="21"/>
                <w:szCs w:val="21"/>
                <w:lang w:val="en-US" w:eastAsia="zh-CN" w:bidi="ar"/>
              </w:rPr>
              <w:t>0.025L</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w:t>
            </w:r>
            <w:r>
              <w:rPr>
                <w:rFonts w:hint="default" w:ascii="Arial" w:hAnsi="Arial" w:eastAsia="宋体" w:cs="Arial"/>
                <w:color w:val="auto"/>
                <w:sz w:val="21"/>
                <w:szCs w:val="21"/>
                <w:lang w:val="en-US" w:eastAsia="zh-CN"/>
              </w:rPr>
              <w:t>0.2</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340" w:hRule="atLeast"/>
          <w:jc w:val="center"/>
        </w:trPr>
        <w:tc>
          <w:tcPr>
            <w:tcW w:w="639"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33</w:t>
            </w:r>
          </w:p>
        </w:tc>
        <w:tc>
          <w:tcPr>
            <w:tcW w:w="1394"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highlight w:val="none"/>
                <w:lang w:val="en-US" w:eastAsia="zh-CN"/>
              </w:rPr>
              <w:t>阴离子表面活性剂</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mg/L</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0.05L</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0.05L</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0.05L</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w:t>
            </w:r>
            <w:r>
              <w:rPr>
                <w:rFonts w:hint="default" w:ascii="Arial" w:hAnsi="Arial" w:eastAsia="宋体" w:cs="Arial"/>
                <w:color w:val="auto"/>
                <w:sz w:val="21"/>
                <w:szCs w:val="21"/>
                <w:lang w:val="en-US" w:eastAsia="zh-CN"/>
              </w:rPr>
              <w:t>0.3</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340" w:hRule="atLeast"/>
          <w:jc w:val="center"/>
        </w:trPr>
        <w:tc>
          <w:tcPr>
            <w:tcW w:w="639"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34</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硫化物</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mg/L</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0.005L</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0.005L</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0.005L</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w:t>
            </w:r>
            <w:r>
              <w:rPr>
                <w:rFonts w:hint="default" w:ascii="Arial" w:hAnsi="Arial" w:eastAsia="宋体" w:cs="Arial"/>
                <w:color w:val="auto"/>
                <w:sz w:val="21"/>
                <w:szCs w:val="21"/>
                <w:lang w:val="en-US" w:eastAsia="zh-CN"/>
              </w:rPr>
              <w:t>0.02</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340" w:hRule="atLeast"/>
          <w:jc w:val="center"/>
        </w:trPr>
        <w:tc>
          <w:tcPr>
            <w:tcW w:w="639"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35</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钠</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mg/L</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131</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0"/>
                <w:sz w:val="21"/>
                <w:szCs w:val="21"/>
                <w:lang w:val="en-US" w:eastAsia="zh-CN" w:bidi="ar"/>
              </w:rPr>
            </w:pPr>
            <w:r>
              <w:rPr>
                <w:rFonts w:hint="default" w:ascii="Arial" w:hAnsi="Arial" w:eastAsia="宋体" w:cs="Arial"/>
                <w:color w:val="auto"/>
                <w:kern w:val="0"/>
                <w:sz w:val="21"/>
                <w:szCs w:val="21"/>
                <w:lang w:val="en-US" w:eastAsia="zh-CN" w:bidi="ar"/>
              </w:rPr>
              <w:t>118</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0"/>
                <w:sz w:val="21"/>
                <w:szCs w:val="21"/>
                <w:lang w:val="en-US" w:eastAsia="zh-CN" w:bidi="ar"/>
              </w:rPr>
            </w:pPr>
            <w:r>
              <w:rPr>
                <w:rFonts w:hint="default" w:ascii="Arial" w:hAnsi="Arial" w:eastAsia="宋体" w:cs="Arial"/>
                <w:color w:val="auto"/>
                <w:kern w:val="0"/>
                <w:sz w:val="21"/>
                <w:szCs w:val="21"/>
                <w:lang w:val="en-US" w:eastAsia="zh-CN" w:bidi="ar"/>
              </w:rPr>
              <w:t>227</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w:t>
            </w:r>
            <w:r>
              <w:rPr>
                <w:rFonts w:hint="default" w:ascii="Arial" w:hAnsi="Arial" w:eastAsia="宋体" w:cs="Arial"/>
                <w:color w:val="auto"/>
                <w:sz w:val="21"/>
                <w:szCs w:val="21"/>
                <w:lang w:val="en-US" w:eastAsia="zh-CN"/>
              </w:rPr>
              <w:t>200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340" w:hRule="atLeast"/>
          <w:jc w:val="center"/>
        </w:trPr>
        <w:tc>
          <w:tcPr>
            <w:tcW w:w="639"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36</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碘化物</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mg/L</w:t>
            </w:r>
          </w:p>
        </w:tc>
        <w:tc>
          <w:tcPr>
            <w:tcW w:w="1394" w:type="dxa"/>
            <w:tcBorders>
              <w:tl2br w:val="nil"/>
              <w:tr2bl w:val="nil"/>
            </w:tcBorders>
            <w:noWrap w:val="0"/>
            <w:vAlign w:val="center"/>
          </w:tcPr>
          <w:p>
            <w:pPr>
              <w:keepNext w:val="0"/>
              <w:keepLines w:val="0"/>
              <w:pageBreakBefore w:val="0"/>
              <w:widowControl/>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0.002L</w:t>
            </w:r>
          </w:p>
        </w:tc>
        <w:tc>
          <w:tcPr>
            <w:tcW w:w="1394" w:type="dxa"/>
            <w:tcBorders>
              <w:tl2br w:val="nil"/>
              <w:tr2bl w:val="nil"/>
            </w:tcBorders>
            <w:noWrap w:val="0"/>
            <w:vAlign w:val="center"/>
          </w:tcPr>
          <w:p>
            <w:pPr>
              <w:keepNext w:val="0"/>
              <w:keepLines w:val="0"/>
              <w:pageBreakBefore w:val="0"/>
              <w:widowControl/>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0"/>
                <w:sz w:val="21"/>
                <w:szCs w:val="21"/>
                <w:lang w:val="en-US" w:eastAsia="zh-CN" w:bidi="ar"/>
              </w:rPr>
            </w:pPr>
            <w:r>
              <w:rPr>
                <w:rFonts w:hint="default" w:ascii="Arial" w:hAnsi="Arial" w:eastAsia="宋体" w:cs="Arial"/>
                <w:color w:val="auto"/>
                <w:sz w:val="21"/>
                <w:szCs w:val="21"/>
                <w:lang w:val="en-US" w:eastAsia="zh-CN"/>
              </w:rPr>
              <w:t>0.002L</w:t>
            </w:r>
          </w:p>
        </w:tc>
        <w:tc>
          <w:tcPr>
            <w:tcW w:w="1394" w:type="dxa"/>
            <w:tcBorders>
              <w:tl2br w:val="nil"/>
              <w:tr2bl w:val="nil"/>
            </w:tcBorders>
            <w:noWrap w:val="0"/>
            <w:vAlign w:val="center"/>
          </w:tcPr>
          <w:p>
            <w:pPr>
              <w:keepNext w:val="0"/>
              <w:keepLines w:val="0"/>
              <w:pageBreakBefore w:val="0"/>
              <w:widowControl/>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0"/>
                <w:sz w:val="21"/>
                <w:szCs w:val="21"/>
                <w:lang w:val="en-US" w:eastAsia="zh-CN" w:bidi="ar"/>
              </w:rPr>
            </w:pPr>
            <w:r>
              <w:rPr>
                <w:rFonts w:hint="default" w:ascii="Arial" w:hAnsi="Arial" w:eastAsia="宋体" w:cs="Arial"/>
                <w:color w:val="auto"/>
                <w:sz w:val="21"/>
                <w:szCs w:val="21"/>
                <w:lang w:val="en-US" w:eastAsia="zh-CN"/>
              </w:rPr>
              <w:t>0.002L</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w:t>
            </w:r>
            <w:r>
              <w:rPr>
                <w:rFonts w:hint="default" w:ascii="Arial" w:hAnsi="Arial" w:eastAsia="宋体" w:cs="Arial"/>
                <w:color w:val="auto"/>
                <w:sz w:val="21"/>
                <w:szCs w:val="21"/>
                <w:lang w:val="en-US" w:eastAsia="zh-CN"/>
              </w:rPr>
              <w:t>0.08</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340" w:hRule="atLeast"/>
          <w:jc w:val="center"/>
        </w:trPr>
        <w:tc>
          <w:tcPr>
            <w:tcW w:w="639"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37</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highlight w:val="none"/>
                <w:lang w:val="en-US" w:eastAsia="zh-CN"/>
              </w:rPr>
              <w:t>硒</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mg/L</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0.</w:t>
            </w:r>
            <w:r>
              <w:rPr>
                <w:rFonts w:hint="default" w:ascii="Arial" w:hAnsi="Arial" w:eastAsia="宋体" w:cs="Arial"/>
                <w:color w:val="auto"/>
                <w:sz w:val="21"/>
                <w:szCs w:val="21"/>
                <w:lang w:val="en-US" w:eastAsia="zh-CN"/>
              </w:rPr>
              <w:t>4×10</w:t>
            </w:r>
            <w:r>
              <w:rPr>
                <w:rFonts w:hint="default" w:ascii="Arial" w:hAnsi="Arial" w:eastAsia="宋体" w:cs="Arial"/>
                <w:color w:val="auto"/>
                <w:sz w:val="21"/>
                <w:szCs w:val="21"/>
                <w:vertAlign w:val="superscript"/>
                <w:lang w:val="en-US" w:eastAsia="zh-CN"/>
              </w:rPr>
              <w:t>-3</w:t>
            </w:r>
            <w:r>
              <w:rPr>
                <w:rFonts w:hint="default" w:ascii="Arial" w:hAnsi="Arial" w:eastAsia="宋体" w:cs="Arial"/>
                <w:color w:val="auto"/>
                <w:sz w:val="21"/>
                <w:szCs w:val="21"/>
                <w:vertAlign w:val="baseline"/>
                <w:lang w:val="en-US" w:eastAsia="zh-CN"/>
              </w:rPr>
              <w:t>L</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0"/>
                <w:sz w:val="21"/>
                <w:szCs w:val="21"/>
                <w:lang w:val="en-US" w:eastAsia="zh-CN" w:bidi="ar"/>
              </w:rPr>
            </w:pPr>
            <w:r>
              <w:rPr>
                <w:rFonts w:hint="default" w:ascii="Arial" w:hAnsi="Arial" w:eastAsia="宋体" w:cs="Arial"/>
                <w:color w:val="auto"/>
                <w:sz w:val="21"/>
                <w:szCs w:val="21"/>
              </w:rPr>
              <w:t>0.</w:t>
            </w:r>
            <w:r>
              <w:rPr>
                <w:rFonts w:hint="default" w:ascii="Arial" w:hAnsi="Arial" w:eastAsia="宋体" w:cs="Arial"/>
                <w:color w:val="auto"/>
                <w:sz w:val="21"/>
                <w:szCs w:val="21"/>
                <w:lang w:val="en-US" w:eastAsia="zh-CN"/>
              </w:rPr>
              <w:t>4×10</w:t>
            </w:r>
            <w:r>
              <w:rPr>
                <w:rFonts w:hint="default" w:ascii="Arial" w:hAnsi="Arial" w:eastAsia="宋体" w:cs="Arial"/>
                <w:color w:val="auto"/>
                <w:sz w:val="21"/>
                <w:szCs w:val="21"/>
                <w:vertAlign w:val="superscript"/>
                <w:lang w:val="en-US" w:eastAsia="zh-CN"/>
              </w:rPr>
              <w:t>-3</w:t>
            </w:r>
            <w:r>
              <w:rPr>
                <w:rFonts w:hint="default" w:ascii="Arial" w:hAnsi="Arial" w:eastAsia="宋体" w:cs="Arial"/>
                <w:color w:val="auto"/>
                <w:sz w:val="21"/>
                <w:szCs w:val="21"/>
                <w:vertAlign w:val="baseline"/>
                <w:lang w:val="en-US" w:eastAsia="zh-CN"/>
              </w:rPr>
              <w:t>L</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0"/>
                <w:sz w:val="21"/>
                <w:szCs w:val="21"/>
                <w:lang w:val="en-US" w:eastAsia="zh-CN" w:bidi="ar"/>
              </w:rPr>
            </w:pPr>
            <w:r>
              <w:rPr>
                <w:rFonts w:hint="default" w:ascii="Arial" w:hAnsi="Arial" w:eastAsia="宋体" w:cs="Arial"/>
                <w:color w:val="auto"/>
                <w:sz w:val="21"/>
                <w:szCs w:val="21"/>
              </w:rPr>
              <w:t>0.</w:t>
            </w:r>
            <w:r>
              <w:rPr>
                <w:rFonts w:hint="default" w:ascii="Arial" w:hAnsi="Arial" w:eastAsia="宋体" w:cs="Arial"/>
                <w:color w:val="auto"/>
                <w:sz w:val="21"/>
                <w:szCs w:val="21"/>
                <w:lang w:val="en-US" w:eastAsia="zh-CN"/>
              </w:rPr>
              <w:t>4×10</w:t>
            </w:r>
            <w:r>
              <w:rPr>
                <w:rFonts w:hint="default" w:ascii="Arial" w:hAnsi="Arial" w:eastAsia="宋体" w:cs="Arial"/>
                <w:color w:val="auto"/>
                <w:sz w:val="21"/>
                <w:szCs w:val="21"/>
                <w:vertAlign w:val="superscript"/>
                <w:lang w:val="en-US" w:eastAsia="zh-CN"/>
              </w:rPr>
              <w:t>-3</w:t>
            </w:r>
            <w:r>
              <w:rPr>
                <w:rFonts w:hint="default" w:ascii="Arial" w:hAnsi="Arial" w:eastAsia="宋体" w:cs="Arial"/>
                <w:color w:val="auto"/>
                <w:sz w:val="21"/>
                <w:szCs w:val="21"/>
                <w:vertAlign w:val="baseline"/>
                <w:lang w:val="en-US" w:eastAsia="zh-CN"/>
              </w:rPr>
              <w:t>L</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w:t>
            </w:r>
            <w:r>
              <w:rPr>
                <w:rFonts w:hint="default" w:ascii="Arial" w:hAnsi="Arial" w:eastAsia="宋体" w:cs="Arial"/>
                <w:color w:val="auto"/>
                <w:sz w:val="21"/>
                <w:szCs w:val="21"/>
                <w:lang w:val="en-US" w:eastAsia="zh-CN"/>
              </w:rPr>
              <w:t>0.01</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340" w:hRule="atLeast"/>
          <w:jc w:val="center"/>
        </w:trPr>
        <w:tc>
          <w:tcPr>
            <w:tcW w:w="639"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38</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三氯甲烷</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mg</w:t>
            </w:r>
            <w:r>
              <w:rPr>
                <w:rFonts w:hint="default" w:ascii="Arial" w:hAnsi="Arial" w:eastAsia="宋体" w:cs="Arial"/>
                <w:color w:val="auto"/>
                <w:sz w:val="21"/>
                <w:szCs w:val="21"/>
                <w:lang w:val="en-US" w:eastAsia="zh-CN"/>
              </w:rPr>
              <w:t>/L</w:t>
            </w:r>
          </w:p>
        </w:tc>
        <w:tc>
          <w:tcPr>
            <w:tcW w:w="1394" w:type="dxa"/>
            <w:tcBorders>
              <w:tl2br w:val="nil"/>
              <w:tr2bl w:val="nil"/>
            </w:tcBorders>
            <w:noWrap w:val="0"/>
            <w:vAlign w:val="center"/>
          </w:tcPr>
          <w:p>
            <w:pPr>
              <w:keepNext w:val="0"/>
              <w:keepLines w:val="0"/>
              <w:pageBreakBefore w:val="0"/>
              <w:widowControl/>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1.1×10</w:t>
            </w:r>
            <w:r>
              <w:rPr>
                <w:rFonts w:hint="default" w:ascii="Arial" w:hAnsi="Arial" w:eastAsia="宋体" w:cs="Arial"/>
                <w:color w:val="auto"/>
                <w:sz w:val="21"/>
                <w:szCs w:val="21"/>
                <w:vertAlign w:val="superscript"/>
                <w:lang w:val="en-US" w:eastAsia="zh-CN"/>
              </w:rPr>
              <w:t>-3</w:t>
            </w:r>
            <w:r>
              <w:rPr>
                <w:rFonts w:hint="default" w:ascii="Arial" w:hAnsi="Arial" w:eastAsia="宋体" w:cs="Arial"/>
                <w:color w:val="auto"/>
                <w:sz w:val="21"/>
                <w:szCs w:val="21"/>
                <w:vertAlign w:val="baseline"/>
                <w:lang w:val="en-US" w:eastAsia="zh-CN"/>
              </w:rPr>
              <w:t>L</w:t>
            </w:r>
          </w:p>
        </w:tc>
        <w:tc>
          <w:tcPr>
            <w:tcW w:w="1394" w:type="dxa"/>
            <w:tcBorders>
              <w:tl2br w:val="nil"/>
              <w:tr2bl w:val="nil"/>
            </w:tcBorders>
            <w:noWrap w:val="0"/>
            <w:vAlign w:val="center"/>
          </w:tcPr>
          <w:p>
            <w:pPr>
              <w:keepNext w:val="0"/>
              <w:keepLines w:val="0"/>
              <w:pageBreakBefore w:val="0"/>
              <w:widowControl/>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0"/>
                <w:sz w:val="21"/>
                <w:szCs w:val="21"/>
                <w:lang w:val="en-US" w:eastAsia="zh-CN" w:bidi="ar"/>
              </w:rPr>
            </w:pPr>
            <w:r>
              <w:rPr>
                <w:rFonts w:hint="default" w:ascii="Arial" w:hAnsi="Arial" w:eastAsia="宋体" w:cs="Arial"/>
                <w:color w:val="auto"/>
                <w:sz w:val="21"/>
                <w:szCs w:val="21"/>
                <w:lang w:val="en-US" w:eastAsia="zh-CN"/>
              </w:rPr>
              <w:t>1.1×10</w:t>
            </w:r>
            <w:r>
              <w:rPr>
                <w:rFonts w:hint="default" w:ascii="Arial" w:hAnsi="Arial" w:eastAsia="宋体" w:cs="Arial"/>
                <w:color w:val="auto"/>
                <w:sz w:val="21"/>
                <w:szCs w:val="21"/>
                <w:vertAlign w:val="superscript"/>
                <w:lang w:val="en-US" w:eastAsia="zh-CN"/>
              </w:rPr>
              <w:t>-3</w:t>
            </w:r>
            <w:r>
              <w:rPr>
                <w:rFonts w:hint="default" w:ascii="Arial" w:hAnsi="Arial" w:eastAsia="宋体" w:cs="Arial"/>
                <w:color w:val="auto"/>
                <w:sz w:val="21"/>
                <w:szCs w:val="21"/>
                <w:vertAlign w:val="baseline"/>
                <w:lang w:val="en-US" w:eastAsia="zh-CN"/>
              </w:rPr>
              <w:t>L</w:t>
            </w:r>
          </w:p>
        </w:tc>
        <w:tc>
          <w:tcPr>
            <w:tcW w:w="1394" w:type="dxa"/>
            <w:tcBorders>
              <w:tl2br w:val="nil"/>
              <w:tr2bl w:val="nil"/>
            </w:tcBorders>
            <w:noWrap w:val="0"/>
            <w:vAlign w:val="center"/>
          </w:tcPr>
          <w:p>
            <w:pPr>
              <w:keepNext w:val="0"/>
              <w:keepLines w:val="0"/>
              <w:pageBreakBefore w:val="0"/>
              <w:widowControl/>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0"/>
                <w:sz w:val="21"/>
                <w:szCs w:val="21"/>
                <w:lang w:val="en-US" w:eastAsia="zh-CN" w:bidi="ar"/>
              </w:rPr>
            </w:pPr>
            <w:r>
              <w:rPr>
                <w:rFonts w:hint="default" w:ascii="Arial" w:hAnsi="Arial" w:eastAsia="宋体" w:cs="Arial"/>
                <w:color w:val="auto"/>
                <w:sz w:val="21"/>
                <w:szCs w:val="21"/>
                <w:lang w:val="en-US" w:eastAsia="zh-CN"/>
              </w:rPr>
              <w:t>1.1×10</w:t>
            </w:r>
            <w:r>
              <w:rPr>
                <w:rFonts w:hint="default" w:ascii="Arial" w:hAnsi="Arial" w:eastAsia="宋体" w:cs="Arial"/>
                <w:color w:val="auto"/>
                <w:sz w:val="21"/>
                <w:szCs w:val="21"/>
                <w:vertAlign w:val="superscript"/>
                <w:lang w:val="en-US" w:eastAsia="zh-CN"/>
              </w:rPr>
              <w:t>-3</w:t>
            </w:r>
            <w:r>
              <w:rPr>
                <w:rFonts w:hint="default" w:ascii="Arial" w:hAnsi="Arial" w:eastAsia="宋体" w:cs="Arial"/>
                <w:color w:val="auto"/>
                <w:sz w:val="21"/>
                <w:szCs w:val="21"/>
                <w:vertAlign w:val="baseline"/>
                <w:lang w:val="en-US" w:eastAsia="zh-CN"/>
              </w:rPr>
              <w:t>L</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w:t>
            </w:r>
            <w:r>
              <w:rPr>
                <w:rFonts w:hint="default" w:ascii="Arial" w:hAnsi="Arial" w:eastAsia="宋体" w:cs="Arial"/>
                <w:color w:val="auto"/>
                <w:sz w:val="21"/>
                <w:szCs w:val="21"/>
                <w:lang w:val="en-US" w:eastAsia="zh-CN"/>
              </w:rPr>
              <w:t>60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340" w:hRule="atLeast"/>
          <w:jc w:val="center"/>
        </w:trPr>
        <w:tc>
          <w:tcPr>
            <w:tcW w:w="639"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39</w:t>
            </w:r>
          </w:p>
        </w:tc>
        <w:tc>
          <w:tcPr>
            <w:tcW w:w="1394" w:type="dxa"/>
            <w:tcBorders>
              <w:tl2br w:val="nil"/>
              <w:tr2bl w:val="nil"/>
            </w:tcBorders>
            <w:noWrap w:val="0"/>
            <w:vAlign w:val="center"/>
          </w:tcPr>
          <w:p>
            <w:pPr>
              <w:keepNext w:val="0"/>
              <w:keepLines w:val="0"/>
              <w:pageBreakBefore w:val="0"/>
              <w:widowControl/>
              <w:suppressLineNumbers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0"/>
                <w:sz w:val="21"/>
                <w:szCs w:val="21"/>
                <w:highlight w:val="none"/>
                <w:lang w:val="en-US" w:eastAsia="zh-CN" w:bidi="ar"/>
              </w:rPr>
            </w:pPr>
            <w:r>
              <w:rPr>
                <w:rFonts w:hint="default" w:ascii="Arial" w:hAnsi="Arial" w:eastAsia="宋体" w:cs="Arial"/>
                <w:color w:val="auto"/>
                <w:kern w:val="0"/>
                <w:sz w:val="21"/>
                <w:szCs w:val="21"/>
                <w:lang w:val="en-US" w:eastAsia="zh-CN" w:bidi="ar"/>
              </w:rPr>
              <w:t>苯</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mg/L</w:t>
            </w:r>
          </w:p>
        </w:tc>
        <w:tc>
          <w:tcPr>
            <w:tcW w:w="1394" w:type="dxa"/>
            <w:tcBorders>
              <w:tl2br w:val="nil"/>
              <w:tr2bl w:val="nil"/>
            </w:tcBorders>
            <w:noWrap w:val="0"/>
            <w:vAlign w:val="center"/>
          </w:tcPr>
          <w:p>
            <w:pPr>
              <w:keepNext w:val="0"/>
              <w:keepLines w:val="0"/>
              <w:pageBreakBefore w:val="0"/>
              <w:widowControl/>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0.8×10</w:t>
            </w:r>
            <w:r>
              <w:rPr>
                <w:rFonts w:hint="default" w:ascii="Arial" w:hAnsi="Arial" w:eastAsia="宋体" w:cs="Arial"/>
                <w:color w:val="auto"/>
                <w:sz w:val="21"/>
                <w:szCs w:val="21"/>
                <w:vertAlign w:val="superscript"/>
                <w:lang w:val="en-US" w:eastAsia="zh-CN"/>
              </w:rPr>
              <w:t>-3</w:t>
            </w:r>
            <w:r>
              <w:rPr>
                <w:rFonts w:hint="default" w:ascii="Arial" w:hAnsi="Arial" w:eastAsia="宋体" w:cs="Arial"/>
                <w:color w:val="auto"/>
                <w:sz w:val="21"/>
                <w:szCs w:val="21"/>
                <w:vertAlign w:val="baseline"/>
                <w:lang w:val="en-US" w:eastAsia="zh-CN"/>
              </w:rPr>
              <w:t>L</w:t>
            </w:r>
          </w:p>
        </w:tc>
        <w:tc>
          <w:tcPr>
            <w:tcW w:w="1394" w:type="dxa"/>
            <w:tcBorders>
              <w:tl2br w:val="nil"/>
              <w:tr2bl w:val="nil"/>
            </w:tcBorders>
            <w:noWrap w:val="0"/>
            <w:vAlign w:val="center"/>
          </w:tcPr>
          <w:p>
            <w:pPr>
              <w:keepNext w:val="0"/>
              <w:keepLines w:val="0"/>
              <w:pageBreakBefore w:val="0"/>
              <w:widowControl/>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0"/>
                <w:sz w:val="21"/>
                <w:szCs w:val="21"/>
                <w:lang w:val="en-US" w:eastAsia="zh-CN" w:bidi="ar"/>
              </w:rPr>
            </w:pPr>
            <w:r>
              <w:rPr>
                <w:rFonts w:hint="default" w:ascii="Arial" w:hAnsi="Arial" w:eastAsia="宋体" w:cs="Arial"/>
                <w:color w:val="auto"/>
                <w:sz w:val="21"/>
                <w:szCs w:val="21"/>
                <w:lang w:val="en-US" w:eastAsia="zh-CN"/>
              </w:rPr>
              <w:t>0.8×10</w:t>
            </w:r>
            <w:r>
              <w:rPr>
                <w:rFonts w:hint="default" w:ascii="Arial" w:hAnsi="Arial" w:eastAsia="宋体" w:cs="Arial"/>
                <w:color w:val="auto"/>
                <w:sz w:val="21"/>
                <w:szCs w:val="21"/>
                <w:vertAlign w:val="superscript"/>
                <w:lang w:val="en-US" w:eastAsia="zh-CN"/>
              </w:rPr>
              <w:t>-3</w:t>
            </w:r>
            <w:r>
              <w:rPr>
                <w:rFonts w:hint="default" w:ascii="Arial" w:hAnsi="Arial" w:eastAsia="宋体" w:cs="Arial"/>
                <w:color w:val="auto"/>
                <w:sz w:val="21"/>
                <w:szCs w:val="21"/>
                <w:vertAlign w:val="baseline"/>
                <w:lang w:val="en-US" w:eastAsia="zh-CN"/>
              </w:rPr>
              <w:t>L</w:t>
            </w:r>
          </w:p>
        </w:tc>
        <w:tc>
          <w:tcPr>
            <w:tcW w:w="1394" w:type="dxa"/>
            <w:tcBorders>
              <w:tl2br w:val="nil"/>
              <w:tr2bl w:val="nil"/>
            </w:tcBorders>
            <w:noWrap w:val="0"/>
            <w:vAlign w:val="center"/>
          </w:tcPr>
          <w:p>
            <w:pPr>
              <w:keepNext w:val="0"/>
              <w:keepLines w:val="0"/>
              <w:pageBreakBefore w:val="0"/>
              <w:widowControl/>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0"/>
                <w:sz w:val="21"/>
                <w:szCs w:val="21"/>
                <w:lang w:val="en-US" w:eastAsia="zh-CN" w:bidi="ar"/>
              </w:rPr>
            </w:pPr>
            <w:r>
              <w:rPr>
                <w:rFonts w:hint="default" w:ascii="Arial" w:hAnsi="Arial" w:eastAsia="宋体" w:cs="Arial"/>
                <w:color w:val="auto"/>
                <w:sz w:val="21"/>
                <w:szCs w:val="21"/>
                <w:lang w:val="en-US" w:eastAsia="zh-CN"/>
              </w:rPr>
              <w:t>0.8×10</w:t>
            </w:r>
            <w:r>
              <w:rPr>
                <w:rFonts w:hint="default" w:ascii="Arial" w:hAnsi="Arial" w:eastAsia="宋体" w:cs="Arial"/>
                <w:color w:val="auto"/>
                <w:sz w:val="21"/>
                <w:szCs w:val="21"/>
                <w:vertAlign w:val="superscript"/>
                <w:lang w:val="en-US" w:eastAsia="zh-CN"/>
              </w:rPr>
              <w:t>-3</w:t>
            </w:r>
            <w:r>
              <w:rPr>
                <w:rFonts w:hint="default" w:ascii="Arial" w:hAnsi="Arial" w:eastAsia="宋体" w:cs="Arial"/>
                <w:color w:val="auto"/>
                <w:sz w:val="21"/>
                <w:szCs w:val="21"/>
                <w:vertAlign w:val="baseline"/>
                <w:lang w:val="en-US" w:eastAsia="zh-CN"/>
              </w:rPr>
              <w:t>L</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w:t>
            </w:r>
            <w:r>
              <w:rPr>
                <w:rFonts w:hint="default" w:ascii="Arial" w:hAnsi="Arial" w:eastAsia="宋体" w:cs="Arial"/>
                <w:color w:val="auto"/>
                <w:sz w:val="21"/>
                <w:szCs w:val="21"/>
                <w:lang w:val="en-US" w:eastAsia="zh-CN"/>
              </w:rPr>
              <w:t>0.01</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340" w:hRule="atLeast"/>
          <w:jc w:val="center"/>
        </w:trPr>
        <w:tc>
          <w:tcPr>
            <w:tcW w:w="639"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40</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0"/>
                <w:sz w:val="21"/>
                <w:szCs w:val="21"/>
                <w:highlight w:val="none"/>
                <w:lang w:val="en-US" w:eastAsia="zh-CN" w:bidi="ar"/>
              </w:rPr>
            </w:pPr>
            <w:r>
              <w:rPr>
                <w:rFonts w:hint="default" w:ascii="Arial" w:hAnsi="Arial" w:eastAsia="宋体" w:cs="Arial"/>
                <w:color w:val="auto"/>
                <w:sz w:val="21"/>
                <w:szCs w:val="21"/>
                <w:lang w:val="en-US" w:eastAsia="zh-CN"/>
              </w:rPr>
              <w:t>甲苯</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mg/L</w:t>
            </w:r>
          </w:p>
        </w:tc>
        <w:tc>
          <w:tcPr>
            <w:tcW w:w="1394" w:type="dxa"/>
            <w:tcBorders>
              <w:tl2br w:val="nil"/>
              <w:tr2bl w:val="nil"/>
            </w:tcBorders>
            <w:noWrap w:val="0"/>
            <w:vAlign w:val="center"/>
          </w:tcPr>
          <w:p>
            <w:pPr>
              <w:keepNext w:val="0"/>
              <w:keepLines w:val="0"/>
              <w:pageBreakBefore w:val="0"/>
              <w:widowControl/>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1.0×10</w:t>
            </w:r>
            <w:r>
              <w:rPr>
                <w:rFonts w:hint="default" w:ascii="Arial" w:hAnsi="Arial" w:eastAsia="宋体" w:cs="Arial"/>
                <w:color w:val="auto"/>
                <w:sz w:val="21"/>
                <w:szCs w:val="21"/>
                <w:vertAlign w:val="superscript"/>
                <w:lang w:val="en-US" w:eastAsia="zh-CN"/>
              </w:rPr>
              <w:t>-3</w:t>
            </w:r>
            <w:r>
              <w:rPr>
                <w:rFonts w:hint="default" w:ascii="Arial" w:hAnsi="Arial" w:eastAsia="宋体" w:cs="Arial"/>
                <w:color w:val="auto"/>
                <w:sz w:val="21"/>
                <w:szCs w:val="21"/>
                <w:vertAlign w:val="baseline"/>
                <w:lang w:val="en-US" w:eastAsia="zh-CN"/>
              </w:rPr>
              <w:t>L</w:t>
            </w:r>
          </w:p>
        </w:tc>
        <w:tc>
          <w:tcPr>
            <w:tcW w:w="1394" w:type="dxa"/>
            <w:tcBorders>
              <w:tl2br w:val="nil"/>
              <w:tr2bl w:val="nil"/>
            </w:tcBorders>
            <w:noWrap w:val="0"/>
            <w:vAlign w:val="center"/>
          </w:tcPr>
          <w:p>
            <w:pPr>
              <w:keepNext w:val="0"/>
              <w:keepLines w:val="0"/>
              <w:pageBreakBefore w:val="0"/>
              <w:widowControl/>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0"/>
                <w:sz w:val="21"/>
                <w:szCs w:val="21"/>
                <w:lang w:val="en-US" w:eastAsia="zh-CN" w:bidi="ar"/>
              </w:rPr>
            </w:pPr>
            <w:r>
              <w:rPr>
                <w:rFonts w:hint="default" w:ascii="Arial" w:hAnsi="Arial" w:eastAsia="宋体" w:cs="Arial"/>
                <w:color w:val="auto"/>
                <w:sz w:val="21"/>
                <w:szCs w:val="21"/>
                <w:lang w:val="en-US" w:eastAsia="zh-CN"/>
              </w:rPr>
              <w:t>1.0×10</w:t>
            </w:r>
            <w:r>
              <w:rPr>
                <w:rFonts w:hint="default" w:ascii="Arial" w:hAnsi="Arial" w:eastAsia="宋体" w:cs="Arial"/>
                <w:color w:val="auto"/>
                <w:sz w:val="21"/>
                <w:szCs w:val="21"/>
                <w:vertAlign w:val="superscript"/>
                <w:lang w:val="en-US" w:eastAsia="zh-CN"/>
              </w:rPr>
              <w:t>-3</w:t>
            </w:r>
            <w:r>
              <w:rPr>
                <w:rFonts w:hint="default" w:ascii="Arial" w:hAnsi="Arial" w:eastAsia="宋体" w:cs="Arial"/>
                <w:color w:val="auto"/>
                <w:sz w:val="21"/>
                <w:szCs w:val="21"/>
                <w:vertAlign w:val="baseline"/>
                <w:lang w:val="en-US" w:eastAsia="zh-CN"/>
              </w:rPr>
              <w:t>L</w:t>
            </w:r>
          </w:p>
        </w:tc>
        <w:tc>
          <w:tcPr>
            <w:tcW w:w="1394" w:type="dxa"/>
            <w:tcBorders>
              <w:tl2br w:val="nil"/>
              <w:tr2bl w:val="nil"/>
            </w:tcBorders>
            <w:noWrap w:val="0"/>
            <w:vAlign w:val="center"/>
          </w:tcPr>
          <w:p>
            <w:pPr>
              <w:keepNext w:val="0"/>
              <w:keepLines w:val="0"/>
              <w:pageBreakBefore w:val="0"/>
              <w:widowControl/>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0"/>
                <w:sz w:val="21"/>
                <w:szCs w:val="21"/>
                <w:lang w:val="en-US" w:eastAsia="zh-CN" w:bidi="ar"/>
              </w:rPr>
            </w:pPr>
            <w:r>
              <w:rPr>
                <w:rFonts w:hint="default" w:ascii="Arial" w:hAnsi="Arial" w:eastAsia="宋体" w:cs="Arial"/>
                <w:color w:val="auto"/>
                <w:sz w:val="21"/>
                <w:szCs w:val="21"/>
                <w:lang w:val="en-US" w:eastAsia="zh-CN"/>
              </w:rPr>
              <w:t>1.0×10</w:t>
            </w:r>
            <w:r>
              <w:rPr>
                <w:rFonts w:hint="default" w:ascii="Arial" w:hAnsi="Arial" w:eastAsia="宋体" w:cs="Arial"/>
                <w:color w:val="auto"/>
                <w:sz w:val="21"/>
                <w:szCs w:val="21"/>
                <w:vertAlign w:val="superscript"/>
                <w:lang w:val="en-US" w:eastAsia="zh-CN"/>
              </w:rPr>
              <w:t>-3</w:t>
            </w:r>
            <w:r>
              <w:rPr>
                <w:rFonts w:hint="default" w:ascii="Arial" w:hAnsi="Arial" w:eastAsia="宋体" w:cs="Arial"/>
                <w:color w:val="auto"/>
                <w:sz w:val="21"/>
                <w:szCs w:val="21"/>
                <w:vertAlign w:val="baseline"/>
                <w:lang w:val="en-US" w:eastAsia="zh-CN"/>
              </w:rPr>
              <w:t>L</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w:t>
            </w:r>
            <w:r>
              <w:rPr>
                <w:rFonts w:hint="default" w:ascii="Arial" w:hAnsi="Arial" w:eastAsia="宋体" w:cs="Arial"/>
                <w:color w:val="auto"/>
                <w:sz w:val="21"/>
                <w:szCs w:val="21"/>
                <w:lang w:val="en-US" w:eastAsia="zh-CN"/>
              </w:rPr>
              <w:t>0.7</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340" w:hRule="atLeast"/>
          <w:jc w:val="center"/>
        </w:trPr>
        <w:tc>
          <w:tcPr>
            <w:tcW w:w="639"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41</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色度</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度</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5</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0"/>
                <w:sz w:val="21"/>
                <w:szCs w:val="21"/>
                <w:lang w:val="en-US" w:eastAsia="zh-CN" w:bidi="ar"/>
              </w:rPr>
            </w:pPr>
            <w:r>
              <w:rPr>
                <w:rFonts w:hint="default" w:ascii="Arial" w:hAnsi="Arial" w:eastAsia="宋体" w:cs="Arial"/>
                <w:color w:val="auto"/>
                <w:kern w:val="0"/>
                <w:sz w:val="21"/>
                <w:szCs w:val="21"/>
                <w:lang w:val="en-US" w:eastAsia="zh-CN" w:bidi="ar"/>
              </w:rPr>
              <w:t>5</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0"/>
                <w:sz w:val="21"/>
                <w:szCs w:val="21"/>
                <w:lang w:val="en-US" w:eastAsia="zh-CN" w:bidi="ar"/>
              </w:rPr>
            </w:pPr>
            <w:r>
              <w:rPr>
                <w:rFonts w:hint="default" w:ascii="Arial" w:hAnsi="Arial" w:eastAsia="宋体" w:cs="Arial"/>
                <w:color w:val="auto"/>
                <w:kern w:val="0"/>
                <w:sz w:val="21"/>
                <w:szCs w:val="21"/>
                <w:lang w:val="en-US" w:eastAsia="zh-CN" w:bidi="ar"/>
              </w:rPr>
              <w:t>5</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w:t>
            </w:r>
            <w:r>
              <w:rPr>
                <w:rFonts w:hint="default" w:ascii="Arial" w:hAnsi="Arial" w:eastAsia="宋体" w:cs="Arial"/>
                <w:color w:val="auto"/>
                <w:sz w:val="21"/>
                <w:szCs w:val="21"/>
                <w:lang w:val="en-US" w:eastAsia="zh-CN"/>
              </w:rPr>
              <w:t>15</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340" w:hRule="atLeast"/>
          <w:jc w:val="center"/>
        </w:trPr>
        <w:tc>
          <w:tcPr>
            <w:tcW w:w="639"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42</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highlight w:val="none"/>
                <w:lang w:val="en-US" w:eastAsia="zh-CN" w:bidi="ar-SA"/>
              </w:rPr>
              <w:t>臭</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w:t>
            </w:r>
          </w:p>
        </w:tc>
        <w:tc>
          <w:tcPr>
            <w:tcW w:w="1394" w:type="dxa"/>
            <w:tcBorders>
              <w:tl2br w:val="nil"/>
              <w:tr2bl w:val="nil"/>
            </w:tcBorders>
            <w:noWrap w:val="0"/>
            <w:vAlign w:val="center"/>
          </w:tcPr>
          <w:p>
            <w:pPr>
              <w:keepNext w:val="0"/>
              <w:keepLines w:val="0"/>
              <w:pageBreakBefore w:val="0"/>
              <w:widowControl/>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无</w:t>
            </w:r>
          </w:p>
        </w:tc>
        <w:tc>
          <w:tcPr>
            <w:tcW w:w="1394" w:type="dxa"/>
            <w:tcBorders>
              <w:tl2br w:val="nil"/>
              <w:tr2bl w:val="nil"/>
            </w:tcBorders>
            <w:noWrap w:val="0"/>
            <w:vAlign w:val="center"/>
          </w:tcPr>
          <w:p>
            <w:pPr>
              <w:keepNext w:val="0"/>
              <w:keepLines w:val="0"/>
              <w:pageBreakBefore w:val="0"/>
              <w:widowControl/>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0"/>
                <w:sz w:val="21"/>
                <w:szCs w:val="21"/>
                <w:lang w:val="en-US" w:eastAsia="zh-CN" w:bidi="ar"/>
              </w:rPr>
            </w:pPr>
            <w:r>
              <w:rPr>
                <w:rFonts w:hint="default" w:ascii="Arial" w:hAnsi="Arial" w:eastAsia="宋体" w:cs="Arial"/>
                <w:color w:val="auto"/>
                <w:kern w:val="2"/>
                <w:sz w:val="21"/>
                <w:szCs w:val="21"/>
                <w:lang w:val="en-US" w:eastAsia="zh-CN" w:bidi="ar-SA"/>
              </w:rPr>
              <w:t>无</w:t>
            </w:r>
          </w:p>
        </w:tc>
        <w:tc>
          <w:tcPr>
            <w:tcW w:w="1394" w:type="dxa"/>
            <w:tcBorders>
              <w:tl2br w:val="nil"/>
              <w:tr2bl w:val="nil"/>
            </w:tcBorders>
            <w:noWrap w:val="0"/>
            <w:vAlign w:val="center"/>
          </w:tcPr>
          <w:p>
            <w:pPr>
              <w:keepNext w:val="0"/>
              <w:keepLines w:val="0"/>
              <w:pageBreakBefore w:val="0"/>
              <w:widowControl/>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0"/>
                <w:sz w:val="21"/>
                <w:szCs w:val="21"/>
                <w:lang w:val="en-US" w:eastAsia="zh-CN" w:bidi="ar"/>
              </w:rPr>
            </w:pPr>
            <w:r>
              <w:rPr>
                <w:rFonts w:hint="default" w:ascii="Arial" w:hAnsi="Arial" w:eastAsia="宋体" w:cs="Arial"/>
                <w:color w:val="auto"/>
                <w:kern w:val="2"/>
                <w:sz w:val="21"/>
                <w:szCs w:val="21"/>
                <w:lang w:val="en-US" w:eastAsia="zh-CN" w:bidi="ar-SA"/>
              </w:rPr>
              <w:t>无</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340" w:hRule="atLeast"/>
          <w:jc w:val="center"/>
        </w:trPr>
        <w:tc>
          <w:tcPr>
            <w:tcW w:w="639"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43</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浑浊度</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NTU</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2</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0"/>
                <w:sz w:val="21"/>
                <w:szCs w:val="21"/>
                <w:lang w:val="en-US" w:eastAsia="zh-CN" w:bidi="ar"/>
              </w:rPr>
            </w:pPr>
            <w:r>
              <w:rPr>
                <w:rFonts w:hint="default" w:ascii="Arial" w:hAnsi="Arial" w:eastAsia="宋体" w:cs="Arial"/>
                <w:color w:val="auto"/>
                <w:kern w:val="0"/>
                <w:sz w:val="21"/>
                <w:szCs w:val="21"/>
                <w:lang w:val="en-US" w:eastAsia="zh-CN" w:bidi="ar"/>
              </w:rPr>
              <w:t>2</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0"/>
                <w:sz w:val="21"/>
                <w:szCs w:val="21"/>
                <w:lang w:val="en-US" w:eastAsia="zh-CN" w:bidi="ar"/>
              </w:rPr>
            </w:pPr>
            <w:r>
              <w:rPr>
                <w:rFonts w:hint="default" w:ascii="Arial" w:hAnsi="Arial" w:eastAsia="宋体" w:cs="Arial"/>
                <w:color w:val="auto"/>
                <w:kern w:val="0"/>
                <w:sz w:val="21"/>
                <w:szCs w:val="21"/>
                <w:lang w:val="en-US" w:eastAsia="zh-CN" w:bidi="ar"/>
              </w:rPr>
              <w:t>1</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w:t>
            </w:r>
            <w:r>
              <w:rPr>
                <w:rFonts w:hint="default" w:ascii="Arial" w:hAnsi="Arial" w:eastAsia="宋体" w:cs="Arial"/>
                <w:color w:val="auto"/>
                <w:sz w:val="21"/>
                <w:szCs w:val="21"/>
                <w:lang w:val="en-US" w:eastAsia="zh-CN"/>
              </w:rPr>
              <w:t>3</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340" w:hRule="atLeast"/>
          <w:jc w:val="center"/>
        </w:trPr>
        <w:tc>
          <w:tcPr>
            <w:tcW w:w="639"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44</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肉眼可见物</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w:t>
            </w:r>
          </w:p>
        </w:tc>
        <w:tc>
          <w:tcPr>
            <w:tcW w:w="1394" w:type="dxa"/>
            <w:tcBorders>
              <w:tl2br w:val="nil"/>
              <w:tr2bl w:val="nil"/>
            </w:tcBorders>
            <w:noWrap w:val="0"/>
            <w:vAlign w:val="center"/>
          </w:tcPr>
          <w:p>
            <w:pPr>
              <w:keepNext w:val="0"/>
              <w:keepLines w:val="0"/>
              <w:pageBreakBefore w:val="0"/>
              <w:widowControl/>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无</w:t>
            </w:r>
          </w:p>
        </w:tc>
        <w:tc>
          <w:tcPr>
            <w:tcW w:w="1394" w:type="dxa"/>
            <w:tcBorders>
              <w:tl2br w:val="nil"/>
              <w:tr2bl w:val="nil"/>
            </w:tcBorders>
            <w:noWrap w:val="0"/>
            <w:vAlign w:val="center"/>
          </w:tcPr>
          <w:p>
            <w:pPr>
              <w:keepNext w:val="0"/>
              <w:keepLines w:val="0"/>
              <w:pageBreakBefore w:val="0"/>
              <w:widowControl/>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0"/>
                <w:sz w:val="21"/>
                <w:szCs w:val="21"/>
                <w:lang w:val="en-US" w:eastAsia="zh-CN" w:bidi="ar"/>
              </w:rPr>
            </w:pPr>
            <w:r>
              <w:rPr>
                <w:rFonts w:hint="default" w:ascii="Arial" w:hAnsi="Arial" w:eastAsia="宋体" w:cs="Arial"/>
                <w:color w:val="auto"/>
                <w:kern w:val="2"/>
                <w:sz w:val="21"/>
                <w:szCs w:val="21"/>
                <w:lang w:val="en-US" w:eastAsia="zh-CN" w:bidi="ar-SA"/>
              </w:rPr>
              <w:t>无</w:t>
            </w:r>
          </w:p>
        </w:tc>
        <w:tc>
          <w:tcPr>
            <w:tcW w:w="1394" w:type="dxa"/>
            <w:tcBorders>
              <w:tl2br w:val="nil"/>
              <w:tr2bl w:val="nil"/>
            </w:tcBorders>
            <w:noWrap w:val="0"/>
            <w:vAlign w:val="center"/>
          </w:tcPr>
          <w:p>
            <w:pPr>
              <w:keepNext w:val="0"/>
              <w:keepLines w:val="0"/>
              <w:pageBreakBefore w:val="0"/>
              <w:widowControl/>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0"/>
                <w:sz w:val="21"/>
                <w:szCs w:val="21"/>
                <w:lang w:val="en-US" w:eastAsia="zh-CN" w:bidi="ar"/>
              </w:rPr>
            </w:pPr>
            <w:r>
              <w:rPr>
                <w:rFonts w:hint="default" w:ascii="Arial" w:hAnsi="Arial" w:eastAsia="宋体" w:cs="Arial"/>
                <w:color w:val="auto"/>
                <w:kern w:val="2"/>
                <w:sz w:val="21"/>
                <w:szCs w:val="21"/>
                <w:lang w:val="en-US" w:eastAsia="zh-CN" w:bidi="ar-SA"/>
              </w:rPr>
              <w:t>无</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340" w:hRule="atLeast"/>
          <w:jc w:val="center"/>
        </w:trPr>
        <w:tc>
          <w:tcPr>
            <w:tcW w:w="639"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r>
              <w:rPr>
                <w:rFonts w:hint="default" w:ascii="Arial" w:hAnsi="Arial" w:eastAsia="宋体" w:cs="Arial"/>
                <w:color w:val="auto"/>
                <w:sz w:val="21"/>
                <w:szCs w:val="21"/>
              </w:rPr>
              <w:t>备   注</w:t>
            </w:r>
          </w:p>
        </w:tc>
        <w:tc>
          <w:tcPr>
            <w:tcW w:w="8364" w:type="dxa"/>
            <w:gridSpan w:val="6"/>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r>
              <w:rPr>
                <w:rFonts w:hint="default" w:ascii="Arial" w:hAnsi="Arial" w:eastAsia="宋体" w:cs="Arial"/>
                <w:color w:val="auto"/>
                <w:sz w:val="21"/>
                <w:szCs w:val="21"/>
              </w:rPr>
              <w:t>①执行标准由委托方推荐，参考限值执行《地下水质量标准》（GB/T</w:t>
            </w:r>
            <w:r>
              <w:rPr>
                <w:rFonts w:hint="default" w:ascii="Arial" w:hAnsi="Arial" w:eastAsia="宋体" w:cs="Arial"/>
                <w:color w:val="auto"/>
                <w:sz w:val="21"/>
                <w:szCs w:val="21"/>
                <w:lang w:val="en-US" w:eastAsia="zh-CN"/>
              </w:rPr>
              <w:t xml:space="preserve"> </w:t>
            </w:r>
            <w:r>
              <w:rPr>
                <w:rFonts w:hint="default" w:ascii="Arial" w:hAnsi="Arial" w:eastAsia="宋体" w:cs="Arial"/>
                <w:color w:val="auto"/>
                <w:sz w:val="21"/>
                <w:szCs w:val="21"/>
              </w:rPr>
              <w:t>14848-2017）Ⅲ类标准；</w:t>
            </w:r>
          </w:p>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sz w:val="21"/>
                <w:szCs w:val="21"/>
                <w:lang w:val="en-US" w:eastAsia="zh-CN"/>
              </w:rPr>
            </w:pPr>
            <w:r>
              <w:rPr>
                <w:rFonts w:hint="default" w:ascii="Arial" w:hAnsi="Arial" w:eastAsia="宋体" w:cs="Arial"/>
                <w:color w:val="auto"/>
                <w:sz w:val="21"/>
                <w:szCs w:val="21"/>
              </w:rPr>
              <w:t>②“L”表示未检出或低于检出限；</w:t>
            </w:r>
            <w:r>
              <w:rPr>
                <w:rFonts w:hint="default" w:ascii="Arial" w:hAnsi="Arial" w:eastAsia="宋体" w:cs="Arial"/>
                <w:color w:val="auto"/>
                <w:sz w:val="21"/>
                <w:szCs w:val="21"/>
                <w:lang w:eastAsia="zh-CN"/>
              </w:rPr>
              <w:t>检出限详见检测方法一览表；</w:t>
            </w:r>
          </w:p>
        </w:tc>
      </w:tr>
    </w:tbl>
    <w:p>
      <w:pPr>
        <w:pStyle w:val="8"/>
        <w:rPr>
          <w:rFonts w:hint="default" w:ascii="Arial" w:hAnsi="Arial" w:eastAsia="宋体" w:cs="Arial"/>
          <w:color w:val="auto"/>
          <w:highlight w:val="none"/>
        </w:rPr>
      </w:pPr>
      <w:bookmarkStart w:id="305" w:name="_Toc346129694"/>
      <w:bookmarkStart w:id="306" w:name="_Toc439163213"/>
      <w:bookmarkStart w:id="307" w:name="_Toc346615961"/>
      <w:bookmarkStart w:id="308" w:name="_Toc436308537"/>
      <w:bookmarkStart w:id="309" w:name="_Toc346129905"/>
      <w:bookmarkStart w:id="310" w:name="_Toc386049607"/>
      <w:bookmarkStart w:id="311" w:name="_Toc439163836"/>
      <w:bookmarkStart w:id="312" w:name="_Toc491351852"/>
      <w:bookmarkStart w:id="313" w:name="_Toc491351713"/>
      <w:r>
        <w:rPr>
          <w:rFonts w:hint="default" w:ascii="Arial" w:hAnsi="Arial" w:eastAsia="宋体" w:cs="Arial"/>
          <w:color w:val="auto"/>
          <w:highlight w:val="none"/>
        </w:rPr>
        <w:t>表4.2-</w:t>
      </w:r>
      <w:r>
        <w:rPr>
          <w:rFonts w:hint="default" w:ascii="Arial" w:hAnsi="Arial" w:eastAsia="宋体" w:cs="Arial"/>
          <w:color w:val="auto"/>
          <w:highlight w:val="none"/>
          <w:lang w:val="en-US" w:eastAsia="zh-CN"/>
        </w:rPr>
        <w:t>10</w:t>
      </w:r>
      <w:r>
        <w:rPr>
          <w:rFonts w:hint="default" w:ascii="Arial" w:hAnsi="Arial" w:eastAsia="宋体" w:cs="Arial"/>
          <w:color w:val="auto"/>
          <w:highlight w:val="none"/>
        </w:rPr>
        <w:t xml:space="preserve">    评价区水质现状监测统计结果（单位：mg/L，PH无量纲）</w:t>
      </w:r>
    </w:p>
    <w:tbl>
      <w:tblPr>
        <w:tblStyle w:val="39"/>
        <w:tblW w:w="9003" w:type="dxa"/>
        <w:jc w:val="center"/>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639"/>
        <w:gridCol w:w="1394"/>
        <w:gridCol w:w="1394"/>
        <w:gridCol w:w="1394"/>
        <w:gridCol w:w="1394"/>
        <w:gridCol w:w="1394"/>
        <w:gridCol w:w="1394"/>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340" w:hRule="atLeast"/>
          <w:jc w:val="center"/>
        </w:trPr>
        <w:tc>
          <w:tcPr>
            <w:tcW w:w="639" w:type="dxa"/>
            <w:vMerge w:val="restart"/>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r>
              <w:rPr>
                <w:rFonts w:hint="default" w:ascii="Arial" w:hAnsi="Arial" w:eastAsia="宋体" w:cs="Arial"/>
                <w:color w:val="auto"/>
                <w:sz w:val="21"/>
                <w:szCs w:val="21"/>
              </w:rPr>
              <w:t>序</w:t>
            </w:r>
          </w:p>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r>
              <w:rPr>
                <w:rFonts w:hint="default" w:ascii="Arial" w:hAnsi="Arial" w:eastAsia="宋体" w:cs="Arial"/>
                <w:color w:val="auto"/>
                <w:sz w:val="21"/>
                <w:szCs w:val="21"/>
              </w:rPr>
              <w:t>号</w:t>
            </w:r>
          </w:p>
        </w:tc>
        <w:tc>
          <w:tcPr>
            <w:tcW w:w="1394" w:type="dxa"/>
            <w:vMerge w:val="restart"/>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r>
              <w:rPr>
                <w:rFonts w:hint="default" w:ascii="Arial" w:hAnsi="Arial" w:eastAsia="宋体" w:cs="Arial"/>
                <w:color w:val="auto"/>
                <w:sz w:val="21"/>
                <w:szCs w:val="21"/>
              </w:rPr>
              <w:t>检测</w:t>
            </w:r>
          </w:p>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r>
              <w:rPr>
                <w:rFonts w:hint="default" w:ascii="Arial" w:hAnsi="Arial" w:eastAsia="宋体" w:cs="Arial"/>
                <w:color w:val="auto"/>
                <w:sz w:val="21"/>
                <w:szCs w:val="21"/>
              </w:rPr>
              <w:t>项目</w:t>
            </w:r>
          </w:p>
        </w:tc>
        <w:tc>
          <w:tcPr>
            <w:tcW w:w="1394" w:type="dxa"/>
            <w:vMerge w:val="restart"/>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r>
              <w:rPr>
                <w:rFonts w:hint="default" w:ascii="Arial" w:hAnsi="Arial" w:eastAsia="宋体" w:cs="Arial"/>
                <w:color w:val="auto"/>
                <w:sz w:val="21"/>
                <w:szCs w:val="21"/>
              </w:rPr>
              <w:t>单位</w:t>
            </w:r>
          </w:p>
        </w:tc>
        <w:tc>
          <w:tcPr>
            <w:tcW w:w="5576" w:type="dxa"/>
            <w:gridSpan w:val="4"/>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采样日期：202</w:t>
            </w:r>
            <w:r>
              <w:rPr>
                <w:rFonts w:hint="default" w:ascii="Arial" w:hAnsi="Arial" w:eastAsia="宋体" w:cs="Arial"/>
                <w:color w:val="auto"/>
                <w:sz w:val="21"/>
                <w:szCs w:val="21"/>
                <w:lang w:val="en-US" w:eastAsia="zh-CN"/>
              </w:rPr>
              <w:t>2</w:t>
            </w:r>
            <w:r>
              <w:rPr>
                <w:rFonts w:hint="default" w:ascii="Arial" w:hAnsi="Arial" w:eastAsia="宋体" w:cs="Arial"/>
                <w:color w:val="auto"/>
                <w:sz w:val="21"/>
                <w:szCs w:val="21"/>
              </w:rPr>
              <w:t>年</w:t>
            </w:r>
            <w:r>
              <w:rPr>
                <w:rFonts w:hint="default" w:ascii="Arial" w:hAnsi="Arial" w:eastAsia="宋体" w:cs="Arial"/>
                <w:color w:val="auto"/>
                <w:sz w:val="21"/>
                <w:szCs w:val="21"/>
                <w:lang w:val="en-US" w:eastAsia="zh-CN"/>
              </w:rPr>
              <w:t>01</w:t>
            </w:r>
            <w:r>
              <w:rPr>
                <w:rFonts w:hint="default" w:ascii="Arial" w:hAnsi="Arial" w:eastAsia="宋体" w:cs="Arial"/>
                <w:color w:val="auto"/>
                <w:sz w:val="21"/>
                <w:szCs w:val="21"/>
              </w:rPr>
              <w:t>月</w:t>
            </w:r>
            <w:r>
              <w:rPr>
                <w:rFonts w:hint="default" w:ascii="Arial" w:hAnsi="Arial" w:eastAsia="宋体" w:cs="Arial"/>
                <w:color w:val="auto"/>
                <w:sz w:val="21"/>
                <w:szCs w:val="21"/>
                <w:lang w:val="en-US" w:eastAsia="zh-CN"/>
              </w:rPr>
              <w:t>06</w:t>
            </w:r>
            <w:r>
              <w:rPr>
                <w:rFonts w:hint="default" w:ascii="Arial" w:hAnsi="Arial" w:eastAsia="宋体" w:cs="Arial"/>
                <w:color w:val="auto"/>
                <w:sz w:val="21"/>
                <w:szCs w:val="21"/>
              </w:rPr>
              <w:t>日</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3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p>
        </w:tc>
        <w:tc>
          <w:tcPr>
            <w:tcW w:w="1394" w:type="dxa"/>
            <w:vMerge w:val="continue"/>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p>
        </w:tc>
        <w:tc>
          <w:tcPr>
            <w:tcW w:w="1394" w:type="dxa"/>
            <w:vMerge w:val="continue"/>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p>
        </w:tc>
        <w:tc>
          <w:tcPr>
            <w:tcW w:w="5576" w:type="dxa"/>
            <w:gridSpan w:val="4"/>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r>
              <w:rPr>
                <w:rFonts w:hint="default" w:ascii="Arial" w:hAnsi="Arial" w:eastAsia="宋体" w:cs="Arial"/>
                <w:color w:val="auto"/>
                <w:sz w:val="21"/>
                <w:szCs w:val="21"/>
              </w:rPr>
              <w:t>采样点位与检测日期</w:t>
            </w:r>
          </w:p>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（202</w:t>
            </w:r>
            <w:r>
              <w:rPr>
                <w:rFonts w:hint="default" w:ascii="Arial" w:hAnsi="Arial" w:eastAsia="宋体" w:cs="Arial"/>
                <w:color w:val="auto"/>
                <w:sz w:val="21"/>
                <w:szCs w:val="21"/>
                <w:lang w:val="en-US" w:eastAsia="zh-CN"/>
              </w:rPr>
              <w:t>2</w:t>
            </w:r>
            <w:r>
              <w:rPr>
                <w:rFonts w:hint="default" w:ascii="Arial" w:hAnsi="Arial" w:eastAsia="宋体" w:cs="Arial"/>
                <w:color w:val="auto"/>
                <w:sz w:val="21"/>
                <w:szCs w:val="21"/>
              </w:rPr>
              <w:t>年</w:t>
            </w:r>
            <w:r>
              <w:rPr>
                <w:rFonts w:hint="default" w:ascii="Arial" w:hAnsi="Arial" w:eastAsia="宋体" w:cs="Arial"/>
                <w:color w:val="auto"/>
                <w:sz w:val="21"/>
                <w:szCs w:val="21"/>
                <w:lang w:val="en-US" w:eastAsia="zh-CN"/>
              </w:rPr>
              <w:t>01</w:t>
            </w:r>
            <w:r>
              <w:rPr>
                <w:rFonts w:hint="default" w:ascii="Arial" w:hAnsi="Arial" w:eastAsia="宋体" w:cs="Arial"/>
                <w:color w:val="auto"/>
                <w:sz w:val="21"/>
                <w:szCs w:val="21"/>
              </w:rPr>
              <w:t>月</w:t>
            </w:r>
            <w:r>
              <w:rPr>
                <w:rFonts w:hint="default" w:ascii="Arial" w:hAnsi="Arial" w:eastAsia="宋体" w:cs="Arial"/>
                <w:color w:val="auto"/>
                <w:sz w:val="21"/>
                <w:szCs w:val="21"/>
                <w:lang w:val="en-US" w:eastAsia="zh-CN"/>
              </w:rPr>
              <w:t>06</w:t>
            </w:r>
            <w:r>
              <w:rPr>
                <w:rFonts w:hint="default" w:ascii="Arial" w:hAnsi="Arial" w:eastAsia="宋体" w:cs="Arial"/>
                <w:color w:val="auto"/>
                <w:sz w:val="21"/>
                <w:szCs w:val="21"/>
              </w:rPr>
              <w:t>日~202</w:t>
            </w:r>
            <w:r>
              <w:rPr>
                <w:rFonts w:hint="default" w:ascii="Arial" w:hAnsi="Arial" w:eastAsia="宋体" w:cs="Arial"/>
                <w:color w:val="auto"/>
                <w:sz w:val="21"/>
                <w:szCs w:val="21"/>
                <w:lang w:val="en-US" w:eastAsia="zh-CN"/>
              </w:rPr>
              <w:t>2</w:t>
            </w:r>
            <w:r>
              <w:rPr>
                <w:rFonts w:hint="default" w:ascii="Arial" w:hAnsi="Arial" w:eastAsia="宋体" w:cs="Arial"/>
                <w:color w:val="auto"/>
                <w:sz w:val="21"/>
                <w:szCs w:val="21"/>
              </w:rPr>
              <w:t>年</w:t>
            </w:r>
            <w:r>
              <w:rPr>
                <w:rFonts w:hint="default" w:ascii="Arial" w:hAnsi="Arial" w:eastAsia="宋体" w:cs="Arial"/>
                <w:color w:val="auto"/>
                <w:sz w:val="21"/>
                <w:szCs w:val="21"/>
                <w:lang w:val="en-US" w:eastAsia="zh-CN"/>
              </w:rPr>
              <w:t>01</w:t>
            </w:r>
            <w:r>
              <w:rPr>
                <w:rFonts w:hint="default" w:ascii="Arial" w:hAnsi="Arial" w:eastAsia="宋体" w:cs="Arial"/>
                <w:color w:val="auto"/>
                <w:sz w:val="21"/>
                <w:szCs w:val="21"/>
              </w:rPr>
              <w:t>月</w:t>
            </w:r>
            <w:r>
              <w:rPr>
                <w:rFonts w:hint="default" w:ascii="Arial" w:hAnsi="Arial" w:eastAsia="宋体" w:cs="Arial"/>
                <w:color w:val="auto"/>
                <w:sz w:val="21"/>
                <w:szCs w:val="21"/>
                <w:lang w:val="en-US" w:eastAsia="zh-CN"/>
              </w:rPr>
              <w:t>14</w:t>
            </w:r>
            <w:r>
              <w:rPr>
                <w:rFonts w:hint="default" w:ascii="Arial" w:hAnsi="Arial" w:eastAsia="宋体" w:cs="Arial"/>
                <w:color w:val="auto"/>
                <w:sz w:val="21"/>
                <w:szCs w:val="21"/>
              </w:rPr>
              <w:t>日）</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340" w:hRule="atLeast"/>
          <w:jc w:val="center"/>
        </w:trPr>
        <w:tc>
          <w:tcPr>
            <w:tcW w:w="63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p>
        </w:tc>
        <w:tc>
          <w:tcPr>
            <w:tcW w:w="1394" w:type="dxa"/>
            <w:vMerge w:val="continue"/>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p>
        </w:tc>
        <w:tc>
          <w:tcPr>
            <w:tcW w:w="1394" w:type="dxa"/>
            <w:vMerge w:val="continue"/>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项目南侧新义五社水井</w:t>
            </w:r>
            <w:r>
              <w:rPr>
                <w:rFonts w:hint="default" w:ascii="Arial" w:hAnsi="Arial" w:eastAsia="宋体" w:cs="Arial"/>
                <w:color w:val="auto"/>
                <w:sz w:val="21"/>
                <w:szCs w:val="21"/>
              </w:rPr>
              <w:t>☆</w:t>
            </w:r>
            <w:r>
              <w:rPr>
                <w:rFonts w:hint="default" w:ascii="Arial" w:hAnsi="Arial" w:eastAsia="宋体" w:cs="Arial"/>
                <w:color w:val="auto"/>
                <w:sz w:val="21"/>
                <w:szCs w:val="21"/>
                <w:lang w:val="en-US" w:eastAsia="zh-CN"/>
              </w:rPr>
              <w:t>1</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项目北侧新胜五社水井</w:t>
            </w:r>
            <w:r>
              <w:rPr>
                <w:rFonts w:hint="default" w:ascii="Arial" w:hAnsi="Arial" w:eastAsia="宋体" w:cs="Arial"/>
                <w:color w:val="auto"/>
                <w:sz w:val="21"/>
                <w:szCs w:val="21"/>
              </w:rPr>
              <w:t>☆</w:t>
            </w:r>
            <w:r>
              <w:rPr>
                <w:rFonts w:hint="default" w:ascii="Arial" w:hAnsi="Arial" w:eastAsia="宋体" w:cs="Arial"/>
                <w:color w:val="auto"/>
                <w:sz w:val="21"/>
                <w:szCs w:val="21"/>
                <w:lang w:val="en-US" w:eastAsia="zh-CN"/>
              </w:rPr>
              <w:t>2</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项目东侧养殖场水井</w:t>
            </w:r>
            <w:r>
              <w:rPr>
                <w:rFonts w:hint="default" w:ascii="Arial" w:hAnsi="Arial" w:eastAsia="宋体" w:cs="Arial"/>
                <w:color w:val="auto"/>
                <w:sz w:val="21"/>
                <w:szCs w:val="21"/>
              </w:rPr>
              <w:t>☆</w:t>
            </w:r>
            <w:r>
              <w:rPr>
                <w:rFonts w:hint="default" w:ascii="Arial" w:hAnsi="Arial" w:eastAsia="宋体" w:cs="Arial"/>
                <w:color w:val="auto"/>
                <w:sz w:val="21"/>
                <w:szCs w:val="21"/>
                <w:lang w:val="en-US" w:eastAsia="zh-CN"/>
              </w:rPr>
              <w:t>3</w:t>
            </w:r>
          </w:p>
        </w:tc>
        <w:tc>
          <w:tcPr>
            <w:tcW w:w="1394"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sz w:val="21"/>
                <w:szCs w:val="21"/>
                <w:lang w:eastAsia="zh-CN"/>
              </w:rPr>
            </w:pPr>
            <w:r>
              <w:rPr>
                <w:rFonts w:hint="default" w:ascii="Arial" w:hAnsi="Arial" w:eastAsia="宋体" w:cs="Arial"/>
                <w:color w:val="auto"/>
                <w:sz w:val="21"/>
                <w:szCs w:val="21"/>
                <w:lang w:eastAsia="zh-CN"/>
              </w:rPr>
              <w:t>参考</w:t>
            </w:r>
          </w:p>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r>
              <w:rPr>
                <w:rFonts w:hint="default" w:ascii="Arial" w:hAnsi="Arial" w:eastAsia="宋体" w:cs="Arial"/>
                <w:color w:val="auto"/>
                <w:sz w:val="21"/>
                <w:szCs w:val="21"/>
              </w:rPr>
              <w:t>限值</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340" w:hRule="atLeast"/>
          <w:jc w:val="center"/>
        </w:trPr>
        <w:tc>
          <w:tcPr>
            <w:tcW w:w="639"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r>
              <w:rPr>
                <w:rFonts w:hint="default" w:ascii="Arial" w:hAnsi="Arial" w:eastAsia="宋体" w:cs="Arial"/>
                <w:i w:val="0"/>
                <w:color w:val="auto"/>
                <w:kern w:val="0"/>
                <w:sz w:val="21"/>
                <w:szCs w:val="21"/>
                <w:u w:val="none"/>
                <w:lang w:val="en-US" w:eastAsia="zh-CN" w:bidi="ar"/>
              </w:rPr>
              <w:t>1</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pH</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无量纲</w:t>
            </w:r>
          </w:p>
        </w:tc>
        <w:tc>
          <w:tcPr>
            <w:tcW w:w="1394" w:type="dxa"/>
            <w:tcBorders>
              <w:tl2br w:val="nil"/>
              <w:tr2bl w:val="nil"/>
            </w:tcBorders>
            <w:noWrap w:val="0"/>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7.51</w:t>
            </w:r>
          </w:p>
        </w:tc>
        <w:tc>
          <w:tcPr>
            <w:tcW w:w="1394" w:type="dxa"/>
            <w:tcBorders>
              <w:tl2br w:val="nil"/>
              <w:tr2bl w:val="nil"/>
            </w:tcBorders>
            <w:noWrap w:val="0"/>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7.62</w:t>
            </w:r>
          </w:p>
        </w:tc>
        <w:tc>
          <w:tcPr>
            <w:tcW w:w="1394" w:type="dxa"/>
            <w:tcBorders>
              <w:tl2br w:val="nil"/>
              <w:tr2bl w:val="nil"/>
            </w:tcBorders>
            <w:noWrap w:val="0"/>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7.71</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6.5~8.5</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340" w:hRule="atLeast"/>
          <w:jc w:val="center"/>
        </w:trPr>
        <w:tc>
          <w:tcPr>
            <w:tcW w:w="639"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r>
              <w:rPr>
                <w:rFonts w:hint="default" w:ascii="Arial" w:hAnsi="Arial" w:eastAsia="宋体" w:cs="Arial"/>
                <w:i w:val="0"/>
                <w:color w:val="auto"/>
                <w:kern w:val="0"/>
                <w:sz w:val="21"/>
                <w:szCs w:val="21"/>
                <w:u w:val="none"/>
                <w:lang w:val="en-US" w:eastAsia="zh-CN" w:bidi="ar"/>
              </w:rPr>
              <w:t>2</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可溶性阳离子K</w:t>
            </w:r>
            <w:r>
              <w:rPr>
                <w:rFonts w:hint="default" w:ascii="Arial" w:hAnsi="Arial" w:eastAsia="宋体" w:cs="Arial"/>
                <w:color w:val="auto"/>
                <w:sz w:val="21"/>
                <w:szCs w:val="21"/>
                <w:vertAlign w:val="superscript"/>
              </w:rPr>
              <w:t>+</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mg/L</w:t>
            </w:r>
          </w:p>
        </w:tc>
        <w:tc>
          <w:tcPr>
            <w:tcW w:w="1394" w:type="dxa"/>
            <w:tcBorders>
              <w:tl2br w:val="nil"/>
              <w:tr2bl w:val="nil"/>
            </w:tcBorders>
            <w:noWrap w:val="0"/>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31.3</w:t>
            </w:r>
          </w:p>
        </w:tc>
        <w:tc>
          <w:tcPr>
            <w:tcW w:w="1394" w:type="dxa"/>
            <w:tcBorders>
              <w:tl2br w:val="nil"/>
              <w:tr2bl w:val="nil"/>
            </w:tcBorders>
            <w:noWrap w:val="0"/>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28.1</w:t>
            </w:r>
          </w:p>
        </w:tc>
        <w:tc>
          <w:tcPr>
            <w:tcW w:w="1394" w:type="dxa"/>
            <w:tcBorders>
              <w:tl2br w:val="nil"/>
              <w:tr2bl w:val="nil"/>
            </w:tcBorders>
            <w:noWrap w:val="0"/>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7.29</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39"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r>
              <w:rPr>
                <w:rFonts w:hint="default" w:ascii="Arial" w:hAnsi="Arial" w:eastAsia="宋体" w:cs="Arial"/>
                <w:i w:val="0"/>
                <w:color w:val="auto"/>
                <w:kern w:val="0"/>
                <w:sz w:val="21"/>
                <w:szCs w:val="21"/>
                <w:u w:val="none"/>
                <w:lang w:val="en-US" w:eastAsia="zh-CN" w:bidi="ar"/>
              </w:rPr>
              <w:t>3</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可溶性阳离子Na</w:t>
            </w:r>
            <w:r>
              <w:rPr>
                <w:rFonts w:hint="default" w:ascii="Arial" w:hAnsi="Arial" w:eastAsia="宋体" w:cs="Arial"/>
                <w:color w:val="auto"/>
                <w:sz w:val="21"/>
                <w:szCs w:val="21"/>
                <w:vertAlign w:val="superscript"/>
              </w:rPr>
              <w:t>+</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mg/L</w:t>
            </w:r>
          </w:p>
        </w:tc>
        <w:tc>
          <w:tcPr>
            <w:tcW w:w="1394" w:type="dxa"/>
            <w:tcBorders>
              <w:tl2br w:val="nil"/>
              <w:tr2bl w:val="nil"/>
            </w:tcBorders>
            <w:noWrap w:val="0"/>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120</w:t>
            </w:r>
          </w:p>
        </w:tc>
        <w:tc>
          <w:tcPr>
            <w:tcW w:w="1394" w:type="dxa"/>
            <w:tcBorders>
              <w:tl2br w:val="nil"/>
              <w:tr2bl w:val="nil"/>
            </w:tcBorders>
            <w:noWrap w:val="0"/>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129</w:t>
            </w:r>
          </w:p>
        </w:tc>
        <w:tc>
          <w:tcPr>
            <w:tcW w:w="1394" w:type="dxa"/>
            <w:tcBorders>
              <w:tl2br w:val="nil"/>
              <w:tr2bl w:val="nil"/>
            </w:tcBorders>
            <w:noWrap w:val="0"/>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239</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340" w:hRule="atLeast"/>
          <w:jc w:val="center"/>
        </w:trPr>
        <w:tc>
          <w:tcPr>
            <w:tcW w:w="639"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r>
              <w:rPr>
                <w:rFonts w:hint="default" w:ascii="Arial" w:hAnsi="Arial" w:eastAsia="宋体" w:cs="Arial"/>
                <w:i w:val="0"/>
                <w:color w:val="auto"/>
                <w:kern w:val="0"/>
                <w:sz w:val="21"/>
                <w:szCs w:val="21"/>
                <w:u w:val="none"/>
                <w:lang w:val="en-US" w:eastAsia="zh-CN" w:bidi="ar"/>
              </w:rPr>
              <w:t>4</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可溶性阳离子Ca</w:t>
            </w:r>
            <w:r>
              <w:rPr>
                <w:rFonts w:hint="default" w:ascii="Arial" w:hAnsi="Arial" w:eastAsia="宋体" w:cs="Arial"/>
                <w:color w:val="auto"/>
                <w:sz w:val="21"/>
                <w:szCs w:val="21"/>
                <w:vertAlign w:val="superscript"/>
              </w:rPr>
              <w:t>2+</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mg/L</w:t>
            </w:r>
          </w:p>
        </w:tc>
        <w:tc>
          <w:tcPr>
            <w:tcW w:w="1394" w:type="dxa"/>
            <w:tcBorders>
              <w:tl2br w:val="nil"/>
              <w:tr2bl w:val="nil"/>
            </w:tcBorders>
            <w:noWrap w:val="0"/>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88.4</w:t>
            </w:r>
          </w:p>
        </w:tc>
        <w:tc>
          <w:tcPr>
            <w:tcW w:w="1394" w:type="dxa"/>
            <w:tcBorders>
              <w:tl2br w:val="nil"/>
              <w:tr2bl w:val="nil"/>
            </w:tcBorders>
            <w:noWrap w:val="0"/>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93.8</w:t>
            </w:r>
          </w:p>
        </w:tc>
        <w:tc>
          <w:tcPr>
            <w:tcW w:w="1394" w:type="dxa"/>
            <w:tcBorders>
              <w:tl2br w:val="nil"/>
              <w:tr2bl w:val="nil"/>
            </w:tcBorders>
            <w:noWrap w:val="0"/>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26.3</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340" w:hRule="atLeast"/>
          <w:jc w:val="center"/>
        </w:trPr>
        <w:tc>
          <w:tcPr>
            <w:tcW w:w="639"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r>
              <w:rPr>
                <w:rFonts w:hint="default" w:ascii="Arial" w:hAnsi="Arial" w:eastAsia="宋体" w:cs="Arial"/>
                <w:i w:val="0"/>
                <w:color w:val="auto"/>
                <w:kern w:val="0"/>
                <w:sz w:val="21"/>
                <w:szCs w:val="21"/>
                <w:u w:val="none"/>
                <w:lang w:val="en-US" w:eastAsia="zh-CN" w:bidi="ar"/>
              </w:rPr>
              <w:t>5</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可溶性阳离</w:t>
            </w:r>
            <w:r>
              <w:rPr>
                <w:rFonts w:hint="default" w:ascii="Arial" w:hAnsi="Arial" w:eastAsia="宋体" w:cs="Arial"/>
                <w:color w:val="auto"/>
                <w:sz w:val="21"/>
                <w:szCs w:val="21"/>
                <w:lang w:eastAsia="zh-CN"/>
              </w:rPr>
              <w:t>子</w:t>
            </w:r>
            <w:r>
              <w:rPr>
                <w:rFonts w:hint="default" w:ascii="Arial" w:hAnsi="Arial" w:eastAsia="宋体" w:cs="Arial"/>
                <w:color w:val="auto"/>
                <w:sz w:val="21"/>
                <w:szCs w:val="21"/>
              </w:rPr>
              <w:t>Mg</w:t>
            </w:r>
            <w:r>
              <w:rPr>
                <w:rFonts w:hint="default" w:ascii="Arial" w:hAnsi="Arial" w:eastAsia="宋体" w:cs="Arial"/>
                <w:color w:val="auto"/>
                <w:sz w:val="21"/>
                <w:szCs w:val="21"/>
                <w:vertAlign w:val="superscript"/>
              </w:rPr>
              <w:t>2+</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mg/L</w:t>
            </w:r>
          </w:p>
        </w:tc>
        <w:tc>
          <w:tcPr>
            <w:tcW w:w="1394" w:type="dxa"/>
            <w:tcBorders>
              <w:tl2br w:val="nil"/>
              <w:tr2bl w:val="nil"/>
            </w:tcBorders>
            <w:noWrap w:val="0"/>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128</w:t>
            </w:r>
          </w:p>
        </w:tc>
        <w:tc>
          <w:tcPr>
            <w:tcW w:w="1394" w:type="dxa"/>
            <w:tcBorders>
              <w:tl2br w:val="nil"/>
              <w:tr2bl w:val="nil"/>
            </w:tcBorders>
            <w:noWrap w:val="0"/>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121</w:t>
            </w:r>
          </w:p>
        </w:tc>
        <w:tc>
          <w:tcPr>
            <w:tcW w:w="1394" w:type="dxa"/>
            <w:tcBorders>
              <w:tl2br w:val="nil"/>
              <w:tr2bl w:val="nil"/>
            </w:tcBorders>
            <w:noWrap w:val="0"/>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52.1</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340" w:hRule="atLeast"/>
          <w:jc w:val="center"/>
        </w:trPr>
        <w:tc>
          <w:tcPr>
            <w:tcW w:w="639"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r>
              <w:rPr>
                <w:rFonts w:hint="default" w:ascii="Arial" w:hAnsi="Arial" w:eastAsia="宋体" w:cs="Arial"/>
                <w:i w:val="0"/>
                <w:color w:val="auto"/>
                <w:kern w:val="0"/>
                <w:sz w:val="21"/>
                <w:szCs w:val="21"/>
                <w:u w:val="none"/>
                <w:lang w:val="en-US" w:eastAsia="zh-CN" w:bidi="ar"/>
              </w:rPr>
              <w:t>6</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重碳酸盐</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mg/L</w:t>
            </w:r>
          </w:p>
        </w:tc>
        <w:tc>
          <w:tcPr>
            <w:tcW w:w="1394" w:type="dxa"/>
            <w:tcBorders>
              <w:tl2br w:val="nil"/>
              <w:tr2bl w:val="nil"/>
            </w:tcBorders>
            <w:noWrap w:val="0"/>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252</w:t>
            </w:r>
          </w:p>
        </w:tc>
        <w:tc>
          <w:tcPr>
            <w:tcW w:w="1394" w:type="dxa"/>
            <w:tcBorders>
              <w:tl2br w:val="nil"/>
              <w:tr2bl w:val="nil"/>
            </w:tcBorders>
            <w:noWrap w:val="0"/>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237</w:t>
            </w:r>
          </w:p>
        </w:tc>
        <w:tc>
          <w:tcPr>
            <w:tcW w:w="1394" w:type="dxa"/>
            <w:tcBorders>
              <w:tl2br w:val="nil"/>
              <w:tr2bl w:val="nil"/>
            </w:tcBorders>
            <w:noWrap w:val="0"/>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132</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340" w:hRule="atLeast"/>
          <w:jc w:val="center"/>
        </w:trPr>
        <w:tc>
          <w:tcPr>
            <w:tcW w:w="639"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r>
              <w:rPr>
                <w:rFonts w:hint="default" w:ascii="Arial" w:hAnsi="Arial" w:eastAsia="宋体" w:cs="Arial"/>
                <w:i w:val="0"/>
                <w:color w:val="auto"/>
                <w:kern w:val="0"/>
                <w:sz w:val="21"/>
                <w:szCs w:val="21"/>
                <w:u w:val="none"/>
                <w:lang w:val="en-US" w:eastAsia="zh-CN" w:bidi="ar"/>
              </w:rPr>
              <w:t>7</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碳酸盐</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mg/L</w:t>
            </w:r>
          </w:p>
        </w:tc>
        <w:tc>
          <w:tcPr>
            <w:tcW w:w="1394" w:type="dxa"/>
            <w:tcBorders>
              <w:tl2br w:val="nil"/>
              <w:tr2bl w:val="nil"/>
            </w:tcBorders>
            <w:noWrap w:val="0"/>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0</w:t>
            </w:r>
          </w:p>
        </w:tc>
        <w:tc>
          <w:tcPr>
            <w:tcW w:w="1394" w:type="dxa"/>
            <w:tcBorders>
              <w:tl2br w:val="nil"/>
              <w:tr2bl w:val="nil"/>
            </w:tcBorders>
            <w:noWrap w:val="0"/>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0"/>
                <w:sz w:val="21"/>
                <w:szCs w:val="21"/>
                <w:lang w:val="en-US" w:eastAsia="zh-CN" w:bidi="ar"/>
              </w:rPr>
            </w:pPr>
            <w:r>
              <w:rPr>
                <w:rFonts w:hint="default" w:ascii="Arial" w:hAnsi="Arial" w:eastAsia="宋体" w:cs="Arial"/>
                <w:color w:val="auto"/>
                <w:kern w:val="0"/>
                <w:sz w:val="21"/>
                <w:szCs w:val="21"/>
                <w:lang w:val="en-US" w:eastAsia="zh-CN" w:bidi="ar"/>
              </w:rPr>
              <w:t>0</w:t>
            </w:r>
          </w:p>
        </w:tc>
        <w:tc>
          <w:tcPr>
            <w:tcW w:w="1394" w:type="dxa"/>
            <w:tcBorders>
              <w:tl2br w:val="nil"/>
              <w:tr2bl w:val="nil"/>
            </w:tcBorders>
            <w:noWrap w:val="0"/>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0"/>
                <w:sz w:val="21"/>
                <w:szCs w:val="21"/>
                <w:lang w:val="en-US" w:eastAsia="zh-CN" w:bidi="ar"/>
              </w:rPr>
            </w:pPr>
            <w:r>
              <w:rPr>
                <w:rFonts w:hint="default" w:ascii="Arial" w:hAnsi="Arial" w:eastAsia="宋体" w:cs="Arial"/>
                <w:color w:val="auto"/>
                <w:kern w:val="0"/>
                <w:sz w:val="21"/>
                <w:szCs w:val="21"/>
                <w:lang w:val="en-US" w:eastAsia="zh-CN" w:bidi="ar"/>
              </w:rPr>
              <w:t>0</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340" w:hRule="atLeast"/>
          <w:jc w:val="center"/>
        </w:trPr>
        <w:tc>
          <w:tcPr>
            <w:tcW w:w="639"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r>
              <w:rPr>
                <w:rFonts w:hint="default" w:ascii="Arial" w:hAnsi="Arial" w:eastAsia="宋体" w:cs="Arial"/>
                <w:i w:val="0"/>
                <w:color w:val="auto"/>
                <w:kern w:val="0"/>
                <w:sz w:val="21"/>
                <w:szCs w:val="21"/>
                <w:u w:val="none"/>
                <w:lang w:val="en-US" w:eastAsia="zh-CN" w:bidi="ar"/>
              </w:rPr>
              <w:t>8</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无机阴离子Cl</w:t>
            </w:r>
            <w:r>
              <w:rPr>
                <w:rFonts w:hint="default" w:ascii="Arial" w:hAnsi="Arial" w:eastAsia="宋体" w:cs="Arial"/>
                <w:color w:val="auto"/>
                <w:sz w:val="21"/>
                <w:szCs w:val="21"/>
                <w:vertAlign w:val="superscript"/>
              </w:rPr>
              <w:t>-</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mg/L</w:t>
            </w:r>
          </w:p>
        </w:tc>
        <w:tc>
          <w:tcPr>
            <w:tcW w:w="1394" w:type="dxa"/>
            <w:tcBorders>
              <w:tl2br w:val="nil"/>
              <w:tr2bl w:val="nil"/>
            </w:tcBorders>
            <w:noWrap w:val="0"/>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379</w:t>
            </w:r>
          </w:p>
        </w:tc>
        <w:tc>
          <w:tcPr>
            <w:tcW w:w="1394" w:type="dxa"/>
            <w:tcBorders>
              <w:tl2br w:val="nil"/>
              <w:tr2bl w:val="nil"/>
            </w:tcBorders>
            <w:noWrap w:val="0"/>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0"/>
                <w:sz w:val="21"/>
                <w:szCs w:val="21"/>
                <w:lang w:val="en-US" w:eastAsia="zh-CN" w:bidi="ar"/>
              </w:rPr>
            </w:pPr>
            <w:r>
              <w:rPr>
                <w:rFonts w:hint="default" w:ascii="Arial" w:hAnsi="Arial" w:eastAsia="宋体" w:cs="Arial"/>
                <w:color w:val="auto"/>
                <w:kern w:val="0"/>
                <w:sz w:val="21"/>
                <w:szCs w:val="21"/>
                <w:lang w:val="en-US" w:eastAsia="zh-CN" w:bidi="ar"/>
              </w:rPr>
              <w:t>369</w:t>
            </w:r>
          </w:p>
        </w:tc>
        <w:tc>
          <w:tcPr>
            <w:tcW w:w="1394" w:type="dxa"/>
            <w:tcBorders>
              <w:tl2br w:val="nil"/>
              <w:tr2bl w:val="nil"/>
            </w:tcBorders>
            <w:noWrap w:val="0"/>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0"/>
                <w:sz w:val="21"/>
                <w:szCs w:val="21"/>
                <w:lang w:val="en-US" w:eastAsia="zh-CN" w:bidi="ar"/>
              </w:rPr>
            </w:pPr>
            <w:r>
              <w:rPr>
                <w:rFonts w:hint="default" w:ascii="Arial" w:hAnsi="Arial" w:eastAsia="宋体" w:cs="Arial"/>
                <w:color w:val="auto"/>
                <w:kern w:val="0"/>
                <w:sz w:val="21"/>
                <w:szCs w:val="21"/>
                <w:lang w:val="en-US" w:eastAsia="zh-CN" w:bidi="ar"/>
              </w:rPr>
              <w:t>348</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340" w:hRule="atLeast"/>
          <w:jc w:val="center"/>
        </w:trPr>
        <w:tc>
          <w:tcPr>
            <w:tcW w:w="639"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r>
              <w:rPr>
                <w:rFonts w:hint="default" w:ascii="Arial" w:hAnsi="Arial" w:eastAsia="宋体" w:cs="Arial"/>
                <w:i w:val="0"/>
                <w:color w:val="auto"/>
                <w:kern w:val="0"/>
                <w:sz w:val="21"/>
                <w:szCs w:val="21"/>
                <w:u w:val="none"/>
                <w:lang w:val="en-US" w:eastAsia="zh-CN" w:bidi="ar"/>
              </w:rPr>
              <w:t>9</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无机阴离子SO</w:t>
            </w:r>
            <w:r>
              <w:rPr>
                <w:rFonts w:hint="default" w:ascii="Arial" w:hAnsi="Arial" w:eastAsia="宋体" w:cs="Arial"/>
                <w:color w:val="auto"/>
                <w:sz w:val="21"/>
                <w:szCs w:val="21"/>
                <w:vertAlign w:val="subscript"/>
              </w:rPr>
              <w:t>4</w:t>
            </w:r>
            <w:r>
              <w:rPr>
                <w:rFonts w:hint="default" w:ascii="Arial" w:hAnsi="Arial" w:eastAsia="宋体" w:cs="Arial"/>
                <w:color w:val="auto"/>
                <w:sz w:val="21"/>
                <w:szCs w:val="21"/>
                <w:vertAlign w:val="superscript"/>
              </w:rPr>
              <w:t>2-</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mg/L</w:t>
            </w:r>
          </w:p>
        </w:tc>
        <w:tc>
          <w:tcPr>
            <w:tcW w:w="1394" w:type="dxa"/>
            <w:tcBorders>
              <w:tl2br w:val="nil"/>
              <w:tr2bl w:val="nil"/>
            </w:tcBorders>
            <w:noWrap w:val="0"/>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lang w:val="en-US" w:eastAsia="zh-CN"/>
              </w:rPr>
              <w:t>331</w:t>
            </w:r>
          </w:p>
        </w:tc>
        <w:tc>
          <w:tcPr>
            <w:tcW w:w="1394" w:type="dxa"/>
            <w:tcBorders>
              <w:tl2br w:val="nil"/>
              <w:tr2bl w:val="nil"/>
            </w:tcBorders>
            <w:noWrap w:val="0"/>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lang w:val="en-US" w:eastAsia="zh-CN"/>
              </w:rPr>
              <w:t>314</w:t>
            </w:r>
          </w:p>
        </w:tc>
        <w:tc>
          <w:tcPr>
            <w:tcW w:w="1394" w:type="dxa"/>
            <w:tcBorders>
              <w:tl2br w:val="nil"/>
              <w:tr2bl w:val="nil"/>
            </w:tcBorders>
            <w:noWrap w:val="0"/>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0"/>
                <w:sz w:val="21"/>
                <w:szCs w:val="21"/>
                <w:highlight w:val="none"/>
                <w:lang w:val="en-US" w:eastAsia="zh-CN" w:bidi="ar"/>
              </w:rPr>
            </w:pPr>
            <w:r>
              <w:rPr>
                <w:rFonts w:hint="default" w:ascii="Arial" w:hAnsi="Arial" w:eastAsia="宋体" w:cs="Arial"/>
                <w:color w:val="auto"/>
                <w:kern w:val="0"/>
                <w:sz w:val="21"/>
                <w:szCs w:val="21"/>
                <w:highlight w:val="none"/>
                <w:lang w:val="en-US" w:eastAsia="zh-CN" w:bidi="ar"/>
              </w:rPr>
              <w:t>251</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340" w:hRule="atLeast"/>
          <w:jc w:val="center"/>
        </w:trPr>
        <w:tc>
          <w:tcPr>
            <w:tcW w:w="639"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r>
              <w:rPr>
                <w:rFonts w:hint="default" w:ascii="Arial" w:hAnsi="Arial" w:eastAsia="宋体" w:cs="Arial"/>
                <w:i w:val="0"/>
                <w:color w:val="auto"/>
                <w:kern w:val="0"/>
                <w:sz w:val="21"/>
                <w:szCs w:val="21"/>
                <w:u w:val="none"/>
                <w:lang w:val="en-US" w:eastAsia="zh-CN" w:bidi="ar"/>
              </w:rPr>
              <w:t>10</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总硬度</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mg/L</w:t>
            </w:r>
          </w:p>
        </w:tc>
        <w:tc>
          <w:tcPr>
            <w:tcW w:w="1394" w:type="dxa"/>
            <w:tcBorders>
              <w:tl2br w:val="nil"/>
              <w:tr2bl w:val="nil"/>
            </w:tcBorders>
            <w:noWrap w:val="0"/>
            <w:vAlign w:val="center"/>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738</w:t>
            </w:r>
          </w:p>
        </w:tc>
        <w:tc>
          <w:tcPr>
            <w:tcW w:w="1394" w:type="dxa"/>
            <w:tcBorders>
              <w:tl2br w:val="nil"/>
              <w:tr2bl w:val="nil"/>
            </w:tcBorders>
            <w:noWrap w:val="0"/>
            <w:vAlign w:val="center"/>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0"/>
                <w:sz w:val="21"/>
                <w:szCs w:val="21"/>
                <w:lang w:val="en-US" w:eastAsia="zh-CN" w:bidi="ar"/>
              </w:rPr>
            </w:pPr>
            <w:r>
              <w:rPr>
                <w:rFonts w:hint="default" w:ascii="Arial" w:hAnsi="Arial" w:eastAsia="宋体" w:cs="Arial"/>
                <w:color w:val="auto"/>
                <w:kern w:val="0"/>
                <w:sz w:val="21"/>
                <w:szCs w:val="21"/>
                <w:lang w:val="en-US" w:eastAsia="zh-CN" w:bidi="ar"/>
              </w:rPr>
              <w:t>713</w:t>
            </w:r>
          </w:p>
        </w:tc>
        <w:tc>
          <w:tcPr>
            <w:tcW w:w="1394" w:type="dxa"/>
            <w:tcBorders>
              <w:tl2br w:val="nil"/>
              <w:tr2bl w:val="nil"/>
            </w:tcBorders>
            <w:noWrap w:val="0"/>
            <w:vAlign w:val="center"/>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0"/>
                <w:sz w:val="21"/>
                <w:szCs w:val="21"/>
                <w:lang w:val="en-US" w:eastAsia="zh-CN" w:bidi="ar"/>
              </w:rPr>
            </w:pPr>
            <w:r>
              <w:rPr>
                <w:rFonts w:hint="default" w:ascii="Arial" w:hAnsi="Arial" w:eastAsia="宋体" w:cs="Arial"/>
                <w:color w:val="auto"/>
                <w:kern w:val="0"/>
                <w:sz w:val="21"/>
                <w:szCs w:val="21"/>
                <w:lang w:val="en-US" w:eastAsia="zh-CN" w:bidi="ar"/>
              </w:rPr>
              <w:t>274</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≤450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340" w:hRule="atLeast"/>
          <w:jc w:val="center"/>
        </w:trPr>
        <w:tc>
          <w:tcPr>
            <w:tcW w:w="639"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r>
              <w:rPr>
                <w:rFonts w:hint="default" w:ascii="Arial" w:hAnsi="Arial" w:eastAsia="宋体" w:cs="Arial"/>
                <w:i w:val="0"/>
                <w:color w:val="auto"/>
                <w:kern w:val="0"/>
                <w:sz w:val="21"/>
                <w:szCs w:val="21"/>
                <w:u w:val="none"/>
                <w:lang w:val="en-US" w:eastAsia="zh-CN" w:bidi="ar"/>
              </w:rPr>
              <w:t>11</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耗氧量</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mg/L</w:t>
            </w:r>
          </w:p>
        </w:tc>
        <w:tc>
          <w:tcPr>
            <w:tcW w:w="1394" w:type="dxa"/>
            <w:tcBorders>
              <w:tl2br w:val="nil"/>
              <w:tr2bl w:val="nil"/>
            </w:tcBorders>
            <w:noWrap w:val="0"/>
            <w:vAlign w:val="center"/>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1.21</w:t>
            </w:r>
          </w:p>
        </w:tc>
        <w:tc>
          <w:tcPr>
            <w:tcW w:w="1394" w:type="dxa"/>
            <w:tcBorders>
              <w:tl2br w:val="nil"/>
              <w:tr2bl w:val="nil"/>
            </w:tcBorders>
            <w:noWrap w:val="0"/>
            <w:vAlign w:val="center"/>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1.19</w:t>
            </w:r>
          </w:p>
        </w:tc>
        <w:tc>
          <w:tcPr>
            <w:tcW w:w="1394" w:type="dxa"/>
            <w:tcBorders>
              <w:tl2br w:val="nil"/>
              <w:tr2bl w:val="nil"/>
            </w:tcBorders>
            <w:noWrap w:val="0"/>
            <w:vAlign w:val="center"/>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0"/>
                <w:sz w:val="21"/>
                <w:szCs w:val="21"/>
                <w:lang w:val="en-US" w:eastAsia="zh-CN" w:bidi="ar"/>
              </w:rPr>
            </w:pPr>
            <w:r>
              <w:rPr>
                <w:rFonts w:hint="default" w:ascii="Arial" w:hAnsi="Arial" w:eastAsia="宋体" w:cs="Arial"/>
                <w:color w:val="auto"/>
                <w:kern w:val="0"/>
                <w:sz w:val="21"/>
                <w:szCs w:val="21"/>
                <w:lang w:val="en-US" w:eastAsia="zh-CN" w:bidi="ar"/>
              </w:rPr>
              <w:t>1.23</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≤3.0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340" w:hRule="atLeast"/>
          <w:jc w:val="center"/>
        </w:trPr>
        <w:tc>
          <w:tcPr>
            <w:tcW w:w="639"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r>
              <w:rPr>
                <w:rFonts w:hint="default" w:ascii="Arial" w:hAnsi="Arial" w:eastAsia="宋体" w:cs="Arial"/>
                <w:i w:val="0"/>
                <w:color w:val="auto"/>
                <w:kern w:val="0"/>
                <w:sz w:val="21"/>
                <w:szCs w:val="21"/>
                <w:u w:val="none"/>
                <w:lang w:val="en-US" w:eastAsia="zh-CN" w:bidi="ar"/>
              </w:rPr>
              <w:t>12</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氟化物</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mg/L</w:t>
            </w:r>
          </w:p>
        </w:tc>
        <w:tc>
          <w:tcPr>
            <w:tcW w:w="1394" w:type="dxa"/>
            <w:tcBorders>
              <w:tl2br w:val="nil"/>
              <w:tr2bl w:val="nil"/>
            </w:tcBorders>
            <w:noWrap w:val="0"/>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0.41</w:t>
            </w:r>
          </w:p>
        </w:tc>
        <w:tc>
          <w:tcPr>
            <w:tcW w:w="1394" w:type="dxa"/>
            <w:tcBorders>
              <w:tl2br w:val="nil"/>
              <w:tr2bl w:val="nil"/>
            </w:tcBorders>
            <w:noWrap w:val="0"/>
            <w:vAlign w:val="center"/>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0"/>
                <w:sz w:val="21"/>
                <w:szCs w:val="21"/>
                <w:lang w:val="en-US" w:eastAsia="zh-CN" w:bidi="ar"/>
              </w:rPr>
            </w:pPr>
            <w:r>
              <w:rPr>
                <w:rFonts w:hint="default" w:ascii="Arial" w:hAnsi="Arial" w:eastAsia="宋体" w:cs="Arial"/>
                <w:color w:val="auto"/>
                <w:kern w:val="0"/>
                <w:sz w:val="21"/>
                <w:szCs w:val="21"/>
                <w:lang w:val="en-US" w:eastAsia="zh-CN" w:bidi="ar"/>
              </w:rPr>
              <w:t>0.40</w:t>
            </w:r>
          </w:p>
        </w:tc>
        <w:tc>
          <w:tcPr>
            <w:tcW w:w="1394" w:type="dxa"/>
            <w:tcBorders>
              <w:tl2br w:val="nil"/>
              <w:tr2bl w:val="nil"/>
            </w:tcBorders>
            <w:noWrap w:val="0"/>
            <w:vAlign w:val="center"/>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0"/>
                <w:sz w:val="21"/>
                <w:szCs w:val="21"/>
                <w:lang w:val="en-US" w:eastAsia="zh-CN" w:bidi="ar"/>
              </w:rPr>
            </w:pPr>
            <w:r>
              <w:rPr>
                <w:rFonts w:hint="default" w:ascii="Arial" w:hAnsi="Arial" w:eastAsia="宋体" w:cs="Arial"/>
                <w:color w:val="auto"/>
                <w:kern w:val="0"/>
                <w:sz w:val="21"/>
                <w:szCs w:val="21"/>
                <w:lang w:val="en-US" w:eastAsia="zh-CN" w:bidi="ar"/>
              </w:rPr>
              <w:t>0.42</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≤1.0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340" w:hRule="atLeast"/>
          <w:jc w:val="center"/>
        </w:trPr>
        <w:tc>
          <w:tcPr>
            <w:tcW w:w="639"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r>
              <w:rPr>
                <w:rFonts w:hint="default" w:ascii="Arial" w:hAnsi="Arial" w:eastAsia="宋体" w:cs="Arial"/>
                <w:i w:val="0"/>
                <w:color w:val="auto"/>
                <w:kern w:val="0"/>
                <w:sz w:val="21"/>
                <w:szCs w:val="21"/>
                <w:u w:val="none"/>
                <w:lang w:val="en-US" w:eastAsia="zh-CN" w:bidi="ar"/>
              </w:rPr>
              <w:t>13</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氨氮</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mg/L</w:t>
            </w:r>
          </w:p>
        </w:tc>
        <w:tc>
          <w:tcPr>
            <w:tcW w:w="1394" w:type="dxa"/>
            <w:tcBorders>
              <w:tl2br w:val="nil"/>
              <w:tr2bl w:val="nil"/>
            </w:tcBorders>
            <w:noWrap w:val="0"/>
            <w:vAlign w:val="center"/>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0.592</w:t>
            </w:r>
          </w:p>
        </w:tc>
        <w:tc>
          <w:tcPr>
            <w:tcW w:w="1394" w:type="dxa"/>
            <w:tcBorders>
              <w:tl2br w:val="nil"/>
              <w:tr2bl w:val="nil"/>
            </w:tcBorders>
            <w:noWrap w:val="0"/>
            <w:vAlign w:val="center"/>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0.475</w:t>
            </w:r>
          </w:p>
        </w:tc>
        <w:tc>
          <w:tcPr>
            <w:tcW w:w="1394" w:type="dxa"/>
            <w:tcBorders>
              <w:tl2br w:val="nil"/>
              <w:tr2bl w:val="nil"/>
            </w:tcBorders>
            <w:noWrap w:val="0"/>
            <w:vAlign w:val="center"/>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0"/>
                <w:sz w:val="21"/>
                <w:szCs w:val="21"/>
                <w:lang w:val="en-US" w:eastAsia="zh-CN" w:bidi="ar"/>
              </w:rPr>
            </w:pPr>
            <w:r>
              <w:rPr>
                <w:rFonts w:hint="default" w:ascii="Arial" w:hAnsi="Arial" w:eastAsia="宋体" w:cs="Arial"/>
                <w:color w:val="auto"/>
                <w:kern w:val="0"/>
                <w:sz w:val="21"/>
                <w:szCs w:val="21"/>
                <w:lang w:val="en-US" w:eastAsia="zh-CN" w:bidi="ar"/>
              </w:rPr>
              <w:t>0.575</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≤0.5</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340" w:hRule="atLeast"/>
          <w:jc w:val="center"/>
        </w:trPr>
        <w:tc>
          <w:tcPr>
            <w:tcW w:w="639"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r>
              <w:rPr>
                <w:rFonts w:hint="default" w:ascii="Arial" w:hAnsi="Arial" w:eastAsia="宋体" w:cs="Arial"/>
                <w:i w:val="0"/>
                <w:color w:val="auto"/>
                <w:kern w:val="0"/>
                <w:sz w:val="21"/>
                <w:szCs w:val="21"/>
                <w:u w:val="none"/>
                <w:lang w:val="en-US" w:eastAsia="zh-CN" w:bidi="ar"/>
              </w:rPr>
              <w:t>14</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亚硝酸盐氮</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mg/L</w:t>
            </w:r>
          </w:p>
        </w:tc>
        <w:tc>
          <w:tcPr>
            <w:tcW w:w="1394" w:type="dxa"/>
            <w:tcBorders>
              <w:tl2br w:val="nil"/>
              <w:tr2bl w:val="nil"/>
            </w:tcBorders>
            <w:noWrap w:val="0"/>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0.005</w:t>
            </w:r>
          </w:p>
        </w:tc>
        <w:tc>
          <w:tcPr>
            <w:tcW w:w="1394" w:type="dxa"/>
            <w:tcBorders>
              <w:tl2br w:val="nil"/>
              <w:tr2bl w:val="nil"/>
            </w:tcBorders>
            <w:noWrap w:val="0"/>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0"/>
                <w:sz w:val="21"/>
                <w:szCs w:val="21"/>
                <w:lang w:val="en-US" w:eastAsia="zh-CN" w:bidi="ar"/>
              </w:rPr>
            </w:pPr>
            <w:r>
              <w:rPr>
                <w:rFonts w:hint="default" w:ascii="Arial" w:hAnsi="Arial" w:eastAsia="宋体" w:cs="Arial"/>
                <w:color w:val="auto"/>
                <w:kern w:val="0"/>
                <w:sz w:val="21"/>
                <w:szCs w:val="21"/>
                <w:lang w:val="en-US" w:eastAsia="zh-CN" w:bidi="ar"/>
              </w:rPr>
              <w:t>0.321</w:t>
            </w:r>
          </w:p>
        </w:tc>
        <w:tc>
          <w:tcPr>
            <w:tcW w:w="1394" w:type="dxa"/>
            <w:tcBorders>
              <w:tl2br w:val="nil"/>
              <w:tr2bl w:val="nil"/>
            </w:tcBorders>
            <w:noWrap w:val="0"/>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0.009</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≤1.0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340" w:hRule="atLeast"/>
          <w:jc w:val="center"/>
        </w:trPr>
        <w:tc>
          <w:tcPr>
            <w:tcW w:w="639"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r>
              <w:rPr>
                <w:rFonts w:hint="default" w:ascii="Arial" w:hAnsi="Arial" w:eastAsia="宋体" w:cs="Arial"/>
                <w:i w:val="0"/>
                <w:color w:val="auto"/>
                <w:kern w:val="0"/>
                <w:sz w:val="21"/>
                <w:szCs w:val="21"/>
                <w:u w:val="none"/>
                <w:lang w:val="en-US" w:eastAsia="zh-CN" w:bidi="ar"/>
              </w:rPr>
              <w:t>15</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硝酸盐氮</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mg/L</w:t>
            </w:r>
          </w:p>
        </w:tc>
        <w:tc>
          <w:tcPr>
            <w:tcW w:w="1394" w:type="dxa"/>
            <w:tcBorders>
              <w:tl2br w:val="nil"/>
              <w:tr2bl w:val="nil"/>
            </w:tcBorders>
            <w:noWrap w:val="0"/>
            <w:vAlign w:val="center"/>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1.58</w:t>
            </w:r>
          </w:p>
        </w:tc>
        <w:tc>
          <w:tcPr>
            <w:tcW w:w="1394" w:type="dxa"/>
            <w:tcBorders>
              <w:tl2br w:val="nil"/>
              <w:tr2bl w:val="nil"/>
            </w:tcBorders>
            <w:noWrap w:val="0"/>
            <w:vAlign w:val="center"/>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0"/>
                <w:sz w:val="21"/>
                <w:szCs w:val="21"/>
                <w:lang w:val="en-US" w:eastAsia="zh-CN" w:bidi="ar"/>
              </w:rPr>
            </w:pPr>
            <w:r>
              <w:rPr>
                <w:rFonts w:hint="default" w:ascii="Arial" w:hAnsi="Arial" w:eastAsia="宋体" w:cs="Arial"/>
                <w:color w:val="auto"/>
                <w:kern w:val="0"/>
                <w:sz w:val="21"/>
                <w:szCs w:val="21"/>
                <w:lang w:val="en-US" w:eastAsia="zh-CN" w:bidi="ar"/>
              </w:rPr>
              <w:t>2.99</w:t>
            </w:r>
          </w:p>
        </w:tc>
        <w:tc>
          <w:tcPr>
            <w:tcW w:w="1394" w:type="dxa"/>
            <w:tcBorders>
              <w:tl2br w:val="nil"/>
              <w:tr2bl w:val="nil"/>
            </w:tcBorders>
            <w:noWrap w:val="0"/>
            <w:vAlign w:val="center"/>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0"/>
                <w:sz w:val="21"/>
                <w:szCs w:val="21"/>
                <w:lang w:val="en-US" w:eastAsia="zh-CN" w:bidi="ar"/>
              </w:rPr>
            </w:pPr>
            <w:r>
              <w:rPr>
                <w:rFonts w:hint="default" w:ascii="Arial" w:hAnsi="Arial" w:eastAsia="宋体" w:cs="Arial"/>
                <w:color w:val="auto"/>
                <w:kern w:val="0"/>
                <w:sz w:val="21"/>
                <w:szCs w:val="21"/>
                <w:lang w:val="en-US" w:eastAsia="zh-CN" w:bidi="ar"/>
              </w:rPr>
              <w:t>1.85</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≤20.0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340" w:hRule="atLeast"/>
          <w:jc w:val="center"/>
        </w:trPr>
        <w:tc>
          <w:tcPr>
            <w:tcW w:w="639"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r>
              <w:rPr>
                <w:rFonts w:hint="default" w:ascii="Arial" w:hAnsi="Arial" w:eastAsia="宋体" w:cs="Arial"/>
                <w:i w:val="0"/>
                <w:color w:val="auto"/>
                <w:kern w:val="0"/>
                <w:sz w:val="21"/>
                <w:szCs w:val="21"/>
                <w:u w:val="none"/>
                <w:lang w:val="en-US" w:eastAsia="zh-CN" w:bidi="ar"/>
              </w:rPr>
              <w:t>16</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挥发酚</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mg/L</w:t>
            </w:r>
          </w:p>
        </w:tc>
        <w:tc>
          <w:tcPr>
            <w:tcW w:w="1394" w:type="dxa"/>
            <w:tcBorders>
              <w:tl2br w:val="nil"/>
              <w:tr2bl w:val="nil"/>
            </w:tcBorders>
            <w:noWrap w:val="0"/>
            <w:vAlign w:val="center"/>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0.0003L</w:t>
            </w:r>
          </w:p>
        </w:tc>
        <w:tc>
          <w:tcPr>
            <w:tcW w:w="1394" w:type="dxa"/>
            <w:tcBorders>
              <w:tl2br w:val="nil"/>
              <w:tr2bl w:val="nil"/>
            </w:tcBorders>
            <w:noWrap w:val="0"/>
            <w:vAlign w:val="center"/>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0"/>
                <w:sz w:val="21"/>
                <w:szCs w:val="21"/>
                <w:lang w:val="en-US" w:eastAsia="zh-CN" w:bidi="ar"/>
              </w:rPr>
            </w:pPr>
            <w:r>
              <w:rPr>
                <w:rFonts w:hint="default" w:ascii="Arial" w:hAnsi="Arial" w:eastAsia="宋体" w:cs="Arial"/>
                <w:color w:val="auto"/>
                <w:sz w:val="21"/>
                <w:szCs w:val="21"/>
              </w:rPr>
              <w:t>0.0003L</w:t>
            </w:r>
          </w:p>
        </w:tc>
        <w:tc>
          <w:tcPr>
            <w:tcW w:w="1394" w:type="dxa"/>
            <w:tcBorders>
              <w:tl2br w:val="nil"/>
              <w:tr2bl w:val="nil"/>
            </w:tcBorders>
            <w:noWrap w:val="0"/>
            <w:vAlign w:val="center"/>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0.0003L</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≤0.</w:t>
            </w:r>
            <w:r>
              <w:rPr>
                <w:rFonts w:hint="default" w:ascii="Arial" w:hAnsi="Arial" w:eastAsia="宋体" w:cs="Arial"/>
                <w:color w:val="auto"/>
                <w:sz w:val="21"/>
                <w:szCs w:val="21"/>
                <w:lang w:val="en-US" w:eastAsia="zh-CN"/>
              </w:rPr>
              <w:t>0</w:t>
            </w:r>
            <w:r>
              <w:rPr>
                <w:rFonts w:hint="default" w:ascii="Arial" w:hAnsi="Arial" w:eastAsia="宋体" w:cs="Arial"/>
                <w:color w:val="auto"/>
                <w:sz w:val="21"/>
                <w:szCs w:val="21"/>
              </w:rPr>
              <w:t>02</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39"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r>
              <w:rPr>
                <w:rFonts w:hint="default" w:ascii="Arial" w:hAnsi="Arial" w:eastAsia="宋体" w:cs="Arial"/>
                <w:i w:val="0"/>
                <w:color w:val="auto"/>
                <w:kern w:val="0"/>
                <w:sz w:val="21"/>
                <w:szCs w:val="21"/>
                <w:u w:val="none"/>
                <w:lang w:val="en-US" w:eastAsia="zh-CN" w:bidi="ar"/>
              </w:rPr>
              <w:t>17</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氰化物</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mg/L</w:t>
            </w:r>
          </w:p>
        </w:tc>
        <w:tc>
          <w:tcPr>
            <w:tcW w:w="1394" w:type="dxa"/>
            <w:tcBorders>
              <w:tl2br w:val="nil"/>
              <w:tr2bl w:val="nil"/>
            </w:tcBorders>
            <w:noWrap w:val="0"/>
            <w:vAlign w:val="center"/>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0.004L</w:t>
            </w:r>
          </w:p>
        </w:tc>
        <w:tc>
          <w:tcPr>
            <w:tcW w:w="1394" w:type="dxa"/>
            <w:tcBorders>
              <w:tl2br w:val="nil"/>
              <w:tr2bl w:val="nil"/>
            </w:tcBorders>
            <w:noWrap w:val="0"/>
            <w:vAlign w:val="center"/>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0"/>
                <w:sz w:val="21"/>
                <w:szCs w:val="21"/>
                <w:lang w:val="en-US" w:eastAsia="zh-CN" w:bidi="ar"/>
              </w:rPr>
            </w:pPr>
            <w:r>
              <w:rPr>
                <w:rFonts w:hint="default" w:ascii="Arial" w:hAnsi="Arial" w:eastAsia="宋体" w:cs="Arial"/>
                <w:color w:val="auto"/>
                <w:sz w:val="21"/>
                <w:szCs w:val="21"/>
              </w:rPr>
              <w:t>0.004L</w:t>
            </w:r>
          </w:p>
        </w:tc>
        <w:tc>
          <w:tcPr>
            <w:tcW w:w="1394" w:type="dxa"/>
            <w:tcBorders>
              <w:tl2br w:val="nil"/>
              <w:tr2bl w:val="nil"/>
            </w:tcBorders>
            <w:noWrap w:val="0"/>
            <w:vAlign w:val="center"/>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0.004L</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≤0.05</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340" w:hRule="atLeast"/>
          <w:jc w:val="center"/>
        </w:trPr>
        <w:tc>
          <w:tcPr>
            <w:tcW w:w="639"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r>
              <w:rPr>
                <w:rFonts w:hint="default" w:ascii="Arial" w:hAnsi="Arial" w:eastAsia="宋体" w:cs="Arial"/>
                <w:i w:val="0"/>
                <w:color w:val="auto"/>
                <w:kern w:val="0"/>
                <w:sz w:val="21"/>
                <w:szCs w:val="21"/>
                <w:u w:val="none"/>
                <w:lang w:val="en-US" w:eastAsia="zh-CN" w:bidi="ar"/>
              </w:rPr>
              <w:t>18</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氯化物</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mg/L</w:t>
            </w:r>
          </w:p>
        </w:tc>
        <w:tc>
          <w:tcPr>
            <w:tcW w:w="1394" w:type="dxa"/>
            <w:tcBorders>
              <w:tl2br w:val="nil"/>
              <w:tr2bl w:val="nil"/>
            </w:tcBorders>
            <w:noWrap w:val="0"/>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404</w:t>
            </w:r>
          </w:p>
        </w:tc>
        <w:tc>
          <w:tcPr>
            <w:tcW w:w="1394" w:type="dxa"/>
            <w:tcBorders>
              <w:tl2br w:val="nil"/>
              <w:tr2bl w:val="nil"/>
            </w:tcBorders>
            <w:noWrap w:val="0"/>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0"/>
                <w:sz w:val="21"/>
                <w:szCs w:val="21"/>
                <w:lang w:val="en-US" w:eastAsia="zh-CN" w:bidi="ar"/>
              </w:rPr>
            </w:pPr>
            <w:r>
              <w:rPr>
                <w:rFonts w:hint="default" w:ascii="Arial" w:hAnsi="Arial" w:eastAsia="宋体" w:cs="Arial"/>
                <w:color w:val="auto"/>
                <w:kern w:val="0"/>
                <w:sz w:val="21"/>
                <w:szCs w:val="21"/>
                <w:lang w:val="en-US" w:eastAsia="zh-CN" w:bidi="ar"/>
              </w:rPr>
              <w:t>392</w:t>
            </w:r>
          </w:p>
        </w:tc>
        <w:tc>
          <w:tcPr>
            <w:tcW w:w="1394" w:type="dxa"/>
            <w:tcBorders>
              <w:tl2br w:val="nil"/>
              <w:tr2bl w:val="nil"/>
            </w:tcBorders>
            <w:noWrap w:val="0"/>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0"/>
                <w:sz w:val="21"/>
                <w:szCs w:val="21"/>
                <w:lang w:val="en-US" w:eastAsia="zh-CN" w:bidi="ar"/>
              </w:rPr>
            </w:pPr>
            <w:r>
              <w:rPr>
                <w:rFonts w:hint="default" w:ascii="Arial" w:hAnsi="Arial" w:eastAsia="宋体" w:cs="Arial"/>
                <w:color w:val="auto"/>
                <w:kern w:val="0"/>
                <w:sz w:val="21"/>
                <w:szCs w:val="21"/>
                <w:lang w:val="en-US" w:eastAsia="zh-CN" w:bidi="ar"/>
              </w:rPr>
              <w:t>377</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w:t>
            </w:r>
            <w:r>
              <w:rPr>
                <w:rFonts w:hint="default" w:ascii="Arial" w:hAnsi="Arial" w:eastAsia="宋体" w:cs="Arial"/>
                <w:color w:val="auto"/>
                <w:sz w:val="21"/>
                <w:szCs w:val="21"/>
                <w:lang w:val="en-US" w:eastAsia="zh-CN"/>
              </w:rPr>
              <w:t>250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39"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r>
              <w:rPr>
                <w:rFonts w:hint="default" w:ascii="Arial" w:hAnsi="Arial" w:eastAsia="宋体" w:cs="Arial"/>
                <w:i w:val="0"/>
                <w:color w:val="auto"/>
                <w:kern w:val="0"/>
                <w:sz w:val="21"/>
                <w:szCs w:val="21"/>
                <w:u w:val="none"/>
                <w:lang w:val="en-US" w:eastAsia="zh-CN" w:bidi="ar"/>
              </w:rPr>
              <w:t>19</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溶解性总固体</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mg/L</w:t>
            </w:r>
          </w:p>
        </w:tc>
        <w:tc>
          <w:tcPr>
            <w:tcW w:w="1394" w:type="dxa"/>
            <w:tcBorders>
              <w:tl2br w:val="nil"/>
              <w:tr2bl w:val="nil"/>
            </w:tcBorders>
            <w:noWrap w:val="0"/>
            <w:vAlign w:val="center"/>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1181</w:t>
            </w:r>
          </w:p>
        </w:tc>
        <w:tc>
          <w:tcPr>
            <w:tcW w:w="1394" w:type="dxa"/>
            <w:tcBorders>
              <w:tl2br w:val="nil"/>
              <w:tr2bl w:val="nil"/>
            </w:tcBorders>
            <w:noWrap w:val="0"/>
            <w:vAlign w:val="center"/>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0"/>
                <w:sz w:val="21"/>
                <w:szCs w:val="21"/>
                <w:lang w:val="en-US" w:eastAsia="zh-CN" w:bidi="ar"/>
              </w:rPr>
            </w:pPr>
            <w:r>
              <w:rPr>
                <w:rFonts w:hint="default" w:ascii="Arial" w:hAnsi="Arial" w:eastAsia="宋体" w:cs="Arial"/>
                <w:color w:val="auto"/>
                <w:kern w:val="0"/>
                <w:sz w:val="21"/>
                <w:szCs w:val="21"/>
                <w:lang w:val="en-US" w:eastAsia="zh-CN" w:bidi="ar"/>
              </w:rPr>
              <w:t>1134</w:t>
            </w:r>
          </w:p>
        </w:tc>
        <w:tc>
          <w:tcPr>
            <w:tcW w:w="1394" w:type="dxa"/>
            <w:tcBorders>
              <w:tl2br w:val="nil"/>
              <w:tr2bl w:val="nil"/>
            </w:tcBorders>
            <w:noWrap w:val="0"/>
            <w:vAlign w:val="center"/>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0"/>
                <w:sz w:val="21"/>
                <w:szCs w:val="21"/>
                <w:lang w:val="en-US" w:eastAsia="zh-CN" w:bidi="ar"/>
              </w:rPr>
            </w:pPr>
            <w:r>
              <w:rPr>
                <w:rFonts w:hint="default" w:ascii="Arial" w:hAnsi="Arial" w:eastAsia="宋体" w:cs="Arial"/>
                <w:color w:val="auto"/>
                <w:kern w:val="0"/>
                <w:sz w:val="21"/>
                <w:szCs w:val="21"/>
                <w:lang w:val="en-US" w:eastAsia="zh-CN" w:bidi="ar"/>
              </w:rPr>
              <w:t>730</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≤1000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340" w:hRule="atLeast"/>
          <w:jc w:val="center"/>
        </w:trPr>
        <w:tc>
          <w:tcPr>
            <w:tcW w:w="639"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i w:val="0"/>
                <w:color w:val="auto"/>
                <w:kern w:val="0"/>
                <w:sz w:val="21"/>
                <w:szCs w:val="21"/>
                <w:u w:val="none"/>
                <w:lang w:val="en-US" w:eastAsia="zh-CN" w:bidi="ar"/>
              </w:rPr>
              <w:t>20</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六价铬</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mg/L</w:t>
            </w:r>
          </w:p>
        </w:tc>
        <w:tc>
          <w:tcPr>
            <w:tcW w:w="1394" w:type="dxa"/>
            <w:tcBorders>
              <w:tl2br w:val="nil"/>
              <w:tr2bl w:val="nil"/>
            </w:tcBorders>
            <w:noWrap w:val="0"/>
            <w:vAlign w:val="center"/>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0.004L</w:t>
            </w:r>
          </w:p>
        </w:tc>
        <w:tc>
          <w:tcPr>
            <w:tcW w:w="1394" w:type="dxa"/>
            <w:tcBorders>
              <w:tl2br w:val="nil"/>
              <w:tr2bl w:val="nil"/>
            </w:tcBorders>
            <w:noWrap w:val="0"/>
            <w:vAlign w:val="center"/>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0"/>
                <w:sz w:val="21"/>
                <w:szCs w:val="21"/>
                <w:lang w:val="en-US" w:eastAsia="zh-CN" w:bidi="ar"/>
              </w:rPr>
            </w:pPr>
            <w:r>
              <w:rPr>
                <w:rFonts w:hint="default" w:ascii="Arial" w:hAnsi="Arial" w:eastAsia="宋体" w:cs="Arial"/>
                <w:color w:val="auto"/>
                <w:sz w:val="21"/>
                <w:szCs w:val="21"/>
              </w:rPr>
              <w:t>0.004L</w:t>
            </w:r>
          </w:p>
        </w:tc>
        <w:tc>
          <w:tcPr>
            <w:tcW w:w="1394" w:type="dxa"/>
            <w:tcBorders>
              <w:tl2br w:val="nil"/>
              <w:tr2bl w:val="nil"/>
            </w:tcBorders>
            <w:noWrap w:val="0"/>
            <w:vAlign w:val="center"/>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0"/>
                <w:sz w:val="21"/>
                <w:szCs w:val="21"/>
                <w:lang w:val="en-US" w:eastAsia="zh-CN" w:bidi="ar"/>
              </w:rPr>
            </w:pPr>
            <w:r>
              <w:rPr>
                <w:rFonts w:hint="default" w:ascii="Arial" w:hAnsi="Arial" w:eastAsia="宋体" w:cs="Arial"/>
                <w:color w:val="auto"/>
                <w:sz w:val="21"/>
                <w:szCs w:val="21"/>
              </w:rPr>
              <w:t>0.004L</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≤0.05</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39"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i w:val="0"/>
                <w:color w:val="auto"/>
                <w:kern w:val="0"/>
                <w:sz w:val="21"/>
                <w:szCs w:val="21"/>
                <w:u w:val="none"/>
                <w:lang w:val="en-US" w:eastAsia="zh-CN" w:bidi="ar"/>
              </w:rPr>
              <w:t>21</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砷</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mg/L</w:t>
            </w:r>
          </w:p>
        </w:tc>
        <w:tc>
          <w:tcPr>
            <w:tcW w:w="1394" w:type="dxa"/>
            <w:tcBorders>
              <w:tl2br w:val="nil"/>
              <w:tr2bl w:val="nil"/>
            </w:tcBorders>
            <w:noWrap w:val="0"/>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0.0003L</w:t>
            </w:r>
          </w:p>
        </w:tc>
        <w:tc>
          <w:tcPr>
            <w:tcW w:w="1394" w:type="dxa"/>
            <w:tcBorders>
              <w:tl2br w:val="nil"/>
              <w:tr2bl w:val="nil"/>
            </w:tcBorders>
            <w:noWrap w:val="0"/>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0"/>
                <w:sz w:val="21"/>
                <w:szCs w:val="21"/>
                <w:lang w:val="en-US" w:eastAsia="zh-CN" w:bidi="ar"/>
              </w:rPr>
            </w:pPr>
            <w:r>
              <w:rPr>
                <w:rFonts w:hint="default" w:ascii="Arial" w:hAnsi="Arial" w:eastAsia="宋体" w:cs="Arial"/>
                <w:color w:val="auto"/>
                <w:sz w:val="21"/>
                <w:szCs w:val="21"/>
              </w:rPr>
              <w:t>0.0003L</w:t>
            </w:r>
          </w:p>
        </w:tc>
        <w:tc>
          <w:tcPr>
            <w:tcW w:w="1394" w:type="dxa"/>
            <w:tcBorders>
              <w:tl2br w:val="nil"/>
              <w:tr2bl w:val="nil"/>
            </w:tcBorders>
            <w:noWrap w:val="0"/>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0"/>
                <w:sz w:val="21"/>
                <w:szCs w:val="21"/>
                <w:lang w:val="en-US" w:eastAsia="zh-CN" w:bidi="ar"/>
              </w:rPr>
            </w:pPr>
            <w:r>
              <w:rPr>
                <w:rFonts w:hint="default" w:ascii="Arial" w:hAnsi="Arial" w:eastAsia="宋体" w:cs="Arial"/>
                <w:color w:val="auto"/>
                <w:sz w:val="21"/>
                <w:szCs w:val="21"/>
              </w:rPr>
              <w:t>0.0003L</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≤0.01</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39"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i w:val="0"/>
                <w:color w:val="auto"/>
                <w:kern w:val="0"/>
                <w:sz w:val="21"/>
                <w:szCs w:val="21"/>
                <w:u w:val="none"/>
                <w:lang w:val="en-US" w:eastAsia="zh-CN" w:bidi="ar"/>
              </w:rPr>
              <w:t>22</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汞</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mg/L</w:t>
            </w:r>
          </w:p>
        </w:tc>
        <w:tc>
          <w:tcPr>
            <w:tcW w:w="1394" w:type="dxa"/>
            <w:tcBorders>
              <w:tl2br w:val="nil"/>
              <w:tr2bl w:val="nil"/>
            </w:tcBorders>
            <w:noWrap w:val="0"/>
            <w:vAlign w:val="center"/>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0.00004L</w:t>
            </w:r>
          </w:p>
        </w:tc>
        <w:tc>
          <w:tcPr>
            <w:tcW w:w="1394" w:type="dxa"/>
            <w:tcBorders>
              <w:tl2br w:val="nil"/>
              <w:tr2bl w:val="nil"/>
            </w:tcBorders>
            <w:noWrap w:val="0"/>
            <w:vAlign w:val="center"/>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0"/>
                <w:sz w:val="21"/>
                <w:szCs w:val="21"/>
                <w:lang w:val="en-US" w:eastAsia="zh-CN" w:bidi="ar"/>
              </w:rPr>
            </w:pPr>
            <w:r>
              <w:rPr>
                <w:rFonts w:hint="default" w:ascii="Arial" w:hAnsi="Arial" w:eastAsia="宋体" w:cs="Arial"/>
                <w:color w:val="auto"/>
                <w:sz w:val="21"/>
                <w:szCs w:val="21"/>
              </w:rPr>
              <w:t>0.00004L</w:t>
            </w:r>
          </w:p>
        </w:tc>
        <w:tc>
          <w:tcPr>
            <w:tcW w:w="1394" w:type="dxa"/>
            <w:tcBorders>
              <w:tl2br w:val="nil"/>
              <w:tr2bl w:val="nil"/>
            </w:tcBorders>
            <w:noWrap w:val="0"/>
            <w:vAlign w:val="center"/>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0"/>
                <w:sz w:val="21"/>
                <w:szCs w:val="21"/>
                <w:lang w:val="en-US" w:eastAsia="zh-CN" w:bidi="ar"/>
              </w:rPr>
            </w:pPr>
            <w:r>
              <w:rPr>
                <w:rFonts w:hint="default" w:ascii="Arial" w:hAnsi="Arial" w:eastAsia="宋体" w:cs="Arial"/>
                <w:color w:val="auto"/>
                <w:sz w:val="21"/>
                <w:szCs w:val="21"/>
              </w:rPr>
              <w:t>0.00004L</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≤0.001</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39"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23</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镉</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mg/L</w:t>
            </w:r>
          </w:p>
        </w:tc>
        <w:tc>
          <w:tcPr>
            <w:tcW w:w="1394" w:type="dxa"/>
            <w:tcBorders>
              <w:tl2br w:val="nil"/>
              <w:tr2bl w:val="nil"/>
            </w:tcBorders>
            <w:noWrap w:val="0"/>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0.0001L</w:t>
            </w:r>
          </w:p>
        </w:tc>
        <w:tc>
          <w:tcPr>
            <w:tcW w:w="1394" w:type="dxa"/>
            <w:tcBorders>
              <w:tl2br w:val="nil"/>
              <w:tr2bl w:val="nil"/>
            </w:tcBorders>
            <w:noWrap w:val="0"/>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0"/>
                <w:sz w:val="21"/>
                <w:szCs w:val="21"/>
                <w:lang w:val="en-US" w:eastAsia="zh-CN" w:bidi="ar"/>
              </w:rPr>
            </w:pPr>
            <w:r>
              <w:rPr>
                <w:rFonts w:hint="default" w:ascii="Arial" w:hAnsi="Arial" w:eastAsia="宋体" w:cs="Arial"/>
                <w:color w:val="auto"/>
                <w:sz w:val="21"/>
                <w:szCs w:val="21"/>
              </w:rPr>
              <w:t>0.0001L</w:t>
            </w:r>
          </w:p>
        </w:tc>
        <w:tc>
          <w:tcPr>
            <w:tcW w:w="1394" w:type="dxa"/>
            <w:tcBorders>
              <w:tl2br w:val="nil"/>
              <w:tr2bl w:val="nil"/>
            </w:tcBorders>
            <w:noWrap w:val="0"/>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0"/>
                <w:sz w:val="21"/>
                <w:szCs w:val="21"/>
                <w:lang w:val="en-US" w:eastAsia="zh-CN" w:bidi="ar"/>
              </w:rPr>
            </w:pPr>
            <w:r>
              <w:rPr>
                <w:rFonts w:hint="default" w:ascii="Arial" w:hAnsi="Arial" w:eastAsia="宋体" w:cs="Arial"/>
                <w:color w:val="auto"/>
                <w:sz w:val="21"/>
                <w:szCs w:val="21"/>
              </w:rPr>
              <w:t>0.0001L</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≤0.005</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39"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24</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铁</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mg/L</w:t>
            </w:r>
          </w:p>
        </w:tc>
        <w:tc>
          <w:tcPr>
            <w:tcW w:w="1394" w:type="dxa"/>
            <w:tcBorders>
              <w:tl2br w:val="nil"/>
              <w:tr2bl w:val="nil"/>
            </w:tcBorders>
            <w:noWrap w:val="0"/>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0.03L</w:t>
            </w:r>
          </w:p>
        </w:tc>
        <w:tc>
          <w:tcPr>
            <w:tcW w:w="1394" w:type="dxa"/>
            <w:tcBorders>
              <w:tl2br w:val="nil"/>
              <w:tr2bl w:val="nil"/>
            </w:tcBorders>
            <w:noWrap w:val="0"/>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0"/>
                <w:sz w:val="21"/>
                <w:szCs w:val="21"/>
                <w:lang w:val="en-US" w:eastAsia="zh-CN" w:bidi="ar"/>
              </w:rPr>
            </w:pPr>
            <w:r>
              <w:rPr>
                <w:rFonts w:hint="default" w:ascii="Arial" w:hAnsi="Arial" w:eastAsia="宋体" w:cs="Arial"/>
                <w:color w:val="auto"/>
                <w:sz w:val="21"/>
                <w:szCs w:val="21"/>
              </w:rPr>
              <w:t>0.03L</w:t>
            </w:r>
          </w:p>
        </w:tc>
        <w:tc>
          <w:tcPr>
            <w:tcW w:w="1394" w:type="dxa"/>
            <w:tcBorders>
              <w:tl2br w:val="nil"/>
              <w:tr2bl w:val="nil"/>
            </w:tcBorders>
            <w:noWrap w:val="0"/>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0"/>
                <w:sz w:val="21"/>
                <w:szCs w:val="21"/>
                <w:lang w:val="en-US" w:eastAsia="zh-CN" w:bidi="ar"/>
              </w:rPr>
            </w:pPr>
            <w:r>
              <w:rPr>
                <w:rFonts w:hint="default" w:ascii="Arial" w:hAnsi="Arial" w:eastAsia="宋体" w:cs="Arial"/>
                <w:color w:val="auto"/>
                <w:sz w:val="21"/>
                <w:szCs w:val="21"/>
              </w:rPr>
              <w:t>0.03L</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≤0.3</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39"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i w:val="0"/>
                <w:color w:val="auto"/>
                <w:kern w:val="0"/>
                <w:sz w:val="21"/>
                <w:szCs w:val="21"/>
                <w:u w:val="none"/>
                <w:lang w:val="en-US" w:eastAsia="zh-CN" w:bidi="ar"/>
              </w:rPr>
              <w:t>25</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锰</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mg/L</w:t>
            </w:r>
          </w:p>
        </w:tc>
        <w:tc>
          <w:tcPr>
            <w:tcW w:w="1394" w:type="dxa"/>
            <w:tcBorders>
              <w:tl2br w:val="nil"/>
              <w:tr2bl w:val="nil"/>
            </w:tcBorders>
            <w:noWrap w:val="0"/>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0"/>
                <w:sz w:val="21"/>
                <w:szCs w:val="21"/>
                <w:lang w:val="en-US" w:eastAsia="zh-CN" w:bidi="ar"/>
              </w:rPr>
            </w:pPr>
            <w:r>
              <w:rPr>
                <w:rFonts w:hint="default" w:ascii="Arial" w:hAnsi="Arial" w:eastAsia="宋体" w:cs="Arial"/>
                <w:color w:val="auto"/>
                <w:sz w:val="21"/>
                <w:szCs w:val="21"/>
              </w:rPr>
              <w:t>0.01L</w:t>
            </w:r>
          </w:p>
        </w:tc>
        <w:tc>
          <w:tcPr>
            <w:tcW w:w="1394" w:type="dxa"/>
            <w:tcBorders>
              <w:tl2br w:val="nil"/>
              <w:tr2bl w:val="nil"/>
            </w:tcBorders>
            <w:noWrap w:val="0"/>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0"/>
                <w:sz w:val="21"/>
                <w:szCs w:val="21"/>
                <w:lang w:val="en-US" w:eastAsia="zh-CN" w:bidi="ar"/>
              </w:rPr>
            </w:pPr>
            <w:r>
              <w:rPr>
                <w:rFonts w:hint="default" w:ascii="Arial" w:hAnsi="Arial" w:eastAsia="宋体" w:cs="Arial"/>
                <w:color w:val="auto"/>
                <w:sz w:val="21"/>
                <w:szCs w:val="21"/>
              </w:rPr>
              <w:t>0.01L</w:t>
            </w:r>
          </w:p>
        </w:tc>
        <w:tc>
          <w:tcPr>
            <w:tcW w:w="1394" w:type="dxa"/>
            <w:tcBorders>
              <w:tl2br w:val="nil"/>
              <w:tr2bl w:val="nil"/>
            </w:tcBorders>
            <w:noWrap w:val="0"/>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0"/>
                <w:sz w:val="21"/>
                <w:szCs w:val="21"/>
                <w:lang w:val="en-US" w:eastAsia="zh-CN" w:bidi="ar"/>
              </w:rPr>
            </w:pPr>
            <w:r>
              <w:rPr>
                <w:rFonts w:hint="default" w:ascii="Arial" w:hAnsi="Arial" w:eastAsia="宋体" w:cs="Arial"/>
                <w:color w:val="auto"/>
                <w:sz w:val="21"/>
                <w:szCs w:val="21"/>
              </w:rPr>
              <w:t>0.01L</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≤0.10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340" w:hRule="atLeast"/>
          <w:jc w:val="center"/>
        </w:trPr>
        <w:tc>
          <w:tcPr>
            <w:tcW w:w="639"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i w:val="0"/>
                <w:color w:val="auto"/>
                <w:kern w:val="0"/>
                <w:sz w:val="21"/>
                <w:szCs w:val="21"/>
                <w:u w:val="none"/>
                <w:lang w:val="en-US" w:eastAsia="zh-CN" w:bidi="ar"/>
              </w:rPr>
              <w:t>26</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铅</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mg/L</w:t>
            </w:r>
          </w:p>
        </w:tc>
        <w:tc>
          <w:tcPr>
            <w:tcW w:w="1394" w:type="dxa"/>
            <w:tcBorders>
              <w:tl2br w:val="nil"/>
              <w:tr2bl w:val="nil"/>
            </w:tcBorders>
            <w:noWrap w:val="0"/>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0.001L</w:t>
            </w:r>
          </w:p>
        </w:tc>
        <w:tc>
          <w:tcPr>
            <w:tcW w:w="1394" w:type="dxa"/>
            <w:tcBorders>
              <w:tl2br w:val="nil"/>
              <w:tr2bl w:val="nil"/>
            </w:tcBorders>
            <w:noWrap w:val="0"/>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0"/>
                <w:sz w:val="21"/>
                <w:szCs w:val="21"/>
                <w:lang w:val="en-US" w:eastAsia="zh-CN" w:bidi="ar"/>
              </w:rPr>
            </w:pPr>
            <w:r>
              <w:rPr>
                <w:rFonts w:hint="default" w:ascii="Arial" w:hAnsi="Arial" w:eastAsia="宋体" w:cs="Arial"/>
                <w:color w:val="auto"/>
                <w:sz w:val="21"/>
                <w:szCs w:val="21"/>
              </w:rPr>
              <w:t>0.001L</w:t>
            </w:r>
          </w:p>
        </w:tc>
        <w:tc>
          <w:tcPr>
            <w:tcW w:w="1394" w:type="dxa"/>
            <w:tcBorders>
              <w:tl2br w:val="nil"/>
              <w:tr2bl w:val="nil"/>
            </w:tcBorders>
            <w:noWrap w:val="0"/>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0"/>
                <w:sz w:val="21"/>
                <w:szCs w:val="21"/>
                <w:lang w:val="en-US" w:eastAsia="zh-CN" w:bidi="ar"/>
              </w:rPr>
            </w:pPr>
            <w:r>
              <w:rPr>
                <w:rFonts w:hint="default" w:ascii="Arial" w:hAnsi="Arial" w:eastAsia="宋体" w:cs="Arial"/>
                <w:color w:val="auto"/>
                <w:sz w:val="21"/>
                <w:szCs w:val="21"/>
              </w:rPr>
              <w:t>0.001L</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≤0.01</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39"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i w:val="0"/>
                <w:color w:val="auto"/>
                <w:kern w:val="0"/>
                <w:sz w:val="21"/>
                <w:szCs w:val="21"/>
                <w:u w:val="none"/>
                <w:lang w:val="en-US" w:eastAsia="zh-CN" w:bidi="ar"/>
              </w:rPr>
              <w:t>27</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总大肠菌群</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r>
              <w:rPr>
                <w:rFonts w:hint="default" w:ascii="Arial" w:hAnsi="Arial" w:eastAsia="宋体" w:cs="Arial"/>
                <w:color w:val="auto"/>
                <w:sz w:val="21"/>
                <w:szCs w:val="21"/>
              </w:rPr>
              <w:t>MPN/</w:t>
            </w:r>
          </w:p>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100mL</w:t>
            </w:r>
          </w:p>
        </w:tc>
        <w:tc>
          <w:tcPr>
            <w:tcW w:w="1394" w:type="dxa"/>
            <w:tcBorders>
              <w:tl2br w:val="nil"/>
              <w:tr2bl w:val="nil"/>
            </w:tcBorders>
            <w:noWrap w:val="0"/>
            <w:vAlign w:val="center"/>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1</w:t>
            </w:r>
          </w:p>
        </w:tc>
        <w:tc>
          <w:tcPr>
            <w:tcW w:w="1394" w:type="dxa"/>
            <w:tcBorders>
              <w:tl2br w:val="nil"/>
              <w:tr2bl w:val="nil"/>
            </w:tcBorders>
            <w:noWrap w:val="0"/>
            <w:vAlign w:val="center"/>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1</w:t>
            </w:r>
          </w:p>
        </w:tc>
        <w:tc>
          <w:tcPr>
            <w:tcW w:w="1394" w:type="dxa"/>
            <w:tcBorders>
              <w:tl2br w:val="nil"/>
              <w:tr2bl w:val="nil"/>
            </w:tcBorders>
            <w:noWrap w:val="0"/>
            <w:vAlign w:val="center"/>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1</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≤3</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639"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28</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细菌总数</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r>
              <w:rPr>
                <w:rFonts w:hint="default" w:ascii="Arial" w:hAnsi="Arial" w:eastAsia="宋体" w:cs="Arial"/>
                <w:color w:val="auto"/>
                <w:sz w:val="21"/>
                <w:szCs w:val="21"/>
              </w:rPr>
              <w:t>CFU/</w:t>
            </w:r>
          </w:p>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mL</w:t>
            </w:r>
          </w:p>
        </w:tc>
        <w:tc>
          <w:tcPr>
            <w:tcW w:w="1394" w:type="dxa"/>
            <w:tcBorders>
              <w:tl2br w:val="nil"/>
              <w:tr2bl w:val="nil"/>
            </w:tcBorders>
            <w:noWrap w:val="0"/>
            <w:vAlign w:val="center"/>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23</w:t>
            </w:r>
          </w:p>
        </w:tc>
        <w:tc>
          <w:tcPr>
            <w:tcW w:w="1394" w:type="dxa"/>
            <w:tcBorders>
              <w:tl2br w:val="nil"/>
              <w:tr2bl w:val="nil"/>
            </w:tcBorders>
            <w:noWrap w:val="0"/>
            <w:vAlign w:val="center"/>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0"/>
                <w:sz w:val="21"/>
                <w:szCs w:val="21"/>
                <w:lang w:val="en-US" w:eastAsia="zh-CN" w:bidi="ar"/>
              </w:rPr>
            </w:pPr>
            <w:r>
              <w:rPr>
                <w:rFonts w:hint="default" w:ascii="Arial" w:hAnsi="Arial" w:eastAsia="宋体" w:cs="Arial"/>
                <w:color w:val="auto"/>
                <w:kern w:val="0"/>
                <w:sz w:val="21"/>
                <w:szCs w:val="21"/>
                <w:lang w:val="en-US" w:eastAsia="zh-CN" w:bidi="ar"/>
              </w:rPr>
              <w:t>29</w:t>
            </w:r>
          </w:p>
        </w:tc>
        <w:tc>
          <w:tcPr>
            <w:tcW w:w="1394" w:type="dxa"/>
            <w:tcBorders>
              <w:tl2br w:val="nil"/>
              <w:tr2bl w:val="nil"/>
            </w:tcBorders>
            <w:noWrap w:val="0"/>
            <w:vAlign w:val="center"/>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0"/>
                <w:sz w:val="21"/>
                <w:szCs w:val="21"/>
                <w:lang w:val="en-US" w:eastAsia="zh-CN" w:bidi="ar"/>
              </w:rPr>
            </w:pPr>
            <w:r>
              <w:rPr>
                <w:rFonts w:hint="default" w:ascii="Arial" w:hAnsi="Arial" w:eastAsia="宋体" w:cs="Arial"/>
                <w:color w:val="auto"/>
                <w:kern w:val="0"/>
                <w:sz w:val="21"/>
                <w:szCs w:val="21"/>
                <w:lang w:val="en-US" w:eastAsia="zh-CN" w:bidi="ar"/>
              </w:rPr>
              <w:t>25</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≤100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340" w:hRule="atLeast"/>
          <w:jc w:val="center"/>
        </w:trPr>
        <w:tc>
          <w:tcPr>
            <w:tcW w:w="639"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29</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硫酸盐</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mg/L</w:t>
            </w:r>
          </w:p>
        </w:tc>
        <w:tc>
          <w:tcPr>
            <w:tcW w:w="1394" w:type="dxa"/>
            <w:tcBorders>
              <w:tl2br w:val="nil"/>
              <w:tr2bl w:val="nil"/>
            </w:tcBorders>
            <w:noWrap w:val="0"/>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382</w:t>
            </w:r>
          </w:p>
        </w:tc>
        <w:tc>
          <w:tcPr>
            <w:tcW w:w="1394" w:type="dxa"/>
            <w:tcBorders>
              <w:tl2br w:val="nil"/>
              <w:tr2bl w:val="nil"/>
            </w:tcBorders>
            <w:noWrap w:val="0"/>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0"/>
                <w:sz w:val="21"/>
                <w:szCs w:val="21"/>
                <w:lang w:val="en-US" w:eastAsia="zh-CN" w:bidi="ar"/>
              </w:rPr>
            </w:pPr>
            <w:r>
              <w:rPr>
                <w:rFonts w:hint="default" w:ascii="Arial" w:hAnsi="Arial" w:eastAsia="宋体" w:cs="Arial"/>
                <w:color w:val="auto"/>
                <w:kern w:val="0"/>
                <w:sz w:val="21"/>
                <w:szCs w:val="21"/>
                <w:lang w:val="en-US" w:eastAsia="zh-CN" w:bidi="ar"/>
              </w:rPr>
              <w:t>329</w:t>
            </w:r>
          </w:p>
        </w:tc>
        <w:tc>
          <w:tcPr>
            <w:tcW w:w="1394" w:type="dxa"/>
            <w:tcBorders>
              <w:tl2br w:val="nil"/>
              <w:tr2bl w:val="nil"/>
            </w:tcBorders>
            <w:noWrap w:val="0"/>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0"/>
                <w:sz w:val="21"/>
                <w:szCs w:val="21"/>
                <w:lang w:val="en-US" w:eastAsia="zh-CN" w:bidi="ar"/>
              </w:rPr>
            </w:pPr>
            <w:r>
              <w:rPr>
                <w:rFonts w:hint="default" w:ascii="Arial" w:hAnsi="Arial" w:eastAsia="宋体" w:cs="Arial"/>
                <w:color w:val="auto"/>
                <w:kern w:val="0"/>
                <w:sz w:val="21"/>
                <w:szCs w:val="21"/>
                <w:lang w:val="en-US" w:eastAsia="zh-CN" w:bidi="ar"/>
              </w:rPr>
              <w:t>275</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w:t>
            </w:r>
            <w:r>
              <w:rPr>
                <w:rFonts w:hint="default" w:ascii="Arial" w:hAnsi="Arial" w:eastAsia="宋体" w:cs="Arial"/>
                <w:color w:val="auto"/>
                <w:sz w:val="21"/>
                <w:szCs w:val="21"/>
                <w:lang w:val="en-US" w:eastAsia="zh-CN"/>
              </w:rPr>
              <w:t>250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340" w:hRule="atLeast"/>
          <w:jc w:val="center"/>
        </w:trPr>
        <w:tc>
          <w:tcPr>
            <w:tcW w:w="639"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30</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铜</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mg/L</w:t>
            </w:r>
          </w:p>
        </w:tc>
        <w:tc>
          <w:tcPr>
            <w:tcW w:w="1394" w:type="dxa"/>
            <w:tcBorders>
              <w:tl2br w:val="nil"/>
              <w:tr2bl w:val="nil"/>
            </w:tcBorders>
            <w:noWrap w:val="0"/>
            <w:vAlign w:val="center"/>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0.05L</w:t>
            </w:r>
          </w:p>
        </w:tc>
        <w:tc>
          <w:tcPr>
            <w:tcW w:w="1394" w:type="dxa"/>
            <w:tcBorders>
              <w:tl2br w:val="nil"/>
              <w:tr2bl w:val="nil"/>
            </w:tcBorders>
            <w:noWrap w:val="0"/>
            <w:vAlign w:val="center"/>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0"/>
                <w:sz w:val="21"/>
                <w:szCs w:val="21"/>
                <w:lang w:val="en-US" w:eastAsia="zh-CN" w:bidi="ar"/>
              </w:rPr>
            </w:pPr>
            <w:r>
              <w:rPr>
                <w:rFonts w:hint="default" w:ascii="Arial" w:hAnsi="Arial" w:eastAsia="宋体" w:cs="Arial"/>
                <w:color w:val="auto"/>
                <w:sz w:val="21"/>
                <w:szCs w:val="21"/>
                <w:lang w:val="en-US" w:eastAsia="zh-CN"/>
              </w:rPr>
              <w:t>0.05L</w:t>
            </w:r>
          </w:p>
        </w:tc>
        <w:tc>
          <w:tcPr>
            <w:tcW w:w="1394" w:type="dxa"/>
            <w:tcBorders>
              <w:tl2br w:val="nil"/>
              <w:tr2bl w:val="nil"/>
            </w:tcBorders>
            <w:noWrap w:val="0"/>
            <w:vAlign w:val="center"/>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0"/>
                <w:sz w:val="21"/>
                <w:szCs w:val="21"/>
                <w:lang w:val="en-US" w:eastAsia="zh-CN" w:bidi="ar"/>
              </w:rPr>
            </w:pPr>
            <w:r>
              <w:rPr>
                <w:rFonts w:hint="default" w:ascii="Arial" w:hAnsi="Arial" w:eastAsia="宋体" w:cs="Arial"/>
                <w:color w:val="auto"/>
                <w:sz w:val="21"/>
                <w:szCs w:val="21"/>
                <w:lang w:val="en-US" w:eastAsia="zh-CN"/>
              </w:rPr>
              <w:t>0.05L</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w:t>
            </w:r>
            <w:r>
              <w:rPr>
                <w:rFonts w:hint="default" w:ascii="Arial" w:hAnsi="Arial" w:eastAsia="宋体" w:cs="Arial"/>
                <w:color w:val="auto"/>
                <w:sz w:val="21"/>
                <w:szCs w:val="21"/>
                <w:lang w:val="en-US" w:eastAsia="zh-CN"/>
              </w:rPr>
              <w:t>1.0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340" w:hRule="atLeast"/>
          <w:jc w:val="center"/>
        </w:trPr>
        <w:tc>
          <w:tcPr>
            <w:tcW w:w="639"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31</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锌</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mg/L</w:t>
            </w:r>
          </w:p>
        </w:tc>
        <w:tc>
          <w:tcPr>
            <w:tcW w:w="1394" w:type="dxa"/>
            <w:tcBorders>
              <w:tl2br w:val="nil"/>
              <w:tr2bl w:val="nil"/>
            </w:tcBorders>
            <w:noWrap w:val="0"/>
            <w:vAlign w:val="center"/>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0.05L</w:t>
            </w:r>
          </w:p>
        </w:tc>
        <w:tc>
          <w:tcPr>
            <w:tcW w:w="1394" w:type="dxa"/>
            <w:tcBorders>
              <w:tl2br w:val="nil"/>
              <w:tr2bl w:val="nil"/>
            </w:tcBorders>
            <w:noWrap w:val="0"/>
            <w:vAlign w:val="center"/>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0"/>
                <w:sz w:val="21"/>
                <w:szCs w:val="21"/>
                <w:lang w:val="en-US" w:eastAsia="zh-CN" w:bidi="ar"/>
              </w:rPr>
            </w:pPr>
            <w:r>
              <w:rPr>
                <w:rFonts w:hint="default" w:ascii="Arial" w:hAnsi="Arial" w:eastAsia="宋体" w:cs="Arial"/>
                <w:color w:val="auto"/>
                <w:sz w:val="21"/>
                <w:szCs w:val="21"/>
                <w:lang w:val="en-US" w:eastAsia="zh-CN"/>
              </w:rPr>
              <w:t>0.05L</w:t>
            </w:r>
          </w:p>
        </w:tc>
        <w:tc>
          <w:tcPr>
            <w:tcW w:w="1394" w:type="dxa"/>
            <w:tcBorders>
              <w:tl2br w:val="nil"/>
              <w:tr2bl w:val="nil"/>
            </w:tcBorders>
            <w:noWrap w:val="0"/>
            <w:vAlign w:val="center"/>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0"/>
                <w:sz w:val="21"/>
                <w:szCs w:val="21"/>
                <w:lang w:val="en-US" w:eastAsia="zh-CN" w:bidi="ar"/>
              </w:rPr>
            </w:pPr>
            <w:r>
              <w:rPr>
                <w:rFonts w:hint="default" w:ascii="Arial" w:hAnsi="Arial" w:eastAsia="宋体" w:cs="Arial"/>
                <w:color w:val="auto"/>
                <w:sz w:val="21"/>
                <w:szCs w:val="21"/>
                <w:lang w:val="en-US" w:eastAsia="zh-CN"/>
              </w:rPr>
              <w:t>0.05L</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w:t>
            </w:r>
            <w:r>
              <w:rPr>
                <w:rFonts w:hint="default" w:ascii="Arial" w:hAnsi="Arial" w:eastAsia="宋体" w:cs="Arial"/>
                <w:color w:val="auto"/>
                <w:sz w:val="21"/>
                <w:szCs w:val="21"/>
                <w:lang w:val="en-US" w:eastAsia="zh-CN"/>
              </w:rPr>
              <w:t>1.0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340" w:hRule="atLeast"/>
          <w:jc w:val="center"/>
        </w:trPr>
        <w:tc>
          <w:tcPr>
            <w:tcW w:w="639"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32</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铝</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mg/L</w:t>
            </w:r>
          </w:p>
        </w:tc>
        <w:tc>
          <w:tcPr>
            <w:tcW w:w="1394" w:type="dxa"/>
            <w:tcBorders>
              <w:tl2br w:val="nil"/>
              <w:tr2bl w:val="nil"/>
            </w:tcBorders>
            <w:noWrap w:val="0"/>
            <w:vAlign w:val="center"/>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0"/>
                <w:sz w:val="21"/>
                <w:szCs w:val="21"/>
                <w:lang w:val="en-US" w:eastAsia="zh-CN" w:bidi="ar"/>
              </w:rPr>
              <w:t>0.025L</w:t>
            </w:r>
          </w:p>
        </w:tc>
        <w:tc>
          <w:tcPr>
            <w:tcW w:w="1394" w:type="dxa"/>
            <w:tcBorders>
              <w:tl2br w:val="nil"/>
              <w:tr2bl w:val="nil"/>
            </w:tcBorders>
            <w:noWrap w:val="0"/>
            <w:vAlign w:val="center"/>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0"/>
                <w:sz w:val="21"/>
                <w:szCs w:val="21"/>
                <w:lang w:val="en-US" w:eastAsia="zh-CN" w:bidi="ar"/>
              </w:rPr>
            </w:pPr>
            <w:r>
              <w:rPr>
                <w:rFonts w:hint="default" w:ascii="Arial" w:hAnsi="Arial" w:eastAsia="宋体" w:cs="Arial"/>
                <w:color w:val="auto"/>
                <w:kern w:val="0"/>
                <w:sz w:val="21"/>
                <w:szCs w:val="21"/>
                <w:lang w:val="en-US" w:eastAsia="zh-CN" w:bidi="ar"/>
              </w:rPr>
              <w:t>0.025L</w:t>
            </w:r>
          </w:p>
        </w:tc>
        <w:tc>
          <w:tcPr>
            <w:tcW w:w="1394" w:type="dxa"/>
            <w:tcBorders>
              <w:tl2br w:val="nil"/>
              <w:tr2bl w:val="nil"/>
            </w:tcBorders>
            <w:noWrap w:val="0"/>
            <w:vAlign w:val="center"/>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0"/>
                <w:sz w:val="21"/>
                <w:szCs w:val="21"/>
                <w:lang w:val="en-US" w:eastAsia="zh-CN" w:bidi="ar"/>
              </w:rPr>
            </w:pPr>
            <w:r>
              <w:rPr>
                <w:rFonts w:hint="default" w:ascii="Arial" w:hAnsi="Arial" w:eastAsia="宋体" w:cs="Arial"/>
                <w:color w:val="auto"/>
                <w:kern w:val="0"/>
                <w:sz w:val="21"/>
                <w:szCs w:val="21"/>
                <w:lang w:val="en-US" w:eastAsia="zh-CN" w:bidi="ar"/>
              </w:rPr>
              <w:t>0.025L</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w:t>
            </w:r>
            <w:r>
              <w:rPr>
                <w:rFonts w:hint="default" w:ascii="Arial" w:hAnsi="Arial" w:eastAsia="宋体" w:cs="Arial"/>
                <w:color w:val="auto"/>
                <w:sz w:val="21"/>
                <w:szCs w:val="21"/>
                <w:lang w:val="en-US" w:eastAsia="zh-CN"/>
              </w:rPr>
              <w:t>0.2</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340" w:hRule="atLeast"/>
          <w:jc w:val="center"/>
        </w:trPr>
        <w:tc>
          <w:tcPr>
            <w:tcW w:w="639"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33</w:t>
            </w:r>
          </w:p>
        </w:tc>
        <w:tc>
          <w:tcPr>
            <w:tcW w:w="1394" w:type="dxa"/>
            <w:tcBorders>
              <w:tl2br w:val="nil"/>
              <w:tr2bl w:val="nil"/>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highlight w:val="none"/>
                <w:lang w:val="en-US" w:eastAsia="zh-CN"/>
              </w:rPr>
              <w:t>阴离子表面活性剂</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mg/L</w:t>
            </w:r>
          </w:p>
        </w:tc>
        <w:tc>
          <w:tcPr>
            <w:tcW w:w="1394" w:type="dxa"/>
            <w:tcBorders>
              <w:tl2br w:val="nil"/>
              <w:tr2bl w:val="nil"/>
            </w:tcBorders>
            <w:noWrap w:val="0"/>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0.05L</w:t>
            </w:r>
          </w:p>
        </w:tc>
        <w:tc>
          <w:tcPr>
            <w:tcW w:w="1394" w:type="dxa"/>
            <w:tcBorders>
              <w:tl2br w:val="nil"/>
              <w:tr2bl w:val="nil"/>
            </w:tcBorders>
            <w:noWrap w:val="0"/>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0"/>
                <w:sz w:val="21"/>
                <w:szCs w:val="21"/>
                <w:lang w:val="en-US" w:eastAsia="zh-CN" w:bidi="ar"/>
              </w:rPr>
            </w:pPr>
            <w:r>
              <w:rPr>
                <w:rFonts w:hint="default" w:ascii="Arial" w:hAnsi="Arial" w:eastAsia="宋体" w:cs="Arial"/>
                <w:color w:val="auto"/>
                <w:sz w:val="21"/>
                <w:szCs w:val="21"/>
                <w:lang w:val="en-US" w:eastAsia="zh-CN"/>
              </w:rPr>
              <w:t>0.05L</w:t>
            </w:r>
          </w:p>
        </w:tc>
        <w:tc>
          <w:tcPr>
            <w:tcW w:w="1394" w:type="dxa"/>
            <w:tcBorders>
              <w:tl2br w:val="nil"/>
              <w:tr2bl w:val="nil"/>
            </w:tcBorders>
            <w:noWrap w:val="0"/>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0"/>
                <w:sz w:val="21"/>
                <w:szCs w:val="21"/>
                <w:lang w:val="en-US" w:eastAsia="zh-CN" w:bidi="ar"/>
              </w:rPr>
            </w:pPr>
            <w:r>
              <w:rPr>
                <w:rFonts w:hint="default" w:ascii="Arial" w:hAnsi="Arial" w:eastAsia="宋体" w:cs="Arial"/>
                <w:color w:val="auto"/>
                <w:sz w:val="21"/>
                <w:szCs w:val="21"/>
                <w:lang w:val="en-US" w:eastAsia="zh-CN"/>
              </w:rPr>
              <w:t>0.05L</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w:t>
            </w:r>
            <w:r>
              <w:rPr>
                <w:rFonts w:hint="default" w:ascii="Arial" w:hAnsi="Arial" w:eastAsia="宋体" w:cs="Arial"/>
                <w:color w:val="auto"/>
                <w:sz w:val="21"/>
                <w:szCs w:val="21"/>
                <w:lang w:val="en-US" w:eastAsia="zh-CN"/>
              </w:rPr>
              <w:t>0.3</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340" w:hRule="atLeast"/>
          <w:jc w:val="center"/>
        </w:trPr>
        <w:tc>
          <w:tcPr>
            <w:tcW w:w="639"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34</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硫化物</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mg/L</w:t>
            </w:r>
          </w:p>
        </w:tc>
        <w:tc>
          <w:tcPr>
            <w:tcW w:w="1394" w:type="dxa"/>
            <w:tcBorders>
              <w:tl2br w:val="nil"/>
              <w:tr2bl w:val="nil"/>
            </w:tcBorders>
            <w:noWrap w:val="0"/>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0.005L</w:t>
            </w:r>
          </w:p>
        </w:tc>
        <w:tc>
          <w:tcPr>
            <w:tcW w:w="1394" w:type="dxa"/>
            <w:tcBorders>
              <w:tl2br w:val="nil"/>
              <w:tr2bl w:val="nil"/>
            </w:tcBorders>
            <w:noWrap w:val="0"/>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0"/>
                <w:sz w:val="21"/>
                <w:szCs w:val="21"/>
                <w:lang w:val="en-US" w:eastAsia="zh-CN" w:bidi="ar"/>
              </w:rPr>
            </w:pPr>
            <w:r>
              <w:rPr>
                <w:rFonts w:hint="default" w:ascii="Arial" w:hAnsi="Arial" w:eastAsia="宋体" w:cs="Arial"/>
                <w:color w:val="auto"/>
                <w:sz w:val="21"/>
                <w:szCs w:val="21"/>
                <w:lang w:val="en-US" w:eastAsia="zh-CN"/>
              </w:rPr>
              <w:t>0.005L</w:t>
            </w:r>
          </w:p>
        </w:tc>
        <w:tc>
          <w:tcPr>
            <w:tcW w:w="1394" w:type="dxa"/>
            <w:tcBorders>
              <w:tl2br w:val="nil"/>
              <w:tr2bl w:val="nil"/>
            </w:tcBorders>
            <w:noWrap w:val="0"/>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0"/>
                <w:sz w:val="21"/>
                <w:szCs w:val="21"/>
                <w:lang w:val="en-US" w:eastAsia="zh-CN" w:bidi="ar"/>
              </w:rPr>
            </w:pPr>
            <w:r>
              <w:rPr>
                <w:rFonts w:hint="default" w:ascii="Arial" w:hAnsi="Arial" w:eastAsia="宋体" w:cs="Arial"/>
                <w:color w:val="auto"/>
                <w:sz w:val="21"/>
                <w:szCs w:val="21"/>
                <w:lang w:val="en-US" w:eastAsia="zh-CN"/>
              </w:rPr>
              <w:t>0.005L</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w:t>
            </w:r>
            <w:r>
              <w:rPr>
                <w:rFonts w:hint="default" w:ascii="Arial" w:hAnsi="Arial" w:eastAsia="宋体" w:cs="Arial"/>
                <w:color w:val="auto"/>
                <w:sz w:val="21"/>
                <w:szCs w:val="21"/>
                <w:lang w:val="en-US" w:eastAsia="zh-CN"/>
              </w:rPr>
              <w:t>0.02</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340" w:hRule="atLeast"/>
          <w:jc w:val="center"/>
        </w:trPr>
        <w:tc>
          <w:tcPr>
            <w:tcW w:w="639"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35</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钠</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mg/L</w:t>
            </w:r>
          </w:p>
        </w:tc>
        <w:tc>
          <w:tcPr>
            <w:tcW w:w="1394" w:type="dxa"/>
            <w:tcBorders>
              <w:tl2br w:val="nil"/>
              <w:tr2bl w:val="nil"/>
            </w:tcBorders>
            <w:noWrap w:val="0"/>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132</w:t>
            </w:r>
          </w:p>
        </w:tc>
        <w:tc>
          <w:tcPr>
            <w:tcW w:w="1394" w:type="dxa"/>
            <w:tcBorders>
              <w:tl2br w:val="nil"/>
              <w:tr2bl w:val="nil"/>
            </w:tcBorders>
            <w:noWrap w:val="0"/>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0"/>
                <w:sz w:val="21"/>
                <w:szCs w:val="21"/>
                <w:lang w:val="en-US" w:eastAsia="zh-CN" w:bidi="ar"/>
              </w:rPr>
            </w:pPr>
            <w:r>
              <w:rPr>
                <w:rFonts w:hint="default" w:ascii="Arial" w:hAnsi="Arial" w:eastAsia="宋体" w:cs="Arial"/>
                <w:color w:val="auto"/>
                <w:kern w:val="0"/>
                <w:sz w:val="21"/>
                <w:szCs w:val="21"/>
                <w:lang w:val="en-US" w:eastAsia="zh-CN" w:bidi="ar"/>
              </w:rPr>
              <w:t>115</w:t>
            </w:r>
          </w:p>
        </w:tc>
        <w:tc>
          <w:tcPr>
            <w:tcW w:w="1394" w:type="dxa"/>
            <w:tcBorders>
              <w:tl2br w:val="nil"/>
              <w:tr2bl w:val="nil"/>
            </w:tcBorders>
            <w:noWrap w:val="0"/>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0"/>
                <w:sz w:val="21"/>
                <w:szCs w:val="21"/>
                <w:lang w:val="en-US" w:eastAsia="zh-CN" w:bidi="ar"/>
              </w:rPr>
            </w:pPr>
            <w:r>
              <w:rPr>
                <w:rFonts w:hint="default" w:ascii="Arial" w:hAnsi="Arial" w:eastAsia="宋体" w:cs="Arial"/>
                <w:color w:val="auto"/>
                <w:kern w:val="0"/>
                <w:sz w:val="21"/>
                <w:szCs w:val="21"/>
                <w:lang w:val="en-US" w:eastAsia="zh-CN" w:bidi="ar"/>
              </w:rPr>
              <w:t>225</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w:t>
            </w:r>
            <w:r>
              <w:rPr>
                <w:rFonts w:hint="default" w:ascii="Arial" w:hAnsi="Arial" w:eastAsia="宋体" w:cs="Arial"/>
                <w:color w:val="auto"/>
                <w:sz w:val="21"/>
                <w:szCs w:val="21"/>
                <w:lang w:val="en-US" w:eastAsia="zh-CN"/>
              </w:rPr>
              <w:t>200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340" w:hRule="atLeast"/>
          <w:jc w:val="center"/>
        </w:trPr>
        <w:tc>
          <w:tcPr>
            <w:tcW w:w="639"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36</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碘化物</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mg/L</w:t>
            </w:r>
          </w:p>
        </w:tc>
        <w:tc>
          <w:tcPr>
            <w:tcW w:w="1394" w:type="dxa"/>
            <w:tcBorders>
              <w:tl2br w:val="nil"/>
              <w:tr2bl w:val="nil"/>
            </w:tcBorders>
            <w:noWrap w:val="0"/>
            <w:vAlign w:val="center"/>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0.002L</w:t>
            </w:r>
          </w:p>
        </w:tc>
        <w:tc>
          <w:tcPr>
            <w:tcW w:w="1394" w:type="dxa"/>
            <w:tcBorders>
              <w:tl2br w:val="nil"/>
              <w:tr2bl w:val="nil"/>
            </w:tcBorders>
            <w:noWrap w:val="0"/>
            <w:vAlign w:val="center"/>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0"/>
                <w:sz w:val="21"/>
                <w:szCs w:val="21"/>
                <w:lang w:val="en-US" w:eastAsia="zh-CN" w:bidi="ar"/>
              </w:rPr>
            </w:pPr>
            <w:r>
              <w:rPr>
                <w:rFonts w:hint="default" w:ascii="Arial" w:hAnsi="Arial" w:eastAsia="宋体" w:cs="Arial"/>
                <w:color w:val="auto"/>
                <w:sz w:val="21"/>
                <w:szCs w:val="21"/>
                <w:lang w:val="en-US" w:eastAsia="zh-CN"/>
              </w:rPr>
              <w:t>0.002L</w:t>
            </w:r>
          </w:p>
        </w:tc>
        <w:tc>
          <w:tcPr>
            <w:tcW w:w="1394" w:type="dxa"/>
            <w:tcBorders>
              <w:tl2br w:val="nil"/>
              <w:tr2bl w:val="nil"/>
            </w:tcBorders>
            <w:noWrap w:val="0"/>
            <w:vAlign w:val="center"/>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0"/>
                <w:sz w:val="21"/>
                <w:szCs w:val="21"/>
                <w:lang w:val="en-US" w:eastAsia="zh-CN" w:bidi="ar"/>
              </w:rPr>
            </w:pPr>
            <w:r>
              <w:rPr>
                <w:rFonts w:hint="default" w:ascii="Arial" w:hAnsi="Arial" w:eastAsia="宋体" w:cs="Arial"/>
                <w:color w:val="auto"/>
                <w:sz w:val="21"/>
                <w:szCs w:val="21"/>
                <w:lang w:val="en-US" w:eastAsia="zh-CN"/>
              </w:rPr>
              <w:t>0.002L</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w:t>
            </w:r>
            <w:r>
              <w:rPr>
                <w:rFonts w:hint="default" w:ascii="Arial" w:hAnsi="Arial" w:eastAsia="宋体" w:cs="Arial"/>
                <w:color w:val="auto"/>
                <w:sz w:val="21"/>
                <w:szCs w:val="21"/>
                <w:lang w:val="en-US" w:eastAsia="zh-CN"/>
              </w:rPr>
              <w:t>0.08</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340" w:hRule="atLeast"/>
          <w:jc w:val="center"/>
        </w:trPr>
        <w:tc>
          <w:tcPr>
            <w:tcW w:w="639"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37</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highlight w:val="none"/>
                <w:lang w:val="en-US" w:eastAsia="zh-CN"/>
              </w:rPr>
              <w:t>硒</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mg/L</w:t>
            </w:r>
          </w:p>
        </w:tc>
        <w:tc>
          <w:tcPr>
            <w:tcW w:w="1394" w:type="dxa"/>
            <w:tcBorders>
              <w:tl2br w:val="nil"/>
              <w:tr2bl w:val="nil"/>
            </w:tcBorders>
            <w:noWrap w:val="0"/>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0.</w:t>
            </w:r>
            <w:r>
              <w:rPr>
                <w:rFonts w:hint="default" w:ascii="Arial" w:hAnsi="Arial" w:eastAsia="宋体" w:cs="Arial"/>
                <w:color w:val="auto"/>
                <w:sz w:val="21"/>
                <w:szCs w:val="21"/>
                <w:lang w:val="en-US" w:eastAsia="zh-CN"/>
              </w:rPr>
              <w:t>4×10</w:t>
            </w:r>
            <w:r>
              <w:rPr>
                <w:rFonts w:hint="default" w:ascii="Arial" w:hAnsi="Arial" w:eastAsia="宋体" w:cs="Arial"/>
                <w:color w:val="auto"/>
                <w:sz w:val="21"/>
                <w:szCs w:val="21"/>
                <w:vertAlign w:val="superscript"/>
                <w:lang w:val="en-US" w:eastAsia="zh-CN"/>
              </w:rPr>
              <w:t>-3</w:t>
            </w:r>
            <w:r>
              <w:rPr>
                <w:rFonts w:hint="default" w:ascii="Arial" w:hAnsi="Arial" w:eastAsia="宋体" w:cs="Arial"/>
                <w:color w:val="auto"/>
                <w:sz w:val="21"/>
                <w:szCs w:val="21"/>
                <w:vertAlign w:val="baseline"/>
                <w:lang w:val="en-US" w:eastAsia="zh-CN"/>
              </w:rPr>
              <w:t>L</w:t>
            </w:r>
          </w:p>
        </w:tc>
        <w:tc>
          <w:tcPr>
            <w:tcW w:w="1394" w:type="dxa"/>
            <w:tcBorders>
              <w:tl2br w:val="nil"/>
              <w:tr2bl w:val="nil"/>
            </w:tcBorders>
            <w:noWrap w:val="0"/>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0"/>
                <w:sz w:val="21"/>
                <w:szCs w:val="21"/>
                <w:lang w:val="en-US" w:eastAsia="zh-CN" w:bidi="ar"/>
              </w:rPr>
            </w:pPr>
            <w:r>
              <w:rPr>
                <w:rFonts w:hint="default" w:ascii="Arial" w:hAnsi="Arial" w:eastAsia="宋体" w:cs="Arial"/>
                <w:color w:val="auto"/>
                <w:sz w:val="21"/>
                <w:szCs w:val="21"/>
              </w:rPr>
              <w:t>0.</w:t>
            </w:r>
            <w:r>
              <w:rPr>
                <w:rFonts w:hint="default" w:ascii="Arial" w:hAnsi="Arial" w:eastAsia="宋体" w:cs="Arial"/>
                <w:color w:val="auto"/>
                <w:sz w:val="21"/>
                <w:szCs w:val="21"/>
                <w:lang w:val="en-US" w:eastAsia="zh-CN"/>
              </w:rPr>
              <w:t>4×10</w:t>
            </w:r>
            <w:r>
              <w:rPr>
                <w:rFonts w:hint="default" w:ascii="Arial" w:hAnsi="Arial" w:eastAsia="宋体" w:cs="Arial"/>
                <w:color w:val="auto"/>
                <w:sz w:val="21"/>
                <w:szCs w:val="21"/>
                <w:vertAlign w:val="superscript"/>
                <w:lang w:val="en-US" w:eastAsia="zh-CN"/>
              </w:rPr>
              <w:t>-3</w:t>
            </w:r>
            <w:r>
              <w:rPr>
                <w:rFonts w:hint="default" w:ascii="Arial" w:hAnsi="Arial" w:eastAsia="宋体" w:cs="Arial"/>
                <w:color w:val="auto"/>
                <w:sz w:val="21"/>
                <w:szCs w:val="21"/>
                <w:vertAlign w:val="baseline"/>
                <w:lang w:val="en-US" w:eastAsia="zh-CN"/>
              </w:rPr>
              <w:t>L</w:t>
            </w:r>
          </w:p>
        </w:tc>
        <w:tc>
          <w:tcPr>
            <w:tcW w:w="1394" w:type="dxa"/>
            <w:tcBorders>
              <w:tl2br w:val="nil"/>
              <w:tr2bl w:val="nil"/>
            </w:tcBorders>
            <w:noWrap w:val="0"/>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0"/>
                <w:sz w:val="21"/>
                <w:szCs w:val="21"/>
                <w:lang w:val="en-US" w:eastAsia="zh-CN" w:bidi="ar"/>
              </w:rPr>
            </w:pPr>
            <w:r>
              <w:rPr>
                <w:rFonts w:hint="default" w:ascii="Arial" w:hAnsi="Arial" w:eastAsia="宋体" w:cs="Arial"/>
                <w:color w:val="auto"/>
                <w:sz w:val="21"/>
                <w:szCs w:val="21"/>
              </w:rPr>
              <w:t>0.</w:t>
            </w:r>
            <w:r>
              <w:rPr>
                <w:rFonts w:hint="default" w:ascii="Arial" w:hAnsi="Arial" w:eastAsia="宋体" w:cs="Arial"/>
                <w:color w:val="auto"/>
                <w:sz w:val="21"/>
                <w:szCs w:val="21"/>
                <w:lang w:val="en-US" w:eastAsia="zh-CN"/>
              </w:rPr>
              <w:t>4×10</w:t>
            </w:r>
            <w:r>
              <w:rPr>
                <w:rFonts w:hint="default" w:ascii="Arial" w:hAnsi="Arial" w:eastAsia="宋体" w:cs="Arial"/>
                <w:color w:val="auto"/>
                <w:sz w:val="21"/>
                <w:szCs w:val="21"/>
                <w:vertAlign w:val="superscript"/>
                <w:lang w:val="en-US" w:eastAsia="zh-CN"/>
              </w:rPr>
              <w:t>-3</w:t>
            </w:r>
            <w:r>
              <w:rPr>
                <w:rFonts w:hint="default" w:ascii="Arial" w:hAnsi="Arial" w:eastAsia="宋体" w:cs="Arial"/>
                <w:color w:val="auto"/>
                <w:sz w:val="21"/>
                <w:szCs w:val="21"/>
                <w:vertAlign w:val="baseline"/>
                <w:lang w:val="en-US" w:eastAsia="zh-CN"/>
              </w:rPr>
              <w:t>L</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w:t>
            </w:r>
            <w:r>
              <w:rPr>
                <w:rFonts w:hint="default" w:ascii="Arial" w:hAnsi="Arial" w:eastAsia="宋体" w:cs="Arial"/>
                <w:color w:val="auto"/>
                <w:sz w:val="21"/>
                <w:szCs w:val="21"/>
                <w:lang w:val="en-US" w:eastAsia="zh-CN"/>
              </w:rPr>
              <w:t>0.01</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340" w:hRule="atLeast"/>
          <w:jc w:val="center"/>
        </w:trPr>
        <w:tc>
          <w:tcPr>
            <w:tcW w:w="639"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38</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三氯甲烷</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mg</w:t>
            </w:r>
            <w:r>
              <w:rPr>
                <w:rFonts w:hint="default" w:ascii="Arial" w:hAnsi="Arial" w:eastAsia="宋体" w:cs="Arial"/>
                <w:color w:val="auto"/>
                <w:sz w:val="21"/>
                <w:szCs w:val="21"/>
                <w:lang w:val="en-US" w:eastAsia="zh-CN"/>
              </w:rPr>
              <w:t>/L</w:t>
            </w:r>
          </w:p>
        </w:tc>
        <w:tc>
          <w:tcPr>
            <w:tcW w:w="1394" w:type="dxa"/>
            <w:tcBorders>
              <w:tl2br w:val="nil"/>
              <w:tr2bl w:val="nil"/>
            </w:tcBorders>
            <w:noWrap w:val="0"/>
            <w:vAlign w:val="center"/>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1.1×10</w:t>
            </w:r>
            <w:r>
              <w:rPr>
                <w:rFonts w:hint="default" w:ascii="Arial" w:hAnsi="Arial" w:eastAsia="宋体" w:cs="Arial"/>
                <w:color w:val="auto"/>
                <w:sz w:val="21"/>
                <w:szCs w:val="21"/>
                <w:vertAlign w:val="superscript"/>
                <w:lang w:val="en-US" w:eastAsia="zh-CN"/>
              </w:rPr>
              <w:t>-3</w:t>
            </w:r>
            <w:r>
              <w:rPr>
                <w:rFonts w:hint="default" w:ascii="Arial" w:hAnsi="Arial" w:eastAsia="宋体" w:cs="Arial"/>
                <w:color w:val="auto"/>
                <w:sz w:val="21"/>
                <w:szCs w:val="21"/>
                <w:vertAlign w:val="baseline"/>
                <w:lang w:val="en-US" w:eastAsia="zh-CN"/>
              </w:rPr>
              <w:t>L</w:t>
            </w:r>
          </w:p>
        </w:tc>
        <w:tc>
          <w:tcPr>
            <w:tcW w:w="1394" w:type="dxa"/>
            <w:tcBorders>
              <w:tl2br w:val="nil"/>
              <w:tr2bl w:val="nil"/>
            </w:tcBorders>
            <w:noWrap w:val="0"/>
            <w:vAlign w:val="center"/>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0"/>
                <w:sz w:val="21"/>
                <w:szCs w:val="21"/>
                <w:lang w:val="en-US" w:eastAsia="zh-CN" w:bidi="ar"/>
              </w:rPr>
            </w:pPr>
            <w:r>
              <w:rPr>
                <w:rFonts w:hint="default" w:ascii="Arial" w:hAnsi="Arial" w:eastAsia="宋体" w:cs="Arial"/>
                <w:color w:val="auto"/>
                <w:sz w:val="21"/>
                <w:szCs w:val="21"/>
                <w:lang w:val="en-US" w:eastAsia="zh-CN"/>
              </w:rPr>
              <w:t>1.1×10</w:t>
            </w:r>
            <w:r>
              <w:rPr>
                <w:rFonts w:hint="default" w:ascii="Arial" w:hAnsi="Arial" w:eastAsia="宋体" w:cs="Arial"/>
                <w:color w:val="auto"/>
                <w:sz w:val="21"/>
                <w:szCs w:val="21"/>
                <w:vertAlign w:val="superscript"/>
                <w:lang w:val="en-US" w:eastAsia="zh-CN"/>
              </w:rPr>
              <w:t>-3</w:t>
            </w:r>
            <w:r>
              <w:rPr>
                <w:rFonts w:hint="default" w:ascii="Arial" w:hAnsi="Arial" w:eastAsia="宋体" w:cs="Arial"/>
                <w:color w:val="auto"/>
                <w:sz w:val="21"/>
                <w:szCs w:val="21"/>
                <w:vertAlign w:val="baseline"/>
                <w:lang w:val="en-US" w:eastAsia="zh-CN"/>
              </w:rPr>
              <w:t>L</w:t>
            </w:r>
          </w:p>
        </w:tc>
        <w:tc>
          <w:tcPr>
            <w:tcW w:w="1394" w:type="dxa"/>
            <w:tcBorders>
              <w:tl2br w:val="nil"/>
              <w:tr2bl w:val="nil"/>
            </w:tcBorders>
            <w:noWrap w:val="0"/>
            <w:vAlign w:val="center"/>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0"/>
                <w:sz w:val="21"/>
                <w:szCs w:val="21"/>
                <w:lang w:val="en-US" w:eastAsia="zh-CN" w:bidi="ar"/>
              </w:rPr>
            </w:pPr>
            <w:r>
              <w:rPr>
                <w:rFonts w:hint="default" w:ascii="Arial" w:hAnsi="Arial" w:eastAsia="宋体" w:cs="Arial"/>
                <w:color w:val="auto"/>
                <w:sz w:val="21"/>
                <w:szCs w:val="21"/>
                <w:lang w:val="en-US" w:eastAsia="zh-CN"/>
              </w:rPr>
              <w:t>1.1×10</w:t>
            </w:r>
            <w:r>
              <w:rPr>
                <w:rFonts w:hint="default" w:ascii="Arial" w:hAnsi="Arial" w:eastAsia="宋体" w:cs="Arial"/>
                <w:color w:val="auto"/>
                <w:sz w:val="21"/>
                <w:szCs w:val="21"/>
                <w:vertAlign w:val="superscript"/>
                <w:lang w:val="en-US" w:eastAsia="zh-CN"/>
              </w:rPr>
              <w:t>-3</w:t>
            </w:r>
            <w:r>
              <w:rPr>
                <w:rFonts w:hint="default" w:ascii="Arial" w:hAnsi="Arial" w:eastAsia="宋体" w:cs="Arial"/>
                <w:color w:val="auto"/>
                <w:sz w:val="21"/>
                <w:szCs w:val="21"/>
                <w:vertAlign w:val="baseline"/>
                <w:lang w:val="en-US" w:eastAsia="zh-CN"/>
              </w:rPr>
              <w:t>L</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w:t>
            </w:r>
            <w:r>
              <w:rPr>
                <w:rFonts w:hint="default" w:ascii="Arial" w:hAnsi="Arial" w:eastAsia="宋体" w:cs="Arial"/>
                <w:color w:val="auto"/>
                <w:sz w:val="21"/>
                <w:szCs w:val="21"/>
                <w:lang w:val="en-US" w:eastAsia="zh-CN"/>
              </w:rPr>
              <w:t>60</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340" w:hRule="atLeast"/>
          <w:jc w:val="center"/>
        </w:trPr>
        <w:tc>
          <w:tcPr>
            <w:tcW w:w="639"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39</w:t>
            </w:r>
          </w:p>
        </w:tc>
        <w:tc>
          <w:tcPr>
            <w:tcW w:w="1394" w:type="dxa"/>
            <w:tcBorders>
              <w:tl2br w:val="nil"/>
              <w:tr2bl w:val="nil"/>
            </w:tcBorders>
            <w:noWrap w:val="0"/>
            <w:vAlign w:val="center"/>
          </w:tcPr>
          <w:p>
            <w:pPr>
              <w:keepNext w:val="0"/>
              <w:keepLines w:val="0"/>
              <w:pageBreakBefore w:val="0"/>
              <w:widowControl/>
              <w:suppressLineNumbers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0"/>
                <w:sz w:val="21"/>
                <w:szCs w:val="21"/>
                <w:highlight w:val="none"/>
                <w:lang w:val="en-US" w:eastAsia="zh-CN" w:bidi="ar"/>
              </w:rPr>
            </w:pPr>
            <w:r>
              <w:rPr>
                <w:rFonts w:hint="default" w:ascii="Arial" w:hAnsi="Arial" w:eastAsia="宋体" w:cs="Arial"/>
                <w:color w:val="auto"/>
                <w:kern w:val="0"/>
                <w:sz w:val="21"/>
                <w:szCs w:val="21"/>
                <w:lang w:val="en-US" w:eastAsia="zh-CN" w:bidi="ar"/>
              </w:rPr>
              <w:t>苯</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mg/L</w:t>
            </w:r>
          </w:p>
        </w:tc>
        <w:tc>
          <w:tcPr>
            <w:tcW w:w="1394" w:type="dxa"/>
            <w:tcBorders>
              <w:tl2br w:val="nil"/>
              <w:tr2bl w:val="nil"/>
            </w:tcBorders>
            <w:noWrap w:val="0"/>
            <w:vAlign w:val="center"/>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0.8×10</w:t>
            </w:r>
            <w:r>
              <w:rPr>
                <w:rFonts w:hint="default" w:ascii="Arial" w:hAnsi="Arial" w:eastAsia="宋体" w:cs="Arial"/>
                <w:color w:val="auto"/>
                <w:sz w:val="21"/>
                <w:szCs w:val="21"/>
                <w:vertAlign w:val="superscript"/>
                <w:lang w:val="en-US" w:eastAsia="zh-CN"/>
              </w:rPr>
              <w:t>-3</w:t>
            </w:r>
            <w:r>
              <w:rPr>
                <w:rFonts w:hint="default" w:ascii="Arial" w:hAnsi="Arial" w:eastAsia="宋体" w:cs="Arial"/>
                <w:color w:val="auto"/>
                <w:sz w:val="21"/>
                <w:szCs w:val="21"/>
                <w:vertAlign w:val="baseline"/>
                <w:lang w:val="en-US" w:eastAsia="zh-CN"/>
              </w:rPr>
              <w:t>L</w:t>
            </w:r>
          </w:p>
        </w:tc>
        <w:tc>
          <w:tcPr>
            <w:tcW w:w="1394" w:type="dxa"/>
            <w:tcBorders>
              <w:tl2br w:val="nil"/>
              <w:tr2bl w:val="nil"/>
            </w:tcBorders>
            <w:noWrap w:val="0"/>
            <w:vAlign w:val="center"/>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0"/>
                <w:sz w:val="21"/>
                <w:szCs w:val="21"/>
                <w:lang w:val="en-US" w:eastAsia="zh-CN" w:bidi="ar"/>
              </w:rPr>
            </w:pPr>
            <w:r>
              <w:rPr>
                <w:rFonts w:hint="default" w:ascii="Arial" w:hAnsi="Arial" w:eastAsia="宋体" w:cs="Arial"/>
                <w:color w:val="auto"/>
                <w:sz w:val="21"/>
                <w:szCs w:val="21"/>
                <w:lang w:val="en-US" w:eastAsia="zh-CN"/>
              </w:rPr>
              <w:t>0.8×10</w:t>
            </w:r>
            <w:r>
              <w:rPr>
                <w:rFonts w:hint="default" w:ascii="Arial" w:hAnsi="Arial" w:eastAsia="宋体" w:cs="Arial"/>
                <w:color w:val="auto"/>
                <w:sz w:val="21"/>
                <w:szCs w:val="21"/>
                <w:vertAlign w:val="superscript"/>
                <w:lang w:val="en-US" w:eastAsia="zh-CN"/>
              </w:rPr>
              <w:t>-3</w:t>
            </w:r>
            <w:r>
              <w:rPr>
                <w:rFonts w:hint="default" w:ascii="Arial" w:hAnsi="Arial" w:eastAsia="宋体" w:cs="Arial"/>
                <w:color w:val="auto"/>
                <w:sz w:val="21"/>
                <w:szCs w:val="21"/>
                <w:vertAlign w:val="baseline"/>
                <w:lang w:val="en-US" w:eastAsia="zh-CN"/>
              </w:rPr>
              <w:t>L</w:t>
            </w:r>
          </w:p>
        </w:tc>
        <w:tc>
          <w:tcPr>
            <w:tcW w:w="1394" w:type="dxa"/>
            <w:tcBorders>
              <w:tl2br w:val="nil"/>
              <w:tr2bl w:val="nil"/>
            </w:tcBorders>
            <w:noWrap w:val="0"/>
            <w:vAlign w:val="center"/>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0"/>
                <w:sz w:val="21"/>
                <w:szCs w:val="21"/>
                <w:lang w:val="en-US" w:eastAsia="zh-CN" w:bidi="ar"/>
              </w:rPr>
            </w:pPr>
            <w:r>
              <w:rPr>
                <w:rFonts w:hint="default" w:ascii="Arial" w:hAnsi="Arial" w:eastAsia="宋体" w:cs="Arial"/>
                <w:color w:val="auto"/>
                <w:sz w:val="21"/>
                <w:szCs w:val="21"/>
                <w:lang w:val="en-US" w:eastAsia="zh-CN"/>
              </w:rPr>
              <w:t>0.8×10</w:t>
            </w:r>
            <w:r>
              <w:rPr>
                <w:rFonts w:hint="default" w:ascii="Arial" w:hAnsi="Arial" w:eastAsia="宋体" w:cs="Arial"/>
                <w:color w:val="auto"/>
                <w:sz w:val="21"/>
                <w:szCs w:val="21"/>
                <w:vertAlign w:val="superscript"/>
                <w:lang w:val="en-US" w:eastAsia="zh-CN"/>
              </w:rPr>
              <w:t>-3</w:t>
            </w:r>
            <w:r>
              <w:rPr>
                <w:rFonts w:hint="default" w:ascii="Arial" w:hAnsi="Arial" w:eastAsia="宋体" w:cs="Arial"/>
                <w:color w:val="auto"/>
                <w:sz w:val="21"/>
                <w:szCs w:val="21"/>
                <w:vertAlign w:val="baseline"/>
                <w:lang w:val="en-US" w:eastAsia="zh-CN"/>
              </w:rPr>
              <w:t>L</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w:t>
            </w:r>
            <w:r>
              <w:rPr>
                <w:rFonts w:hint="default" w:ascii="Arial" w:hAnsi="Arial" w:eastAsia="宋体" w:cs="Arial"/>
                <w:color w:val="auto"/>
                <w:sz w:val="21"/>
                <w:szCs w:val="21"/>
                <w:lang w:val="en-US" w:eastAsia="zh-CN"/>
              </w:rPr>
              <w:t>0.01</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340" w:hRule="atLeast"/>
          <w:jc w:val="center"/>
        </w:trPr>
        <w:tc>
          <w:tcPr>
            <w:tcW w:w="639"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40</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0"/>
                <w:sz w:val="21"/>
                <w:szCs w:val="21"/>
                <w:highlight w:val="none"/>
                <w:lang w:val="en-US" w:eastAsia="zh-CN" w:bidi="ar"/>
              </w:rPr>
            </w:pPr>
            <w:r>
              <w:rPr>
                <w:rFonts w:hint="default" w:ascii="Arial" w:hAnsi="Arial" w:eastAsia="宋体" w:cs="Arial"/>
                <w:color w:val="auto"/>
                <w:sz w:val="21"/>
                <w:szCs w:val="21"/>
                <w:lang w:val="en-US" w:eastAsia="zh-CN"/>
              </w:rPr>
              <w:t>甲苯</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mg/L</w:t>
            </w:r>
          </w:p>
        </w:tc>
        <w:tc>
          <w:tcPr>
            <w:tcW w:w="1394" w:type="dxa"/>
            <w:tcBorders>
              <w:tl2br w:val="nil"/>
              <w:tr2bl w:val="nil"/>
            </w:tcBorders>
            <w:noWrap w:val="0"/>
            <w:vAlign w:val="center"/>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1.0×10</w:t>
            </w:r>
            <w:r>
              <w:rPr>
                <w:rFonts w:hint="default" w:ascii="Arial" w:hAnsi="Arial" w:eastAsia="宋体" w:cs="Arial"/>
                <w:color w:val="auto"/>
                <w:sz w:val="21"/>
                <w:szCs w:val="21"/>
                <w:vertAlign w:val="superscript"/>
                <w:lang w:val="en-US" w:eastAsia="zh-CN"/>
              </w:rPr>
              <w:t>-3</w:t>
            </w:r>
            <w:r>
              <w:rPr>
                <w:rFonts w:hint="default" w:ascii="Arial" w:hAnsi="Arial" w:eastAsia="宋体" w:cs="Arial"/>
                <w:color w:val="auto"/>
                <w:sz w:val="21"/>
                <w:szCs w:val="21"/>
                <w:vertAlign w:val="baseline"/>
                <w:lang w:val="en-US" w:eastAsia="zh-CN"/>
              </w:rPr>
              <w:t>L</w:t>
            </w:r>
          </w:p>
        </w:tc>
        <w:tc>
          <w:tcPr>
            <w:tcW w:w="1394" w:type="dxa"/>
            <w:tcBorders>
              <w:tl2br w:val="nil"/>
              <w:tr2bl w:val="nil"/>
            </w:tcBorders>
            <w:noWrap w:val="0"/>
            <w:vAlign w:val="center"/>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0"/>
                <w:sz w:val="21"/>
                <w:szCs w:val="21"/>
                <w:lang w:val="en-US" w:eastAsia="zh-CN" w:bidi="ar"/>
              </w:rPr>
            </w:pPr>
            <w:r>
              <w:rPr>
                <w:rFonts w:hint="default" w:ascii="Arial" w:hAnsi="Arial" w:eastAsia="宋体" w:cs="Arial"/>
                <w:color w:val="auto"/>
                <w:sz w:val="21"/>
                <w:szCs w:val="21"/>
                <w:lang w:val="en-US" w:eastAsia="zh-CN"/>
              </w:rPr>
              <w:t>1.0×10</w:t>
            </w:r>
            <w:r>
              <w:rPr>
                <w:rFonts w:hint="default" w:ascii="Arial" w:hAnsi="Arial" w:eastAsia="宋体" w:cs="Arial"/>
                <w:color w:val="auto"/>
                <w:sz w:val="21"/>
                <w:szCs w:val="21"/>
                <w:vertAlign w:val="superscript"/>
                <w:lang w:val="en-US" w:eastAsia="zh-CN"/>
              </w:rPr>
              <w:t>-3</w:t>
            </w:r>
            <w:r>
              <w:rPr>
                <w:rFonts w:hint="default" w:ascii="Arial" w:hAnsi="Arial" w:eastAsia="宋体" w:cs="Arial"/>
                <w:color w:val="auto"/>
                <w:sz w:val="21"/>
                <w:szCs w:val="21"/>
                <w:vertAlign w:val="baseline"/>
                <w:lang w:val="en-US" w:eastAsia="zh-CN"/>
              </w:rPr>
              <w:t>L</w:t>
            </w:r>
          </w:p>
        </w:tc>
        <w:tc>
          <w:tcPr>
            <w:tcW w:w="1394" w:type="dxa"/>
            <w:tcBorders>
              <w:tl2br w:val="nil"/>
              <w:tr2bl w:val="nil"/>
            </w:tcBorders>
            <w:noWrap w:val="0"/>
            <w:vAlign w:val="center"/>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0"/>
                <w:sz w:val="21"/>
                <w:szCs w:val="21"/>
                <w:lang w:val="en-US" w:eastAsia="zh-CN" w:bidi="ar"/>
              </w:rPr>
            </w:pPr>
            <w:r>
              <w:rPr>
                <w:rFonts w:hint="default" w:ascii="Arial" w:hAnsi="Arial" w:eastAsia="宋体" w:cs="Arial"/>
                <w:color w:val="auto"/>
                <w:sz w:val="21"/>
                <w:szCs w:val="21"/>
                <w:lang w:val="en-US" w:eastAsia="zh-CN"/>
              </w:rPr>
              <w:t>1.0×10</w:t>
            </w:r>
            <w:r>
              <w:rPr>
                <w:rFonts w:hint="default" w:ascii="Arial" w:hAnsi="Arial" w:eastAsia="宋体" w:cs="Arial"/>
                <w:color w:val="auto"/>
                <w:sz w:val="21"/>
                <w:szCs w:val="21"/>
                <w:vertAlign w:val="superscript"/>
                <w:lang w:val="en-US" w:eastAsia="zh-CN"/>
              </w:rPr>
              <w:t>-3</w:t>
            </w:r>
            <w:r>
              <w:rPr>
                <w:rFonts w:hint="default" w:ascii="Arial" w:hAnsi="Arial" w:eastAsia="宋体" w:cs="Arial"/>
                <w:color w:val="auto"/>
                <w:sz w:val="21"/>
                <w:szCs w:val="21"/>
                <w:vertAlign w:val="baseline"/>
                <w:lang w:val="en-US" w:eastAsia="zh-CN"/>
              </w:rPr>
              <w:t>L</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w:t>
            </w:r>
            <w:r>
              <w:rPr>
                <w:rFonts w:hint="default" w:ascii="Arial" w:hAnsi="Arial" w:eastAsia="宋体" w:cs="Arial"/>
                <w:color w:val="auto"/>
                <w:sz w:val="21"/>
                <w:szCs w:val="21"/>
                <w:lang w:val="en-US" w:eastAsia="zh-CN"/>
              </w:rPr>
              <w:t>0.7</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340" w:hRule="atLeast"/>
          <w:jc w:val="center"/>
        </w:trPr>
        <w:tc>
          <w:tcPr>
            <w:tcW w:w="639"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41</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色度</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度</w:t>
            </w:r>
          </w:p>
        </w:tc>
        <w:tc>
          <w:tcPr>
            <w:tcW w:w="1394" w:type="dxa"/>
            <w:tcBorders>
              <w:tl2br w:val="nil"/>
              <w:tr2bl w:val="nil"/>
            </w:tcBorders>
            <w:noWrap w:val="0"/>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5</w:t>
            </w:r>
          </w:p>
        </w:tc>
        <w:tc>
          <w:tcPr>
            <w:tcW w:w="1394" w:type="dxa"/>
            <w:tcBorders>
              <w:tl2br w:val="nil"/>
              <w:tr2bl w:val="nil"/>
            </w:tcBorders>
            <w:noWrap w:val="0"/>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0"/>
                <w:sz w:val="21"/>
                <w:szCs w:val="21"/>
                <w:lang w:val="en-US" w:eastAsia="zh-CN" w:bidi="ar"/>
              </w:rPr>
            </w:pPr>
            <w:r>
              <w:rPr>
                <w:rFonts w:hint="default" w:ascii="Arial" w:hAnsi="Arial" w:eastAsia="宋体" w:cs="Arial"/>
                <w:color w:val="auto"/>
                <w:kern w:val="0"/>
                <w:sz w:val="21"/>
                <w:szCs w:val="21"/>
                <w:lang w:val="en-US" w:eastAsia="zh-CN" w:bidi="ar"/>
              </w:rPr>
              <w:t>5</w:t>
            </w:r>
          </w:p>
        </w:tc>
        <w:tc>
          <w:tcPr>
            <w:tcW w:w="1394" w:type="dxa"/>
            <w:tcBorders>
              <w:tl2br w:val="nil"/>
              <w:tr2bl w:val="nil"/>
            </w:tcBorders>
            <w:noWrap w:val="0"/>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0"/>
                <w:sz w:val="21"/>
                <w:szCs w:val="21"/>
                <w:lang w:val="en-US" w:eastAsia="zh-CN" w:bidi="ar"/>
              </w:rPr>
            </w:pPr>
            <w:r>
              <w:rPr>
                <w:rFonts w:hint="default" w:ascii="Arial" w:hAnsi="Arial" w:eastAsia="宋体" w:cs="Arial"/>
                <w:color w:val="auto"/>
                <w:kern w:val="0"/>
                <w:sz w:val="21"/>
                <w:szCs w:val="21"/>
                <w:lang w:val="en-US" w:eastAsia="zh-CN" w:bidi="ar"/>
              </w:rPr>
              <w:t>5</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w:t>
            </w:r>
            <w:r>
              <w:rPr>
                <w:rFonts w:hint="default" w:ascii="Arial" w:hAnsi="Arial" w:eastAsia="宋体" w:cs="Arial"/>
                <w:color w:val="auto"/>
                <w:sz w:val="21"/>
                <w:szCs w:val="21"/>
                <w:lang w:val="en-US" w:eastAsia="zh-CN"/>
              </w:rPr>
              <w:t>15</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340" w:hRule="atLeast"/>
          <w:jc w:val="center"/>
        </w:trPr>
        <w:tc>
          <w:tcPr>
            <w:tcW w:w="639"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42</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highlight w:val="none"/>
                <w:lang w:val="en-US" w:eastAsia="zh-CN" w:bidi="ar-SA"/>
              </w:rPr>
              <w:t>臭</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w:t>
            </w:r>
          </w:p>
        </w:tc>
        <w:tc>
          <w:tcPr>
            <w:tcW w:w="1394" w:type="dxa"/>
            <w:tcBorders>
              <w:tl2br w:val="nil"/>
              <w:tr2bl w:val="nil"/>
            </w:tcBorders>
            <w:noWrap w:val="0"/>
            <w:vAlign w:val="center"/>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无</w:t>
            </w:r>
          </w:p>
        </w:tc>
        <w:tc>
          <w:tcPr>
            <w:tcW w:w="1394" w:type="dxa"/>
            <w:tcBorders>
              <w:tl2br w:val="nil"/>
              <w:tr2bl w:val="nil"/>
            </w:tcBorders>
            <w:noWrap w:val="0"/>
            <w:vAlign w:val="center"/>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0"/>
                <w:sz w:val="21"/>
                <w:szCs w:val="21"/>
                <w:lang w:val="en-US" w:eastAsia="zh-CN" w:bidi="ar"/>
              </w:rPr>
            </w:pPr>
            <w:r>
              <w:rPr>
                <w:rFonts w:hint="default" w:ascii="Arial" w:hAnsi="Arial" w:eastAsia="宋体" w:cs="Arial"/>
                <w:color w:val="auto"/>
                <w:kern w:val="2"/>
                <w:sz w:val="21"/>
                <w:szCs w:val="21"/>
                <w:lang w:val="en-US" w:eastAsia="zh-CN" w:bidi="ar-SA"/>
              </w:rPr>
              <w:t>无</w:t>
            </w:r>
          </w:p>
        </w:tc>
        <w:tc>
          <w:tcPr>
            <w:tcW w:w="1394" w:type="dxa"/>
            <w:tcBorders>
              <w:tl2br w:val="nil"/>
              <w:tr2bl w:val="nil"/>
            </w:tcBorders>
            <w:noWrap w:val="0"/>
            <w:vAlign w:val="center"/>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0"/>
                <w:sz w:val="21"/>
                <w:szCs w:val="21"/>
                <w:lang w:val="en-US" w:eastAsia="zh-CN" w:bidi="ar"/>
              </w:rPr>
            </w:pPr>
            <w:r>
              <w:rPr>
                <w:rFonts w:hint="default" w:ascii="Arial" w:hAnsi="Arial" w:eastAsia="宋体" w:cs="Arial"/>
                <w:color w:val="auto"/>
                <w:kern w:val="2"/>
                <w:sz w:val="21"/>
                <w:szCs w:val="21"/>
                <w:lang w:val="en-US" w:eastAsia="zh-CN" w:bidi="ar-SA"/>
              </w:rPr>
              <w:t>无</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340" w:hRule="atLeast"/>
          <w:jc w:val="center"/>
        </w:trPr>
        <w:tc>
          <w:tcPr>
            <w:tcW w:w="639"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43</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浑浊度</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NTU</w:t>
            </w:r>
          </w:p>
        </w:tc>
        <w:tc>
          <w:tcPr>
            <w:tcW w:w="1394" w:type="dxa"/>
            <w:tcBorders>
              <w:tl2br w:val="nil"/>
              <w:tr2bl w:val="nil"/>
            </w:tcBorders>
            <w:noWrap w:val="0"/>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2</w:t>
            </w:r>
          </w:p>
        </w:tc>
        <w:tc>
          <w:tcPr>
            <w:tcW w:w="1394" w:type="dxa"/>
            <w:tcBorders>
              <w:tl2br w:val="nil"/>
              <w:tr2bl w:val="nil"/>
            </w:tcBorders>
            <w:noWrap w:val="0"/>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0"/>
                <w:sz w:val="21"/>
                <w:szCs w:val="21"/>
                <w:lang w:val="en-US" w:eastAsia="zh-CN" w:bidi="ar"/>
              </w:rPr>
            </w:pPr>
            <w:r>
              <w:rPr>
                <w:rFonts w:hint="default" w:ascii="Arial" w:hAnsi="Arial" w:eastAsia="宋体" w:cs="Arial"/>
                <w:color w:val="auto"/>
                <w:kern w:val="0"/>
                <w:sz w:val="21"/>
                <w:szCs w:val="21"/>
                <w:lang w:val="en-US" w:eastAsia="zh-CN" w:bidi="ar"/>
              </w:rPr>
              <w:t>2</w:t>
            </w:r>
          </w:p>
        </w:tc>
        <w:tc>
          <w:tcPr>
            <w:tcW w:w="1394" w:type="dxa"/>
            <w:tcBorders>
              <w:tl2br w:val="nil"/>
              <w:tr2bl w:val="nil"/>
            </w:tcBorders>
            <w:noWrap w:val="0"/>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0"/>
                <w:sz w:val="21"/>
                <w:szCs w:val="21"/>
                <w:lang w:val="en-US" w:eastAsia="zh-CN" w:bidi="ar"/>
              </w:rPr>
            </w:pPr>
            <w:r>
              <w:rPr>
                <w:rFonts w:hint="default" w:ascii="Arial" w:hAnsi="Arial" w:eastAsia="宋体" w:cs="Arial"/>
                <w:color w:val="auto"/>
                <w:kern w:val="0"/>
                <w:sz w:val="21"/>
                <w:szCs w:val="21"/>
                <w:lang w:val="en-US" w:eastAsia="zh-CN" w:bidi="ar"/>
              </w:rPr>
              <w:t>1</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w:t>
            </w:r>
            <w:r>
              <w:rPr>
                <w:rFonts w:hint="default" w:ascii="Arial" w:hAnsi="Arial" w:eastAsia="宋体" w:cs="Arial"/>
                <w:color w:val="auto"/>
                <w:sz w:val="21"/>
                <w:szCs w:val="21"/>
                <w:lang w:val="en-US" w:eastAsia="zh-CN"/>
              </w:rPr>
              <w:t>3</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340" w:hRule="atLeast"/>
          <w:jc w:val="center"/>
        </w:trPr>
        <w:tc>
          <w:tcPr>
            <w:tcW w:w="639" w:type="dxa"/>
            <w:tcBorders>
              <w:tl2br w:val="nil"/>
              <w:tr2bl w:val="nil"/>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44</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肉眼可见物</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w:t>
            </w:r>
          </w:p>
        </w:tc>
        <w:tc>
          <w:tcPr>
            <w:tcW w:w="1394" w:type="dxa"/>
            <w:tcBorders>
              <w:tl2br w:val="nil"/>
              <w:tr2bl w:val="nil"/>
            </w:tcBorders>
            <w:noWrap w:val="0"/>
            <w:vAlign w:val="center"/>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无</w:t>
            </w:r>
          </w:p>
        </w:tc>
        <w:tc>
          <w:tcPr>
            <w:tcW w:w="1394" w:type="dxa"/>
            <w:tcBorders>
              <w:tl2br w:val="nil"/>
              <w:tr2bl w:val="nil"/>
            </w:tcBorders>
            <w:noWrap w:val="0"/>
            <w:vAlign w:val="center"/>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0"/>
                <w:sz w:val="21"/>
                <w:szCs w:val="21"/>
                <w:lang w:val="en-US" w:eastAsia="zh-CN" w:bidi="ar"/>
              </w:rPr>
            </w:pPr>
            <w:r>
              <w:rPr>
                <w:rFonts w:hint="default" w:ascii="Arial" w:hAnsi="Arial" w:eastAsia="宋体" w:cs="Arial"/>
                <w:color w:val="auto"/>
                <w:kern w:val="2"/>
                <w:sz w:val="21"/>
                <w:szCs w:val="21"/>
                <w:lang w:val="en-US" w:eastAsia="zh-CN" w:bidi="ar-SA"/>
              </w:rPr>
              <w:t>无</w:t>
            </w:r>
          </w:p>
        </w:tc>
        <w:tc>
          <w:tcPr>
            <w:tcW w:w="1394" w:type="dxa"/>
            <w:tcBorders>
              <w:tl2br w:val="nil"/>
              <w:tr2bl w:val="nil"/>
            </w:tcBorders>
            <w:noWrap w:val="0"/>
            <w:vAlign w:val="center"/>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0"/>
                <w:sz w:val="21"/>
                <w:szCs w:val="21"/>
                <w:lang w:val="en-US" w:eastAsia="zh-CN" w:bidi="ar"/>
              </w:rPr>
            </w:pPr>
            <w:r>
              <w:rPr>
                <w:rFonts w:hint="default" w:ascii="Arial" w:hAnsi="Arial" w:eastAsia="宋体" w:cs="Arial"/>
                <w:color w:val="auto"/>
                <w:kern w:val="2"/>
                <w:sz w:val="21"/>
                <w:szCs w:val="21"/>
                <w:lang w:val="en-US" w:eastAsia="zh-CN" w:bidi="ar-SA"/>
              </w:rPr>
              <w:t>无</w:t>
            </w:r>
          </w:p>
        </w:tc>
        <w:tc>
          <w:tcPr>
            <w:tcW w:w="1394" w:type="dxa"/>
            <w:tcBorders>
              <w:tl2br w:val="nil"/>
              <w:tr2bl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PrEx>
        <w:trPr>
          <w:trHeight w:val="340" w:hRule="atLeast"/>
          <w:jc w:val="center"/>
        </w:trPr>
        <w:tc>
          <w:tcPr>
            <w:tcW w:w="639"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r>
              <w:rPr>
                <w:rFonts w:hint="default" w:ascii="Arial" w:hAnsi="Arial" w:eastAsia="宋体" w:cs="Arial"/>
                <w:color w:val="auto"/>
                <w:sz w:val="21"/>
                <w:szCs w:val="21"/>
              </w:rPr>
              <w:t>备   注</w:t>
            </w:r>
          </w:p>
        </w:tc>
        <w:tc>
          <w:tcPr>
            <w:tcW w:w="8364" w:type="dxa"/>
            <w:gridSpan w:val="6"/>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r>
              <w:rPr>
                <w:rFonts w:hint="default" w:ascii="Arial" w:hAnsi="Arial" w:eastAsia="宋体" w:cs="Arial"/>
                <w:color w:val="auto"/>
                <w:sz w:val="21"/>
                <w:szCs w:val="21"/>
              </w:rPr>
              <w:t>①执行标准由委托方推荐，参考限值执行《地下水质量标准》（GB/T</w:t>
            </w:r>
            <w:r>
              <w:rPr>
                <w:rFonts w:hint="default" w:ascii="Arial" w:hAnsi="Arial" w:eastAsia="宋体" w:cs="Arial"/>
                <w:color w:val="auto"/>
                <w:sz w:val="21"/>
                <w:szCs w:val="21"/>
                <w:lang w:val="en-US" w:eastAsia="zh-CN"/>
              </w:rPr>
              <w:t xml:space="preserve"> </w:t>
            </w:r>
            <w:r>
              <w:rPr>
                <w:rFonts w:hint="default" w:ascii="Arial" w:hAnsi="Arial" w:eastAsia="宋体" w:cs="Arial"/>
                <w:color w:val="auto"/>
                <w:sz w:val="21"/>
                <w:szCs w:val="21"/>
              </w:rPr>
              <w:t>14848-2017）Ⅲ类标准；</w:t>
            </w:r>
          </w:p>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sz w:val="21"/>
                <w:szCs w:val="21"/>
                <w:lang w:val="en-US" w:eastAsia="zh-CN"/>
              </w:rPr>
            </w:pPr>
            <w:r>
              <w:rPr>
                <w:rFonts w:hint="default" w:ascii="Arial" w:hAnsi="Arial" w:eastAsia="宋体" w:cs="Arial"/>
                <w:color w:val="auto"/>
                <w:sz w:val="21"/>
                <w:szCs w:val="21"/>
              </w:rPr>
              <w:t>②“L”表示未检出或低于检出限；</w:t>
            </w:r>
            <w:r>
              <w:rPr>
                <w:rFonts w:hint="default" w:ascii="Arial" w:hAnsi="Arial" w:eastAsia="宋体" w:cs="Arial"/>
                <w:color w:val="auto"/>
                <w:sz w:val="21"/>
                <w:szCs w:val="21"/>
                <w:lang w:eastAsia="zh-CN"/>
              </w:rPr>
              <w:t>检出限详见检测方法一览表；</w:t>
            </w:r>
          </w:p>
        </w:tc>
      </w:tr>
    </w:tbl>
    <w:p>
      <w:pPr>
        <w:keepNext w:val="0"/>
        <w:keepLines w:val="0"/>
        <w:pageBreakBefore w:val="0"/>
        <w:widowControl w:val="0"/>
        <w:kinsoku/>
        <w:wordWrap/>
        <w:overflowPunct/>
        <w:topLinePunct/>
        <w:autoSpaceDE w:val="0"/>
        <w:autoSpaceDN/>
        <w:bidi w:val="0"/>
        <w:adjustRightInd/>
        <w:snapToGrid/>
        <w:spacing w:line="480" w:lineRule="exact"/>
        <w:ind w:firstLine="480" w:firstLineChars="200"/>
        <w:textAlignment w:val="auto"/>
        <w:rPr>
          <w:rFonts w:hint="default" w:ascii="Arial" w:hAnsi="Arial" w:eastAsia="宋体" w:cs="Arial"/>
          <w:color w:val="auto"/>
          <w:highlight w:val="none"/>
        </w:rPr>
      </w:pPr>
      <w:r>
        <w:rPr>
          <w:rFonts w:hint="default" w:ascii="Arial" w:hAnsi="Arial" w:eastAsia="宋体" w:cs="Arial"/>
          <w:color w:val="auto"/>
          <w:highlight w:val="none"/>
          <w:lang w:val="en-US" w:eastAsia="zh-CN"/>
        </w:rPr>
        <w:t>5</w:t>
      </w:r>
      <w:r>
        <w:rPr>
          <w:rFonts w:hint="default" w:ascii="Arial" w:hAnsi="Arial" w:eastAsia="宋体" w:cs="Arial"/>
          <w:color w:val="auto"/>
          <w:highlight w:val="none"/>
        </w:rPr>
        <w:t>、现状评价</w:t>
      </w:r>
    </w:p>
    <w:p>
      <w:pPr>
        <w:pageBreakBefore w:val="0"/>
        <w:widowControl w:val="0"/>
        <w:kinsoku/>
        <w:wordWrap/>
        <w:overflowPunct/>
        <w:topLinePunct/>
        <w:autoSpaceDE w:val="0"/>
        <w:autoSpaceDN/>
        <w:bidi w:val="0"/>
        <w:adjustRightInd/>
        <w:snapToGrid/>
        <w:spacing w:line="480" w:lineRule="exact"/>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（1）评价标准</w:t>
      </w:r>
      <w:bookmarkEnd w:id="305"/>
      <w:bookmarkEnd w:id="306"/>
      <w:bookmarkEnd w:id="307"/>
      <w:bookmarkEnd w:id="308"/>
      <w:bookmarkEnd w:id="309"/>
      <w:bookmarkEnd w:id="310"/>
      <w:bookmarkEnd w:id="311"/>
      <w:bookmarkEnd w:id="312"/>
      <w:bookmarkEnd w:id="313"/>
    </w:p>
    <w:p>
      <w:pPr>
        <w:pageBreakBefore w:val="0"/>
        <w:widowControl w:val="0"/>
        <w:kinsoku/>
        <w:wordWrap/>
        <w:overflowPunct/>
        <w:topLinePunct/>
        <w:autoSpaceDE w:val="0"/>
        <w:autoSpaceDN/>
        <w:bidi w:val="0"/>
        <w:adjustRightInd/>
        <w:snapToGrid/>
        <w:spacing w:line="480" w:lineRule="exact"/>
        <w:ind w:firstLine="480"/>
        <w:textAlignment w:val="auto"/>
        <w:rPr>
          <w:rFonts w:hint="default" w:ascii="Arial" w:hAnsi="Arial" w:eastAsia="宋体" w:cs="Arial"/>
          <w:color w:val="auto"/>
          <w:highlight w:val="none"/>
        </w:rPr>
      </w:pPr>
      <w:bookmarkStart w:id="314" w:name="_Ref432775268"/>
      <w:r>
        <w:rPr>
          <w:rFonts w:hint="default" w:ascii="Arial" w:hAnsi="Arial" w:eastAsia="宋体" w:cs="Arial"/>
          <w:color w:val="auto"/>
          <w:highlight w:val="none"/>
        </w:rPr>
        <w:t>本次地下水水质现状评价，检测项目均执行《地下水环境质量标准》（GB/T14848－2017）的III类标准。</w:t>
      </w:r>
    </w:p>
    <w:bookmarkEnd w:id="314"/>
    <w:p>
      <w:pPr>
        <w:pageBreakBefore w:val="0"/>
        <w:widowControl w:val="0"/>
        <w:kinsoku/>
        <w:wordWrap/>
        <w:overflowPunct/>
        <w:topLinePunct/>
        <w:autoSpaceDE w:val="0"/>
        <w:autoSpaceDN/>
        <w:bidi w:val="0"/>
        <w:adjustRightInd/>
        <w:snapToGrid/>
        <w:spacing w:line="480" w:lineRule="exact"/>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（2）评价方法</w:t>
      </w:r>
    </w:p>
    <w:p>
      <w:pPr>
        <w:pageBreakBefore w:val="0"/>
        <w:widowControl w:val="0"/>
        <w:kinsoku/>
        <w:wordWrap/>
        <w:overflowPunct/>
        <w:topLinePunct/>
        <w:autoSpaceDE w:val="0"/>
        <w:autoSpaceDN/>
        <w:bidi w:val="0"/>
        <w:adjustRightInd/>
        <w:snapToGrid/>
        <w:spacing w:line="480" w:lineRule="exact"/>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采用单因子标准指数法进行评价。当水质参数的标准指数大于1时，表明该水质参数超过了规定的水质标准，已经不能满足相应的使用要求。标准指数值越大，超标越严重。标准指数计算公式分为以下两种情况：</w:t>
      </w:r>
    </w:p>
    <w:p>
      <w:pPr>
        <w:pageBreakBefore w:val="0"/>
        <w:widowControl w:val="0"/>
        <w:kinsoku/>
        <w:wordWrap/>
        <w:overflowPunct/>
        <w:topLinePunct/>
        <w:autoSpaceDE w:val="0"/>
        <w:autoSpaceDN/>
        <w:bidi w:val="0"/>
        <w:adjustRightInd/>
        <w:snapToGrid/>
        <w:spacing w:line="480" w:lineRule="exact"/>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1）对于评价标准为定值的水质因子，其标准指数计算公式如下：</w:t>
      </w:r>
    </w:p>
    <w:p>
      <w:pPr>
        <w:pageBreakBefore w:val="0"/>
        <w:widowControl w:val="0"/>
        <w:kinsoku/>
        <w:wordWrap/>
        <w:overflowPunct/>
        <w:topLinePunct/>
        <w:autoSpaceDE w:val="0"/>
        <w:autoSpaceDN/>
        <w:bidi w:val="0"/>
        <w:adjustRightInd/>
        <w:snapToGrid/>
        <w:spacing w:line="480" w:lineRule="exact"/>
        <w:ind w:firstLine="480"/>
        <w:textAlignment w:val="auto"/>
        <w:rPr>
          <w:rFonts w:hint="default" w:ascii="Arial" w:hAnsi="Arial" w:eastAsia="宋体" w:cs="Arial"/>
          <w:color w:val="auto"/>
          <w:highlight w:val="none"/>
        </w:rPr>
      </w:pPr>
    </w:p>
    <w:p>
      <w:pPr>
        <w:pageBreakBefore w:val="0"/>
        <w:widowControl w:val="0"/>
        <w:kinsoku/>
        <w:wordWrap/>
        <w:overflowPunct/>
        <w:topLinePunct/>
        <w:autoSpaceDE w:val="0"/>
        <w:autoSpaceDN/>
        <w:bidi w:val="0"/>
        <w:adjustRightInd/>
        <w:snapToGrid/>
        <w:spacing w:line="480" w:lineRule="exact"/>
        <w:ind w:firstLine="0" w:firstLineChars="0"/>
        <w:textAlignment w:val="auto"/>
        <w:rPr>
          <w:rFonts w:hint="default" w:ascii="Arial" w:hAnsi="Arial" w:eastAsia="宋体" w:cs="Arial"/>
          <w:color w:val="auto"/>
          <w:highlight w:val="none"/>
        </w:rPr>
      </w:pPr>
      <m:oMathPara>
        <m:oMathParaPr>
          <m:jc m:val="center"/>
        </m:oMathParaPr>
        <m:oMath>
          <m:sSub>
            <m:sSubPr>
              <m:ctrlPr>
                <w:rPr>
                  <w:rFonts w:hint="default" w:ascii="Cambria Math" w:hAnsi="Cambria Math" w:eastAsia="宋体" w:cs="Arial"/>
                  <w:i/>
                  <w:color w:val="auto"/>
                  <w:szCs w:val="30"/>
                  <w:highlight w:val="none"/>
                </w:rPr>
              </m:ctrlPr>
            </m:sSubPr>
            <m:e>
              <m:r>
                <m:rPr/>
                <w:rPr>
                  <w:rFonts w:hint="default" w:ascii="Cambria Math" w:hAnsi="Cambria Math" w:eastAsia="宋体" w:cs="Arial"/>
                  <w:color w:val="auto"/>
                  <w:highlight w:val="none"/>
                </w:rPr>
                <m:t>P</m:t>
              </m:r>
              <m:ctrlPr>
                <w:rPr>
                  <w:rFonts w:hint="default" w:ascii="Cambria Math" w:hAnsi="Cambria Math" w:eastAsia="宋体" w:cs="Arial"/>
                  <w:i/>
                  <w:color w:val="auto"/>
                  <w:szCs w:val="30"/>
                  <w:highlight w:val="none"/>
                </w:rPr>
              </m:ctrlPr>
            </m:e>
            <m:sub>
              <m:r>
                <m:rPr/>
                <w:rPr>
                  <w:rFonts w:hint="default" w:ascii="Cambria Math" w:hAnsi="Cambria Math" w:eastAsia="宋体" w:cs="Arial"/>
                  <w:color w:val="auto"/>
                  <w:highlight w:val="none"/>
                </w:rPr>
                <m:t>i</m:t>
              </m:r>
              <m:ctrlPr>
                <w:rPr>
                  <w:rFonts w:hint="default" w:ascii="Cambria Math" w:hAnsi="Cambria Math" w:eastAsia="宋体" w:cs="Arial"/>
                  <w:i/>
                  <w:color w:val="auto"/>
                  <w:szCs w:val="30"/>
                  <w:highlight w:val="none"/>
                </w:rPr>
              </m:ctrlPr>
            </m:sub>
          </m:sSub>
          <m:r>
            <m:rPr/>
            <w:rPr>
              <w:rFonts w:hint="default" w:ascii="Cambria Math" w:hAnsi="Cambria Math" w:eastAsia="宋体" w:cs="Arial"/>
              <w:color w:val="auto"/>
              <w:highlight w:val="none"/>
            </w:rPr>
            <m:t>=</m:t>
          </m:r>
          <m:f>
            <m:fPr>
              <m:ctrlPr>
                <w:rPr>
                  <w:rFonts w:hint="default" w:ascii="Cambria Math" w:hAnsi="Cambria Math" w:eastAsia="宋体" w:cs="Arial"/>
                  <w:i/>
                  <w:color w:val="auto"/>
                  <w:szCs w:val="30"/>
                  <w:highlight w:val="none"/>
                </w:rPr>
              </m:ctrlPr>
            </m:fPr>
            <m:num>
              <m:sSub>
                <m:sSubPr>
                  <m:ctrlPr>
                    <w:rPr>
                      <w:rFonts w:hint="default" w:ascii="Cambria Math" w:hAnsi="Cambria Math" w:eastAsia="宋体" w:cs="Arial"/>
                      <w:i/>
                      <w:color w:val="auto"/>
                      <w:szCs w:val="30"/>
                      <w:highlight w:val="none"/>
                    </w:rPr>
                  </m:ctrlPr>
                </m:sSubPr>
                <m:e>
                  <m:r>
                    <m:rPr/>
                    <w:rPr>
                      <w:rFonts w:hint="default" w:ascii="Cambria Math" w:hAnsi="Cambria Math" w:eastAsia="宋体" w:cs="Arial"/>
                      <w:color w:val="auto"/>
                      <w:highlight w:val="none"/>
                    </w:rPr>
                    <m:t>C</m:t>
                  </m:r>
                  <m:ctrlPr>
                    <w:rPr>
                      <w:rFonts w:hint="default" w:ascii="Cambria Math" w:hAnsi="Cambria Math" w:eastAsia="宋体" w:cs="Arial"/>
                      <w:i/>
                      <w:color w:val="auto"/>
                      <w:szCs w:val="30"/>
                      <w:highlight w:val="none"/>
                    </w:rPr>
                  </m:ctrlPr>
                </m:e>
                <m:sub>
                  <m:r>
                    <m:rPr/>
                    <w:rPr>
                      <w:rFonts w:hint="default" w:ascii="Cambria Math" w:hAnsi="Cambria Math" w:eastAsia="宋体" w:cs="Arial"/>
                      <w:color w:val="auto"/>
                      <w:highlight w:val="none"/>
                    </w:rPr>
                    <m:t>i</m:t>
                  </m:r>
                  <m:ctrlPr>
                    <w:rPr>
                      <w:rFonts w:hint="default" w:ascii="Cambria Math" w:hAnsi="Cambria Math" w:eastAsia="宋体" w:cs="Arial"/>
                      <w:i/>
                      <w:color w:val="auto"/>
                      <w:szCs w:val="30"/>
                      <w:highlight w:val="none"/>
                    </w:rPr>
                  </m:ctrlPr>
                </m:sub>
              </m:sSub>
              <m:ctrlPr>
                <w:rPr>
                  <w:rFonts w:hint="default" w:ascii="Cambria Math" w:hAnsi="Cambria Math" w:eastAsia="宋体" w:cs="Arial"/>
                  <w:i/>
                  <w:color w:val="auto"/>
                  <w:szCs w:val="30"/>
                  <w:highlight w:val="none"/>
                </w:rPr>
              </m:ctrlPr>
            </m:num>
            <m:den>
              <m:sSub>
                <m:sSubPr>
                  <m:ctrlPr>
                    <w:rPr>
                      <w:rFonts w:hint="default" w:ascii="Cambria Math" w:hAnsi="Cambria Math" w:eastAsia="宋体" w:cs="Arial"/>
                      <w:i/>
                      <w:color w:val="auto"/>
                      <w:szCs w:val="30"/>
                      <w:highlight w:val="none"/>
                    </w:rPr>
                  </m:ctrlPr>
                </m:sSubPr>
                <m:e>
                  <m:r>
                    <m:rPr/>
                    <w:rPr>
                      <w:rFonts w:hint="default" w:ascii="Cambria Math" w:hAnsi="Cambria Math" w:eastAsia="宋体" w:cs="Arial"/>
                      <w:color w:val="auto"/>
                      <w:highlight w:val="none"/>
                    </w:rPr>
                    <m:t>C</m:t>
                  </m:r>
                  <m:ctrlPr>
                    <w:rPr>
                      <w:rFonts w:hint="default" w:ascii="Cambria Math" w:hAnsi="Cambria Math" w:eastAsia="宋体" w:cs="Arial"/>
                      <w:i/>
                      <w:color w:val="auto"/>
                      <w:szCs w:val="30"/>
                      <w:highlight w:val="none"/>
                    </w:rPr>
                  </m:ctrlPr>
                </m:e>
                <m:sub>
                  <m:r>
                    <m:rPr/>
                    <w:rPr>
                      <w:rFonts w:hint="default" w:ascii="Cambria Math" w:hAnsi="Cambria Math" w:eastAsia="宋体" w:cs="Arial"/>
                      <w:color w:val="auto"/>
                      <w:highlight w:val="none"/>
                    </w:rPr>
                    <m:t>si</m:t>
                  </m:r>
                  <m:ctrlPr>
                    <w:rPr>
                      <w:rFonts w:hint="default" w:ascii="Cambria Math" w:hAnsi="Cambria Math" w:eastAsia="宋体" w:cs="Arial"/>
                      <w:i/>
                      <w:color w:val="auto"/>
                      <w:szCs w:val="30"/>
                      <w:highlight w:val="none"/>
                    </w:rPr>
                  </m:ctrlPr>
                </m:sub>
              </m:sSub>
              <m:ctrlPr>
                <w:rPr>
                  <w:rFonts w:hint="default" w:ascii="Cambria Math" w:hAnsi="Cambria Math" w:eastAsia="宋体" w:cs="Arial"/>
                  <w:i/>
                  <w:color w:val="auto"/>
                  <w:szCs w:val="30"/>
                  <w:highlight w:val="none"/>
                </w:rPr>
              </m:ctrlPr>
            </m:den>
          </m:f>
        </m:oMath>
      </m:oMathPara>
    </w:p>
    <w:p>
      <w:pPr>
        <w:pageBreakBefore w:val="0"/>
        <w:widowControl w:val="0"/>
        <w:kinsoku/>
        <w:wordWrap/>
        <w:overflowPunct/>
        <w:topLinePunct/>
        <w:autoSpaceDE w:val="0"/>
        <w:autoSpaceDN/>
        <w:bidi w:val="0"/>
        <w:adjustRightInd/>
        <w:snapToGrid/>
        <w:spacing w:line="480" w:lineRule="exact"/>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式中：</w:t>
      </w:r>
    </w:p>
    <w:p>
      <w:pPr>
        <w:pageBreakBefore w:val="0"/>
        <w:widowControl w:val="0"/>
        <w:kinsoku/>
        <w:wordWrap/>
        <w:overflowPunct/>
        <w:topLinePunct/>
        <w:autoSpaceDE w:val="0"/>
        <w:autoSpaceDN/>
        <w:bidi w:val="0"/>
        <w:adjustRightInd/>
        <w:snapToGrid/>
        <w:spacing w:line="480" w:lineRule="exact"/>
        <w:ind w:firstLine="480"/>
        <w:textAlignment w:val="auto"/>
        <w:rPr>
          <w:rFonts w:hint="default" w:ascii="Arial" w:hAnsi="Arial" w:eastAsia="宋体" w:cs="Arial"/>
          <w:color w:val="auto"/>
          <w:highlight w:val="none"/>
        </w:rPr>
      </w:pPr>
      <m:oMath>
        <m:sSub>
          <m:sSubPr>
            <m:ctrlPr>
              <w:rPr>
                <w:rFonts w:hint="default" w:ascii="Cambria Math" w:hAnsi="Cambria Math" w:eastAsia="宋体" w:cs="Arial"/>
                <w:i/>
                <w:color w:val="auto"/>
                <w:szCs w:val="30"/>
                <w:highlight w:val="none"/>
              </w:rPr>
            </m:ctrlPr>
          </m:sSubPr>
          <m:e>
            <m:r>
              <m:rPr/>
              <w:rPr>
                <w:rFonts w:hint="default" w:ascii="Cambria Math" w:hAnsi="Cambria Math" w:eastAsia="宋体" w:cs="Arial"/>
                <w:color w:val="auto"/>
                <w:highlight w:val="none"/>
              </w:rPr>
              <m:t>P</m:t>
            </m:r>
            <m:ctrlPr>
              <w:rPr>
                <w:rFonts w:hint="default" w:ascii="Cambria Math" w:hAnsi="Cambria Math" w:eastAsia="宋体" w:cs="Arial"/>
                <w:i/>
                <w:color w:val="auto"/>
                <w:szCs w:val="30"/>
                <w:highlight w:val="none"/>
              </w:rPr>
            </m:ctrlPr>
          </m:e>
          <m:sub>
            <m:r>
              <m:rPr/>
              <w:rPr>
                <w:rFonts w:hint="default" w:ascii="Cambria Math" w:hAnsi="Cambria Math" w:eastAsia="宋体" w:cs="Arial"/>
                <w:color w:val="auto"/>
                <w:highlight w:val="none"/>
              </w:rPr>
              <m:t>i</m:t>
            </m:r>
            <m:ctrlPr>
              <w:rPr>
                <w:rFonts w:hint="default" w:ascii="Cambria Math" w:hAnsi="Cambria Math" w:eastAsia="宋体" w:cs="Arial"/>
                <w:i/>
                <w:color w:val="auto"/>
                <w:szCs w:val="30"/>
                <w:highlight w:val="none"/>
              </w:rPr>
            </m:ctrlPr>
          </m:sub>
        </m:sSub>
      </m:oMath>
      <w:r>
        <w:rPr>
          <w:rFonts w:hint="default" w:ascii="Arial" w:hAnsi="Arial" w:eastAsia="宋体" w:cs="Arial"/>
          <w:color w:val="auto"/>
          <w:highlight w:val="none"/>
        </w:rPr>
        <w:t>—第i个水质因子的标准指数，量纲为1；</w:t>
      </w:r>
    </w:p>
    <w:p>
      <w:pPr>
        <w:pageBreakBefore w:val="0"/>
        <w:widowControl w:val="0"/>
        <w:kinsoku/>
        <w:wordWrap/>
        <w:overflowPunct/>
        <w:topLinePunct/>
        <w:autoSpaceDE w:val="0"/>
        <w:autoSpaceDN/>
        <w:bidi w:val="0"/>
        <w:adjustRightInd/>
        <w:snapToGrid/>
        <w:spacing w:line="480" w:lineRule="exact"/>
        <w:ind w:firstLine="480"/>
        <w:textAlignment w:val="auto"/>
        <w:rPr>
          <w:rFonts w:hint="default" w:ascii="Arial" w:hAnsi="Arial" w:eastAsia="宋体" w:cs="Arial"/>
          <w:color w:val="auto"/>
          <w:highlight w:val="none"/>
        </w:rPr>
      </w:pPr>
      <m:oMath>
        <m:sSub>
          <m:sSubPr>
            <m:ctrlPr>
              <w:rPr>
                <w:rFonts w:hint="default" w:ascii="Cambria Math" w:hAnsi="Cambria Math" w:eastAsia="宋体" w:cs="Arial"/>
                <w:i/>
                <w:color w:val="auto"/>
                <w:szCs w:val="30"/>
                <w:highlight w:val="none"/>
              </w:rPr>
            </m:ctrlPr>
          </m:sSubPr>
          <m:e>
            <m:r>
              <m:rPr/>
              <w:rPr>
                <w:rFonts w:hint="default" w:ascii="Cambria Math" w:hAnsi="Cambria Math" w:eastAsia="宋体" w:cs="Arial"/>
                <w:color w:val="auto"/>
                <w:highlight w:val="none"/>
              </w:rPr>
              <m:t>C</m:t>
            </m:r>
            <m:ctrlPr>
              <w:rPr>
                <w:rFonts w:hint="default" w:ascii="Cambria Math" w:hAnsi="Cambria Math" w:eastAsia="宋体" w:cs="Arial"/>
                <w:i/>
                <w:color w:val="auto"/>
                <w:szCs w:val="30"/>
                <w:highlight w:val="none"/>
              </w:rPr>
            </m:ctrlPr>
          </m:e>
          <m:sub>
            <m:r>
              <m:rPr/>
              <w:rPr>
                <w:rFonts w:hint="default" w:ascii="Cambria Math" w:hAnsi="Cambria Math" w:eastAsia="宋体" w:cs="Arial"/>
                <w:color w:val="auto"/>
                <w:highlight w:val="none"/>
              </w:rPr>
              <m:t>i</m:t>
            </m:r>
            <m:ctrlPr>
              <w:rPr>
                <w:rFonts w:hint="default" w:ascii="Cambria Math" w:hAnsi="Cambria Math" w:eastAsia="宋体" w:cs="Arial"/>
                <w:i/>
                <w:color w:val="auto"/>
                <w:szCs w:val="30"/>
                <w:highlight w:val="none"/>
              </w:rPr>
            </m:ctrlPr>
          </m:sub>
        </m:sSub>
      </m:oMath>
      <w:r>
        <w:rPr>
          <w:rFonts w:hint="default" w:ascii="Arial" w:hAnsi="Arial" w:eastAsia="宋体" w:cs="Arial"/>
          <w:color w:val="auto"/>
          <w:highlight w:val="none"/>
        </w:rPr>
        <w:t>—第i个水质因子的监测浓度值，mg/L；</w:t>
      </w:r>
    </w:p>
    <w:p>
      <w:pPr>
        <w:pageBreakBefore w:val="0"/>
        <w:widowControl w:val="0"/>
        <w:kinsoku/>
        <w:wordWrap/>
        <w:overflowPunct/>
        <w:topLinePunct/>
        <w:autoSpaceDE w:val="0"/>
        <w:autoSpaceDN/>
        <w:bidi w:val="0"/>
        <w:adjustRightInd/>
        <w:snapToGrid/>
        <w:spacing w:line="480" w:lineRule="exact"/>
        <w:ind w:firstLine="480"/>
        <w:textAlignment w:val="auto"/>
        <w:rPr>
          <w:rFonts w:hint="default" w:ascii="Arial" w:hAnsi="Arial" w:eastAsia="宋体" w:cs="Arial"/>
          <w:color w:val="auto"/>
          <w:highlight w:val="none"/>
        </w:rPr>
      </w:pPr>
      <m:oMath>
        <m:sSub>
          <m:sSubPr>
            <m:ctrlPr>
              <w:rPr>
                <w:rFonts w:hint="default" w:ascii="Cambria Math" w:hAnsi="Cambria Math" w:eastAsia="宋体" w:cs="Arial"/>
                <w:i/>
                <w:color w:val="auto"/>
                <w:szCs w:val="30"/>
                <w:highlight w:val="none"/>
              </w:rPr>
            </m:ctrlPr>
          </m:sSubPr>
          <m:e>
            <m:r>
              <m:rPr/>
              <w:rPr>
                <w:rFonts w:hint="default" w:ascii="Cambria Math" w:hAnsi="Cambria Math" w:eastAsia="宋体" w:cs="Arial"/>
                <w:color w:val="auto"/>
                <w:highlight w:val="none"/>
              </w:rPr>
              <m:t>C</m:t>
            </m:r>
            <m:ctrlPr>
              <w:rPr>
                <w:rFonts w:hint="default" w:ascii="Cambria Math" w:hAnsi="Cambria Math" w:eastAsia="宋体" w:cs="Arial"/>
                <w:i/>
                <w:color w:val="auto"/>
                <w:szCs w:val="30"/>
                <w:highlight w:val="none"/>
              </w:rPr>
            </m:ctrlPr>
          </m:e>
          <m:sub>
            <m:r>
              <m:rPr/>
              <w:rPr>
                <w:rFonts w:hint="default" w:ascii="Cambria Math" w:hAnsi="Cambria Math" w:eastAsia="宋体" w:cs="Arial"/>
                <w:color w:val="auto"/>
                <w:highlight w:val="none"/>
              </w:rPr>
              <m:t>si</m:t>
            </m:r>
            <m:ctrlPr>
              <w:rPr>
                <w:rFonts w:hint="default" w:ascii="Cambria Math" w:hAnsi="Cambria Math" w:eastAsia="宋体" w:cs="Arial"/>
                <w:i/>
                <w:color w:val="auto"/>
                <w:szCs w:val="30"/>
                <w:highlight w:val="none"/>
              </w:rPr>
            </m:ctrlPr>
          </m:sub>
        </m:sSub>
      </m:oMath>
      <w:r>
        <w:rPr>
          <w:rFonts w:hint="default" w:ascii="Arial" w:hAnsi="Arial" w:eastAsia="宋体" w:cs="Arial"/>
          <w:color w:val="auto"/>
          <w:highlight w:val="none"/>
        </w:rPr>
        <w:t>—第i个水质因子的标准浓度值，mg/L。</w:t>
      </w:r>
    </w:p>
    <w:p>
      <w:pPr>
        <w:pageBreakBefore w:val="0"/>
        <w:widowControl w:val="0"/>
        <w:kinsoku/>
        <w:wordWrap/>
        <w:overflowPunct/>
        <w:topLinePunct/>
        <w:autoSpaceDE w:val="0"/>
        <w:autoSpaceDN/>
        <w:bidi w:val="0"/>
        <w:adjustRightInd/>
        <w:snapToGrid/>
        <w:spacing w:line="480" w:lineRule="exact"/>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2）对于评价标准为区间值的水质因子（如pH值），其标准指数计算公式如下：</w:t>
      </w:r>
    </w:p>
    <w:p>
      <w:pPr>
        <w:pageBreakBefore w:val="0"/>
        <w:widowControl w:val="0"/>
        <w:kinsoku/>
        <w:wordWrap/>
        <w:overflowPunct/>
        <w:topLinePunct/>
        <w:autoSpaceDE w:val="0"/>
        <w:autoSpaceDN/>
        <w:bidi w:val="0"/>
        <w:adjustRightInd/>
        <w:snapToGrid/>
        <w:spacing w:line="360" w:lineRule="auto"/>
        <w:ind w:firstLine="0" w:firstLineChars="0"/>
        <w:textAlignment w:val="auto"/>
        <w:rPr>
          <w:rFonts w:hint="default" w:ascii="Arial" w:hAnsi="Arial" w:eastAsia="宋体" w:cs="Arial"/>
          <w:color w:val="auto"/>
          <w:highlight w:val="none"/>
        </w:rPr>
      </w:pPr>
      <m:oMathPara>
        <m:oMathParaPr>
          <m:jc m:val="center"/>
        </m:oMathParaPr>
        <m:oMath>
          <m:sSub>
            <m:sSubPr>
              <m:ctrlPr>
                <w:rPr>
                  <w:rFonts w:hint="default" w:ascii="Cambria Math" w:hAnsi="Cambria Math" w:eastAsia="宋体" w:cs="Arial"/>
                  <w:i/>
                  <w:color w:val="auto"/>
                  <w:szCs w:val="30"/>
                  <w:highlight w:val="none"/>
                </w:rPr>
              </m:ctrlPr>
            </m:sSubPr>
            <m:e>
              <m:r>
                <m:rPr/>
                <w:rPr>
                  <w:rFonts w:hint="default" w:ascii="Cambria Math" w:hAnsi="Cambria Math" w:eastAsia="宋体" w:cs="Arial"/>
                  <w:color w:val="auto"/>
                  <w:highlight w:val="none"/>
                </w:rPr>
                <m:t>P</m:t>
              </m:r>
              <m:ctrlPr>
                <w:rPr>
                  <w:rFonts w:hint="default" w:ascii="Cambria Math" w:hAnsi="Cambria Math" w:eastAsia="宋体" w:cs="Arial"/>
                  <w:i/>
                  <w:color w:val="auto"/>
                  <w:szCs w:val="30"/>
                  <w:highlight w:val="none"/>
                </w:rPr>
              </m:ctrlPr>
            </m:e>
            <m:sub>
              <m:r>
                <m:rPr/>
                <w:rPr>
                  <w:rFonts w:hint="default" w:ascii="Cambria Math" w:hAnsi="Cambria Math" w:eastAsia="宋体" w:cs="Arial"/>
                  <w:color w:val="auto"/>
                  <w:highlight w:val="none"/>
                </w:rPr>
                <m:t>pH</m:t>
              </m:r>
              <m:ctrlPr>
                <w:rPr>
                  <w:rFonts w:hint="default" w:ascii="Cambria Math" w:hAnsi="Cambria Math" w:eastAsia="宋体" w:cs="Arial"/>
                  <w:i/>
                  <w:color w:val="auto"/>
                  <w:szCs w:val="30"/>
                  <w:highlight w:val="none"/>
                </w:rPr>
              </m:ctrlPr>
            </m:sub>
          </m:sSub>
          <m:r>
            <m:rPr/>
            <w:rPr>
              <w:rFonts w:hint="default" w:ascii="Cambria Math" w:hAnsi="Cambria Math" w:eastAsia="宋体" w:cs="Arial"/>
              <w:color w:val="auto"/>
              <w:highlight w:val="none"/>
            </w:rPr>
            <m:t>=</m:t>
          </m:r>
          <m:f>
            <m:fPr>
              <m:ctrlPr>
                <w:rPr>
                  <w:rFonts w:hint="default" w:ascii="Cambria Math" w:hAnsi="Cambria Math" w:eastAsia="宋体" w:cs="Arial"/>
                  <w:i/>
                  <w:color w:val="auto"/>
                  <w:szCs w:val="30"/>
                  <w:highlight w:val="none"/>
                </w:rPr>
              </m:ctrlPr>
            </m:fPr>
            <m:num>
              <m:r>
                <m:rPr/>
                <w:rPr>
                  <w:rFonts w:hint="default" w:ascii="Cambria Math" w:hAnsi="Cambria Math" w:eastAsia="宋体" w:cs="Arial"/>
                  <w:color w:val="auto"/>
                  <w:highlight w:val="none"/>
                </w:rPr>
                <m:t>7.0−pH</m:t>
              </m:r>
              <m:ctrlPr>
                <w:rPr>
                  <w:rFonts w:hint="default" w:ascii="Cambria Math" w:hAnsi="Cambria Math" w:eastAsia="宋体" w:cs="Arial"/>
                  <w:i/>
                  <w:color w:val="auto"/>
                  <w:szCs w:val="30"/>
                  <w:highlight w:val="none"/>
                </w:rPr>
              </m:ctrlPr>
            </m:num>
            <m:den>
              <m:r>
                <m:rPr/>
                <w:rPr>
                  <w:rFonts w:hint="default" w:ascii="Cambria Math" w:hAnsi="Cambria Math" w:eastAsia="宋体" w:cs="Arial"/>
                  <w:color w:val="auto"/>
                  <w:highlight w:val="none"/>
                </w:rPr>
                <m:t>7.0−</m:t>
              </m:r>
              <m:sSub>
                <m:sSubPr>
                  <m:ctrlPr>
                    <w:rPr>
                      <w:rFonts w:hint="default" w:ascii="Cambria Math" w:hAnsi="Cambria Math" w:eastAsia="宋体" w:cs="Arial"/>
                      <w:i/>
                      <w:color w:val="auto"/>
                      <w:szCs w:val="30"/>
                      <w:highlight w:val="none"/>
                    </w:rPr>
                  </m:ctrlPr>
                </m:sSubPr>
                <m:e>
                  <m:r>
                    <m:rPr/>
                    <w:rPr>
                      <w:rFonts w:hint="default" w:ascii="Cambria Math" w:hAnsi="Cambria Math" w:eastAsia="宋体" w:cs="Arial"/>
                      <w:color w:val="auto"/>
                      <w:highlight w:val="none"/>
                    </w:rPr>
                    <m:t>pH</m:t>
                  </m:r>
                  <m:ctrlPr>
                    <w:rPr>
                      <w:rFonts w:hint="default" w:ascii="Cambria Math" w:hAnsi="Cambria Math" w:eastAsia="宋体" w:cs="Arial"/>
                      <w:i/>
                      <w:color w:val="auto"/>
                      <w:szCs w:val="30"/>
                      <w:highlight w:val="none"/>
                    </w:rPr>
                  </m:ctrlPr>
                </m:e>
                <m:sub>
                  <m:r>
                    <m:rPr/>
                    <w:rPr>
                      <w:rFonts w:hint="default" w:ascii="Cambria Math" w:hAnsi="Cambria Math" w:eastAsia="宋体" w:cs="Arial"/>
                      <w:color w:val="auto"/>
                      <w:highlight w:val="none"/>
                    </w:rPr>
                    <m:t>sd</m:t>
                  </m:r>
                  <m:ctrlPr>
                    <w:rPr>
                      <w:rFonts w:hint="default" w:ascii="Cambria Math" w:hAnsi="Cambria Math" w:eastAsia="宋体" w:cs="Arial"/>
                      <w:i/>
                      <w:color w:val="auto"/>
                      <w:szCs w:val="30"/>
                      <w:highlight w:val="none"/>
                    </w:rPr>
                  </m:ctrlPr>
                </m:sub>
              </m:sSub>
              <m:ctrlPr>
                <w:rPr>
                  <w:rFonts w:hint="default" w:ascii="Cambria Math" w:hAnsi="Cambria Math" w:eastAsia="宋体" w:cs="Arial"/>
                  <w:i/>
                  <w:color w:val="auto"/>
                  <w:szCs w:val="30"/>
                  <w:highlight w:val="none"/>
                </w:rPr>
              </m:ctrlPr>
            </m:den>
          </m:f>
          <m:r>
            <m:rPr/>
            <w:rPr>
              <w:rFonts w:hint="default" w:ascii="Cambria Math" w:hAnsi="Cambria Math" w:eastAsia="宋体" w:cs="Arial"/>
              <w:color w:val="auto"/>
              <w:highlight w:val="none"/>
            </w:rPr>
            <m:t xml:space="preserve"> pH</m:t>
          </m:r>
          <m:r>
            <m:rPr>
              <m:sty m:val="p"/>
            </m:rPr>
            <w:rPr>
              <w:rFonts w:hint="default" w:ascii="Cambria Math" w:hAnsi="Cambria Math" w:eastAsia="宋体" w:cs="Arial"/>
              <w:color w:val="auto"/>
              <w:highlight w:val="none"/>
            </w:rPr>
            <m:t>≤7时</m:t>
          </m:r>
        </m:oMath>
      </m:oMathPara>
    </w:p>
    <w:p>
      <w:pPr>
        <w:pageBreakBefore w:val="0"/>
        <w:widowControl w:val="0"/>
        <w:kinsoku/>
        <w:wordWrap/>
        <w:overflowPunct/>
        <w:topLinePunct/>
        <w:autoSpaceDE w:val="0"/>
        <w:autoSpaceDN/>
        <w:bidi w:val="0"/>
        <w:adjustRightInd/>
        <w:snapToGrid/>
        <w:spacing w:line="360" w:lineRule="auto"/>
        <w:ind w:firstLine="0" w:firstLineChars="0"/>
        <w:textAlignment w:val="auto"/>
        <w:rPr>
          <w:rFonts w:hint="default" w:ascii="Arial" w:hAnsi="Arial" w:eastAsia="宋体" w:cs="Arial"/>
          <w:color w:val="auto"/>
          <w:highlight w:val="none"/>
        </w:rPr>
      </w:pPr>
      <m:oMathPara>
        <m:oMathParaPr>
          <m:jc m:val="center"/>
        </m:oMathParaPr>
        <m:oMath>
          <m:sSub>
            <m:sSubPr>
              <m:ctrlPr>
                <w:rPr>
                  <w:rFonts w:hint="default" w:ascii="Cambria Math" w:hAnsi="Cambria Math" w:eastAsia="宋体" w:cs="Arial"/>
                  <w:i/>
                  <w:color w:val="auto"/>
                  <w:szCs w:val="30"/>
                  <w:highlight w:val="none"/>
                </w:rPr>
              </m:ctrlPr>
            </m:sSubPr>
            <m:e>
              <m:r>
                <m:rPr/>
                <w:rPr>
                  <w:rFonts w:hint="default" w:ascii="Cambria Math" w:hAnsi="Cambria Math" w:eastAsia="宋体" w:cs="Arial"/>
                  <w:color w:val="auto"/>
                  <w:highlight w:val="none"/>
                </w:rPr>
                <m:t>P</m:t>
              </m:r>
              <m:ctrlPr>
                <w:rPr>
                  <w:rFonts w:hint="default" w:ascii="Cambria Math" w:hAnsi="Cambria Math" w:eastAsia="宋体" w:cs="Arial"/>
                  <w:i/>
                  <w:color w:val="auto"/>
                  <w:szCs w:val="30"/>
                  <w:highlight w:val="none"/>
                </w:rPr>
              </m:ctrlPr>
            </m:e>
            <m:sub>
              <m:r>
                <m:rPr/>
                <w:rPr>
                  <w:rFonts w:hint="default" w:ascii="Cambria Math" w:hAnsi="Cambria Math" w:eastAsia="宋体" w:cs="Arial"/>
                  <w:color w:val="auto"/>
                  <w:highlight w:val="none"/>
                </w:rPr>
                <m:t>pH</m:t>
              </m:r>
              <m:ctrlPr>
                <w:rPr>
                  <w:rFonts w:hint="default" w:ascii="Cambria Math" w:hAnsi="Cambria Math" w:eastAsia="宋体" w:cs="Arial"/>
                  <w:i/>
                  <w:color w:val="auto"/>
                  <w:szCs w:val="30"/>
                  <w:highlight w:val="none"/>
                </w:rPr>
              </m:ctrlPr>
            </m:sub>
          </m:sSub>
          <m:r>
            <m:rPr/>
            <w:rPr>
              <w:rFonts w:hint="default" w:ascii="Cambria Math" w:hAnsi="Cambria Math" w:eastAsia="宋体" w:cs="Arial"/>
              <w:color w:val="auto"/>
              <w:highlight w:val="none"/>
            </w:rPr>
            <m:t>=</m:t>
          </m:r>
          <m:f>
            <m:fPr>
              <m:ctrlPr>
                <w:rPr>
                  <w:rFonts w:hint="default" w:ascii="Cambria Math" w:hAnsi="Cambria Math" w:eastAsia="宋体" w:cs="Arial"/>
                  <w:i/>
                  <w:color w:val="auto"/>
                  <w:szCs w:val="30"/>
                  <w:highlight w:val="none"/>
                </w:rPr>
              </m:ctrlPr>
            </m:fPr>
            <m:num>
              <m:r>
                <m:rPr/>
                <w:rPr>
                  <w:rFonts w:hint="default" w:ascii="Cambria Math" w:hAnsi="Cambria Math" w:eastAsia="宋体" w:cs="Arial"/>
                  <w:color w:val="auto"/>
                  <w:highlight w:val="none"/>
                </w:rPr>
                <m:t>pH−</m:t>
              </m:r>
              <m:r>
                <m:rPr>
                  <m:sty m:val="p"/>
                </m:rPr>
                <w:rPr>
                  <w:rFonts w:hint="default" w:ascii="Cambria Math" w:hAnsi="Cambria Math" w:eastAsia="宋体" w:cs="Arial"/>
                  <w:color w:val="auto"/>
                  <w:highlight w:val="none"/>
                </w:rPr>
                <m:t>7.0</m:t>
              </m:r>
              <m:ctrlPr>
                <w:rPr>
                  <w:rFonts w:hint="default" w:ascii="Cambria Math" w:hAnsi="Cambria Math" w:eastAsia="宋体" w:cs="Arial"/>
                  <w:i/>
                  <w:color w:val="auto"/>
                  <w:szCs w:val="30"/>
                  <w:highlight w:val="none"/>
                </w:rPr>
              </m:ctrlPr>
            </m:num>
            <m:den>
              <m:sSub>
                <m:sSubPr>
                  <m:ctrlPr>
                    <w:rPr>
                      <w:rFonts w:hint="default" w:ascii="Cambria Math" w:hAnsi="Cambria Math" w:eastAsia="宋体" w:cs="Arial"/>
                      <w:i/>
                      <w:color w:val="auto"/>
                      <w:szCs w:val="30"/>
                      <w:highlight w:val="none"/>
                    </w:rPr>
                  </m:ctrlPr>
                </m:sSubPr>
                <m:e>
                  <m:r>
                    <m:rPr/>
                    <w:rPr>
                      <w:rFonts w:hint="default" w:ascii="Cambria Math" w:hAnsi="Cambria Math" w:eastAsia="宋体" w:cs="Arial"/>
                      <w:color w:val="auto"/>
                      <w:highlight w:val="none"/>
                    </w:rPr>
                    <m:t>pH</m:t>
                  </m:r>
                  <m:ctrlPr>
                    <w:rPr>
                      <w:rFonts w:hint="default" w:ascii="Cambria Math" w:hAnsi="Cambria Math" w:eastAsia="宋体" w:cs="Arial"/>
                      <w:i/>
                      <w:color w:val="auto"/>
                      <w:szCs w:val="30"/>
                      <w:highlight w:val="none"/>
                    </w:rPr>
                  </m:ctrlPr>
                </m:e>
                <m:sub>
                  <m:r>
                    <m:rPr/>
                    <w:rPr>
                      <w:rFonts w:hint="default" w:ascii="Cambria Math" w:hAnsi="Cambria Math" w:eastAsia="宋体" w:cs="Arial"/>
                      <w:color w:val="auto"/>
                      <w:highlight w:val="none"/>
                    </w:rPr>
                    <m:t>su</m:t>
                  </m:r>
                  <m:ctrlPr>
                    <w:rPr>
                      <w:rFonts w:hint="default" w:ascii="Cambria Math" w:hAnsi="Cambria Math" w:eastAsia="宋体" w:cs="Arial"/>
                      <w:i/>
                      <w:color w:val="auto"/>
                      <w:szCs w:val="30"/>
                      <w:highlight w:val="none"/>
                    </w:rPr>
                  </m:ctrlPr>
                </m:sub>
              </m:sSub>
              <m:r>
                <m:rPr/>
                <w:rPr>
                  <w:rFonts w:hint="default" w:ascii="Cambria Math" w:hAnsi="Cambria Math" w:eastAsia="宋体" w:cs="Arial"/>
                  <w:color w:val="auto"/>
                  <w:highlight w:val="none"/>
                </w:rPr>
                <m:t>−</m:t>
              </m:r>
              <m:r>
                <m:rPr>
                  <m:sty m:val="p"/>
                </m:rPr>
                <w:rPr>
                  <w:rFonts w:hint="default" w:ascii="Cambria Math" w:hAnsi="Cambria Math" w:eastAsia="宋体" w:cs="Arial"/>
                  <w:color w:val="auto"/>
                  <w:highlight w:val="none"/>
                </w:rPr>
                <m:t>7.0</m:t>
              </m:r>
              <m:ctrlPr>
                <w:rPr>
                  <w:rFonts w:hint="default" w:ascii="Cambria Math" w:hAnsi="Cambria Math" w:eastAsia="宋体" w:cs="Arial"/>
                  <w:i/>
                  <w:color w:val="auto"/>
                  <w:szCs w:val="30"/>
                  <w:highlight w:val="none"/>
                </w:rPr>
              </m:ctrlPr>
            </m:den>
          </m:f>
          <m:r>
            <m:rPr/>
            <w:rPr>
              <w:rFonts w:hint="default" w:ascii="Cambria Math" w:hAnsi="Cambria Math" w:eastAsia="宋体" w:cs="Arial"/>
              <w:color w:val="auto"/>
              <w:highlight w:val="none"/>
            </w:rPr>
            <m:t xml:space="preserve"> pH</m:t>
          </m:r>
          <m:r>
            <m:rPr>
              <m:sty m:val="p"/>
            </m:rPr>
            <w:rPr>
              <w:rFonts w:hint="default" w:ascii="Cambria Math" w:hAnsi="Cambria Math" w:eastAsia="宋体" w:cs="Arial"/>
              <w:color w:val="auto"/>
              <w:highlight w:val="none"/>
            </w:rPr>
            <m:t>&gt;</m:t>
          </m:r>
          <m:r>
            <m:rPr/>
            <w:rPr>
              <w:rFonts w:hint="default" w:ascii="Cambria Math" w:hAnsi="Cambria Math" w:eastAsia="宋体" w:cs="Arial"/>
              <w:color w:val="auto"/>
              <w:highlight w:val="none"/>
            </w:rPr>
            <m:t>7</m:t>
          </m:r>
          <m:r>
            <m:rPr>
              <m:sty m:val="p"/>
            </m:rPr>
            <w:rPr>
              <w:rFonts w:hint="default" w:ascii="Cambria Math" w:hAnsi="Cambria Math" w:eastAsia="宋体" w:cs="Arial"/>
              <w:color w:val="auto"/>
              <w:highlight w:val="none"/>
            </w:rPr>
            <m:t>时</m:t>
          </m:r>
        </m:oMath>
      </m:oMathPara>
    </w:p>
    <w:p>
      <w:pPr>
        <w:pageBreakBefore w:val="0"/>
        <w:widowControl w:val="0"/>
        <w:kinsoku/>
        <w:wordWrap/>
        <w:overflowPunct/>
        <w:topLinePunct/>
        <w:autoSpaceDE w:val="0"/>
        <w:autoSpaceDN/>
        <w:bidi w:val="0"/>
        <w:adjustRightInd/>
        <w:snapToGrid/>
        <w:spacing w:line="480" w:lineRule="exact"/>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式中：</w:t>
      </w:r>
    </w:p>
    <w:p>
      <w:pPr>
        <w:pageBreakBefore w:val="0"/>
        <w:widowControl w:val="0"/>
        <w:kinsoku/>
        <w:wordWrap/>
        <w:overflowPunct/>
        <w:topLinePunct/>
        <w:autoSpaceDE w:val="0"/>
        <w:autoSpaceDN/>
        <w:bidi w:val="0"/>
        <w:adjustRightInd/>
        <w:snapToGrid/>
        <w:spacing w:line="480" w:lineRule="exact"/>
        <w:ind w:firstLine="480"/>
        <w:textAlignment w:val="auto"/>
        <w:rPr>
          <w:rFonts w:hint="default" w:ascii="Arial" w:hAnsi="Arial" w:eastAsia="宋体" w:cs="Arial"/>
          <w:color w:val="auto"/>
          <w:highlight w:val="none"/>
        </w:rPr>
      </w:pPr>
      <m:oMath>
        <m:sSub>
          <m:sSubPr>
            <m:ctrlPr>
              <w:rPr>
                <w:rFonts w:hint="default" w:ascii="Cambria Math" w:hAnsi="Cambria Math" w:eastAsia="宋体" w:cs="Arial"/>
                <w:i/>
                <w:color w:val="auto"/>
                <w:szCs w:val="30"/>
                <w:highlight w:val="none"/>
              </w:rPr>
            </m:ctrlPr>
          </m:sSubPr>
          <m:e>
            <m:r>
              <m:rPr/>
              <w:rPr>
                <w:rFonts w:hint="default" w:ascii="Cambria Math" w:hAnsi="Cambria Math" w:eastAsia="宋体" w:cs="Arial"/>
                <w:color w:val="auto"/>
                <w:highlight w:val="none"/>
              </w:rPr>
              <m:t>P</m:t>
            </m:r>
            <m:ctrlPr>
              <w:rPr>
                <w:rFonts w:hint="default" w:ascii="Cambria Math" w:hAnsi="Cambria Math" w:eastAsia="宋体" w:cs="Arial"/>
                <w:i/>
                <w:color w:val="auto"/>
                <w:szCs w:val="30"/>
                <w:highlight w:val="none"/>
              </w:rPr>
            </m:ctrlPr>
          </m:e>
          <m:sub>
            <m:r>
              <m:rPr/>
              <w:rPr>
                <w:rFonts w:hint="default" w:ascii="Cambria Math" w:hAnsi="Cambria Math" w:eastAsia="宋体" w:cs="Arial"/>
                <w:color w:val="auto"/>
                <w:highlight w:val="none"/>
              </w:rPr>
              <m:t>pH</m:t>
            </m:r>
            <m:ctrlPr>
              <w:rPr>
                <w:rFonts w:hint="default" w:ascii="Cambria Math" w:hAnsi="Cambria Math" w:eastAsia="宋体" w:cs="Arial"/>
                <w:i/>
                <w:color w:val="auto"/>
                <w:szCs w:val="30"/>
                <w:highlight w:val="none"/>
              </w:rPr>
            </m:ctrlPr>
          </m:sub>
        </m:sSub>
      </m:oMath>
      <w:r>
        <w:rPr>
          <w:rFonts w:hint="default" w:ascii="Arial" w:hAnsi="Arial" w:eastAsia="宋体" w:cs="Arial"/>
          <w:color w:val="auto"/>
          <w:highlight w:val="none"/>
        </w:rPr>
        <w:t>—pH的标准指数，无量纲；</w:t>
      </w:r>
    </w:p>
    <w:p>
      <w:pPr>
        <w:pageBreakBefore w:val="0"/>
        <w:widowControl w:val="0"/>
        <w:kinsoku/>
        <w:wordWrap/>
        <w:overflowPunct/>
        <w:topLinePunct/>
        <w:autoSpaceDE w:val="0"/>
        <w:autoSpaceDN/>
        <w:bidi w:val="0"/>
        <w:adjustRightInd/>
        <w:snapToGrid/>
        <w:spacing w:line="480" w:lineRule="exact"/>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pH—pH监测值；</w:t>
      </w:r>
    </w:p>
    <w:p>
      <w:pPr>
        <w:pageBreakBefore w:val="0"/>
        <w:widowControl w:val="0"/>
        <w:kinsoku/>
        <w:wordWrap/>
        <w:overflowPunct/>
        <w:topLinePunct/>
        <w:autoSpaceDE w:val="0"/>
        <w:autoSpaceDN/>
        <w:bidi w:val="0"/>
        <w:adjustRightInd/>
        <w:snapToGrid/>
        <w:spacing w:line="480" w:lineRule="exact"/>
        <w:ind w:firstLine="480"/>
        <w:textAlignment w:val="auto"/>
        <w:rPr>
          <w:rFonts w:hint="default" w:ascii="Arial" w:hAnsi="Arial" w:eastAsia="宋体" w:cs="Arial"/>
          <w:color w:val="auto"/>
          <w:highlight w:val="none"/>
        </w:rPr>
      </w:pPr>
      <m:oMath>
        <m:sSub>
          <m:sSubPr>
            <m:ctrlPr>
              <w:rPr>
                <w:rFonts w:hint="default" w:ascii="Cambria Math" w:hAnsi="Cambria Math" w:eastAsia="宋体" w:cs="Arial"/>
                <w:i/>
                <w:color w:val="auto"/>
                <w:szCs w:val="30"/>
                <w:highlight w:val="none"/>
              </w:rPr>
            </m:ctrlPr>
          </m:sSubPr>
          <m:e>
            <m:r>
              <m:rPr/>
              <w:rPr>
                <w:rFonts w:hint="default" w:ascii="Cambria Math" w:hAnsi="Cambria Math" w:eastAsia="宋体" w:cs="Arial"/>
                <w:color w:val="auto"/>
                <w:highlight w:val="none"/>
              </w:rPr>
              <m:t>pH</m:t>
            </m:r>
            <m:ctrlPr>
              <w:rPr>
                <w:rFonts w:hint="default" w:ascii="Cambria Math" w:hAnsi="Cambria Math" w:eastAsia="宋体" w:cs="Arial"/>
                <w:i/>
                <w:color w:val="auto"/>
                <w:szCs w:val="30"/>
                <w:highlight w:val="none"/>
              </w:rPr>
            </m:ctrlPr>
          </m:e>
          <m:sub>
            <m:r>
              <m:rPr/>
              <w:rPr>
                <w:rFonts w:hint="default" w:ascii="Cambria Math" w:hAnsi="Cambria Math" w:eastAsia="宋体" w:cs="Arial"/>
                <w:color w:val="auto"/>
                <w:highlight w:val="none"/>
              </w:rPr>
              <m:t>su</m:t>
            </m:r>
            <m:ctrlPr>
              <w:rPr>
                <w:rFonts w:hint="default" w:ascii="Cambria Math" w:hAnsi="Cambria Math" w:eastAsia="宋体" w:cs="Arial"/>
                <w:i/>
                <w:color w:val="auto"/>
                <w:szCs w:val="30"/>
                <w:highlight w:val="none"/>
              </w:rPr>
            </m:ctrlPr>
          </m:sub>
        </m:sSub>
      </m:oMath>
      <w:r>
        <w:rPr>
          <w:rFonts w:hint="default" w:ascii="Arial" w:hAnsi="Arial" w:eastAsia="宋体" w:cs="Arial"/>
          <w:color w:val="auto"/>
          <w:highlight w:val="none"/>
        </w:rPr>
        <w:t>—标准中pH的上限值；</w:t>
      </w:r>
    </w:p>
    <w:p>
      <w:pPr>
        <w:pageBreakBefore w:val="0"/>
        <w:widowControl w:val="0"/>
        <w:kinsoku/>
        <w:wordWrap/>
        <w:overflowPunct/>
        <w:topLinePunct/>
        <w:autoSpaceDE w:val="0"/>
        <w:autoSpaceDN/>
        <w:bidi w:val="0"/>
        <w:adjustRightInd/>
        <w:snapToGrid/>
        <w:spacing w:line="480" w:lineRule="exact"/>
        <w:ind w:firstLine="480"/>
        <w:textAlignment w:val="auto"/>
        <w:rPr>
          <w:rFonts w:hint="default" w:ascii="Arial" w:hAnsi="Arial" w:eastAsia="宋体" w:cs="Arial"/>
          <w:color w:val="auto"/>
          <w:highlight w:val="none"/>
        </w:rPr>
      </w:pPr>
      <m:oMath>
        <m:sSub>
          <m:sSubPr>
            <m:ctrlPr>
              <w:rPr>
                <w:rFonts w:hint="default" w:ascii="Cambria Math" w:hAnsi="Cambria Math" w:eastAsia="宋体" w:cs="Arial"/>
                <w:i/>
                <w:color w:val="auto"/>
                <w:szCs w:val="30"/>
                <w:highlight w:val="none"/>
              </w:rPr>
            </m:ctrlPr>
          </m:sSubPr>
          <m:e>
            <m:r>
              <m:rPr/>
              <w:rPr>
                <w:rFonts w:hint="default" w:ascii="Cambria Math" w:hAnsi="Cambria Math" w:eastAsia="宋体" w:cs="Arial"/>
                <w:color w:val="auto"/>
                <w:highlight w:val="none"/>
              </w:rPr>
              <m:t>pH</m:t>
            </m:r>
            <m:ctrlPr>
              <w:rPr>
                <w:rFonts w:hint="default" w:ascii="Cambria Math" w:hAnsi="Cambria Math" w:eastAsia="宋体" w:cs="Arial"/>
                <w:i/>
                <w:color w:val="auto"/>
                <w:szCs w:val="30"/>
                <w:highlight w:val="none"/>
              </w:rPr>
            </m:ctrlPr>
          </m:e>
          <m:sub>
            <m:r>
              <m:rPr/>
              <w:rPr>
                <w:rFonts w:hint="default" w:ascii="Cambria Math" w:hAnsi="Cambria Math" w:eastAsia="宋体" w:cs="Arial"/>
                <w:color w:val="auto"/>
                <w:highlight w:val="none"/>
              </w:rPr>
              <m:t>sd</m:t>
            </m:r>
            <m:ctrlPr>
              <w:rPr>
                <w:rFonts w:hint="default" w:ascii="Cambria Math" w:hAnsi="Cambria Math" w:eastAsia="宋体" w:cs="Arial"/>
                <w:i/>
                <w:color w:val="auto"/>
                <w:szCs w:val="30"/>
                <w:highlight w:val="none"/>
              </w:rPr>
            </m:ctrlPr>
          </m:sub>
        </m:sSub>
      </m:oMath>
      <w:r>
        <w:rPr>
          <w:rFonts w:hint="default" w:ascii="Arial" w:hAnsi="Arial" w:eastAsia="宋体" w:cs="Arial"/>
          <w:color w:val="auto"/>
          <w:highlight w:val="none"/>
        </w:rPr>
        <w:t>—标准中pH的下限值。</w:t>
      </w:r>
    </w:p>
    <w:p>
      <w:pPr>
        <w:pageBreakBefore w:val="0"/>
        <w:widowControl w:val="0"/>
        <w:kinsoku/>
        <w:wordWrap/>
        <w:overflowPunct/>
        <w:topLinePunct/>
        <w:autoSpaceDE w:val="0"/>
        <w:autoSpaceDN/>
        <w:bidi w:val="0"/>
        <w:adjustRightInd/>
        <w:snapToGrid/>
        <w:spacing w:line="480" w:lineRule="exact"/>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地下水现状水质评价见下表。</w:t>
      </w:r>
    </w:p>
    <w:p>
      <w:pPr>
        <w:pStyle w:val="8"/>
        <w:pageBreakBefore w:val="0"/>
        <w:widowControl w:val="0"/>
        <w:kinsoku/>
        <w:wordWrap/>
        <w:overflowPunct/>
        <w:topLinePunct/>
        <w:autoSpaceDE w:val="0"/>
        <w:autoSpaceDN/>
        <w:bidi w:val="0"/>
        <w:adjustRightInd/>
        <w:snapToGrid/>
        <w:spacing w:line="480" w:lineRule="exact"/>
        <w:textAlignment w:val="auto"/>
        <w:rPr>
          <w:rFonts w:hint="default" w:ascii="Arial" w:hAnsi="Arial" w:eastAsia="宋体" w:cs="Arial"/>
          <w:color w:val="auto"/>
          <w:highlight w:val="none"/>
        </w:rPr>
      </w:pPr>
      <w:r>
        <w:rPr>
          <w:rFonts w:hint="default" w:ascii="Arial" w:hAnsi="Arial" w:eastAsia="宋体" w:cs="Arial"/>
          <w:color w:val="auto"/>
          <w:highlight w:val="none"/>
        </w:rPr>
        <w:t>表4.2-1</w:t>
      </w:r>
      <w:r>
        <w:rPr>
          <w:rFonts w:hint="default" w:ascii="Arial" w:hAnsi="Arial" w:eastAsia="宋体" w:cs="Arial"/>
          <w:color w:val="auto"/>
          <w:highlight w:val="none"/>
          <w:lang w:val="en-US" w:eastAsia="zh-CN"/>
        </w:rPr>
        <w:t>1</w:t>
      </w:r>
      <w:r>
        <w:rPr>
          <w:rFonts w:hint="default" w:ascii="Arial" w:hAnsi="Arial" w:eastAsia="宋体" w:cs="Arial"/>
          <w:color w:val="auto"/>
          <w:highlight w:val="none"/>
        </w:rPr>
        <w:t xml:space="preserve">    地下水水质评价结果</w:t>
      </w:r>
    </w:p>
    <w:tbl>
      <w:tblPr>
        <w:tblStyle w:val="39"/>
        <w:tblW w:w="9003" w:type="dxa"/>
        <w:jc w:val="center"/>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Layout w:type="fixed"/>
        <w:tblCellMar>
          <w:top w:w="0" w:type="dxa"/>
          <w:left w:w="108" w:type="dxa"/>
          <w:bottom w:w="0" w:type="dxa"/>
          <w:right w:w="108" w:type="dxa"/>
        </w:tblCellMar>
      </w:tblPr>
      <w:tblGrid>
        <w:gridCol w:w="1850"/>
        <w:gridCol w:w="1450"/>
        <w:gridCol w:w="1451"/>
        <w:gridCol w:w="1451"/>
        <w:gridCol w:w="1400"/>
        <w:gridCol w:w="1401"/>
      </w:tblGrid>
      <w:tr>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1850" w:type="dxa"/>
            <w:vMerge w:val="restart"/>
            <w:tcBorders>
              <w:top w:val="single" w:color="auto" w:sz="4" w:space="0"/>
              <w:left w:val="nil"/>
              <w:bottom w:val="single" w:color="auto" w:sz="4" w:space="0"/>
            </w:tcBorders>
            <w:vAlign w:val="center"/>
          </w:tcPr>
          <w:p>
            <w:pPr>
              <w:pStyle w:val="63"/>
              <w:keepNext w:val="0"/>
              <w:keepLines w:val="0"/>
              <w:pageBreakBefore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检测项目</w:t>
            </w:r>
          </w:p>
        </w:tc>
        <w:tc>
          <w:tcPr>
            <w:tcW w:w="4352" w:type="dxa"/>
            <w:gridSpan w:val="3"/>
            <w:tcBorders>
              <w:top w:val="single" w:color="auto" w:sz="4" w:space="0"/>
              <w:bottom w:val="single" w:color="auto" w:sz="4" w:space="0"/>
            </w:tcBorders>
            <w:vAlign w:val="center"/>
          </w:tcPr>
          <w:p>
            <w:pPr>
              <w:pStyle w:val="63"/>
              <w:keepNext w:val="0"/>
              <w:keepLines w:val="0"/>
              <w:pageBreakBefore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标准指数</w:t>
            </w:r>
          </w:p>
        </w:tc>
        <w:tc>
          <w:tcPr>
            <w:tcW w:w="1400" w:type="dxa"/>
            <w:vMerge w:val="restart"/>
            <w:tcBorders>
              <w:top w:val="single" w:color="auto" w:sz="4" w:space="0"/>
              <w:bottom w:val="single" w:color="auto" w:sz="4" w:space="0"/>
            </w:tcBorders>
            <w:vAlign w:val="center"/>
          </w:tcPr>
          <w:p>
            <w:pPr>
              <w:pStyle w:val="63"/>
              <w:keepNext w:val="0"/>
              <w:keepLines w:val="0"/>
              <w:pageBreakBefore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highlight w:val="none"/>
              </w:rPr>
            </w:pPr>
            <w:r>
              <w:rPr>
                <w:rFonts w:hint="default" w:ascii="Arial" w:hAnsi="Arial" w:eastAsia="宋体" w:cs="Arial"/>
                <w:color w:val="auto"/>
                <w:kern w:val="0"/>
                <w:sz w:val="21"/>
                <w:szCs w:val="21"/>
                <w:highlight w:val="none"/>
              </w:rPr>
              <w:t>达标情况</w:t>
            </w:r>
          </w:p>
        </w:tc>
        <w:tc>
          <w:tcPr>
            <w:tcW w:w="1401" w:type="dxa"/>
            <w:vMerge w:val="restart"/>
            <w:tcBorders>
              <w:top w:val="single" w:color="auto" w:sz="4" w:space="0"/>
              <w:bottom w:val="single" w:color="auto" w:sz="4" w:space="0"/>
              <w:right w:val="nil"/>
            </w:tcBorders>
            <w:vAlign w:val="center"/>
          </w:tcPr>
          <w:p>
            <w:pPr>
              <w:pStyle w:val="63"/>
              <w:keepNext w:val="0"/>
              <w:keepLines w:val="0"/>
              <w:pageBreakBefore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highlight w:val="none"/>
              </w:rPr>
            </w:pPr>
            <w:r>
              <w:rPr>
                <w:rFonts w:hint="default" w:ascii="Arial" w:hAnsi="Arial" w:eastAsia="宋体" w:cs="Arial"/>
                <w:color w:val="auto"/>
                <w:kern w:val="0"/>
                <w:sz w:val="21"/>
                <w:szCs w:val="21"/>
                <w:highlight w:val="none"/>
              </w:rPr>
              <w:t>超标率</w:t>
            </w:r>
          </w:p>
        </w:tc>
      </w:tr>
      <w:tr>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1850" w:type="dxa"/>
            <w:vMerge w:val="continue"/>
            <w:tcBorders>
              <w:top w:val="single" w:color="auto" w:sz="4" w:space="0"/>
              <w:left w:val="nil"/>
              <w:bottom w:val="single" w:color="auto" w:sz="4" w:space="0"/>
            </w:tcBorders>
            <w:vAlign w:val="center"/>
          </w:tcPr>
          <w:p>
            <w:pPr>
              <w:pStyle w:val="63"/>
              <w:keepNext w:val="0"/>
              <w:keepLines w:val="0"/>
              <w:pageBreakBefore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highlight w:val="none"/>
              </w:rPr>
            </w:pPr>
          </w:p>
        </w:tc>
        <w:tc>
          <w:tcPr>
            <w:tcW w:w="1450" w:type="dxa"/>
            <w:tcBorders>
              <w:top w:val="single" w:color="auto" w:sz="4" w:space="0"/>
              <w:bottom w:val="single" w:color="auto" w:sz="4" w:space="0"/>
            </w:tcBorders>
            <w:vAlign w:val="center"/>
          </w:tcPr>
          <w:p>
            <w:pPr>
              <w:pStyle w:val="63"/>
              <w:keepNext w:val="0"/>
              <w:keepLines w:val="0"/>
              <w:pageBreakBefore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highlight w:val="none"/>
                <w:lang w:val="en-US" w:eastAsia="zh-CN"/>
              </w:rPr>
              <w:t>1#</w:t>
            </w:r>
          </w:p>
        </w:tc>
        <w:tc>
          <w:tcPr>
            <w:tcW w:w="1451" w:type="dxa"/>
            <w:tcBorders>
              <w:top w:val="single" w:color="auto" w:sz="4" w:space="0"/>
              <w:bottom w:val="single" w:color="auto" w:sz="4" w:space="0"/>
            </w:tcBorders>
            <w:vAlign w:val="center"/>
          </w:tcPr>
          <w:p>
            <w:pPr>
              <w:pStyle w:val="63"/>
              <w:keepNext w:val="0"/>
              <w:keepLines w:val="0"/>
              <w:pageBreakBefore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lang w:val="en-US" w:eastAsia="zh-CN"/>
              </w:rPr>
              <w:t>2#</w:t>
            </w:r>
          </w:p>
        </w:tc>
        <w:tc>
          <w:tcPr>
            <w:tcW w:w="1451" w:type="dxa"/>
            <w:tcBorders>
              <w:top w:val="single" w:color="auto" w:sz="4" w:space="0"/>
              <w:bottom w:val="single" w:color="auto" w:sz="4" w:space="0"/>
            </w:tcBorders>
            <w:vAlign w:val="center"/>
          </w:tcPr>
          <w:p>
            <w:pPr>
              <w:pStyle w:val="63"/>
              <w:keepNext w:val="0"/>
              <w:keepLines w:val="0"/>
              <w:pageBreakBefore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lang w:val="en-US" w:eastAsia="zh-CN"/>
              </w:rPr>
              <w:t>3#</w:t>
            </w:r>
          </w:p>
        </w:tc>
        <w:tc>
          <w:tcPr>
            <w:tcW w:w="1400" w:type="dxa"/>
            <w:vMerge w:val="continue"/>
            <w:tcBorders>
              <w:top w:val="single" w:color="auto" w:sz="4" w:space="0"/>
              <w:bottom w:val="single" w:color="auto" w:sz="4" w:space="0"/>
            </w:tcBorders>
            <w:vAlign w:val="center"/>
          </w:tcPr>
          <w:p>
            <w:pPr>
              <w:pStyle w:val="63"/>
              <w:keepNext w:val="0"/>
              <w:keepLines w:val="0"/>
              <w:pageBreakBefore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0"/>
                <w:sz w:val="21"/>
                <w:szCs w:val="21"/>
                <w:highlight w:val="none"/>
              </w:rPr>
            </w:pPr>
          </w:p>
        </w:tc>
        <w:tc>
          <w:tcPr>
            <w:tcW w:w="1401" w:type="dxa"/>
            <w:vMerge w:val="continue"/>
            <w:tcBorders>
              <w:top w:val="single" w:color="auto" w:sz="4" w:space="0"/>
              <w:bottom w:val="single" w:color="auto" w:sz="4" w:space="0"/>
              <w:right w:val="nil"/>
            </w:tcBorders>
            <w:vAlign w:val="center"/>
          </w:tcPr>
          <w:p>
            <w:pPr>
              <w:pStyle w:val="63"/>
              <w:keepNext w:val="0"/>
              <w:keepLines w:val="0"/>
              <w:pageBreakBefore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0"/>
                <w:sz w:val="21"/>
                <w:szCs w:val="21"/>
                <w:highlight w:val="none"/>
              </w:rPr>
            </w:pPr>
          </w:p>
        </w:tc>
      </w:tr>
      <w:tr>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1850" w:type="dxa"/>
            <w:tcBorders>
              <w:top w:val="single" w:color="auto" w:sz="4" w:space="0"/>
              <w:left w:val="nil"/>
              <w:bottom w:val="single" w:color="auto" w:sz="4" w:space="0"/>
            </w:tcBorders>
            <w:vAlign w:val="center"/>
          </w:tcPr>
          <w:p>
            <w:pPr>
              <w:keepNext w:val="0"/>
              <w:keepLines w:val="0"/>
              <w:pageBreakBefore w:val="0"/>
              <w:kinsoku/>
              <w:wordWrap/>
              <w:overflowPunct/>
              <w:autoSpaceDN/>
              <w:bidi w:val="0"/>
              <w:adjustRightInd/>
              <w:snapToGrid/>
              <w:spacing w:line="360" w:lineRule="exact"/>
              <w:ind w:firstLine="0" w:firstLineChars="0"/>
              <w:jc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pH</w:t>
            </w:r>
          </w:p>
        </w:tc>
        <w:tc>
          <w:tcPr>
            <w:tcW w:w="145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w:t>
            </w:r>
          </w:p>
        </w:tc>
        <w:tc>
          <w:tcPr>
            <w:tcW w:w="1451"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w:t>
            </w:r>
          </w:p>
        </w:tc>
        <w:tc>
          <w:tcPr>
            <w:tcW w:w="1451"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w:t>
            </w:r>
          </w:p>
        </w:tc>
        <w:tc>
          <w:tcPr>
            <w:tcW w:w="1400" w:type="dxa"/>
            <w:tcBorders>
              <w:top w:val="single" w:color="auto" w:sz="4" w:space="0"/>
              <w:bottom w:val="single" w:color="auto" w:sz="4" w:space="0"/>
            </w:tcBorders>
            <w:vAlign w:val="center"/>
          </w:tcPr>
          <w:p>
            <w:pPr>
              <w:pStyle w:val="63"/>
              <w:keepNext w:val="0"/>
              <w:keepLines w:val="0"/>
              <w:pageBreakBefore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0"/>
                <w:sz w:val="21"/>
                <w:szCs w:val="21"/>
                <w:highlight w:val="none"/>
              </w:rPr>
            </w:pPr>
            <w:r>
              <w:rPr>
                <w:rFonts w:hint="default" w:ascii="Arial" w:hAnsi="Arial" w:eastAsia="宋体" w:cs="Arial"/>
                <w:color w:val="auto"/>
                <w:kern w:val="0"/>
                <w:sz w:val="21"/>
                <w:szCs w:val="21"/>
                <w:highlight w:val="none"/>
                <w:lang w:bidi="ar"/>
              </w:rPr>
              <w:t>达标</w:t>
            </w:r>
          </w:p>
        </w:tc>
        <w:tc>
          <w:tcPr>
            <w:tcW w:w="1401" w:type="dxa"/>
            <w:tcBorders>
              <w:top w:val="single" w:color="auto" w:sz="4" w:space="0"/>
              <w:bottom w:val="single" w:color="auto" w:sz="4" w:space="0"/>
              <w:right w:val="nil"/>
            </w:tcBorders>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0"/>
                <w:sz w:val="21"/>
                <w:szCs w:val="21"/>
                <w:highlight w:val="none"/>
              </w:rPr>
            </w:pPr>
            <w:r>
              <w:rPr>
                <w:rFonts w:hint="default" w:ascii="Arial" w:hAnsi="Arial" w:eastAsia="宋体" w:cs="Arial"/>
                <w:color w:val="auto"/>
                <w:kern w:val="0"/>
                <w:sz w:val="21"/>
                <w:szCs w:val="21"/>
                <w:highlight w:val="none"/>
                <w:lang w:bidi="ar"/>
              </w:rPr>
              <w:t>--</w:t>
            </w:r>
          </w:p>
        </w:tc>
      </w:tr>
      <w:tr>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1850" w:type="dxa"/>
            <w:tcBorders>
              <w:top w:val="single" w:color="auto" w:sz="4" w:space="0"/>
              <w:left w:val="nil"/>
              <w:bottom w:val="single" w:color="auto" w:sz="4" w:space="0"/>
            </w:tcBorders>
            <w:vAlign w:val="center"/>
          </w:tcPr>
          <w:p>
            <w:pPr>
              <w:keepNext w:val="0"/>
              <w:keepLines w:val="0"/>
              <w:pageBreakBefore w:val="0"/>
              <w:kinsoku/>
              <w:wordWrap/>
              <w:overflowPunct/>
              <w:autoSpaceDN/>
              <w:bidi w:val="0"/>
              <w:adjustRightInd/>
              <w:snapToGrid/>
              <w:spacing w:line="360" w:lineRule="exact"/>
              <w:ind w:firstLine="0" w:firstLineChars="0"/>
              <w:jc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可溶性阳离子K</w:t>
            </w:r>
            <w:r>
              <w:rPr>
                <w:rFonts w:hint="default" w:ascii="Arial" w:hAnsi="Arial" w:eastAsia="宋体" w:cs="Arial"/>
                <w:color w:val="auto"/>
                <w:sz w:val="21"/>
                <w:szCs w:val="21"/>
                <w:vertAlign w:val="superscript"/>
              </w:rPr>
              <w:t>+</w:t>
            </w:r>
          </w:p>
        </w:tc>
        <w:tc>
          <w:tcPr>
            <w:tcW w:w="145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w:t>
            </w:r>
          </w:p>
        </w:tc>
        <w:tc>
          <w:tcPr>
            <w:tcW w:w="1451"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w:t>
            </w:r>
          </w:p>
        </w:tc>
        <w:tc>
          <w:tcPr>
            <w:tcW w:w="1451"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w:t>
            </w:r>
          </w:p>
        </w:tc>
        <w:tc>
          <w:tcPr>
            <w:tcW w:w="1400" w:type="dxa"/>
            <w:tcBorders>
              <w:top w:val="single" w:color="auto" w:sz="4" w:space="0"/>
              <w:bottom w:val="single" w:color="auto" w:sz="4" w:space="0"/>
            </w:tcBorders>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0"/>
                <w:sz w:val="21"/>
                <w:szCs w:val="21"/>
                <w:highlight w:val="none"/>
              </w:rPr>
            </w:pPr>
            <w:r>
              <w:rPr>
                <w:rFonts w:hint="default" w:ascii="Arial" w:hAnsi="Arial" w:eastAsia="宋体" w:cs="Arial"/>
                <w:color w:val="auto"/>
                <w:kern w:val="0"/>
                <w:sz w:val="21"/>
                <w:szCs w:val="21"/>
                <w:highlight w:val="none"/>
                <w:lang w:bidi="ar"/>
              </w:rPr>
              <w:t>达标</w:t>
            </w:r>
          </w:p>
        </w:tc>
        <w:tc>
          <w:tcPr>
            <w:tcW w:w="1401" w:type="dxa"/>
            <w:tcBorders>
              <w:top w:val="single" w:color="auto" w:sz="4" w:space="0"/>
              <w:bottom w:val="single" w:color="auto" w:sz="4" w:space="0"/>
              <w:right w:val="nil"/>
            </w:tcBorders>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0"/>
                <w:sz w:val="21"/>
                <w:szCs w:val="21"/>
                <w:highlight w:val="none"/>
              </w:rPr>
            </w:pPr>
            <w:r>
              <w:rPr>
                <w:rFonts w:hint="default" w:ascii="Arial" w:hAnsi="Arial" w:eastAsia="宋体" w:cs="Arial"/>
                <w:color w:val="auto"/>
                <w:kern w:val="0"/>
                <w:sz w:val="21"/>
                <w:szCs w:val="21"/>
                <w:highlight w:val="none"/>
                <w:lang w:bidi="ar"/>
              </w:rPr>
              <w:t>--</w:t>
            </w:r>
          </w:p>
        </w:tc>
      </w:tr>
      <w:tr>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1850" w:type="dxa"/>
            <w:tcBorders>
              <w:top w:val="single" w:color="auto" w:sz="4" w:space="0"/>
              <w:left w:val="nil"/>
              <w:bottom w:val="single" w:color="auto" w:sz="4" w:space="0"/>
            </w:tcBorders>
            <w:vAlign w:val="center"/>
          </w:tcPr>
          <w:p>
            <w:pPr>
              <w:keepNext w:val="0"/>
              <w:keepLines w:val="0"/>
              <w:pageBreakBefore w:val="0"/>
              <w:kinsoku/>
              <w:wordWrap/>
              <w:overflowPunct/>
              <w:autoSpaceDN/>
              <w:bidi w:val="0"/>
              <w:adjustRightInd/>
              <w:snapToGrid/>
              <w:spacing w:line="360" w:lineRule="exact"/>
              <w:ind w:firstLine="0" w:firstLineChars="0"/>
              <w:jc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可溶性阳离子Na</w:t>
            </w:r>
            <w:r>
              <w:rPr>
                <w:rFonts w:hint="default" w:ascii="Arial" w:hAnsi="Arial" w:eastAsia="宋体" w:cs="Arial"/>
                <w:color w:val="auto"/>
                <w:sz w:val="21"/>
                <w:szCs w:val="21"/>
                <w:vertAlign w:val="superscript"/>
              </w:rPr>
              <w:t>+</w:t>
            </w:r>
          </w:p>
        </w:tc>
        <w:tc>
          <w:tcPr>
            <w:tcW w:w="145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w:t>
            </w:r>
          </w:p>
        </w:tc>
        <w:tc>
          <w:tcPr>
            <w:tcW w:w="1451"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w:t>
            </w:r>
          </w:p>
        </w:tc>
        <w:tc>
          <w:tcPr>
            <w:tcW w:w="1451"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w:t>
            </w:r>
          </w:p>
        </w:tc>
        <w:tc>
          <w:tcPr>
            <w:tcW w:w="1400" w:type="dxa"/>
            <w:tcBorders>
              <w:top w:val="single" w:color="auto" w:sz="4" w:space="0"/>
              <w:bottom w:val="single" w:color="auto" w:sz="4" w:space="0"/>
            </w:tcBorders>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0"/>
                <w:sz w:val="21"/>
                <w:szCs w:val="21"/>
                <w:highlight w:val="none"/>
              </w:rPr>
            </w:pPr>
            <w:r>
              <w:rPr>
                <w:rFonts w:hint="default" w:ascii="Arial" w:hAnsi="Arial" w:eastAsia="宋体" w:cs="Arial"/>
                <w:color w:val="auto"/>
                <w:kern w:val="0"/>
                <w:sz w:val="21"/>
                <w:szCs w:val="21"/>
                <w:highlight w:val="none"/>
                <w:lang w:bidi="ar"/>
              </w:rPr>
              <w:t>达标</w:t>
            </w:r>
          </w:p>
        </w:tc>
        <w:tc>
          <w:tcPr>
            <w:tcW w:w="1401" w:type="dxa"/>
            <w:tcBorders>
              <w:top w:val="single" w:color="auto" w:sz="4" w:space="0"/>
              <w:bottom w:val="single" w:color="auto" w:sz="4" w:space="0"/>
              <w:right w:val="nil"/>
            </w:tcBorders>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0"/>
                <w:sz w:val="21"/>
                <w:szCs w:val="21"/>
                <w:highlight w:val="none"/>
              </w:rPr>
            </w:pPr>
            <w:r>
              <w:rPr>
                <w:rFonts w:hint="default" w:ascii="Arial" w:hAnsi="Arial" w:eastAsia="宋体" w:cs="Arial"/>
                <w:color w:val="auto"/>
                <w:kern w:val="0"/>
                <w:sz w:val="21"/>
                <w:szCs w:val="21"/>
                <w:highlight w:val="none"/>
                <w:lang w:bidi="ar"/>
              </w:rPr>
              <w:t>--</w:t>
            </w:r>
          </w:p>
        </w:tc>
      </w:tr>
      <w:tr>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1850" w:type="dxa"/>
            <w:tcBorders>
              <w:top w:val="single" w:color="auto" w:sz="4" w:space="0"/>
              <w:left w:val="nil"/>
              <w:bottom w:val="single" w:color="auto" w:sz="4" w:space="0"/>
            </w:tcBorders>
            <w:vAlign w:val="center"/>
          </w:tcPr>
          <w:p>
            <w:pPr>
              <w:keepNext w:val="0"/>
              <w:keepLines w:val="0"/>
              <w:pageBreakBefore w:val="0"/>
              <w:kinsoku/>
              <w:wordWrap/>
              <w:overflowPunct/>
              <w:autoSpaceDN/>
              <w:bidi w:val="0"/>
              <w:adjustRightInd/>
              <w:snapToGrid/>
              <w:spacing w:line="360" w:lineRule="exact"/>
              <w:ind w:firstLine="0" w:firstLineChars="0"/>
              <w:jc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可溶性阳离子Ca</w:t>
            </w:r>
            <w:r>
              <w:rPr>
                <w:rFonts w:hint="default" w:ascii="Arial" w:hAnsi="Arial" w:eastAsia="宋体" w:cs="Arial"/>
                <w:color w:val="auto"/>
                <w:sz w:val="21"/>
                <w:szCs w:val="21"/>
                <w:vertAlign w:val="superscript"/>
              </w:rPr>
              <w:t>2+</w:t>
            </w:r>
          </w:p>
        </w:tc>
        <w:tc>
          <w:tcPr>
            <w:tcW w:w="145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w:t>
            </w:r>
          </w:p>
        </w:tc>
        <w:tc>
          <w:tcPr>
            <w:tcW w:w="1451"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w:t>
            </w:r>
          </w:p>
        </w:tc>
        <w:tc>
          <w:tcPr>
            <w:tcW w:w="1451"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w:t>
            </w:r>
          </w:p>
        </w:tc>
        <w:tc>
          <w:tcPr>
            <w:tcW w:w="1400" w:type="dxa"/>
            <w:tcBorders>
              <w:top w:val="single" w:color="auto" w:sz="4" w:space="0"/>
              <w:bottom w:val="single" w:color="auto" w:sz="4" w:space="0"/>
            </w:tcBorders>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0"/>
                <w:sz w:val="21"/>
                <w:szCs w:val="21"/>
                <w:highlight w:val="none"/>
              </w:rPr>
            </w:pPr>
            <w:r>
              <w:rPr>
                <w:rFonts w:hint="default" w:ascii="Arial" w:hAnsi="Arial" w:eastAsia="宋体" w:cs="Arial"/>
                <w:color w:val="auto"/>
                <w:kern w:val="0"/>
                <w:sz w:val="21"/>
                <w:szCs w:val="21"/>
                <w:highlight w:val="none"/>
                <w:lang w:bidi="ar"/>
              </w:rPr>
              <w:t>达标</w:t>
            </w:r>
          </w:p>
        </w:tc>
        <w:tc>
          <w:tcPr>
            <w:tcW w:w="1401" w:type="dxa"/>
            <w:tcBorders>
              <w:top w:val="single" w:color="auto" w:sz="4" w:space="0"/>
              <w:bottom w:val="single" w:color="auto" w:sz="4" w:space="0"/>
              <w:right w:val="nil"/>
            </w:tcBorders>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0"/>
                <w:sz w:val="21"/>
                <w:szCs w:val="21"/>
                <w:highlight w:val="none"/>
              </w:rPr>
            </w:pPr>
            <w:r>
              <w:rPr>
                <w:rFonts w:hint="default" w:ascii="Arial" w:hAnsi="Arial" w:eastAsia="宋体" w:cs="Arial"/>
                <w:color w:val="auto"/>
                <w:kern w:val="0"/>
                <w:sz w:val="21"/>
                <w:szCs w:val="21"/>
                <w:highlight w:val="none"/>
                <w:lang w:bidi="ar"/>
              </w:rPr>
              <w:t>--</w:t>
            </w:r>
          </w:p>
        </w:tc>
      </w:tr>
      <w:tr>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1850" w:type="dxa"/>
            <w:tcBorders>
              <w:top w:val="single" w:color="auto" w:sz="4" w:space="0"/>
              <w:left w:val="nil"/>
              <w:bottom w:val="single" w:color="auto" w:sz="4" w:space="0"/>
            </w:tcBorders>
            <w:vAlign w:val="center"/>
          </w:tcPr>
          <w:p>
            <w:pPr>
              <w:keepNext w:val="0"/>
              <w:keepLines w:val="0"/>
              <w:pageBreakBefore w:val="0"/>
              <w:kinsoku/>
              <w:wordWrap/>
              <w:overflowPunct/>
              <w:autoSpaceDN/>
              <w:bidi w:val="0"/>
              <w:adjustRightInd/>
              <w:snapToGrid/>
              <w:spacing w:line="360" w:lineRule="exact"/>
              <w:ind w:firstLine="0" w:firstLineChars="0"/>
              <w:jc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可溶性阳离</w:t>
            </w:r>
            <w:r>
              <w:rPr>
                <w:rFonts w:hint="default" w:ascii="Arial" w:hAnsi="Arial" w:eastAsia="宋体" w:cs="Arial"/>
                <w:color w:val="auto"/>
                <w:sz w:val="21"/>
                <w:szCs w:val="21"/>
                <w:lang w:eastAsia="zh-CN"/>
              </w:rPr>
              <w:t>子</w:t>
            </w:r>
            <w:r>
              <w:rPr>
                <w:rFonts w:hint="default" w:ascii="Arial" w:hAnsi="Arial" w:eastAsia="宋体" w:cs="Arial"/>
                <w:color w:val="auto"/>
                <w:sz w:val="21"/>
                <w:szCs w:val="21"/>
              </w:rPr>
              <w:t>Mg</w:t>
            </w:r>
            <w:r>
              <w:rPr>
                <w:rFonts w:hint="default" w:ascii="Arial" w:hAnsi="Arial" w:eastAsia="宋体" w:cs="Arial"/>
                <w:color w:val="auto"/>
                <w:sz w:val="21"/>
                <w:szCs w:val="21"/>
                <w:vertAlign w:val="superscript"/>
              </w:rPr>
              <w:t>2+</w:t>
            </w:r>
          </w:p>
        </w:tc>
        <w:tc>
          <w:tcPr>
            <w:tcW w:w="145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w:t>
            </w:r>
          </w:p>
        </w:tc>
        <w:tc>
          <w:tcPr>
            <w:tcW w:w="1451"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w:t>
            </w:r>
          </w:p>
        </w:tc>
        <w:tc>
          <w:tcPr>
            <w:tcW w:w="1451"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w:t>
            </w:r>
          </w:p>
        </w:tc>
        <w:tc>
          <w:tcPr>
            <w:tcW w:w="1400" w:type="dxa"/>
            <w:tcBorders>
              <w:top w:val="single" w:color="auto" w:sz="4" w:space="0"/>
              <w:bottom w:val="single" w:color="auto" w:sz="4" w:space="0"/>
            </w:tcBorders>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0"/>
                <w:sz w:val="21"/>
                <w:szCs w:val="21"/>
                <w:highlight w:val="none"/>
              </w:rPr>
            </w:pPr>
            <w:r>
              <w:rPr>
                <w:rFonts w:hint="default" w:ascii="Arial" w:hAnsi="Arial" w:eastAsia="宋体" w:cs="Arial"/>
                <w:color w:val="auto"/>
                <w:kern w:val="0"/>
                <w:sz w:val="21"/>
                <w:szCs w:val="21"/>
                <w:highlight w:val="none"/>
                <w:lang w:bidi="ar"/>
              </w:rPr>
              <w:t>达标</w:t>
            </w:r>
          </w:p>
        </w:tc>
        <w:tc>
          <w:tcPr>
            <w:tcW w:w="1401" w:type="dxa"/>
            <w:tcBorders>
              <w:top w:val="single" w:color="auto" w:sz="4" w:space="0"/>
              <w:bottom w:val="single" w:color="auto" w:sz="4" w:space="0"/>
              <w:right w:val="nil"/>
            </w:tcBorders>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0"/>
                <w:sz w:val="21"/>
                <w:szCs w:val="21"/>
                <w:highlight w:val="none"/>
              </w:rPr>
            </w:pPr>
            <w:r>
              <w:rPr>
                <w:rFonts w:hint="default" w:ascii="Arial" w:hAnsi="Arial" w:eastAsia="宋体" w:cs="Arial"/>
                <w:color w:val="auto"/>
                <w:kern w:val="0"/>
                <w:sz w:val="21"/>
                <w:szCs w:val="21"/>
                <w:highlight w:val="none"/>
                <w:lang w:bidi="ar"/>
              </w:rPr>
              <w:t>--</w:t>
            </w:r>
          </w:p>
        </w:tc>
      </w:tr>
      <w:tr>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1850" w:type="dxa"/>
            <w:tcBorders>
              <w:top w:val="single" w:color="auto" w:sz="4" w:space="0"/>
              <w:left w:val="nil"/>
              <w:bottom w:val="single" w:color="auto" w:sz="4" w:space="0"/>
            </w:tcBorders>
            <w:vAlign w:val="center"/>
          </w:tcPr>
          <w:p>
            <w:pPr>
              <w:keepNext w:val="0"/>
              <w:keepLines w:val="0"/>
              <w:pageBreakBefore w:val="0"/>
              <w:kinsoku/>
              <w:wordWrap/>
              <w:overflowPunct/>
              <w:autoSpaceDN/>
              <w:bidi w:val="0"/>
              <w:adjustRightInd/>
              <w:snapToGrid/>
              <w:spacing w:line="360" w:lineRule="exact"/>
              <w:ind w:firstLine="0" w:firstLineChars="0"/>
              <w:jc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重碳酸盐</w:t>
            </w:r>
          </w:p>
        </w:tc>
        <w:tc>
          <w:tcPr>
            <w:tcW w:w="145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w:t>
            </w:r>
          </w:p>
        </w:tc>
        <w:tc>
          <w:tcPr>
            <w:tcW w:w="1451"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w:t>
            </w:r>
          </w:p>
        </w:tc>
        <w:tc>
          <w:tcPr>
            <w:tcW w:w="1451"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w:t>
            </w:r>
          </w:p>
        </w:tc>
        <w:tc>
          <w:tcPr>
            <w:tcW w:w="1400" w:type="dxa"/>
            <w:tcBorders>
              <w:top w:val="single" w:color="auto" w:sz="4" w:space="0"/>
              <w:bottom w:val="single" w:color="auto" w:sz="4" w:space="0"/>
            </w:tcBorders>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0"/>
                <w:sz w:val="21"/>
                <w:szCs w:val="21"/>
                <w:highlight w:val="none"/>
              </w:rPr>
            </w:pPr>
            <w:r>
              <w:rPr>
                <w:rFonts w:hint="default" w:ascii="Arial" w:hAnsi="Arial" w:eastAsia="宋体" w:cs="Arial"/>
                <w:color w:val="auto"/>
                <w:kern w:val="0"/>
                <w:sz w:val="21"/>
                <w:szCs w:val="21"/>
                <w:highlight w:val="none"/>
                <w:lang w:bidi="ar"/>
              </w:rPr>
              <w:t>达标</w:t>
            </w:r>
          </w:p>
        </w:tc>
        <w:tc>
          <w:tcPr>
            <w:tcW w:w="1401" w:type="dxa"/>
            <w:tcBorders>
              <w:top w:val="single" w:color="auto" w:sz="4" w:space="0"/>
              <w:bottom w:val="single" w:color="auto" w:sz="4" w:space="0"/>
              <w:right w:val="nil"/>
            </w:tcBorders>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0"/>
                <w:sz w:val="21"/>
                <w:szCs w:val="21"/>
                <w:highlight w:val="none"/>
              </w:rPr>
            </w:pPr>
            <w:r>
              <w:rPr>
                <w:rFonts w:hint="default" w:ascii="Arial" w:hAnsi="Arial" w:eastAsia="宋体" w:cs="Arial"/>
                <w:color w:val="auto"/>
                <w:kern w:val="0"/>
                <w:sz w:val="21"/>
                <w:szCs w:val="21"/>
                <w:highlight w:val="none"/>
                <w:lang w:bidi="ar"/>
              </w:rPr>
              <w:t>--</w:t>
            </w:r>
          </w:p>
        </w:tc>
      </w:tr>
      <w:tr>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1850" w:type="dxa"/>
            <w:tcBorders>
              <w:top w:val="single" w:color="auto" w:sz="4" w:space="0"/>
              <w:left w:val="nil"/>
              <w:bottom w:val="single" w:color="auto" w:sz="4" w:space="0"/>
            </w:tcBorders>
            <w:vAlign w:val="center"/>
          </w:tcPr>
          <w:p>
            <w:pPr>
              <w:keepNext w:val="0"/>
              <w:keepLines w:val="0"/>
              <w:pageBreakBefore w:val="0"/>
              <w:kinsoku/>
              <w:wordWrap/>
              <w:overflowPunct/>
              <w:autoSpaceDN/>
              <w:bidi w:val="0"/>
              <w:adjustRightInd/>
              <w:snapToGrid/>
              <w:spacing w:line="360" w:lineRule="exact"/>
              <w:ind w:firstLine="0" w:firstLineChars="0"/>
              <w:jc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碳酸盐</w:t>
            </w:r>
          </w:p>
        </w:tc>
        <w:tc>
          <w:tcPr>
            <w:tcW w:w="145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w:t>
            </w:r>
          </w:p>
        </w:tc>
        <w:tc>
          <w:tcPr>
            <w:tcW w:w="1451"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w:t>
            </w:r>
          </w:p>
        </w:tc>
        <w:tc>
          <w:tcPr>
            <w:tcW w:w="1451"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w:t>
            </w:r>
          </w:p>
        </w:tc>
        <w:tc>
          <w:tcPr>
            <w:tcW w:w="1400" w:type="dxa"/>
            <w:tcBorders>
              <w:top w:val="single" w:color="auto" w:sz="4" w:space="0"/>
              <w:bottom w:val="single" w:color="auto" w:sz="4" w:space="0"/>
            </w:tcBorders>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0"/>
                <w:sz w:val="21"/>
                <w:szCs w:val="21"/>
                <w:highlight w:val="none"/>
              </w:rPr>
            </w:pPr>
            <w:r>
              <w:rPr>
                <w:rFonts w:hint="default" w:ascii="Arial" w:hAnsi="Arial" w:eastAsia="宋体" w:cs="Arial"/>
                <w:color w:val="auto"/>
                <w:kern w:val="0"/>
                <w:sz w:val="21"/>
                <w:szCs w:val="21"/>
                <w:highlight w:val="none"/>
                <w:lang w:bidi="ar"/>
              </w:rPr>
              <w:t>达标</w:t>
            </w:r>
          </w:p>
        </w:tc>
        <w:tc>
          <w:tcPr>
            <w:tcW w:w="1401" w:type="dxa"/>
            <w:tcBorders>
              <w:top w:val="single" w:color="auto" w:sz="4" w:space="0"/>
              <w:bottom w:val="single" w:color="auto" w:sz="4" w:space="0"/>
              <w:right w:val="nil"/>
            </w:tcBorders>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0"/>
                <w:sz w:val="21"/>
                <w:szCs w:val="21"/>
                <w:highlight w:val="none"/>
              </w:rPr>
            </w:pPr>
            <w:r>
              <w:rPr>
                <w:rFonts w:hint="default" w:ascii="Arial" w:hAnsi="Arial" w:eastAsia="宋体" w:cs="Arial"/>
                <w:color w:val="auto"/>
                <w:kern w:val="0"/>
                <w:sz w:val="21"/>
                <w:szCs w:val="21"/>
                <w:highlight w:val="none"/>
                <w:lang w:bidi="ar"/>
              </w:rPr>
              <w:t>--</w:t>
            </w:r>
          </w:p>
        </w:tc>
      </w:tr>
      <w:tr>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1850" w:type="dxa"/>
            <w:tcBorders>
              <w:top w:val="single" w:color="auto" w:sz="4" w:space="0"/>
              <w:left w:val="nil"/>
              <w:bottom w:val="single" w:color="auto" w:sz="4" w:space="0"/>
            </w:tcBorders>
            <w:vAlign w:val="center"/>
          </w:tcPr>
          <w:p>
            <w:pPr>
              <w:keepNext w:val="0"/>
              <w:keepLines w:val="0"/>
              <w:pageBreakBefore w:val="0"/>
              <w:kinsoku/>
              <w:wordWrap/>
              <w:overflowPunct/>
              <w:autoSpaceDN/>
              <w:bidi w:val="0"/>
              <w:adjustRightInd/>
              <w:snapToGrid/>
              <w:spacing w:line="360" w:lineRule="exact"/>
              <w:ind w:firstLine="0" w:firstLineChars="0"/>
              <w:jc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无机阴离子Cl</w:t>
            </w:r>
            <w:r>
              <w:rPr>
                <w:rFonts w:hint="default" w:ascii="Arial" w:hAnsi="Arial" w:eastAsia="宋体" w:cs="Arial"/>
                <w:color w:val="auto"/>
                <w:sz w:val="21"/>
                <w:szCs w:val="21"/>
                <w:vertAlign w:val="superscript"/>
              </w:rPr>
              <w:t>-</w:t>
            </w:r>
          </w:p>
        </w:tc>
        <w:tc>
          <w:tcPr>
            <w:tcW w:w="145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w:t>
            </w:r>
          </w:p>
        </w:tc>
        <w:tc>
          <w:tcPr>
            <w:tcW w:w="1451"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w:t>
            </w:r>
          </w:p>
        </w:tc>
        <w:tc>
          <w:tcPr>
            <w:tcW w:w="1451"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w:t>
            </w:r>
          </w:p>
        </w:tc>
        <w:tc>
          <w:tcPr>
            <w:tcW w:w="1400" w:type="dxa"/>
            <w:tcBorders>
              <w:top w:val="single" w:color="auto" w:sz="4" w:space="0"/>
              <w:bottom w:val="single" w:color="auto" w:sz="4" w:space="0"/>
            </w:tcBorders>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0"/>
                <w:sz w:val="21"/>
                <w:szCs w:val="21"/>
                <w:highlight w:val="none"/>
              </w:rPr>
            </w:pPr>
            <w:r>
              <w:rPr>
                <w:rFonts w:hint="default" w:ascii="Arial" w:hAnsi="Arial" w:eastAsia="宋体" w:cs="Arial"/>
                <w:color w:val="auto"/>
                <w:kern w:val="0"/>
                <w:sz w:val="21"/>
                <w:szCs w:val="21"/>
                <w:highlight w:val="none"/>
                <w:lang w:bidi="ar"/>
              </w:rPr>
              <w:t>达标</w:t>
            </w:r>
          </w:p>
        </w:tc>
        <w:tc>
          <w:tcPr>
            <w:tcW w:w="1401" w:type="dxa"/>
            <w:tcBorders>
              <w:top w:val="single" w:color="auto" w:sz="4" w:space="0"/>
              <w:bottom w:val="single" w:color="auto" w:sz="4" w:space="0"/>
              <w:right w:val="nil"/>
            </w:tcBorders>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0"/>
                <w:sz w:val="21"/>
                <w:szCs w:val="21"/>
                <w:highlight w:val="none"/>
              </w:rPr>
            </w:pPr>
            <w:r>
              <w:rPr>
                <w:rFonts w:hint="default" w:ascii="Arial" w:hAnsi="Arial" w:eastAsia="宋体" w:cs="Arial"/>
                <w:color w:val="auto"/>
                <w:kern w:val="0"/>
                <w:sz w:val="21"/>
                <w:szCs w:val="21"/>
                <w:highlight w:val="none"/>
                <w:lang w:bidi="ar"/>
              </w:rPr>
              <w:t>--</w:t>
            </w:r>
          </w:p>
        </w:tc>
      </w:tr>
      <w:tr>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1850" w:type="dxa"/>
            <w:tcBorders>
              <w:top w:val="single" w:color="auto" w:sz="4" w:space="0"/>
              <w:left w:val="nil"/>
              <w:bottom w:val="single" w:color="auto" w:sz="4" w:space="0"/>
            </w:tcBorders>
            <w:vAlign w:val="center"/>
          </w:tcPr>
          <w:p>
            <w:pPr>
              <w:keepNext w:val="0"/>
              <w:keepLines w:val="0"/>
              <w:pageBreakBefore w:val="0"/>
              <w:kinsoku/>
              <w:wordWrap/>
              <w:overflowPunct/>
              <w:autoSpaceDN/>
              <w:bidi w:val="0"/>
              <w:adjustRightInd/>
              <w:snapToGrid/>
              <w:spacing w:line="360" w:lineRule="exact"/>
              <w:ind w:firstLine="0" w:firstLineChars="0"/>
              <w:jc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无机阴离子SO</w:t>
            </w:r>
            <w:r>
              <w:rPr>
                <w:rFonts w:hint="default" w:ascii="Arial" w:hAnsi="Arial" w:eastAsia="宋体" w:cs="Arial"/>
                <w:color w:val="auto"/>
                <w:sz w:val="21"/>
                <w:szCs w:val="21"/>
                <w:vertAlign w:val="subscript"/>
              </w:rPr>
              <w:t>4</w:t>
            </w:r>
            <w:r>
              <w:rPr>
                <w:rFonts w:hint="default" w:ascii="Arial" w:hAnsi="Arial" w:eastAsia="宋体" w:cs="Arial"/>
                <w:color w:val="auto"/>
                <w:sz w:val="21"/>
                <w:szCs w:val="21"/>
                <w:vertAlign w:val="superscript"/>
              </w:rPr>
              <w:t>2-</w:t>
            </w:r>
          </w:p>
        </w:tc>
        <w:tc>
          <w:tcPr>
            <w:tcW w:w="145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w:t>
            </w:r>
          </w:p>
        </w:tc>
        <w:tc>
          <w:tcPr>
            <w:tcW w:w="1451"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w:t>
            </w:r>
          </w:p>
        </w:tc>
        <w:tc>
          <w:tcPr>
            <w:tcW w:w="1451"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w:t>
            </w:r>
          </w:p>
        </w:tc>
        <w:tc>
          <w:tcPr>
            <w:tcW w:w="1400" w:type="dxa"/>
            <w:tcBorders>
              <w:top w:val="single" w:color="auto" w:sz="4" w:space="0"/>
              <w:bottom w:val="single" w:color="auto" w:sz="4" w:space="0"/>
            </w:tcBorders>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0"/>
                <w:sz w:val="21"/>
                <w:szCs w:val="21"/>
                <w:highlight w:val="none"/>
              </w:rPr>
            </w:pPr>
            <w:r>
              <w:rPr>
                <w:rFonts w:hint="default" w:ascii="Arial" w:hAnsi="Arial" w:eastAsia="宋体" w:cs="Arial"/>
                <w:color w:val="auto"/>
                <w:kern w:val="0"/>
                <w:sz w:val="21"/>
                <w:szCs w:val="21"/>
                <w:highlight w:val="none"/>
                <w:lang w:bidi="ar"/>
              </w:rPr>
              <w:t>达标</w:t>
            </w:r>
          </w:p>
        </w:tc>
        <w:tc>
          <w:tcPr>
            <w:tcW w:w="1401" w:type="dxa"/>
            <w:tcBorders>
              <w:top w:val="single" w:color="auto" w:sz="4" w:space="0"/>
              <w:bottom w:val="single" w:color="auto" w:sz="4" w:space="0"/>
              <w:right w:val="nil"/>
            </w:tcBorders>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0"/>
                <w:sz w:val="21"/>
                <w:szCs w:val="21"/>
                <w:highlight w:val="none"/>
              </w:rPr>
            </w:pPr>
            <w:r>
              <w:rPr>
                <w:rFonts w:hint="default" w:ascii="Arial" w:hAnsi="Arial" w:eastAsia="宋体" w:cs="Arial"/>
                <w:color w:val="auto"/>
                <w:kern w:val="0"/>
                <w:sz w:val="21"/>
                <w:szCs w:val="21"/>
                <w:highlight w:val="none"/>
                <w:lang w:bidi="ar"/>
              </w:rPr>
              <w:t>--</w:t>
            </w:r>
          </w:p>
        </w:tc>
      </w:tr>
      <w:tr>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1850" w:type="dxa"/>
            <w:tcBorders>
              <w:top w:val="single" w:color="auto" w:sz="4" w:space="0"/>
              <w:left w:val="nil"/>
              <w:bottom w:val="single" w:color="auto" w:sz="4" w:space="0"/>
            </w:tcBorders>
            <w:vAlign w:val="center"/>
          </w:tcPr>
          <w:p>
            <w:pPr>
              <w:keepNext w:val="0"/>
              <w:keepLines w:val="0"/>
              <w:pageBreakBefore w:val="0"/>
              <w:kinsoku/>
              <w:wordWrap/>
              <w:overflowPunct/>
              <w:autoSpaceDN/>
              <w:bidi w:val="0"/>
              <w:adjustRightInd/>
              <w:snapToGrid/>
              <w:spacing w:line="360" w:lineRule="exact"/>
              <w:ind w:firstLine="0" w:firstLineChars="0"/>
              <w:jc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总硬度</w:t>
            </w:r>
          </w:p>
        </w:tc>
        <w:tc>
          <w:tcPr>
            <w:tcW w:w="145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1.640</w:t>
            </w:r>
          </w:p>
        </w:tc>
        <w:tc>
          <w:tcPr>
            <w:tcW w:w="1451"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1.584</w:t>
            </w:r>
          </w:p>
        </w:tc>
        <w:tc>
          <w:tcPr>
            <w:tcW w:w="1451"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0.609</w:t>
            </w:r>
          </w:p>
        </w:tc>
        <w:tc>
          <w:tcPr>
            <w:tcW w:w="140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超标</w:t>
            </w:r>
          </w:p>
        </w:tc>
        <w:tc>
          <w:tcPr>
            <w:tcW w:w="1401" w:type="dxa"/>
            <w:tcBorders>
              <w:top w:val="single" w:color="auto" w:sz="4" w:space="0"/>
              <w:bottom w:val="single" w:color="auto" w:sz="4" w:space="0"/>
              <w:right w:val="nil"/>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w:t>
            </w:r>
          </w:p>
        </w:tc>
      </w:tr>
      <w:tr>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1850" w:type="dxa"/>
            <w:tcBorders>
              <w:top w:val="single" w:color="auto" w:sz="4" w:space="0"/>
              <w:left w:val="nil"/>
              <w:bottom w:val="single" w:color="auto" w:sz="4" w:space="0"/>
            </w:tcBorders>
            <w:vAlign w:val="center"/>
          </w:tcPr>
          <w:p>
            <w:pPr>
              <w:keepNext w:val="0"/>
              <w:keepLines w:val="0"/>
              <w:pageBreakBefore w:val="0"/>
              <w:kinsoku/>
              <w:wordWrap/>
              <w:overflowPunct/>
              <w:autoSpaceDN/>
              <w:bidi w:val="0"/>
              <w:adjustRightInd/>
              <w:snapToGrid/>
              <w:spacing w:line="360" w:lineRule="exact"/>
              <w:ind w:firstLine="0" w:firstLineChars="0"/>
              <w:jc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耗氧量</w:t>
            </w:r>
          </w:p>
        </w:tc>
        <w:tc>
          <w:tcPr>
            <w:tcW w:w="145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0.403</w:t>
            </w:r>
          </w:p>
        </w:tc>
        <w:tc>
          <w:tcPr>
            <w:tcW w:w="1451"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0.397</w:t>
            </w:r>
          </w:p>
        </w:tc>
        <w:tc>
          <w:tcPr>
            <w:tcW w:w="1451"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0.410</w:t>
            </w:r>
          </w:p>
        </w:tc>
        <w:tc>
          <w:tcPr>
            <w:tcW w:w="140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达标</w:t>
            </w:r>
          </w:p>
        </w:tc>
        <w:tc>
          <w:tcPr>
            <w:tcW w:w="1401" w:type="dxa"/>
            <w:tcBorders>
              <w:top w:val="single" w:color="auto" w:sz="4" w:space="0"/>
              <w:bottom w:val="single" w:color="auto" w:sz="4" w:space="0"/>
              <w:right w:val="nil"/>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w:t>
            </w:r>
          </w:p>
        </w:tc>
      </w:tr>
      <w:tr>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1850" w:type="dxa"/>
            <w:tcBorders>
              <w:top w:val="single" w:color="auto" w:sz="4" w:space="0"/>
              <w:left w:val="nil"/>
              <w:bottom w:val="single" w:color="auto" w:sz="4" w:space="0"/>
            </w:tcBorders>
            <w:vAlign w:val="center"/>
          </w:tcPr>
          <w:p>
            <w:pPr>
              <w:keepNext w:val="0"/>
              <w:keepLines w:val="0"/>
              <w:pageBreakBefore w:val="0"/>
              <w:kinsoku/>
              <w:wordWrap/>
              <w:overflowPunct/>
              <w:autoSpaceDN/>
              <w:bidi w:val="0"/>
              <w:adjustRightInd/>
              <w:snapToGrid/>
              <w:spacing w:line="360" w:lineRule="exact"/>
              <w:ind w:firstLine="0" w:firstLineChars="0"/>
              <w:jc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氟化物</w:t>
            </w:r>
          </w:p>
        </w:tc>
        <w:tc>
          <w:tcPr>
            <w:tcW w:w="145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0.410</w:t>
            </w:r>
          </w:p>
        </w:tc>
        <w:tc>
          <w:tcPr>
            <w:tcW w:w="1451"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0.400</w:t>
            </w:r>
          </w:p>
        </w:tc>
        <w:tc>
          <w:tcPr>
            <w:tcW w:w="1451"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0.420</w:t>
            </w:r>
          </w:p>
        </w:tc>
        <w:tc>
          <w:tcPr>
            <w:tcW w:w="140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达标</w:t>
            </w:r>
          </w:p>
        </w:tc>
        <w:tc>
          <w:tcPr>
            <w:tcW w:w="1401" w:type="dxa"/>
            <w:tcBorders>
              <w:top w:val="single" w:color="auto" w:sz="4" w:space="0"/>
              <w:bottom w:val="single" w:color="auto" w:sz="4" w:space="0"/>
              <w:right w:val="nil"/>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w:t>
            </w:r>
          </w:p>
        </w:tc>
      </w:tr>
      <w:tr>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1850" w:type="dxa"/>
            <w:tcBorders>
              <w:top w:val="single" w:color="auto" w:sz="4" w:space="0"/>
              <w:left w:val="nil"/>
              <w:bottom w:val="single" w:color="auto" w:sz="4" w:space="0"/>
            </w:tcBorders>
            <w:vAlign w:val="center"/>
          </w:tcPr>
          <w:p>
            <w:pPr>
              <w:keepNext w:val="0"/>
              <w:keepLines w:val="0"/>
              <w:pageBreakBefore w:val="0"/>
              <w:kinsoku/>
              <w:wordWrap/>
              <w:overflowPunct/>
              <w:autoSpaceDN/>
              <w:bidi w:val="0"/>
              <w:adjustRightInd/>
              <w:snapToGrid/>
              <w:spacing w:line="360" w:lineRule="exact"/>
              <w:ind w:firstLine="0" w:firstLineChars="0"/>
              <w:jc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氨氮</w:t>
            </w:r>
          </w:p>
        </w:tc>
        <w:tc>
          <w:tcPr>
            <w:tcW w:w="145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1.184</w:t>
            </w:r>
          </w:p>
        </w:tc>
        <w:tc>
          <w:tcPr>
            <w:tcW w:w="1451"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0.950</w:t>
            </w:r>
          </w:p>
        </w:tc>
        <w:tc>
          <w:tcPr>
            <w:tcW w:w="1451"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1.150</w:t>
            </w:r>
          </w:p>
        </w:tc>
        <w:tc>
          <w:tcPr>
            <w:tcW w:w="140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超标</w:t>
            </w:r>
          </w:p>
        </w:tc>
        <w:tc>
          <w:tcPr>
            <w:tcW w:w="1401" w:type="dxa"/>
            <w:tcBorders>
              <w:top w:val="single" w:color="auto" w:sz="4" w:space="0"/>
              <w:bottom w:val="single" w:color="auto" w:sz="4" w:space="0"/>
              <w:right w:val="nil"/>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w:t>
            </w:r>
          </w:p>
        </w:tc>
      </w:tr>
      <w:tr>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1850" w:type="dxa"/>
            <w:tcBorders>
              <w:top w:val="single" w:color="auto" w:sz="4" w:space="0"/>
              <w:left w:val="nil"/>
              <w:bottom w:val="single" w:color="auto" w:sz="4" w:space="0"/>
            </w:tcBorders>
            <w:vAlign w:val="center"/>
          </w:tcPr>
          <w:p>
            <w:pPr>
              <w:keepNext w:val="0"/>
              <w:keepLines w:val="0"/>
              <w:pageBreakBefore w:val="0"/>
              <w:kinsoku/>
              <w:wordWrap/>
              <w:overflowPunct/>
              <w:autoSpaceDN/>
              <w:bidi w:val="0"/>
              <w:adjustRightInd/>
              <w:snapToGrid/>
              <w:spacing w:line="360" w:lineRule="exact"/>
              <w:ind w:firstLine="0" w:firstLineChars="0"/>
              <w:jc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亚硝酸盐氮</w:t>
            </w:r>
          </w:p>
        </w:tc>
        <w:tc>
          <w:tcPr>
            <w:tcW w:w="145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0.005</w:t>
            </w:r>
          </w:p>
        </w:tc>
        <w:tc>
          <w:tcPr>
            <w:tcW w:w="1451"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0.321</w:t>
            </w:r>
          </w:p>
        </w:tc>
        <w:tc>
          <w:tcPr>
            <w:tcW w:w="1451"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0.009</w:t>
            </w:r>
          </w:p>
        </w:tc>
        <w:tc>
          <w:tcPr>
            <w:tcW w:w="140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达标</w:t>
            </w:r>
          </w:p>
        </w:tc>
        <w:tc>
          <w:tcPr>
            <w:tcW w:w="1401" w:type="dxa"/>
            <w:tcBorders>
              <w:top w:val="single" w:color="auto" w:sz="4" w:space="0"/>
              <w:bottom w:val="single" w:color="auto" w:sz="4" w:space="0"/>
              <w:right w:val="nil"/>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w:t>
            </w:r>
          </w:p>
        </w:tc>
      </w:tr>
      <w:tr>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1850" w:type="dxa"/>
            <w:tcBorders>
              <w:top w:val="single" w:color="auto" w:sz="4" w:space="0"/>
              <w:left w:val="nil"/>
              <w:bottom w:val="single" w:color="auto" w:sz="4" w:space="0"/>
            </w:tcBorders>
            <w:vAlign w:val="center"/>
          </w:tcPr>
          <w:p>
            <w:pPr>
              <w:keepNext w:val="0"/>
              <w:keepLines w:val="0"/>
              <w:pageBreakBefore w:val="0"/>
              <w:kinsoku/>
              <w:wordWrap/>
              <w:overflowPunct/>
              <w:autoSpaceDN/>
              <w:bidi w:val="0"/>
              <w:adjustRightInd/>
              <w:snapToGrid/>
              <w:spacing w:line="360" w:lineRule="exact"/>
              <w:ind w:firstLine="0" w:firstLineChars="0"/>
              <w:jc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硝酸盐氮</w:t>
            </w:r>
          </w:p>
        </w:tc>
        <w:tc>
          <w:tcPr>
            <w:tcW w:w="145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0.079</w:t>
            </w:r>
          </w:p>
        </w:tc>
        <w:tc>
          <w:tcPr>
            <w:tcW w:w="1451"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0.150</w:t>
            </w:r>
          </w:p>
        </w:tc>
        <w:tc>
          <w:tcPr>
            <w:tcW w:w="1451"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0.093</w:t>
            </w:r>
          </w:p>
        </w:tc>
        <w:tc>
          <w:tcPr>
            <w:tcW w:w="140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达标</w:t>
            </w:r>
          </w:p>
        </w:tc>
        <w:tc>
          <w:tcPr>
            <w:tcW w:w="1401" w:type="dxa"/>
            <w:tcBorders>
              <w:top w:val="single" w:color="auto" w:sz="4" w:space="0"/>
              <w:bottom w:val="single" w:color="auto" w:sz="4" w:space="0"/>
              <w:right w:val="nil"/>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w:t>
            </w:r>
          </w:p>
        </w:tc>
      </w:tr>
      <w:tr>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1850" w:type="dxa"/>
            <w:tcBorders>
              <w:top w:val="single" w:color="auto" w:sz="4" w:space="0"/>
              <w:left w:val="nil"/>
              <w:bottom w:val="single" w:color="auto" w:sz="4" w:space="0"/>
            </w:tcBorders>
            <w:vAlign w:val="center"/>
          </w:tcPr>
          <w:p>
            <w:pPr>
              <w:keepNext w:val="0"/>
              <w:keepLines w:val="0"/>
              <w:pageBreakBefore w:val="0"/>
              <w:kinsoku/>
              <w:wordWrap/>
              <w:overflowPunct/>
              <w:autoSpaceDN/>
              <w:bidi w:val="0"/>
              <w:adjustRightInd/>
              <w:snapToGrid/>
              <w:spacing w:line="360" w:lineRule="exact"/>
              <w:ind w:firstLine="0" w:firstLineChars="0"/>
              <w:jc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挥发酚</w:t>
            </w:r>
          </w:p>
        </w:tc>
        <w:tc>
          <w:tcPr>
            <w:tcW w:w="145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0.075</w:t>
            </w:r>
          </w:p>
        </w:tc>
        <w:tc>
          <w:tcPr>
            <w:tcW w:w="1451"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0.075</w:t>
            </w:r>
          </w:p>
        </w:tc>
        <w:tc>
          <w:tcPr>
            <w:tcW w:w="1451"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0.075</w:t>
            </w:r>
          </w:p>
        </w:tc>
        <w:tc>
          <w:tcPr>
            <w:tcW w:w="140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达标</w:t>
            </w:r>
          </w:p>
        </w:tc>
        <w:tc>
          <w:tcPr>
            <w:tcW w:w="1401" w:type="dxa"/>
            <w:tcBorders>
              <w:top w:val="single" w:color="auto" w:sz="4" w:space="0"/>
              <w:bottom w:val="single" w:color="auto" w:sz="4" w:space="0"/>
              <w:right w:val="nil"/>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w:t>
            </w:r>
          </w:p>
        </w:tc>
      </w:tr>
      <w:tr>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1850" w:type="dxa"/>
            <w:tcBorders>
              <w:top w:val="single" w:color="auto" w:sz="4" w:space="0"/>
              <w:left w:val="nil"/>
              <w:bottom w:val="single" w:color="auto" w:sz="4" w:space="0"/>
            </w:tcBorders>
            <w:vAlign w:val="center"/>
          </w:tcPr>
          <w:p>
            <w:pPr>
              <w:keepNext w:val="0"/>
              <w:keepLines w:val="0"/>
              <w:pageBreakBefore w:val="0"/>
              <w:kinsoku/>
              <w:wordWrap/>
              <w:overflowPunct/>
              <w:autoSpaceDN/>
              <w:bidi w:val="0"/>
              <w:adjustRightInd/>
              <w:snapToGrid/>
              <w:spacing w:line="360" w:lineRule="exact"/>
              <w:ind w:firstLine="0" w:firstLineChars="0"/>
              <w:jc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氰化物</w:t>
            </w:r>
          </w:p>
        </w:tc>
        <w:tc>
          <w:tcPr>
            <w:tcW w:w="145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0.040</w:t>
            </w:r>
          </w:p>
        </w:tc>
        <w:tc>
          <w:tcPr>
            <w:tcW w:w="1451"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0.040</w:t>
            </w:r>
          </w:p>
        </w:tc>
        <w:tc>
          <w:tcPr>
            <w:tcW w:w="1451"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0.040</w:t>
            </w:r>
          </w:p>
        </w:tc>
        <w:tc>
          <w:tcPr>
            <w:tcW w:w="140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达标</w:t>
            </w:r>
          </w:p>
        </w:tc>
        <w:tc>
          <w:tcPr>
            <w:tcW w:w="1401" w:type="dxa"/>
            <w:tcBorders>
              <w:top w:val="single" w:color="auto" w:sz="4" w:space="0"/>
              <w:bottom w:val="single" w:color="auto" w:sz="4" w:space="0"/>
              <w:right w:val="nil"/>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w:t>
            </w:r>
          </w:p>
        </w:tc>
      </w:tr>
      <w:tr>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1850" w:type="dxa"/>
            <w:tcBorders>
              <w:top w:val="single" w:color="auto" w:sz="4" w:space="0"/>
              <w:left w:val="nil"/>
              <w:bottom w:val="single" w:color="auto" w:sz="4" w:space="0"/>
            </w:tcBorders>
            <w:vAlign w:val="center"/>
          </w:tcPr>
          <w:p>
            <w:pPr>
              <w:keepNext w:val="0"/>
              <w:keepLines w:val="0"/>
              <w:pageBreakBefore w:val="0"/>
              <w:kinsoku/>
              <w:wordWrap/>
              <w:overflowPunct/>
              <w:autoSpaceDN/>
              <w:bidi w:val="0"/>
              <w:adjustRightInd/>
              <w:snapToGrid/>
              <w:spacing w:line="360" w:lineRule="exact"/>
              <w:ind w:firstLine="0" w:firstLineChars="0"/>
              <w:jc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氯化物</w:t>
            </w:r>
          </w:p>
        </w:tc>
        <w:tc>
          <w:tcPr>
            <w:tcW w:w="145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1.616</w:t>
            </w:r>
          </w:p>
        </w:tc>
        <w:tc>
          <w:tcPr>
            <w:tcW w:w="1451"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1.568</w:t>
            </w:r>
          </w:p>
        </w:tc>
        <w:tc>
          <w:tcPr>
            <w:tcW w:w="1451"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1.508</w:t>
            </w:r>
          </w:p>
        </w:tc>
        <w:tc>
          <w:tcPr>
            <w:tcW w:w="140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超标</w:t>
            </w:r>
          </w:p>
        </w:tc>
        <w:tc>
          <w:tcPr>
            <w:tcW w:w="1401" w:type="dxa"/>
            <w:tcBorders>
              <w:top w:val="single" w:color="auto" w:sz="4" w:space="0"/>
              <w:bottom w:val="single" w:color="auto" w:sz="4" w:space="0"/>
              <w:right w:val="nil"/>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w:t>
            </w:r>
          </w:p>
        </w:tc>
      </w:tr>
      <w:tr>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1850" w:type="dxa"/>
            <w:tcBorders>
              <w:top w:val="single" w:color="auto" w:sz="4" w:space="0"/>
              <w:left w:val="nil"/>
              <w:bottom w:val="single" w:color="auto" w:sz="4" w:space="0"/>
            </w:tcBorders>
            <w:vAlign w:val="center"/>
          </w:tcPr>
          <w:p>
            <w:pPr>
              <w:keepNext w:val="0"/>
              <w:keepLines w:val="0"/>
              <w:pageBreakBefore w:val="0"/>
              <w:kinsoku/>
              <w:wordWrap/>
              <w:overflowPunct/>
              <w:autoSpaceDN/>
              <w:bidi w:val="0"/>
              <w:adjustRightInd/>
              <w:snapToGrid/>
              <w:spacing w:line="360" w:lineRule="exact"/>
              <w:ind w:firstLine="0" w:firstLineChars="0"/>
              <w:jc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溶解性总固体</w:t>
            </w:r>
          </w:p>
        </w:tc>
        <w:tc>
          <w:tcPr>
            <w:tcW w:w="145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1.181</w:t>
            </w:r>
          </w:p>
        </w:tc>
        <w:tc>
          <w:tcPr>
            <w:tcW w:w="1451"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1.134</w:t>
            </w:r>
          </w:p>
        </w:tc>
        <w:tc>
          <w:tcPr>
            <w:tcW w:w="1451"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0.730</w:t>
            </w:r>
          </w:p>
        </w:tc>
        <w:tc>
          <w:tcPr>
            <w:tcW w:w="140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超标</w:t>
            </w:r>
          </w:p>
        </w:tc>
        <w:tc>
          <w:tcPr>
            <w:tcW w:w="1401" w:type="dxa"/>
            <w:tcBorders>
              <w:top w:val="single" w:color="auto" w:sz="4" w:space="0"/>
              <w:bottom w:val="single" w:color="auto" w:sz="4" w:space="0"/>
              <w:right w:val="nil"/>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w:t>
            </w:r>
          </w:p>
        </w:tc>
      </w:tr>
      <w:tr>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1850" w:type="dxa"/>
            <w:tcBorders>
              <w:top w:val="single" w:color="auto" w:sz="4" w:space="0"/>
              <w:left w:val="nil"/>
              <w:bottom w:val="single" w:color="auto" w:sz="4" w:space="0"/>
            </w:tcBorders>
            <w:vAlign w:val="center"/>
          </w:tcPr>
          <w:p>
            <w:pPr>
              <w:keepNext w:val="0"/>
              <w:keepLines w:val="0"/>
              <w:pageBreakBefore w:val="0"/>
              <w:kinsoku/>
              <w:wordWrap/>
              <w:overflowPunct/>
              <w:autoSpaceDN/>
              <w:bidi w:val="0"/>
              <w:adjustRightInd/>
              <w:snapToGrid/>
              <w:spacing w:line="360" w:lineRule="exact"/>
              <w:ind w:firstLine="0" w:firstLineChars="0"/>
              <w:jc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六价铬</w:t>
            </w:r>
          </w:p>
        </w:tc>
        <w:tc>
          <w:tcPr>
            <w:tcW w:w="145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0.040</w:t>
            </w:r>
          </w:p>
        </w:tc>
        <w:tc>
          <w:tcPr>
            <w:tcW w:w="1451"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0.040</w:t>
            </w:r>
          </w:p>
        </w:tc>
        <w:tc>
          <w:tcPr>
            <w:tcW w:w="1451"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0.040</w:t>
            </w:r>
          </w:p>
        </w:tc>
        <w:tc>
          <w:tcPr>
            <w:tcW w:w="140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达标</w:t>
            </w:r>
          </w:p>
        </w:tc>
        <w:tc>
          <w:tcPr>
            <w:tcW w:w="1401" w:type="dxa"/>
            <w:tcBorders>
              <w:top w:val="single" w:color="auto" w:sz="4" w:space="0"/>
              <w:bottom w:val="single" w:color="auto" w:sz="4" w:space="0"/>
              <w:right w:val="nil"/>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w:t>
            </w:r>
          </w:p>
        </w:tc>
      </w:tr>
      <w:tr>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1850" w:type="dxa"/>
            <w:tcBorders>
              <w:top w:val="single" w:color="auto" w:sz="4" w:space="0"/>
              <w:left w:val="nil"/>
              <w:bottom w:val="single" w:color="auto" w:sz="4" w:space="0"/>
            </w:tcBorders>
            <w:vAlign w:val="center"/>
          </w:tcPr>
          <w:p>
            <w:pPr>
              <w:keepNext w:val="0"/>
              <w:keepLines w:val="0"/>
              <w:pageBreakBefore w:val="0"/>
              <w:kinsoku/>
              <w:wordWrap/>
              <w:overflowPunct/>
              <w:autoSpaceDN/>
              <w:bidi w:val="0"/>
              <w:adjustRightInd/>
              <w:snapToGrid/>
              <w:spacing w:line="360" w:lineRule="exact"/>
              <w:ind w:firstLine="0" w:firstLineChars="0"/>
              <w:jc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砷</w:t>
            </w:r>
          </w:p>
        </w:tc>
        <w:tc>
          <w:tcPr>
            <w:tcW w:w="145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0.015</w:t>
            </w:r>
          </w:p>
        </w:tc>
        <w:tc>
          <w:tcPr>
            <w:tcW w:w="1451"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0.015</w:t>
            </w:r>
          </w:p>
        </w:tc>
        <w:tc>
          <w:tcPr>
            <w:tcW w:w="1451"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0.015</w:t>
            </w:r>
          </w:p>
        </w:tc>
        <w:tc>
          <w:tcPr>
            <w:tcW w:w="140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达标</w:t>
            </w:r>
          </w:p>
        </w:tc>
        <w:tc>
          <w:tcPr>
            <w:tcW w:w="1401" w:type="dxa"/>
            <w:tcBorders>
              <w:top w:val="single" w:color="auto" w:sz="4" w:space="0"/>
              <w:bottom w:val="single" w:color="auto" w:sz="4" w:space="0"/>
              <w:right w:val="nil"/>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w:t>
            </w:r>
          </w:p>
        </w:tc>
      </w:tr>
      <w:tr>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1850" w:type="dxa"/>
            <w:tcBorders>
              <w:top w:val="single" w:color="auto" w:sz="4" w:space="0"/>
              <w:left w:val="nil"/>
              <w:bottom w:val="single" w:color="auto" w:sz="4" w:space="0"/>
            </w:tcBorders>
            <w:vAlign w:val="center"/>
          </w:tcPr>
          <w:p>
            <w:pPr>
              <w:keepNext w:val="0"/>
              <w:keepLines w:val="0"/>
              <w:pageBreakBefore w:val="0"/>
              <w:kinsoku/>
              <w:wordWrap/>
              <w:overflowPunct/>
              <w:autoSpaceDN/>
              <w:bidi w:val="0"/>
              <w:adjustRightInd/>
              <w:snapToGrid/>
              <w:spacing w:line="360" w:lineRule="exact"/>
              <w:ind w:firstLine="0" w:firstLineChars="0"/>
              <w:jc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汞</w:t>
            </w:r>
          </w:p>
        </w:tc>
        <w:tc>
          <w:tcPr>
            <w:tcW w:w="145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0.020</w:t>
            </w:r>
          </w:p>
        </w:tc>
        <w:tc>
          <w:tcPr>
            <w:tcW w:w="1451"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0.020</w:t>
            </w:r>
          </w:p>
        </w:tc>
        <w:tc>
          <w:tcPr>
            <w:tcW w:w="1451"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0.020</w:t>
            </w:r>
          </w:p>
        </w:tc>
        <w:tc>
          <w:tcPr>
            <w:tcW w:w="140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达标</w:t>
            </w:r>
          </w:p>
        </w:tc>
        <w:tc>
          <w:tcPr>
            <w:tcW w:w="1401" w:type="dxa"/>
            <w:tcBorders>
              <w:top w:val="single" w:color="auto" w:sz="4" w:space="0"/>
              <w:bottom w:val="single" w:color="auto" w:sz="4" w:space="0"/>
              <w:right w:val="nil"/>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p>
        </w:tc>
      </w:tr>
      <w:tr>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1850" w:type="dxa"/>
            <w:tcBorders>
              <w:top w:val="single" w:color="auto" w:sz="4" w:space="0"/>
              <w:left w:val="nil"/>
              <w:bottom w:val="single" w:color="auto" w:sz="4" w:space="0"/>
            </w:tcBorders>
            <w:vAlign w:val="center"/>
          </w:tcPr>
          <w:p>
            <w:pPr>
              <w:keepNext w:val="0"/>
              <w:keepLines w:val="0"/>
              <w:pageBreakBefore w:val="0"/>
              <w:kinsoku/>
              <w:wordWrap/>
              <w:overflowPunct/>
              <w:autoSpaceDN/>
              <w:bidi w:val="0"/>
              <w:adjustRightInd/>
              <w:snapToGrid/>
              <w:spacing w:line="360" w:lineRule="exact"/>
              <w:ind w:firstLine="0" w:firstLineChars="0"/>
              <w:jc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镉</w:t>
            </w:r>
          </w:p>
        </w:tc>
        <w:tc>
          <w:tcPr>
            <w:tcW w:w="145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0.010</w:t>
            </w:r>
          </w:p>
        </w:tc>
        <w:tc>
          <w:tcPr>
            <w:tcW w:w="1451"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0.010</w:t>
            </w:r>
          </w:p>
        </w:tc>
        <w:tc>
          <w:tcPr>
            <w:tcW w:w="1451"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0.010</w:t>
            </w:r>
          </w:p>
        </w:tc>
        <w:tc>
          <w:tcPr>
            <w:tcW w:w="140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达标</w:t>
            </w:r>
          </w:p>
        </w:tc>
        <w:tc>
          <w:tcPr>
            <w:tcW w:w="1401" w:type="dxa"/>
            <w:tcBorders>
              <w:top w:val="single" w:color="auto" w:sz="4" w:space="0"/>
              <w:bottom w:val="single" w:color="auto" w:sz="4" w:space="0"/>
              <w:right w:val="nil"/>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w:t>
            </w:r>
          </w:p>
        </w:tc>
      </w:tr>
      <w:tr>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1850" w:type="dxa"/>
            <w:tcBorders>
              <w:top w:val="single" w:color="auto" w:sz="4" w:space="0"/>
              <w:left w:val="nil"/>
              <w:bottom w:val="single" w:color="auto" w:sz="4" w:space="0"/>
            </w:tcBorders>
            <w:vAlign w:val="center"/>
          </w:tcPr>
          <w:p>
            <w:pPr>
              <w:keepNext w:val="0"/>
              <w:keepLines w:val="0"/>
              <w:pageBreakBefore w:val="0"/>
              <w:kinsoku/>
              <w:wordWrap/>
              <w:overflowPunct/>
              <w:autoSpaceDN/>
              <w:bidi w:val="0"/>
              <w:adjustRightInd/>
              <w:snapToGrid/>
              <w:spacing w:line="360" w:lineRule="exact"/>
              <w:ind w:firstLine="0" w:firstLineChars="0"/>
              <w:jc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铁</w:t>
            </w:r>
          </w:p>
        </w:tc>
        <w:tc>
          <w:tcPr>
            <w:tcW w:w="145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0.050</w:t>
            </w:r>
          </w:p>
        </w:tc>
        <w:tc>
          <w:tcPr>
            <w:tcW w:w="1451"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0.050</w:t>
            </w:r>
          </w:p>
        </w:tc>
        <w:tc>
          <w:tcPr>
            <w:tcW w:w="1451"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0.050</w:t>
            </w:r>
          </w:p>
        </w:tc>
        <w:tc>
          <w:tcPr>
            <w:tcW w:w="140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达标</w:t>
            </w:r>
          </w:p>
        </w:tc>
        <w:tc>
          <w:tcPr>
            <w:tcW w:w="1401" w:type="dxa"/>
            <w:tcBorders>
              <w:top w:val="single" w:color="auto" w:sz="4" w:space="0"/>
              <w:bottom w:val="single" w:color="auto" w:sz="4" w:space="0"/>
              <w:right w:val="nil"/>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w:t>
            </w:r>
          </w:p>
        </w:tc>
      </w:tr>
      <w:tr>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1850" w:type="dxa"/>
            <w:tcBorders>
              <w:top w:val="single" w:color="auto" w:sz="4" w:space="0"/>
              <w:left w:val="nil"/>
              <w:bottom w:val="single" w:color="auto" w:sz="4" w:space="0"/>
            </w:tcBorders>
            <w:vAlign w:val="center"/>
          </w:tcPr>
          <w:p>
            <w:pPr>
              <w:keepNext w:val="0"/>
              <w:keepLines w:val="0"/>
              <w:pageBreakBefore w:val="0"/>
              <w:kinsoku/>
              <w:wordWrap/>
              <w:overflowPunct/>
              <w:autoSpaceDN/>
              <w:bidi w:val="0"/>
              <w:adjustRightInd/>
              <w:snapToGrid/>
              <w:spacing w:line="360" w:lineRule="exact"/>
              <w:ind w:firstLine="0" w:firstLineChars="0"/>
              <w:jc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锰</w:t>
            </w:r>
          </w:p>
        </w:tc>
        <w:tc>
          <w:tcPr>
            <w:tcW w:w="145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0.050</w:t>
            </w:r>
          </w:p>
        </w:tc>
        <w:tc>
          <w:tcPr>
            <w:tcW w:w="1451"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0.050</w:t>
            </w:r>
          </w:p>
        </w:tc>
        <w:tc>
          <w:tcPr>
            <w:tcW w:w="1451"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0.050</w:t>
            </w:r>
          </w:p>
        </w:tc>
        <w:tc>
          <w:tcPr>
            <w:tcW w:w="140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达标</w:t>
            </w:r>
          </w:p>
        </w:tc>
        <w:tc>
          <w:tcPr>
            <w:tcW w:w="1401" w:type="dxa"/>
            <w:tcBorders>
              <w:top w:val="single" w:color="auto" w:sz="4" w:space="0"/>
              <w:bottom w:val="single" w:color="auto" w:sz="4" w:space="0"/>
              <w:right w:val="nil"/>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w:t>
            </w:r>
          </w:p>
        </w:tc>
      </w:tr>
      <w:tr>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1850" w:type="dxa"/>
            <w:tcBorders>
              <w:top w:val="single" w:color="auto" w:sz="4" w:space="0"/>
              <w:left w:val="nil"/>
              <w:bottom w:val="single" w:color="auto" w:sz="4" w:space="0"/>
            </w:tcBorders>
            <w:vAlign w:val="center"/>
          </w:tcPr>
          <w:p>
            <w:pPr>
              <w:keepNext w:val="0"/>
              <w:keepLines w:val="0"/>
              <w:pageBreakBefore w:val="0"/>
              <w:kinsoku/>
              <w:wordWrap/>
              <w:overflowPunct/>
              <w:autoSpaceDN/>
              <w:bidi w:val="0"/>
              <w:adjustRightInd/>
              <w:snapToGrid/>
              <w:spacing w:line="360" w:lineRule="exact"/>
              <w:ind w:firstLine="0" w:firstLineChars="0"/>
              <w:jc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铅</w:t>
            </w:r>
          </w:p>
        </w:tc>
        <w:tc>
          <w:tcPr>
            <w:tcW w:w="145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0.050</w:t>
            </w:r>
          </w:p>
        </w:tc>
        <w:tc>
          <w:tcPr>
            <w:tcW w:w="1451"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0.050</w:t>
            </w:r>
          </w:p>
        </w:tc>
        <w:tc>
          <w:tcPr>
            <w:tcW w:w="1451"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0.050</w:t>
            </w:r>
          </w:p>
        </w:tc>
        <w:tc>
          <w:tcPr>
            <w:tcW w:w="140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达标</w:t>
            </w:r>
          </w:p>
        </w:tc>
        <w:tc>
          <w:tcPr>
            <w:tcW w:w="1401" w:type="dxa"/>
            <w:tcBorders>
              <w:top w:val="single" w:color="auto" w:sz="4" w:space="0"/>
              <w:bottom w:val="single" w:color="auto" w:sz="4" w:space="0"/>
              <w:right w:val="nil"/>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w:t>
            </w:r>
          </w:p>
        </w:tc>
      </w:tr>
      <w:tr>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1850" w:type="dxa"/>
            <w:tcBorders>
              <w:top w:val="single" w:color="auto" w:sz="4" w:space="0"/>
              <w:left w:val="nil"/>
              <w:bottom w:val="single" w:color="auto" w:sz="4" w:space="0"/>
            </w:tcBorders>
            <w:vAlign w:val="center"/>
          </w:tcPr>
          <w:p>
            <w:pPr>
              <w:keepNext w:val="0"/>
              <w:keepLines w:val="0"/>
              <w:pageBreakBefore w:val="0"/>
              <w:kinsoku/>
              <w:wordWrap/>
              <w:overflowPunct/>
              <w:autoSpaceDN/>
              <w:bidi w:val="0"/>
              <w:adjustRightInd/>
              <w:snapToGrid/>
              <w:spacing w:line="360" w:lineRule="exact"/>
              <w:ind w:firstLine="0" w:firstLineChars="0"/>
              <w:jc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总大肠菌群</w:t>
            </w:r>
          </w:p>
        </w:tc>
        <w:tc>
          <w:tcPr>
            <w:tcW w:w="145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0.333</w:t>
            </w:r>
          </w:p>
        </w:tc>
        <w:tc>
          <w:tcPr>
            <w:tcW w:w="1451"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0.333</w:t>
            </w:r>
          </w:p>
        </w:tc>
        <w:tc>
          <w:tcPr>
            <w:tcW w:w="1451"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0.333</w:t>
            </w:r>
          </w:p>
        </w:tc>
        <w:tc>
          <w:tcPr>
            <w:tcW w:w="140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达标</w:t>
            </w:r>
          </w:p>
        </w:tc>
        <w:tc>
          <w:tcPr>
            <w:tcW w:w="1401" w:type="dxa"/>
            <w:tcBorders>
              <w:top w:val="single" w:color="auto" w:sz="4" w:space="0"/>
              <w:bottom w:val="single" w:color="auto" w:sz="4" w:space="0"/>
              <w:right w:val="nil"/>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w:t>
            </w:r>
          </w:p>
        </w:tc>
      </w:tr>
      <w:tr>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1850" w:type="dxa"/>
            <w:tcBorders>
              <w:top w:val="single" w:color="auto" w:sz="4" w:space="0"/>
              <w:left w:val="nil"/>
              <w:bottom w:val="single" w:color="auto" w:sz="4" w:space="0"/>
            </w:tcBorders>
            <w:vAlign w:val="center"/>
          </w:tcPr>
          <w:p>
            <w:pPr>
              <w:keepNext w:val="0"/>
              <w:keepLines w:val="0"/>
              <w:pageBreakBefore w:val="0"/>
              <w:kinsoku/>
              <w:wordWrap/>
              <w:overflowPunct/>
              <w:autoSpaceDN/>
              <w:bidi w:val="0"/>
              <w:adjustRightInd/>
              <w:snapToGrid/>
              <w:spacing w:line="360" w:lineRule="exact"/>
              <w:ind w:firstLine="0" w:firstLineChars="0"/>
              <w:jc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细菌总数</w:t>
            </w:r>
          </w:p>
        </w:tc>
        <w:tc>
          <w:tcPr>
            <w:tcW w:w="145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0.230</w:t>
            </w:r>
          </w:p>
        </w:tc>
        <w:tc>
          <w:tcPr>
            <w:tcW w:w="1451"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0.290</w:t>
            </w:r>
          </w:p>
        </w:tc>
        <w:tc>
          <w:tcPr>
            <w:tcW w:w="1451"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0.250</w:t>
            </w:r>
          </w:p>
        </w:tc>
        <w:tc>
          <w:tcPr>
            <w:tcW w:w="140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达标</w:t>
            </w:r>
          </w:p>
        </w:tc>
        <w:tc>
          <w:tcPr>
            <w:tcW w:w="1401" w:type="dxa"/>
            <w:tcBorders>
              <w:top w:val="single" w:color="auto" w:sz="4" w:space="0"/>
              <w:bottom w:val="single" w:color="auto" w:sz="4" w:space="0"/>
              <w:right w:val="nil"/>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w:t>
            </w:r>
          </w:p>
        </w:tc>
      </w:tr>
      <w:tr>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1850" w:type="dxa"/>
            <w:tcBorders>
              <w:top w:val="single" w:color="auto" w:sz="4" w:space="0"/>
              <w:left w:val="nil"/>
              <w:bottom w:val="single" w:color="auto" w:sz="4" w:space="0"/>
            </w:tcBorders>
            <w:vAlign w:val="center"/>
          </w:tcPr>
          <w:p>
            <w:pPr>
              <w:keepNext w:val="0"/>
              <w:keepLines w:val="0"/>
              <w:pageBreakBefore w:val="0"/>
              <w:kinsoku/>
              <w:wordWrap/>
              <w:overflowPunct/>
              <w:autoSpaceDN/>
              <w:bidi w:val="0"/>
              <w:adjustRightInd/>
              <w:snapToGrid/>
              <w:spacing w:line="360" w:lineRule="exact"/>
              <w:ind w:firstLine="0" w:firstLineChars="0"/>
              <w:jc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硫酸盐</w:t>
            </w:r>
          </w:p>
        </w:tc>
        <w:tc>
          <w:tcPr>
            <w:tcW w:w="145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1.528</w:t>
            </w:r>
          </w:p>
        </w:tc>
        <w:tc>
          <w:tcPr>
            <w:tcW w:w="1451"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1.316</w:t>
            </w:r>
          </w:p>
        </w:tc>
        <w:tc>
          <w:tcPr>
            <w:tcW w:w="1451"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1.100</w:t>
            </w:r>
          </w:p>
        </w:tc>
        <w:tc>
          <w:tcPr>
            <w:tcW w:w="140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超标</w:t>
            </w:r>
          </w:p>
        </w:tc>
        <w:tc>
          <w:tcPr>
            <w:tcW w:w="1401" w:type="dxa"/>
            <w:tcBorders>
              <w:top w:val="single" w:color="auto" w:sz="4" w:space="0"/>
              <w:bottom w:val="single" w:color="auto" w:sz="4" w:space="0"/>
              <w:right w:val="nil"/>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w:t>
            </w:r>
          </w:p>
        </w:tc>
      </w:tr>
      <w:tr>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1850" w:type="dxa"/>
            <w:tcBorders>
              <w:top w:val="single" w:color="auto" w:sz="4" w:space="0"/>
              <w:left w:val="nil"/>
              <w:bottom w:val="single" w:color="auto" w:sz="4" w:space="0"/>
            </w:tcBorders>
            <w:vAlign w:val="center"/>
          </w:tcPr>
          <w:p>
            <w:pPr>
              <w:keepNext w:val="0"/>
              <w:keepLines w:val="0"/>
              <w:pageBreakBefore w:val="0"/>
              <w:kinsoku/>
              <w:wordWrap/>
              <w:overflowPunct/>
              <w:autoSpaceDN/>
              <w:bidi w:val="0"/>
              <w:adjustRightInd/>
              <w:snapToGrid/>
              <w:spacing w:line="360" w:lineRule="exact"/>
              <w:ind w:firstLine="0" w:firstLineChars="0"/>
              <w:jc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铜</w:t>
            </w:r>
          </w:p>
        </w:tc>
        <w:tc>
          <w:tcPr>
            <w:tcW w:w="145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0.025</w:t>
            </w:r>
          </w:p>
        </w:tc>
        <w:tc>
          <w:tcPr>
            <w:tcW w:w="1451"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0.025</w:t>
            </w:r>
          </w:p>
        </w:tc>
        <w:tc>
          <w:tcPr>
            <w:tcW w:w="1451"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0.025</w:t>
            </w:r>
          </w:p>
        </w:tc>
        <w:tc>
          <w:tcPr>
            <w:tcW w:w="140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达标</w:t>
            </w:r>
          </w:p>
        </w:tc>
        <w:tc>
          <w:tcPr>
            <w:tcW w:w="1401" w:type="dxa"/>
            <w:tcBorders>
              <w:top w:val="single" w:color="auto" w:sz="4" w:space="0"/>
              <w:bottom w:val="single" w:color="auto" w:sz="4" w:space="0"/>
              <w:right w:val="nil"/>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w:t>
            </w:r>
          </w:p>
        </w:tc>
      </w:tr>
      <w:tr>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1850" w:type="dxa"/>
            <w:tcBorders>
              <w:top w:val="single" w:color="auto" w:sz="4" w:space="0"/>
              <w:left w:val="nil"/>
              <w:bottom w:val="single" w:color="auto" w:sz="4" w:space="0"/>
            </w:tcBorders>
            <w:vAlign w:val="center"/>
          </w:tcPr>
          <w:p>
            <w:pPr>
              <w:keepNext w:val="0"/>
              <w:keepLines w:val="0"/>
              <w:pageBreakBefore w:val="0"/>
              <w:kinsoku/>
              <w:wordWrap/>
              <w:overflowPunct/>
              <w:autoSpaceDN/>
              <w:bidi w:val="0"/>
              <w:adjustRightInd/>
              <w:snapToGrid/>
              <w:spacing w:line="360" w:lineRule="exact"/>
              <w:ind w:firstLine="0" w:firstLineChars="0"/>
              <w:jc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锌</w:t>
            </w:r>
          </w:p>
        </w:tc>
        <w:tc>
          <w:tcPr>
            <w:tcW w:w="145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0.025</w:t>
            </w:r>
          </w:p>
        </w:tc>
        <w:tc>
          <w:tcPr>
            <w:tcW w:w="1451"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0.025</w:t>
            </w:r>
          </w:p>
        </w:tc>
        <w:tc>
          <w:tcPr>
            <w:tcW w:w="1451"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0.025</w:t>
            </w:r>
          </w:p>
        </w:tc>
        <w:tc>
          <w:tcPr>
            <w:tcW w:w="140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达标</w:t>
            </w:r>
          </w:p>
        </w:tc>
        <w:tc>
          <w:tcPr>
            <w:tcW w:w="1401" w:type="dxa"/>
            <w:tcBorders>
              <w:top w:val="single" w:color="auto" w:sz="4" w:space="0"/>
              <w:bottom w:val="single" w:color="auto" w:sz="4" w:space="0"/>
              <w:right w:val="nil"/>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w:t>
            </w:r>
          </w:p>
        </w:tc>
      </w:tr>
      <w:tr>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1850" w:type="dxa"/>
            <w:tcBorders>
              <w:top w:val="single" w:color="auto" w:sz="4" w:space="0"/>
              <w:left w:val="nil"/>
              <w:bottom w:val="single" w:color="auto" w:sz="4" w:space="0"/>
            </w:tcBorders>
            <w:vAlign w:val="center"/>
          </w:tcPr>
          <w:p>
            <w:pPr>
              <w:keepNext w:val="0"/>
              <w:keepLines w:val="0"/>
              <w:pageBreakBefore w:val="0"/>
              <w:kinsoku/>
              <w:wordWrap/>
              <w:overflowPunct/>
              <w:autoSpaceDN/>
              <w:bidi w:val="0"/>
              <w:adjustRightInd/>
              <w:snapToGrid/>
              <w:spacing w:line="360" w:lineRule="exact"/>
              <w:ind w:firstLine="0" w:firstLineChars="0"/>
              <w:jc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铝</w:t>
            </w:r>
          </w:p>
        </w:tc>
        <w:tc>
          <w:tcPr>
            <w:tcW w:w="145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0.063</w:t>
            </w:r>
          </w:p>
        </w:tc>
        <w:tc>
          <w:tcPr>
            <w:tcW w:w="1451"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0.063</w:t>
            </w:r>
          </w:p>
        </w:tc>
        <w:tc>
          <w:tcPr>
            <w:tcW w:w="1451"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0.063</w:t>
            </w:r>
          </w:p>
        </w:tc>
        <w:tc>
          <w:tcPr>
            <w:tcW w:w="140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达标</w:t>
            </w:r>
          </w:p>
        </w:tc>
        <w:tc>
          <w:tcPr>
            <w:tcW w:w="1401" w:type="dxa"/>
            <w:tcBorders>
              <w:top w:val="single" w:color="auto" w:sz="4" w:space="0"/>
              <w:bottom w:val="single" w:color="auto" w:sz="4" w:space="0"/>
              <w:right w:val="nil"/>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w:t>
            </w:r>
          </w:p>
        </w:tc>
      </w:tr>
      <w:tr>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1850" w:type="dxa"/>
            <w:tcBorders>
              <w:top w:val="single" w:color="auto" w:sz="4" w:space="0"/>
              <w:left w:val="nil"/>
              <w:bottom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阴离子表面活性剂</w:t>
            </w:r>
          </w:p>
        </w:tc>
        <w:tc>
          <w:tcPr>
            <w:tcW w:w="145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0.083</w:t>
            </w:r>
          </w:p>
        </w:tc>
        <w:tc>
          <w:tcPr>
            <w:tcW w:w="1451"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0.083</w:t>
            </w:r>
          </w:p>
        </w:tc>
        <w:tc>
          <w:tcPr>
            <w:tcW w:w="1451"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0.083</w:t>
            </w:r>
          </w:p>
        </w:tc>
        <w:tc>
          <w:tcPr>
            <w:tcW w:w="140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达标</w:t>
            </w:r>
          </w:p>
        </w:tc>
        <w:tc>
          <w:tcPr>
            <w:tcW w:w="1401" w:type="dxa"/>
            <w:tcBorders>
              <w:top w:val="single" w:color="auto" w:sz="4" w:space="0"/>
              <w:bottom w:val="single" w:color="auto" w:sz="4" w:space="0"/>
              <w:right w:val="nil"/>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w:t>
            </w:r>
          </w:p>
        </w:tc>
      </w:tr>
      <w:tr>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1850" w:type="dxa"/>
            <w:tcBorders>
              <w:top w:val="single" w:color="auto" w:sz="4" w:space="0"/>
              <w:left w:val="nil"/>
              <w:bottom w:val="single" w:color="auto" w:sz="4" w:space="0"/>
            </w:tcBorders>
            <w:vAlign w:val="center"/>
          </w:tcPr>
          <w:p>
            <w:pPr>
              <w:keepNext w:val="0"/>
              <w:keepLines w:val="0"/>
              <w:pageBreakBefore w:val="0"/>
              <w:kinsoku/>
              <w:wordWrap/>
              <w:overflowPunct/>
              <w:autoSpaceDN/>
              <w:bidi w:val="0"/>
              <w:adjustRightInd/>
              <w:snapToGrid/>
              <w:spacing w:line="360" w:lineRule="exact"/>
              <w:ind w:firstLine="0" w:firstLineChars="0"/>
              <w:jc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硫化物</w:t>
            </w:r>
          </w:p>
        </w:tc>
        <w:tc>
          <w:tcPr>
            <w:tcW w:w="145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0.125</w:t>
            </w:r>
          </w:p>
        </w:tc>
        <w:tc>
          <w:tcPr>
            <w:tcW w:w="1451"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0.125</w:t>
            </w:r>
          </w:p>
        </w:tc>
        <w:tc>
          <w:tcPr>
            <w:tcW w:w="1451"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0.125</w:t>
            </w:r>
          </w:p>
        </w:tc>
        <w:tc>
          <w:tcPr>
            <w:tcW w:w="140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达标</w:t>
            </w:r>
          </w:p>
        </w:tc>
        <w:tc>
          <w:tcPr>
            <w:tcW w:w="1401" w:type="dxa"/>
            <w:tcBorders>
              <w:top w:val="single" w:color="auto" w:sz="4" w:space="0"/>
              <w:bottom w:val="single" w:color="auto" w:sz="4" w:space="0"/>
              <w:right w:val="nil"/>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w:t>
            </w:r>
          </w:p>
        </w:tc>
      </w:tr>
      <w:tr>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1850" w:type="dxa"/>
            <w:tcBorders>
              <w:top w:val="single" w:color="auto" w:sz="4" w:space="0"/>
              <w:left w:val="nil"/>
              <w:bottom w:val="single" w:color="auto" w:sz="4" w:space="0"/>
            </w:tcBorders>
            <w:vAlign w:val="center"/>
          </w:tcPr>
          <w:p>
            <w:pPr>
              <w:keepNext w:val="0"/>
              <w:keepLines w:val="0"/>
              <w:pageBreakBefore w:val="0"/>
              <w:kinsoku/>
              <w:wordWrap/>
              <w:overflowPunct/>
              <w:autoSpaceDN/>
              <w:bidi w:val="0"/>
              <w:adjustRightInd/>
              <w:snapToGrid/>
              <w:spacing w:line="360" w:lineRule="exact"/>
              <w:ind w:firstLine="0" w:firstLineChars="0"/>
              <w:jc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钠</w:t>
            </w:r>
          </w:p>
        </w:tc>
        <w:tc>
          <w:tcPr>
            <w:tcW w:w="145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0.660</w:t>
            </w:r>
          </w:p>
        </w:tc>
        <w:tc>
          <w:tcPr>
            <w:tcW w:w="1451"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0.575</w:t>
            </w:r>
          </w:p>
        </w:tc>
        <w:tc>
          <w:tcPr>
            <w:tcW w:w="1451"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1.125</w:t>
            </w:r>
          </w:p>
        </w:tc>
        <w:tc>
          <w:tcPr>
            <w:tcW w:w="140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达标</w:t>
            </w:r>
          </w:p>
        </w:tc>
        <w:tc>
          <w:tcPr>
            <w:tcW w:w="1401" w:type="dxa"/>
            <w:tcBorders>
              <w:top w:val="single" w:color="auto" w:sz="4" w:space="0"/>
              <w:bottom w:val="single" w:color="auto" w:sz="4" w:space="0"/>
              <w:right w:val="nil"/>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w:t>
            </w:r>
          </w:p>
        </w:tc>
      </w:tr>
      <w:tr>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1850" w:type="dxa"/>
            <w:tcBorders>
              <w:top w:val="single" w:color="auto" w:sz="4" w:space="0"/>
              <w:left w:val="nil"/>
              <w:bottom w:val="single" w:color="auto" w:sz="4" w:space="0"/>
            </w:tcBorders>
            <w:vAlign w:val="center"/>
          </w:tcPr>
          <w:p>
            <w:pPr>
              <w:keepNext w:val="0"/>
              <w:keepLines w:val="0"/>
              <w:pageBreakBefore w:val="0"/>
              <w:kinsoku/>
              <w:wordWrap/>
              <w:overflowPunct/>
              <w:autoSpaceDN/>
              <w:bidi w:val="0"/>
              <w:adjustRightInd/>
              <w:snapToGrid/>
              <w:spacing w:line="360" w:lineRule="exact"/>
              <w:ind w:firstLine="0" w:firstLineChars="0"/>
              <w:jc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碘化物</w:t>
            </w:r>
          </w:p>
        </w:tc>
        <w:tc>
          <w:tcPr>
            <w:tcW w:w="145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0.013</w:t>
            </w:r>
          </w:p>
        </w:tc>
        <w:tc>
          <w:tcPr>
            <w:tcW w:w="1451"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0.013</w:t>
            </w:r>
          </w:p>
        </w:tc>
        <w:tc>
          <w:tcPr>
            <w:tcW w:w="1451"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0.013</w:t>
            </w:r>
          </w:p>
        </w:tc>
        <w:tc>
          <w:tcPr>
            <w:tcW w:w="140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达标</w:t>
            </w:r>
          </w:p>
        </w:tc>
        <w:tc>
          <w:tcPr>
            <w:tcW w:w="1401" w:type="dxa"/>
            <w:tcBorders>
              <w:top w:val="single" w:color="auto" w:sz="4" w:space="0"/>
              <w:bottom w:val="single" w:color="auto" w:sz="4" w:space="0"/>
              <w:right w:val="nil"/>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w:t>
            </w:r>
          </w:p>
        </w:tc>
      </w:tr>
      <w:tr>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1850" w:type="dxa"/>
            <w:tcBorders>
              <w:top w:val="single" w:color="auto" w:sz="4" w:space="0"/>
              <w:left w:val="nil"/>
              <w:bottom w:val="single" w:color="auto" w:sz="4" w:space="0"/>
            </w:tcBorders>
            <w:vAlign w:val="center"/>
          </w:tcPr>
          <w:p>
            <w:pPr>
              <w:keepNext w:val="0"/>
              <w:keepLines w:val="0"/>
              <w:pageBreakBefore w:val="0"/>
              <w:kinsoku/>
              <w:wordWrap/>
              <w:overflowPunct/>
              <w:autoSpaceDN/>
              <w:bidi w:val="0"/>
              <w:adjustRightInd/>
              <w:snapToGrid/>
              <w:spacing w:line="360" w:lineRule="exact"/>
              <w:ind w:firstLine="0" w:firstLineChars="0"/>
              <w:jc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硒</w:t>
            </w:r>
          </w:p>
        </w:tc>
        <w:tc>
          <w:tcPr>
            <w:tcW w:w="145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0.020</w:t>
            </w:r>
          </w:p>
        </w:tc>
        <w:tc>
          <w:tcPr>
            <w:tcW w:w="1451"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0.020</w:t>
            </w:r>
          </w:p>
        </w:tc>
        <w:tc>
          <w:tcPr>
            <w:tcW w:w="1451"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0.020</w:t>
            </w:r>
          </w:p>
        </w:tc>
        <w:tc>
          <w:tcPr>
            <w:tcW w:w="140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达标</w:t>
            </w:r>
          </w:p>
        </w:tc>
        <w:tc>
          <w:tcPr>
            <w:tcW w:w="1401" w:type="dxa"/>
            <w:tcBorders>
              <w:top w:val="single" w:color="auto" w:sz="4" w:space="0"/>
              <w:bottom w:val="single" w:color="auto" w:sz="4" w:space="0"/>
              <w:right w:val="nil"/>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w:t>
            </w:r>
          </w:p>
        </w:tc>
      </w:tr>
      <w:tr>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1850" w:type="dxa"/>
            <w:tcBorders>
              <w:top w:val="single" w:color="auto" w:sz="4" w:space="0"/>
              <w:left w:val="nil"/>
              <w:bottom w:val="single" w:color="auto" w:sz="4" w:space="0"/>
            </w:tcBorders>
            <w:vAlign w:val="center"/>
          </w:tcPr>
          <w:p>
            <w:pPr>
              <w:keepNext w:val="0"/>
              <w:keepLines w:val="0"/>
              <w:pageBreakBefore w:val="0"/>
              <w:kinsoku/>
              <w:wordWrap/>
              <w:overflowPunct/>
              <w:autoSpaceDN/>
              <w:bidi w:val="0"/>
              <w:adjustRightInd/>
              <w:snapToGrid/>
              <w:spacing w:line="360" w:lineRule="exact"/>
              <w:ind w:firstLine="0" w:firstLineChars="0"/>
              <w:jc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三氯甲烷</w:t>
            </w:r>
          </w:p>
        </w:tc>
        <w:tc>
          <w:tcPr>
            <w:tcW w:w="145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0.000</w:t>
            </w:r>
          </w:p>
        </w:tc>
        <w:tc>
          <w:tcPr>
            <w:tcW w:w="1451"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0.000</w:t>
            </w:r>
          </w:p>
        </w:tc>
        <w:tc>
          <w:tcPr>
            <w:tcW w:w="1451"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0.000</w:t>
            </w:r>
          </w:p>
        </w:tc>
        <w:tc>
          <w:tcPr>
            <w:tcW w:w="140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达标</w:t>
            </w:r>
          </w:p>
        </w:tc>
        <w:tc>
          <w:tcPr>
            <w:tcW w:w="1401" w:type="dxa"/>
            <w:tcBorders>
              <w:top w:val="single" w:color="auto" w:sz="4" w:space="0"/>
              <w:bottom w:val="single" w:color="auto" w:sz="4" w:space="0"/>
              <w:right w:val="nil"/>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w:t>
            </w:r>
          </w:p>
        </w:tc>
      </w:tr>
      <w:tr>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1850" w:type="dxa"/>
            <w:tcBorders>
              <w:top w:val="single" w:color="auto" w:sz="4" w:space="0"/>
              <w:left w:val="nil"/>
              <w:bottom w:val="single" w:color="auto" w:sz="4" w:space="0"/>
            </w:tcBorders>
            <w:vAlign w:val="center"/>
          </w:tcPr>
          <w:p>
            <w:pPr>
              <w:keepNext w:val="0"/>
              <w:keepLines w:val="0"/>
              <w:pageBreakBefore w:val="0"/>
              <w:kinsoku/>
              <w:wordWrap/>
              <w:overflowPunct/>
              <w:autoSpaceDN/>
              <w:bidi w:val="0"/>
              <w:adjustRightInd/>
              <w:snapToGrid/>
              <w:spacing w:line="360" w:lineRule="exact"/>
              <w:ind w:firstLine="0" w:firstLineChars="0"/>
              <w:jc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苯</w:t>
            </w:r>
          </w:p>
        </w:tc>
        <w:tc>
          <w:tcPr>
            <w:tcW w:w="145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0.040</w:t>
            </w:r>
          </w:p>
        </w:tc>
        <w:tc>
          <w:tcPr>
            <w:tcW w:w="1451"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0.040</w:t>
            </w:r>
          </w:p>
        </w:tc>
        <w:tc>
          <w:tcPr>
            <w:tcW w:w="1451"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0.040</w:t>
            </w:r>
          </w:p>
        </w:tc>
        <w:tc>
          <w:tcPr>
            <w:tcW w:w="140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达标</w:t>
            </w:r>
          </w:p>
        </w:tc>
        <w:tc>
          <w:tcPr>
            <w:tcW w:w="1401" w:type="dxa"/>
            <w:tcBorders>
              <w:top w:val="single" w:color="auto" w:sz="4" w:space="0"/>
              <w:bottom w:val="single" w:color="auto" w:sz="4" w:space="0"/>
              <w:right w:val="nil"/>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w:t>
            </w:r>
          </w:p>
        </w:tc>
      </w:tr>
      <w:tr>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1850" w:type="dxa"/>
            <w:tcBorders>
              <w:top w:val="single" w:color="auto" w:sz="4" w:space="0"/>
              <w:left w:val="nil"/>
              <w:bottom w:val="single" w:color="auto" w:sz="4" w:space="0"/>
            </w:tcBorders>
            <w:vAlign w:val="center"/>
          </w:tcPr>
          <w:p>
            <w:pPr>
              <w:keepNext w:val="0"/>
              <w:keepLines w:val="0"/>
              <w:pageBreakBefore w:val="0"/>
              <w:kinsoku/>
              <w:wordWrap/>
              <w:overflowPunct/>
              <w:autoSpaceDN/>
              <w:bidi w:val="0"/>
              <w:adjustRightInd/>
              <w:snapToGrid/>
              <w:spacing w:line="360" w:lineRule="exact"/>
              <w:ind w:firstLine="0" w:firstLineChars="0"/>
              <w:jc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甲苯</w:t>
            </w:r>
          </w:p>
        </w:tc>
        <w:tc>
          <w:tcPr>
            <w:tcW w:w="145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0.001</w:t>
            </w:r>
          </w:p>
        </w:tc>
        <w:tc>
          <w:tcPr>
            <w:tcW w:w="1451"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0.001</w:t>
            </w:r>
          </w:p>
        </w:tc>
        <w:tc>
          <w:tcPr>
            <w:tcW w:w="1451"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0.001</w:t>
            </w:r>
          </w:p>
        </w:tc>
        <w:tc>
          <w:tcPr>
            <w:tcW w:w="140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达标</w:t>
            </w:r>
          </w:p>
        </w:tc>
        <w:tc>
          <w:tcPr>
            <w:tcW w:w="1401" w:type="dxa"/>
            <w:tcBorders>
              <w:top w:val="single" w:color="auto" w:sz="4" w:space="0"/>
              <w:bottom w:val="single" w:color="auto" w:sz="4" w:space="0"/>
              <w:right w:val="nil"/>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w:t>
            </w:r>
          </w:p>
        </w:tc>
      </w:tr>
      <w:tr>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1850" w:type="dxa"/>
            <w:tcBorders>
              <w:top w:val="single" w:color="auto" w:sz="4" w:space="0"/>
              <w:left w:val="nil"/>
              <w:bottom w:val="single" w:color="auto" w:sz="4" w:space="0"/>
            </w:tcBorders>
            <w:vAlign w:val="center"/>
          </w:tcPr>
          <w:p>
            <w:pPr>
              <w:keepNext w:val="0"/>
              <w:keepLines w:val="0"/>
              <w:pageBreakBefore w:val="0"/>
              <w:kinsoku/>
              <w:wordWrap/>
              <w:overflowPunct/>
              <w:autoSpaceDN/>
              <w:bidi w:val="0"/>
              <w:adjustRightInd/>
              <w:snapToGrid/>
              <w:spacing w:line="360" w:lineRule="exact"/>
              <w:ind w:firstLine="0" w:firstLineChars="0"/>
              <w:jc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色度</w:t>
            </w:r>
          </w:p>
        </w:tc>
        <w:tc>
          <w:tcPr>
            <w:tcW w:w="145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0.333</w:t>
            </w:r>
          </w:p>
        </w:tc>
        <w:tc>
          <w:tcPr>
            <w:tcW w:w="1451"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0.333</w:t>
            </w:r>
          </w:p>
        </w:tc>
        <w:tc>
          <w:tcPr>
            <w:tcW w:w="1451"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0.333</w:t>
            </w:r>
          </w:p>
        </w:tc>
        <w:tc>
          <w:tcPr>
            <w:tcW w:w="140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达标</w:t>
            </w:r>
          </w:p>
        </w:tc>
        <w:tc>
          <w:tcPr>
            <w:tcW w:w="1401" w:type="dxa"/>
            <w:tcBorders>
              <w:top w:val="single" w:color="auto" w:sz="4" w:space="0"/>
              <w:bottom w:val="single" w:color="auto" w:sz="4" w:space="0"/>
              <w:right w:val="nil"/>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w:t>
            </w:r>
          </w:p>
        </w:tc>
      </w:tr>
      <w:tr>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1850" w:type="dxa"/>
            <w:tcBorders>
              <w:top w:val="single" w:color="auto" w:sz="4" w:space="0"/>
              <w:left w:val="nil"/>
              <w:bottom w:val="single" w:color="auto" w:sz="4" w:space="0"/>
            </w:tcBorders>
            <w:vAlign w:val="center"/>
          </w:tcPr>
          <w:p>
            <w:pPr>
              <w:keepNext w:val="0"/>
              <w:keepLines w:val="0"/>
              <w:pageBreakBefore w:val="0"/>
              <w:kinsoku/>
              <w:wordWrap/>
              <w:overflowPunct/>
              <w:autoSpaceDN/>
              <w:bidi w:val="0"/>
              <w:adjustRightInd/>
              <w:snapToGrid/>
              <w:spacing w:line="360" w:lineRule="exact"/>
              <w:ind w:firstLine="0" w:firstLineChars="0"/>
              <w:jc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臭</w:t>
            </w:r>
          </w:p>
        </w:tc>
        <w:tc>
          <w:tcPr>
            <w:tcW w:w="145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w:t>
            </w:r>
          </w:p>
        </w:tc>
        <w:tc>
          <w:tcPr>
            <w:tcW w:w="1451"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w:t>
            </w:r>
          </w:p>
        </w:tc>
        <w:tc>
          <w:tcPr>
            <w:tcW w:w="1451"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w:t>
            </w:r>
          </w:p>
        </w:tc>
        <w:tc>
          <w:tcPr>
            <w:tcW w:w="140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达标</w:t>
            </w:r>
          </w:p>
        </w:tc>
        <w:tc>
          <w:tcPr>
            <w:tcW w:w="1401" w:type="dxa"/>
            <w:tcBorders>
              <w:top w:val="single" w:color="auto" w:sz="4" w:space="0"/>
              <w:bottom w:val="single" w:color="auto" w:sz="4" w:space="0"/>
              <w:right w:val="nil"/>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w:t>
            </w:r>
          </w:p>
        </w:tc>
      </w:tr>
      <w:tr>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1850" w:type="dxa"/>
            <w:tcBorders>
              <w:top w:val="single" w:color="auto" w:sz="4" w:space="0"/>
              <w:left w:val="nil"/>
              <w:bottom w:val="single" w:color="auto" w:sz="4" w:space="0"/>
            </w:tcBorders>
            <w:vAlign w:val="center"/>
          </w:tcPr>
          <w:p>
            <w:pPr>
              <w:keepNext w:val="0"/>
              <w:keepLines w:val="0"/>
              <w:pageBreakBefore w:val="0"/>
              <w:kinsoku/>
              <w:wordWrap/>
              <w:overflowPunct/>
              <w:autoSpaceDN/>
              <w:bidi w:val="0"/>
              <w:adjustRightInd/>
              <w:snapToGrid/>
              <w:spacing w:line="360" w:lineRule="exact"/>
              <w:ind w:firstLine="0" w:firstLineChars="0"/>
              <w:jc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浑浊度</w:t>
            </w:r>
          </w:p>
        </w:tc>
        <w:tc>
          <w:tcPr>
            <w:tcW w:w="145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0.667</w:t>
            </w:r>
          </w:p>
        </w:tc>
        <w:tc>
          <w:tcPr>
            <w:tcW w:w="1451"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0.667</w:t>
            </w:r>
          </w:p>
        </w:tc>
        <w:tc>
          <w:tcPr>
            <w:tcW w:w="1451"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0.667</w:t>
            </w:r>
          </w:p>
        </w:tc>
        <w:tc>
          <w:tcPr>
            <w:tcW w:w="140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达标</w:t>
            </w:r>
          </w:p>
        </w:tc>
        <w:tc>
          <w:tcPr>
            <w:tcW w:w="1401" w:type="dxa"/>
            <w:tcBorders>
              <w:top w:val="single" w:color="auto" w:sz="4" w:space="0"/>
              <w:bottom w:val="single" w:color="auto" w:sz="4" w:space="0"/>
              <w:right w:val="nil"/>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w:t>
            </w:r>
          </w:p>
        </w:tc>
      </w:tr>
      <w:tr>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1850" w:type="dxa"/>
            <w:tcBorders>
              <w:top w:val="single" w:color="auto" w:sz="4" w:space="0"/>
              <w:left w:val="nil"/>
              <w:bottom w:val="single" w:color="auto" w:sz="4" w:space="0"/>
            </w:tcBorders>
            <w:vAlign w:val="center"/>
          </w:tcPr>
          <w:p>
            <w:pPr>
              <w:keepNext w:val="0"/>
              <w:keepLines w:val="0"/>
              <w:pageBreakBefore w:val="0"/>
              <w:kinsoku/>
              <w:wordWrap/>
              <w:overflowPunct/>
              <w:autoSpaceDN/>
              <w:bidi w:val="0"/>
              <w:adjustRightInd/>
              <w:snapToGrid/>
              <w:spacing w:line="360" w:lineRule="exact"/>
              <w:ind w:firstLine="0" w:firstLineChars="0"/>
              <w:jc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肉眼可见物</w:t>
            </w:r>
          </w:p>
        </w:tc>
        <w:tc>
          <w:tcPr>
            <w:tcW w:w="145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w:t>
            </w:r>
          </w:p>
        </w:tc>
        <w:tc>
          <w:tcPr>
            <w:tcW w:w="1451"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w:t>
            </w:r>
          </w:p>
        </w:tc>
        <w:tc>
          <w:tcPr>
            <w:tcW w:w="1451"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w:t>
            </w:r>
          </w:p>
        </w:tc>
        <w:tc>
          <w:tcPr>
            <w:tcW w:w="1400" w:type="dxa"/>
            <w:tcBorders>
              <w:top w:val="single" w:color="auto" w:sz="4" w:space="0"/>
              <w:bottom w:val="single" w:color="auto" w:sz="4" w:space="0"/>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达标</w:t>
            </w:r>
          </w:p>
        </w:tc>
        <w:tc>
          <w:tcPr>
            <w:tcW w:w="1401" w:type="dxa"/>
            <w:tcBorders>
              <w:top w:val="single" w:color="auto" w:sz="4" w:space="0"/>
              <w:bottom w:val="single" w:color="auto" w:sz="4" w:space="0"/>
              <w:right w:val="nil"/>
            </w:tcBorders>
            <w:vAlign w:val="center"/>
          </w:tcPr>
          <w:p>
            <w:pPr>
              <w:keepNext w:val="0"/>
              <w:keepLines w:val="0"/>
              <w:pageBreakBefore w:val="0"/>
              <w:widowControl/>
              <w:suppressLineNumbers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w:t>
            </w:r>
          </w:p>
        </w:tc>
      </w:tr>
    </w:tbl>
    <w:p>
      <w:pPr>
        <w:ind w:firstLine="480"/>
        <w:rPr>
          <w:rFonts w:hint="default" w:ascii="Arial" w:hAnsi="Arial" w:eastAsia="宋体" w:cs="Arial"/>
          <w:color w:val="auto"/>
          <w:highlight w:val="none"/>
          <w:lang w:eastAsia="zh-CN"/>
        </w:rPr>
      </w:pPr>
      <w:r>
        <w:rPr>
          <w:rFonts w:hint="default" w:ascii="Arial" w:hAnsi="Arial" w:eastAsia="宋体" w:cs="Arial"/>
          <w:color w:val="auto"/>
          <w:highlight w:val="none"/>
          <w:lang w:val="en-US" w:eastAsia="zh-CN"/>
        </w:rPr>
        <w:t>从</w:t>
      </w:r>
      <w:r>
        <w:rPr>
          <w:rFonts w:hint="default" w:ascii="Arial" w:hAnsi="Arial" w:eastAsia="宋体" w:cs="Arial"/>
          <w:color w:val="auto"/>
          <w:highlight w:val="none"/>
        </w:rPr>
        <w:t>地下水监测结果可以看出，</w:t>
      </w:r>
      <w:r>
        <w:rPr>
          <w:rFonts w:hint="default" w:ascii="Arial" w:hAnsi="Arial" w:eastAsia="宋体" w:cs="Arial"/>
          <w:color w:val="auto"/>
          <w:highlight w:val="none"/>
          <w:lang w:eastAsia="zh-CN"/>
        </w:rPr>
        <w:t>该区域地下水环境各监测因子中</w:t>
      </w:r>
      <w:r>
        <w:rPr>
          <w:rFonts w:hint="default" w:ascii="Arial" w:hAnsi="Arial" w:eastAsia="宋体" w:cs="Arial"/>
          <w:color w:val="auto"/>
          <w:highlight w:val="none"/>
        </w:rPr>
        <w:t>溶解性总固体、总硬度、氯化物、</w:t>
      </w:r>
      <w:r>
        <w:rPr>
          <w:rFonts w:hint="default" w:ascii="Arial" w:hAnsi="Arial" w:eastAsia="宋体" w:cs="Arial"/>
          <w:color w:val="auto"/>
          <w:highlight w:val="none"/>
          <w:lang w:eastAsia="zh-CN"/>
        </w:rPr>
        <w:t>硫酸盐、氨氮等指标</w:t>
      </w:r>
      <w:r>
        <w:rPr>
          <w:rFonts w:hint="default" w:ascii="Arial" w:hAnsi="Arial" w:eastAsia="宋体" w:cs="Arial"/>
          <w:color w:val="auto"/>
          <w:highlight w:val="none"/>
        </w:rPr>
        <w:t>超</w:t>
      </w:r>
      <w:r>
        <w:rPr>
          <w:rFonts w:hint="default" w:ascii="Arial" w:hAnsi="Arial" w:eastAsia="宋体" w:cs="Arial"/>
          <w:color w:val="auto"/>
          <w:highlight w:val="none"/>
          <w:lang w:eastAsia="zh-CN"/>
        </w:rPr>
        <w:t>过</w:t>
      </w:r>
      <w:r>
        <w:rPr>
          <w:rFonts w:hint="default" w:ascii="Arial" w:hAnsi="Arial" w:eastAsia="宋体" w:cs="Arial"/>
          <w:color w:val="auto"/>
          <w:highlight w:val="none"/>
        </w:rPr>
        <w:t>《地下水质量标准》（GB/T14848-2017</w:t>
      </w:r>
      <w:r>
        <w:rPr>
          <w:rFonts w:hint="default" w:ascii="Arial" w:hAnsi="Arial" w:eastAsia="宋体" w:cs="Arial"/>
          <w:color w:val="auto"/>
          <w:highlight w:val="none"/>
          <w:lang w:eastAsia="zh-CN"/>
        </w:rPr>
        <w:t>）Ⅲ</w:t>
      </w:r>
      <w:r>
        <w:rPr>
          <w:rFonts w:hint="default" w:ascii="Arial" w:hAnsi="Arial" w:eastAsia="宋体" w:cs="Arial"/>
          <w:color w:val="auto"/>
          <w:highlight w:val="none"/>
        </w:rPr>
        <w:t>类标准，其它所检因子均符合《地下水质量标准》（GB/T14848-2017</w:t>
      </w:r>
      <w:r>
        <w:rPr>
          <w:rFonts w:hint="default" w:ascii="Arial" w:hAnsi="Arial" w:eastAsia="宋体" w:cs="Arial"/>
          <w:color w:val="auto"/>
          <w:highlight w:val="none"/>
          <w:lang w:eastAsia="zh-CN"/>
        </w:rPr>
        <w:t>）Ⅲ</w:t>
      </w:r>
      <w:r>
        <w:rPr>
          <w:rFonts w:hint="default" w:ascii="Arial" w:hAnsi="Arial" w:eastAsia="宋体" w:cs="Arial"/>
          <w:color w:val="auto"/>
          <w:highlight w:val="none"/>
        </w:rPr>
        <w:t>类标准</w:t>
      </w:r>
      <w:r>
        <w:rPr>
          <w:rFonts w:hint="default" w:ascii="Arial" w:hAnsi="Arial" w:eastAsia="宋体" w:cs="Arial"/>
          <w:color w:val="auto"/>
          <w:highlight w:val="none"/>
          <w:lang w:eastAsia="zh-CN"/>
        </w:rPr>
        <w:t>。</w:t>
      </w:r>
    </w:p>
    <w:p>
      <w:pPr>
        <w:ind w:firstLine="480"/>
        <w:rPr>
          <w:rFonts w:hint="default" w:ascii="Arial" w:hAnsi="Arial" w:eastAsia="宋体" w:cs="Arial"/>
          <w:color w:val="auto"/>
          <w:highlight w:val="none"/>
        </w:rPr>
      </w:pPr>
      <w:r>
        <w:rPr>
          <w:rFonts w:hint="default" w:ascii="Arial" w:hAnsi="Arial" w:eastAsia="宋体" w:cs="Arial"/>
          <w:color w:val="auto"/>
          <w:highlight w:val="none"/>
        </w:rPr>
        <w:t>超标原因：溶解性总固体、总硬度、氟化物、硫酸盐</w:t>
      </w:r>
      <w:r>
        <w:rPr>
          <w:rFonts w:hint="default" w:ascii="Arial" w:hAnsi="Arial" w:eastAsia="宋体" w:cs="Arial"/>
          <w:color w:val="auto"/>
          <w:highlight w:val="none"/>
          <w:lang w:eastAsia="zh-CN"/>
        </w:rPr>
        <w:t>、氨氮</w:t>
      </w:r>
      <w:r>
        <w:rPr>
          <w:rFonts w:hint="default" w:ascii="Arial" w:hAnsi="Arial" w:eastAsia="宋体" w:cs="Arial"/>
          <w:color w:val="auto"/>
          <w:highlight w:val="none"/>
        </w:rPr>
        <w:t>出现超标，是评价区含水层形成环境与现状地下水特征所决定的。</w:t>
      </w:r>
    </w:p>
    <w:p>
      <w:pPr>
        <w:pStyle w:val="6"/>
        <w:rPr>
          <w:rFonts w:hint="default" w:ascii="Arial" w:hAnsi="Arial" w:eastAsia="宋体" w:cs="Arial"/>
          <w:color w:val="auto"/>
          <w:highlight w:val="none"/>
        </w:rPr>
      </w:pPr>
      <w:bookmarkStart w:id="315" w:name="_Toc7395"/>
      <w:r>
        <w:rPr>
          <w:rFonts w:hint="default" w:ascii="Arial" w:hAnsi="Arial" w:eastAsia="宋体" w:cs="Arial"/>
          <w:color w:val="auto"/>
          <w:highlight w:val="none"/>
        </w:rPr>
        <w:t>4.2.3土壤环境质量现状调查与评价</w:t>
      </w:r>
      <w:bookmarkEnd w:id="315"/>
    </w:p>
    <w:p>
      <w:pPr>
        <w:ind w:firstLine="480"/>
        <w:rPr>
          <w:rFonts w:hint="default" w:ascii="Arial" w:hAnsi="Arial" w:eastAsia="宋体" w:cs="Arial"/>
          <w:color w:val="auto"/>
          <w:highlight w:val="none"/>
        </w:rPr>
      </w:pPr>
      <w:r>
        <w:rPr>
          <w:rFonts w:hint="default" w:ascii="Arial" w:hAnsi="Arial" w:eastAsia="宋体" w:cs="Arial"/>
          <w:color w:val="auto"/>
          <w:highlight w:val="none"/>
        </w:rPr>
        <w:t>本次评价土壤现状数据委托内蒙古华智鼎环保科技有限公司202</w:t>
      </w:r>
      <w:r>
        <w:rPr>
          <w:rFonts w:hint="default" w:ascii="Arial" w:hAnsi="Arial" w:eastAsia="宋体" w:cs="Arial"/>
          <w:color w:val="auto"/>
          <w:highlight w:val="none"/>
          <w:lang w:val="en-US" w:eastAsia="zh-CN"/>
        </w:rPr>
        <w:t>2</w:t>
      </w:r>
      <w:r>
        <w:rPr>
          <w:rFonts w:hint="default" w:ascii="Arial" w:hAnsi="Arial" w:eastAsia="宋体" w:cs="Arial"/>
          <w:color w:val="auto"/>
          <w:highlight w:val="none"/>
        </w:rPr>
        <w:t>年</w:t>
      </w:r>
      <w:r>
        <w:rPr>
          <w:rFonts w:hint="default" w:ascii="Arial" w:hAnsi="Arial" w:eastAsia="宋体" w:cs="Arial"/>
          <w:color w:val="auto"/>
          <w:highlight w:val="none"/>
          <w:lang w:val="en-US" w:eastAsia="zh-CN"/>
        </w:rPr>
        <w:t>1</w:t>
      </w:r>
      <w:r>
        <w:rPr>
          <w:rFonts w:hint="default" w:ascii="Arial" w:hAnsi="Arial" w:eastAsia="宋体" w:cs="Arial"/>
          <w:color w:val="auto"/>
          <w:highlight w:val="none"/>
        </w:rPr>
        <w:t>月</w:t>
      </w:r>
      <w:r>
        <w:rPr>
          <w:rFonts w:hint="default" w:ascii="Arial" w:hAnsi="Arial" w:eastAsia="宋体" w:cs="Arial"/>
          <w:color w:val="auto"/>
          <w:highlight w:val="none"/>
          <w:lang w:val="en-US" w:eastAsia="zh-CN"/>
        </w:rPr>
        <w:t>5</w:t>
      </w:r>
      <w:r>
        <w:rPr>
          <w:rFonts w:hint="default" w:ascii="Arial" w:hAnsi="Arial" w:eastAsia="宋体" w:cs="Arial"/>
          <w:color w:val="auto"/>
          <w:highlight w:val="none"/>
        </w:rPr>
        <w:t>日（采样一次）对本项目进行的土壤质量现状监测值。</w:t>
      </w:r>
    </w:p>
    <w:p>
      <w:pPr>
        <w:pStyle w:val="7"/>
        <w:rPr>
          <w:rFonts w:hint="default" w:ascii="Arial" w:hAnsi="Arial" w:eastAsia="宋体" w:cs="Arial"/>
          <w:color w:val="auto"/>
          <w:highlight w:val="none"/>
        </w:rPr>
      </w:pPr>
      <w:r>
        <w:rPr>
          <w:rFonts w:hint="default" w:ascii="Arial" w:hAnsi="Arial" w:eastAsia="宋体" w:cs="Arial"/>
          <w:color w:val="auto"/>
          <w:highlight w:val="none"/>
        </w:rPr>
        <w:t>4.2.3.1监测布点</w:t>
      </w:r>
    </w:p>
    <w:p>
      <w:pPr>
        <w:ind w:firstLine="480"/>
        <w:rPr>
          <w:rFonts w:hint="default" w:ascii="Arial" w:hAnsi="Arial" w:eastAsia="宋体" w:cs="Arial"/>
          <w:color w:val="auto"/>
          <w:highlight w:val="none"/>
        </w:rPr>
      </w:pPr>
      <w:r>
        <w:rPr>
          <w:rFonts w:hint="default" w:ascii="Arial" w:hAnsi="Arial" w:eastAsia="宋体" w:cs="Arial"/>
          <w:color w:val="auto"/>
          <w:highlight w:val="none"/>
        </w:rPr>
        <w:t>本次评价</w:t>
      </w:r>
      <w:r>
        <w:rPr>
          <w:rFonts w:hint="default" w:ascii="Arial" w:hAnsi="Arial" w:eastAsia="宋体" w:cs="Arial"/>
          <w:color w:val="auto"/>
          <w:highlight w:val="none"/>
          <w:lang w:val="en-US" w:eastAsia="zh-CN"/>
        </w:rPr>
        <w:t>在</w:t>
      </w:r>
      <w:r>
        <w:rPr>
          <w:rFonts w:hint="default" w:ascii="Arial" w:hAnsi="Arial" w:eastAsia="宋体" w:cs="Arial"/>
          <w:color w:val="auto"/>
          <w:highlight w:val="none"/>
        </w:rPr>
        <w:t>占地范围</w:t>
      </w:r>
      <w:r>
        <w:rPr>
          <w:rFonts w:hint="default" w:ascii="Arial" w:hAnsi="Arial" w:eastAsia="宋体" w:cs="Arial"/>
          <w:color w:val="auto"/>
          <w:highlight w:val="none"/>
          <w:lang w:eastAsia="zh-CN"/>
        </w:rPr>
        <w:t>内</w:t>
      </w:r>
      <w:r>
        <w:rPr>
          <w:rFonts w:hint="default" w:ascii="Arial" w:hAnsi="Arial" w:eastAsia="宋体" w:cs="Arial"/>
          <w:color w:val="auto"/>
          <w:highlight w:val="none"/>
        </w:rPr>
        <w:t>共布设</w:t>
      </w:r>
      <w:r>
        <w:rPr>
          <w:rFonts w:hint="default" w:ascii="Arial" w:hAnsi="Arial" w:eastAsia="宋体" w:cs="Arial"/>
          <w:color w:val="auto"/>
          <w:highlight w:val="none"/>
          <w:lang w:val="en-US" w:eastAsia="zh-CN"/>
        </w:rPr>
        <w:t>3</w:t>
      </w:r>
      <w:r>
        <w:rPr>
          <w:rFonts w:hint="default" w:ascii="Arial" w:hAnsi="Arial" w:eastAsia="宋体" w:cs="Arial"/>
          <w:color w:val="auto"/>
          <w:highlight w:val="none"/>
        </w:rPr>
        <w:t>个土壤监测点，满足</w:t>
      </w:r>
      <w:r>
        <w:rPr>
          <w:rFonts w:hint="default" w:ascii="Arial" w:hAnsi="Arial" w:eastAsia="宋体" w:cs="Arial"/>
          <w:color w:val="auto"/>
          <w:highlight w:val="none"/>
          <w:lang w:val="en-GB"/>
        </w:rPr>
        <w:t>《环境影响评价技术导则 土壤环境（试行）》（HJ964-2018）要求</w:t>
      </w:r>
      <w:r>
        <w:rPr>
          <w:rFonts w:hint="default" w:ascii="Arial" w:hAnsi="Arial" w:eastAsia="宋体" w:cs="Arial"/>
          <w:color w:val="auto"/>
          <w:highlight w:val="none"/>
        </w:rPr>
        <w:t>。</w:t>
      </w:r>
    </w:p>
    <w:p>
      <w:pPr>
        <w:ind w:firstLine="480"/>
        <w:rPr>
          <w:rFonts w:hint="default" w:ascii="Arial" w:hAnsi="Arial" w:eastAsia="宋体" w:cs="Arial"/>
          <w:color w:val="auto"/>
          <w:highlight w:val="none"/>
        </w:rPr>
      </w:pPr>
      <w:r>
        <w:rPr>
          <w:rFonts w:hint="default" w:ascii="Arial" w:hAnsi="Arial" w:eastAsia="宋体" w:cs="Arial"/>
          <w:color w:val="auto"/>
          <w:highlight w:val="none"/>
        </w:rPr>
        <w:t>本次共布设</w:t>
      </w:r>
      <w:r>
        <w:rPr>
          <w:rFonts w:hint="default" w:ascii="Arial" w:hAnsi="Arial" w:eastAsia="宋体" w:cs="Arial"/>
          <w:color w:val="auto"/>
          <w:highlight w:val="none"/>
          <w:lang w:val="en-US" w:eastAsia="zh-CN"/>
        </w:rPr>
        <w:t>3个</w:t>
      </w:r>
      <w:r>
        <w:rPr>
          <w:rFonts w:hint="default" w:ascii="Arial" w:hAnsi="Arial" w:eastAsia="宋体" w:cs="Arial"/>
          <w:color w:val="auto"/>
          <w:highlight w:val="none"/>
        </w:rPr>
        <w:t>点，监测点位及监测项目设置情况见下表，如图4.2-</w:t>
      </w:r>
      <w:r>
        <w:rPr>
          <w:rFonts w:hint="default" w:ascii="Arial" w:hAnsi="Arial" w:eastAsia="宋体" w:cs="Arial"/>
          <w:color w:val="auto"/>
          <w:highlight w:val="none"/>
          <w:lang w:val="en-US" w:eastAsia="zh-CN"/>
        </w:rPr>
        <w:t>1</w:t>
      </w:r>
      <w:r>
        <w:rPr>
          <w:rFonts w:hint="default" w:ascii="Arial" w:hAnsi="Arial" w:eastAsia="宋体" w:cs="Arial"/>
          <w:color w:val="auto"/>
          <w:highlight w:val="none"/>
        </w:rPr>
        <w:t>所示。</w:t>
      </w:r>
    </w:p>
    <w:p>
      <w:pPr>
        <w:pStyle w:val="8"/>
        <w:rPr>
          <w:rFonts w:hint="default" w:ascii="Arial" w:hAnsi="Arial" w:eastAsia="宋体" w:cs="Arial"/>
          <w:color w:val="auto"/>
          <w:highlight w:val="none"/>
        </w:rPr>
      </w:pPr>
      <w:r>
        <w:rPr>
          <w:rFonts w:hint="default" w:ascii="Arial" w:hAnsi="Arial" w:eastAsia="宋体" w:cs="Arial"/>
          <w:color w:val="auto"/>
          <w:highlight w:val="none"/>
        </w:rPr>
        <w:t>表4.2-1</w:t>
      </w:r>
      <w:r>
        <w:rPr>
          <w:rFonts w:hint="default" w:ascii="Arial" w:hAnsi="Arial" w:eastAsia="宋体" w:cs="Arial"/>
          <w:color w:val="auto"/>
          <w:highlight w:val="none"/>
          <w:lang w:val="en-US" w:eastAsia="zh-CN"/>
        </w:rPr>
        <w:t>2</w:t>
      </w:r>
      <w:r>
        <w:rPr>
          <w:rFonts w:hint="default" w:ascii="Arial" w:hAnsi="Arial" w:eastAsia="宋体" w:cs="Arial"/>
          <w:color w:val="auto"/>
          <w:highlight w:val="none"/>
        </w:rPr>
        <w:t xml:space="preserve">    土壤监测布点表</w:t>
      </w:r>
    </w:p>
    <w:tbl>
      <w:tblPr>
        <w:tblStyle w:val="39"/>
        <w:tblW w:w="9003" w:type="dxa"/>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1286"/>
        <w:gridCol w:w="1286"/>
        <w:gridCol w:w="3858"/>
        <w:gridCol w:w="1286"/>
        <w:gridCol w:w="1287"/>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567"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序号</w:t>
            </w:r>
          </w:p>
        </w:tc>
        <w:tc>
          <w:tcPr>
            <w:tcW w:w="567"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位置</w:t>
            </w:r>
          </w:p>
        </w:tc>
        <w:tc>
          <w:tcPr>
            <w:tcW w:w="1701"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坐标</w:t>
            </w:r>
          </w:p>
        </w:tc>
        <w:tc>
          <w:tcPr>
            <w:tcW w:w="567"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采样点</w:t>
            </w:r>
          </w:p>
        </w:tc>
        <w:tc>
          <w:tcPr>
            <w:tcW w:w="567"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监测因子</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567"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0"/>
                <w:sz w:val="21"/>
                <w:szCs w:val="21"/>
                <w:highlight w:val="none"/>
              </w:rPr>
            </w:pPr>
            <w:r>
              <w:rPr>
                <w:rFonts w:hint="default" w:ascii="Arial" w:hAnsi="Arial" w:eastAsia="宋体" w:cs="Arial"/>
                <w:color w:val="auto"/>
                <w:kern w:val="0"/>
                <w:sz w:val="21"/>
                <w:szCs w:val="21"/>
                <w:highlight w:val="none"/>
              </w:rPr>
              <w:t>T1</w:t>
            </w:r>
          </w:p>
        </w:tc>
        <w:tc>
          <w:tcPr>
            <w:tcW w:w="567" w:type="dxa"/>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0"/>
                <w:sz w:val="21"/>
                <w:szCs w:val="21"/>
                <w:highlight w:val="none"/>
              </w:rPr>
            </w:pPr>
            <w:r>
              <w:rPr>
                <w:rFonts w:hint="default" w:ascii="Arial" w:hAnsi="Arial" w:eastAsia="宋体" w:cs="Arial"/>
                <w:color w:val="auto"/>
                <w:sz w:val="21"/>
                <w:szCs w:val="21"/>
                <w:lang w:eastAsia="zh-CN"/>
              </w:rPr>
              <w:t>厂</w:t>
            </w:r>
            <w:r>
              <w:rPr>
                <w:rFonts w:hint="default" w:ascii="Arial" w:hAnsi="Arial" w:eastAsia="宋体" w:cs="Arial"/>
                <w:color w:val="auto"/>
                <w:sz w:val="21"/>
                <w:szCs w:val="21"/>
              </w:rPr>
              <w:t>区内□</w:t>
            </w:r>
            <w:r>
              <w:rPr>
                <w:rFonts w:hint="default" w:ascii="Arial" w:hAnsi="Arial" w:eastAsia="宋体" w:cs="Arial"/>
                <w:color w:val="auto"/>
                <w:sz w:val="21"/>
                <w:szCs w:val="21"/>
                <w:lang w:val="en-US" w:eastAsia="zh-CN"/>
              </w:rPr>
              <w:t>1</w:t>
            </w:r>
          </w:p>
        </w:tc>
        <w:tc>
          <w:tcPr>
            <w:tcW w:w="1701" w:type="dxa"/>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highlight w:val="none"/>
              </w:rPr>
            </w:pPr>
            <w:r>
              <w:rPr>
                <w:rFonts w:hint="default" w:ascii="Arial" w:hAnsi="Arial" w:eastAsia="宋体" w:cs="Arial"/>
                <w:color w:val="auto"/>
                <w:sz w:val="21"/>
                <w:szCs w:val="21"/>
                <w:lang w:val="en-US" w:eastAsia="zh-CN"/>
              </w:rPr>
              <w:t>E</w:t>
            </w:r>
            <w:r>
              <w:rPr>
                <w:rFonts w:hint="default" w:ascii="Arial" w:hAnsi="Arial" w:eastAsia="宋体" w:cs="Arial"/>
                <w:color w:val="auto"/>
                <w:sz w:val="21"/>
                <w:szCs w:val="21"/>
              </w:rPr>
              <w:t>10</w:t>
            </w:r>
            <w:r>
              <w:rPr>
                <w:rFonts w:hint="default" w:ascii="Arial" w:hAnsi="Arial" w:eastAsia="宋体" w:cs="Arial"/>
                <w:color w:val="auto"/>
                <w:sz w:val="21"/>
                <w:szCs w:val="21"/>
                <w:lang w:val="en-US" w:eastAsia="zh-CN"/>
              </w:rPr>
              <w:t>7</w:t>
            </w:r>
            <w:r>
              <w:rPr>
                <w:rFonts w:hint="default" w:ascii="Arial" w:hAnsi="Arial" w:eastAsia="宋体" w:cs="Arial"/>
                <w:color w:val="auto"/>
                <w:sz w:val="21"/>
                <w:szCs w:val="21"/>
              </w:rPr>
              <w:t>°</w:t>
            </w:r>
            <w:r>
              <w:rPr>
                <w:rFonts w:hint="default" w:ascii="Arial" w:hAnsi="Arial" w:eastAsia="宋体" w:cs="Arial"/>
                <w:color w:val="auto"/>
                <w:sz w:val="21"/>
                <w:szCs w:val="21"/>
                <w:lang w:val="en-US" w:eastAsia="zh-CN"/>
              </w:rPr>
              <w:t>40</w:t>
            </w:r>
            <w:r>
              <w:rPr>
                <w:rFonts w:hint="default" w:ascii="Arial" w:hAnsi="Arial" w:eastAsia="宋体" w:cs="Arial"/>
                <w:color w:val="auto"/>
                <w:sz w:val="21"/>
                <w:szCs w:val="21"/>
              </w:rPr>
              <w:t>′3</w:t>
            </w:r>
            <w:r>
              <w:rPr>
                <w:rFonts w:hint="default" w:ascii="Arial" w:hAnsi="Arial" w:eastAsia="宋体" w:cs="Arial"/>
                <w:color w:val="auto"/>
                <w:sz w:val="21"/>
                <w:szCs w:val="21"/>
                <w:lang w:val="en-US" w:eastAsia="zh-CN"/>
              </w:rPr>
              <w:t>9.68</w:t>
            </w:r>
            <w:r>
              <w:rPr>
                <w:rFonts w:hint="default" w:ascii="Arial" w:hAnsi="Arial" w:eastAsia="宋体" w:cs="Arial"/>
                <w:color w:val="auto"/>
                <w:sz w:val="21"/>
                <w:szCs w:val="21"/>
              </w:rPr>
              <w:t>″,</w:t>
            </w:r>
            <w:r>
              <w:rPr>
                <w:rFonts w:hint="default" w:ascii="Arial" w:hAnsi="Arial" w:eastAsia="宋体" w:cs="Arial"/>
                <w:color w:val="auto"/>
                <w:sz w:val="21"/>
                <w:szCs w:val="21"/>
                <w:lang w:val="en-US" w:eastAsia="zh-CN"/>
              </w:rPr>
              <w:t>N40</w:t>
            </w:r>
            <w:r>
              <w:rPr>
                <w:rFonts w:hint="default" w:ascii="Arial" w:hAnsi="Arial" w:eastAsia="宋体" w:cs="Arial"/>
                <w:color w:val="auto"/>
                <w:sz w:val="21"/>
                <w:szCs w:val="21"/>
              </w:rPr>
              <w:t>°5</w:t>
            </w:r>
            <w:r>
              <w:rPr>
                <w:rFonts w:hint="default" w:ascii="Arial" w:hAnsi="Arial" w:eastAsia="宋体" w:cs="Arial"/>
                <w:color w:val="auto"/>
                <w:sz w:val="21"/>
                <w:szCs w:val="21"/>
                <w:lang w:val="en-US" w:eastAsia="zh-CN"/>
              </w:rPr>
              <w:t>6</w:t>
            </w:r>
            <w:r>
              <w:rPr>
                <w:rFonts w:hint="default" w:ascii="Arial" w:hAnsi="Arial" w:eastAsia="宋体" w:cs="Arial"/>
                <w:color w:val="auto"/>
                <w:sz w:val="21"/>
                <w:szCs w:val="21"/>
              </w:rPr>
              <w:t>′</w:t>
            </w:r>
            <w:r>
              <w:rPr>
                <w:rFonts w:hint="default" w:ascii="Arial" w:hAnsi="Arial" w:eastAsia="宋体" w:cs="Arial"/>
                <w:color w:val="auto"/>
                <w:sz w:val="21"/>
                <w:szCs w:val="21"/>
                <w:lang w:val="en-US" w:eastAsia="zh-CN"/>
              </w:rPr>
              <w:t>10.91</w:t>
            </w:r>
            <w:r>
              <w:rPr>
                <w:rFonts w:hint="default" w:ascii="Arial" w:hAnsi="Arial" w:eastAsia="宋体" w:cs="Arial"/>
                <w:color w:val="auto"/>
                <w:sz w:val="21"/>
                <w:szCs w:val="21"/>
              </w:rPr>
              <w:t>″</w:t>
            </w:r>
          </w:p>
        </w:tc>
        <w:tc>
          <w:tcPr>
            <w:tcW w:w="567" w:type="dxa"/>
            <w:vMerge w:val="restart"/>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0"/>
                <w:sz w:val="21"/>
                <w:szCs w:val="21"/>
                <w:highlight w:val="none"/>
                <w:lang w:eastAsia="zh-CN"/>
              </w:rPr>
            </w:pPr>
            <w:r>
              <w:rPr>
                <w:rFonts w:hint="default" w:ascii="Arial" w:hAnsi="Arial" w:eastAsia="宋体" w:cs="Arial"/>
                <w:color w:val="auto"/>
                <w:kern w:val="0"/>
                <w:sz w:val="21"/>
                <w:szCs w:val="21"/>
                <w:highlight w:val="none"/>
                <w:lang w:eastAsia="zh-CN"/>
              </w:rPr>
              <w:t>表层样</w:t>
            </w:r>
          </w:p>
        </w:tc>
        <w:tc>
          <w:tcPr>
            <w:tcW w:w="567" w:type="dxa"/>
            <w:vMerge w:val="restart"/>
            <w:vAlign w:val="center"/>
          </w:tcPr>
          <w:p>
            <w:pPr>
              <w:keepNext w:val="0"/>
              <w:keepLines w:val="0"/>
              <w:pageBreakBefore w:val="0"/>
              <w:widowControl w:val="0"/>
              <w:kinsoku/>
              <w:wordWrap/>
              <w:overflowPunct/>
              <w:topLinePunct/>
              <w:autoSpaceDE w:val="0"/>
              <w:autoSpaceDN/>
              <w:bidi w:val="0"/>
              <w:adjustRightInd/>
              <w:snapToGrid/>
              <w:spacing w:line="360" w:lineRule="exact"/>
              <w:ind w:left="0" w:leftChars="0" w:firstLine="0" w:firstLineChars="0"/>
              <w:jc w:val="center"/>
              <w:rPr>
                <w:rFonts w:hint="default" w:ascii="Arial" w:hAnsi="Arial" w:eastAsia="宋体" w:cs="Arial"/>
                <w:color w:val="auto"/>
                <w:kern w:val="0"/>
                <w:sz w:val="21"/>
                <w:szCs w:val="21"/>
                <w:highlight w:val="none"/>
              </w:rPr>
            </w:pPr>
            <w:r>
              <w:rPr>
                <w:rFonts w:hint="default" w:ascii="Arial" w:hAnsi="Arial" w:eastAsia="宋体" w:cs="Arial"/>
                <w:color w:val="auto"/>
                <w:kern w:val="0"/>
                <w:sz w:val="21"/>
                <w:szCs w:val="21"/>
                <w:highlight w:val="none"/>
              </w:rPr>
              <w:t>pH、镉、汞、砷、铅、铬、铜、镍、锌</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567"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0"/>
                <w:sz w:val="21"/>
                <w:szCs w:val="21"/>
                <w:highlight w:val="none"/>
              </w:rPr>
            </w:pPr>
            <w:r>
              <w:rPr>
                <w:rFonts w:hint="default" w:ascii="Arial" w:hAnsi="Arial" w:eastAsia="宋体" w:cs="Arial"/>
                <w:color w:val="auto"/>
                <w:kern w:val="0"/>
                <w:sz w:val="21"/>
                <w:szCs w:val="21"/>
                <w:highlight w:val="none"/>
              </w:rPr>
              <w:t>T2</w:t>
            </w:r>
          </w:p>
        </w:tc>
        <w:tc>
          <w:tcPr>
            <w:tcW w:w="567" w:type="dxa"/>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0"/>
                <w:sz w:val="21"/>
                <w:szCs w:val="21"/>
                <w:highlight w:val="none"/>
              </w:rPr>
            </w:pPr>
            <w:r>
              <w:rPr>
                <w:rFonts w:hint="default" w:ascii="Arial" w:hAnsi="Arial" w:eastAsia="宋体" w:cs="Arial"/>
                <w:color w:val="auto"/>
                <w:sz w:val="21"/>
                <w:szCs w:val="21"/>
                <w:lang w:eastAsia="zh-CN"/>
              </w:rPr>
              <w:t>厂</w:t>
            </w:r>
            <w:r>
              <w:rPr>
                <w:rFonts w:hint="default" w:ascii="Arial" w:hAnsi="Arial" w:eastAsia="宋体" w:cs="Arial"/>
                <w:color w:val="auto"/>
                <w:sz w:val="21"/>
                <w:szCs w:val="21"/>
              </w:rPr>
              <w:t>区内□</w:t>
            </w:r>
            <w:r>
              <w:rPr>
                <w:rFonts w:hint="default" w:ascii="Arial" w:hAnsi="Arial" w:eastAsia="宋体" w:cs="Arial"/>
                <w:color w:val="auto"/>
                <w:sz w:val="21"/>
                <w:szCs w:val="21"/>
                <w:lang w:val="en-US" w:eastAsia="zh-CN"/>
              </w:rPr>
              <w:t>2</w:t>
            </w:r>
          </w:p>
        </w:tc>
        <w:tc>
          <w:tcPr>
            <w:tcW w:w="1701" w:type="dxa"/>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highlight w:val="none"/>
              </w:rPr>
            </w:pPr>
            <w:r>
              <w:rPr>
                <w:rFonts w:hint="default" w:ascii="Arial" w:hAnsi="Arial" w:eastAsia="宋体" w:cs="Arial"/>
                <w:color w:val="auto"/>
                <w:sz w:val="21"/>
                <w:szCs w:val="21"/>
                <w:lang w:val="en-US" w:eastAsia="zh-CN"/>
              </w:rPr>
              <w:t>E</w:t>
            </w:r>
            <w:r>
              <w:rPr>
                <w:rFonts w:hint="default" w:ascii="Arial" w:hAnsi="Arial" w:eastAsia="宋体" w:cs="Arial"/>
                <w:color w:val="auto"/>
                <w:sz w:val="21"/>
                <w:szCs w:val="21"/>
              </w:rPr>
              <w:t>10</w:t>
            </w:r>
            <w:r>
              <w:rPr>
                <w:rFonts w:hint="default" w:ascii="Arial" w:hAnsi="Arial" w:eastAsia="宋体" w:cs="Arial"/>
                <w:color w:val="auto"/>
                <w:sz w:val="21"/>
                <w:szCs w:val="21"/>
                <w:lang w:val="en-US" w:eastAsia="zh-CN"/>
              </w:rPr>
              <w:t>7</w:t>
            </w:r>
            <w:r>
              <w:rPr>
                <w:rFonts w:hint="default" w:ascii="Arial" w:hAnsi="Arial" w:eastAsia="宋体" w:cs="Arial"/>
                <w:color w:val="auto"/>
                <w:sz w:val="21"/>
                <w:szCs w:val="21"/>
              </w:rPr>
              <w:t>°</w:t>
            </w:r>
            <w:r>
              <w:rPr>
                <w:rFonts w:hint="default" w:ascii="Arial" w:hAnsi="Arial" w:eastAsia="宋体" w:cs="Arial"/>
                <w:color w:val="auto"/>
                <w:sz w:val="21"/>
                <w:szCs w:val="21"/>
                <w:lang w:val="en-US" w:eastAsia="zh-CN"/>
              </w:rPr>
              <w:t>40</w:t>
            </w:r>
            <w:r>
              <w:rPr>
                <w:rFonts w:hint="default" w:ascii="Arial" w:hAnsi="Arial" w:eastAsia="宋体" w:cs="Arial"/>
                <w:color w:val="auto"/>
                <w:sz w:val="21"/>
                <w:szCs w:val="21"/>
              </w:rPr>
              <w:t>′</w:t>
            </w:r>
            <w:r>
              <w:rPr>
                <w:rFonts w:hint="default" w:ascii="Arial" w:hAnsi="Arial" w:eastAsia="宋体" w:cs="Arial"/>
                <w:color w:val="auto"/>
                <w:sz w:val="21"/>
                <w:szCs w:val="21"/>
                <w:lang w:val="en-US" w:eastAsia="zh-CN"/>
              </w:rPr>
              <w:t>50.44</w:t>
            </w:r>
            <w:r>
              <w:rPr>
                <w:rFonts w:hint="default" w:ascii="Arial" w:hAnsi="Arial" w:eastAsia="宋体" w:cs="Arial"/>
                <w:color w:val="auto"/>
                <w:sz w:val="21"/>
                <w:szCs w:val="21"/>
              </w:rPr>
              <w:t>″,</w:t>
            </w:r>
            <w:r>
              <w:rPr>
                <w:rFonts w:hint="default" w:ascii="Arial" w:hAnsi="Arial" w:eastAsia="宋体" w:cs="Arial"/>
                <w:color w:val="auto"/>
                <w:sz w:val="21"/>
                <w:szCs w:val="21"/>
                <w:lang w:val="en-US" w:eastAsia="zh-CN"/>
              </w:rPr>
              <w:t>N40</w:t>
            </w:r>
            <w:r>
              <w:rPr>
                <w:rFonts w:hint="default" w:ascii="Arial" w:hAnsi="Arial" w:eastAsia="宋体" w:cs="Arial"/>
                <w:color w:val="auto"/>
                <w:sz w:val="21"/>
                <w:szCs w:val="21"/>
              </w:rPr>
              <w:t>°5</w:t>
            </w:r>
            <w:r>
              <w:rPr>
                <w:rFonts w:hint="default" w:ascii="Arial" w:hAnsi="Arial" w:eastAsia="宋体" w:cs="Arial"/>
                <w:color w:val="auto"/>
                <w:sz w:val="21"/>
                <w:szCs w:val="21"/>
                <w:lang w:val="en-US" w:eastAsia="zh-CN"/>
              </w:rPr>
              <w:t>6</w:t>
            </w:r>
            <w:r>
              <w:rPr>
                <w:rFonts w:hint="default" w:ascii="Arial" w:hAnsi="Arial" w:eastAsia="宋体" w:cs="Arial"/>
                <w:color w:val="auto"/>
                <w:sz w:val="21"/>
                <w:szCs w:val="21"/>
              </w:rPr>
              <w:t>′</w:t>
            </w:r>
            <w:r>
              <w:rPr>
                <w:rFonts w:hint="default" w:ascii="Arial" w:hAnsi="Arial" w:eastAsia="宋体" w:cs="Arial"/>
                <w:color w:val="auto"/>
                <w:sz w:val="21"/>
                <w:szCs w:val="21"/>
                <w:lang w:val="en-US" w:eastAsia="zh-CN"/>
              </w:rPr>
              <w:t>15.94</w:t>
            </w:r>
            <w:r>
              <w:rPr>
                <w:rFonts w:hint="default" w:ascii="Arial" w:hAnsi="Arial" w:eastAsia="宋体" w:cs="Arial"/>
                <w:color w:val="auto"/>
                <w:sz w:val="21"/>
                <w:szCs w:val="21"/>
              </w:rPr>
              <w:t>″</w:t>
            </w:r>
          </w:p>
        </w:tc>
        <w:tc>
          <w:tcPr>
            <w:tcW w:w="567" w:type="dxa"/>
            <w:vMerge w:val="continue"/>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0"/>
                <w:sz w:val="21"/>
                <w:szCs w:val="21"/>
                <w:highlight w:val="none"/>
              </w:rPr>
            </w:pPr>
          </w:p>
        </w:tc>
        <w:tc>
          <w:tcPr>
            <w:tcW w:w="567" w:type="dxa"/>
            <w:vMerge w:val="continue"/>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0"/>
                <w:sz w:val="21"/>
                <w:szCs w:val="21"/>
                <w:highlight w:val="none"/>
              </w:rPr>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567"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0"/>
                <w:sz w:val="21"/>
                <w:szCs w:val="21"/>
                <w:highlight w:val="none"/>
              </w:rPr>
            </w:pPr>
            <w:r>
              <w:rPr>
                <w:rFonts w:hint="default" w:ascii="Arial" w:hAnsi="Arial" w:eastAsia="宋体" w:cs="Arial"/>
                <w:color w:val="auto"/>
                <w:kern w:val="0"/>
                <w:sz w:val="21"/>
                <w:szCs w:val="21"/>
                <w:highlight w:val="none"/>
              </w:rPr>
              <w:t>T3</w:t>
            </w:r>
          </w:p>
        </w:tc>
        <w:tc>
          <w:tcPr>
            <w:tcW w:w="567" w:type="dxa"/>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0"/>
                <w:sz w:val="21"/>
                <w:szCs w:val="21"/>
                <w:highlight w:val="none"/>
              </w:rPr>
            </w:pPr>
            <w:r>
              <w:rPr>
                <w:rFonts w:hint="default" w:ascii="Arial" w:hAnsi="Arial" w:eastAsia="宋体" w:cs="Arial"/>
                <w:color w:val="auto"/>
                <w:sz w:val="21"/>
                <w:szCs w:val="21"/>
                <w:lang w:eastAsia="zh-CN"/>
              </w:rPr>
              <w:t>厂</w:t>
            </w:r>
            <w:r>
              <w:rPr>
                <w:rFonts w:hint="default" w:ascii="Arial" w:hAnsi="Arial" w:eastAsia="宋体" w:cs="Arial"/>
                <w:color w:val="auto"/>
                <w:sz w:val="21"/>
                <w:szCs w:val="21"/>
              </w:rPr>
              <w:t>区内□</w:t>
            </w:r>
            <w:r>
              <w:rPr>
                <w:rFonts w:hint="default" w:ascii="Arial" w:hAnsi="Arial" w:eastAsia="宋体" w:cs="Arial"/>
                <w:color w:val="auto"/>
                <w:sz w:val="21"/>
                <w:szCs w:val="21"/>
                <w:lang w:val="en-US" w:eastAsia="zh-CN"/>
              </w:rPr>
              <w:t>3</w:t>
            </w:r>
          </w:p>
        </w:tc>
        <w:tc>
          <w:tcPr>
            <w:tcW w:w="1701" w:type="dxa"/>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highlight w:val="none"/>
              </w:rPr>
            </w:pPr>
            <w:r>
              <w:rPr>
                <w:rFonts w:hint="default" w:ascii="Arial" w:hAnsi="Arial" w:eastAsia="宋体" w:cs="Arial"/>
                <w:color w:val="auto"/>
                <w:sz w:val="21"/>
                <w:szCs w:val="21"/>
                <w:lang w:val="en-US" w:eastAsia="zh-CN"/>
              </w:rPr>
              <w:t>E</w:t>
            </w:r>
            <w:r>
              <w:rPr>
                <w:rFonts w:hint="default" w:ascii="Arial" w:hAnsi="Arial" w:eastAsia="宋体" w:cs="Arial"/>
                <w:color w:val="auto"/>
                <w:sz w:val="21"/>
                <w:szCs w:val="21"/>
              </w:rPr>
              <w:t>10</w:t>
            </w:r>
            <w:r>
              <w:rPr>
                <w:rFonts w:hint="default" w:ascii="Arial" w:hAnsi="Arial" w:eastAsia="宋体" w:cs="Arial"/>
                <w:color w:val="auto"/>
                <w:sz w:val="21"/>
                <w:szCs w:val="21"/>
                <w:lang w:val="en-US" w:eastAsia="zh-CN"/>
              </w:rPr>
              <w:t>7</w:t>
            </w:r>
            <w:r>
              <w:rPr>
                <w:rFonts w:hint="default" w:ascii="Arial" w:hAnsi="Arial" w:eastAsia="宋体" w:cs="Arial"/>
                <w:color w:val="auto"/>
                <w:sz w:val="21"/>
                <w:szCs w:val="21"/>
              </w:rPr>
              <w:t>°</w:t>
            </w:r>
            <w:r>
              <w:rPr>
                <w:rFonts w:hint="default" w:ascii="Arial" w:hAnsi="Arial" w:eastAsia="宋体" w:cs="Arial"/>
                <w:color w:val="auto"/>
                <w:sz w:val="21"/>
                <w:szCs w:val="21"/>
                <w:lang w:val="en-US" w:eastAsia="zh-CN"/>
              </w:rPr>
              <w:t>40</w:t>
            </w:r>
            <w:r>
              <w:rPr>
                <w:rFonts w:hint="default" w:ascii="Arial" w:hAnsi="Arial" w:eastAsia="宋体" w:cs="Arial"/>
                <w:color w:val="auto"/>
                <w:sz w:val="21"/>
                <w:szCs w:val="21"/>
              </w:rPr>
              <w:t>′</w:t>
            </w:r>
            <w:r>
              <w:rPr>
                <w:rFonts w:hint="default" w:ascii="Arial" w:hAnsi="Arial" w:eastAsia="宋体" w:cs="Arial"/>
                <w:color w:val="auto"/>
                <w:sz w:val="21"/>
                <w:szCs w:val="21"/>
                <w:lang w:val="en-US" w:eastAsia="zh-CN"/>
              </w:rPr>
              <w:t>47.69</w:t>
            </w:r>
            <w:r>
              <w:rPr>
                <w:rFonts w:hint="default" w:ascii="Arial" w:hAnsi="Arial" w:eastAsia="宋体" w:cs="Arial"/>
                <w:color w:val="auto"/>
                <w:sz w:val="21"/>
                <w:szCs w:val="21"/>
              </w:rPr>
              <w:t>″,</w:t>
            </w:r>
            <w:r>
              <w:rPr>
                <w:rFonts w:hint="default" w:ascii="Arial" w:hAnsi="Arial" w:eastAsia="宋体" w:cs="Arial"/>
                <w:color w:val="auto"/>
                <w:sz w:val="21"/>
                <w:szCs w:val="21"/>
                <w:lang w:val="en-US" w:eastAsia="zh-CN"/>
              </w:rPr>
              <w:t>N40</w:t>
            </w:r>
            <w:r>
              <w:rPr>
                <w:rFonts w:hint="default" w:ascii="Arial" w:hAnsi="Arial" w:eastAsia="宋体" w:cs="Arial"/>
                <w:color w:val="auto"/>
                <w:sz w:val="21"/>
                <w:szCs w:val="21"/>
              </w:rPr>
              <w:t>°5</w:t>
            </w:r>
            <w:r>
              <w:rPr>
                <w:rFonts w:hint="default" w:ascii="Arial" w:hAnsi="Arial" w:eastAsia="宋体" w:cs="Arial"/>
                <w:color w:val="auto"/>
                <w:sz w:val="21"/>
                <w:szCs w:val="21"/>
                <w:lang w:val="en-US" w:eastAsia="zh-CN"/>
              </w:rPr>
              <w:t>6</w:t>
            </w:r>
            <w:r>
              <w:rPr>
                <w:rFonts w:hint="default" w:ascii="Arial" w:hAnsi="Arial" w:eastAsia="宋体" w:cs="Arial"/>
                <w:color w:val="auto"/>
                <w:sz w:val="21"/>
                <w:szCs w:val="21"/>
              </w:rPr>
              <w:t>′</w:t>
            </w:r>
            <w:r>
              <w:rPr>
                <w:rFonts w:hint="default" w:ascii="Arial" w:hAnsi="Arial" w:eastAsia="宋体" w:cs="Arial"/>
                <w:color w:val="auto"/>
                <w:sz w:val="21"/>
                <w:szCs w:val="21"/>
                <w:lang w:val="en-US" w:eastAsia="zh-CN"/>
              </w:rPr>
              <w:t>5.71</w:t>
            </w:r>
            <w:r>
              <w:rPr>
                <w:rFonts w:hint="default" w:ascii="Arial" w:hAnsi="Arial" w:eastAsia="宋体" w:cs="Arial"/>
                <w:color w:val="auto"/>
                <w:sz w:val="21"/>
                <w:szCs w:val="21"/>
              </w:rPr>
              <w:t>″</w:t>
            </w:r>
          </w:p>
        </w:tc>
        <w:tc>
          <w:tcPr>
            <w:tcW w:w="567" w:type="dxa"/>
            <w:vMerge w:val="continue"/>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0"/>
                <w:sz w:val="21"/>
                <w:szCs w:val="21"/>
                <w:highlight w:val="none"/>
              </w:rPr>
            </w:pPr>
          </w:p>
        </w:tc>
        <w:tc>
          <w:tcPr>
            <w:tcW w:w="567" w:type="dxa"/>
            <w:vMerge w:val="continue"/>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0"/>
                <w:sz w:val="21"/>
                <w:szCs w:val="21"/>
                <w:highlight w:val="none"/>
              </w:rPr>
            </w:pPr>
          </w:p>
        </w:tc>
      </w:tr>
    </w:tbl>
    <w:p>
      <w:pPr>
        <w:pStyle w:val="7"/>
        <w:pageBreakBefore w:val="0"/>
        <w:widowControl w:val="0"/>
        <w:kinsoku/>
        <w:wordWrap/>
        <w:overflowPunct/>
        <w:topLinePunct/>
        <w:autoSpaceDE w:val="0"/>
        <w:autoSpaceDN/>
        <w:bidi w:val="0"/>
        <w:adjustRightInd/>
        <w:snapToGrid/>
        <w:spacing w:line="480" w:lineRule="exact"/>
        <w:textAlignment w:val="auto"/>
        <w:rPr>
          <w:rFonts w:hint="default" w:ascii="Arial" w:hAnsi="Arial" w:eastAsia="宋体" w:cs="Arial"/>
          <w:color w:val="auto"/>
          <w:sz w:val="24"/>
          <w:szCs w:val="24"/>
          <w:highlight w:val="none"/>
        </w:rPr>
      </w:pPr>
      <w:r>
        <w:rPr>
          <w:rFonts w:hint="default" w:ascii="Arial" w:hAnsi="Arial" w:eastAsia="宋体" w:cs="Arial"/>
          <w:color w:val="auto"/>
          <w:sz w:val="24"/>
          <w:szCs w:val="24"/>
          <w:highlight w:val="none"/>
        </w:rPr>
        <w:t>4.2.3.2监测因子</w:t>
      </w:r>
    </w:p>
    <w:p>
      <w:pPr>
        <w:pageBreakBefore w:val="0"/>
        <w:widowControl w:val="0"/>
        <w:kinsoku/>
        <w:wordWrap/>
        <w:overflowPunct/>
        <w:topLinePunct/>
        <w:autoSpaceDE w:val="0"/>
        <w:autoSpaceDN/>
        <w:bidi w:val="0"/>
        <w:adjustRightInd/>
        <w:snapToGrid/>
        <w:spacing w:line="480" w:lineRule="exact"/>
        <w:ind w:firstLine="480"/>
        <w:jc w:val="left"/>
        <w:textAlignment w:val="auto"/>
        <w:rPr>
          <w:rFonts w:hint="default" w:ascii="Arial" w:hAnsi="Arial" w:eastAsia="宋体" w:cs="Arial"/>
          <w:color w:val="auto"/>
          <w:sz w:val="24"/>
          <w:szCs w:val="24"/>
          <w:highlight w:val="none"/>
        </w:rPr>
      </w:pPr>
      <w:r>
        <w:rPr>
          <w:rFonts w:hint="default" w:ascii="Arial" w:hAnsi="Arial" w:eastAsia="宋体" w:cs="Arial"/>
          <w:color w:val="auto"/>
          <w:sz w:val="24"/>
          <w:szCs w:val="24"/>
          <w:highlight w:val="none"/>
        </w:rPr>
        <w:t>pH、镉、汞、砷、铅、铬、铜、镍、锌；</w:t>
      </w:r>
    </w:p>
    <w:p>
      <w:pPr>
        <w:pStyle w:val="7"/>
        <w:pageBreakBefore w:val="0"/>
        <w:widowControl w:val="0"/>
        <w:kinsoku/>
        <w:wordWrap/>
        <w:overflowPunct/>
        <w:topLinePunct/>
        <w:autoSpaceDE w:val="0"/>
        <w:autoSpaceDN/>
        <w:bidi w:val="0"/>
        <w:adjustRightInd/>
        <w:snapToGrid/>
        <w:textAlignment w:val="auto"/>
        <w:rPr>
          <w:rFonts w:hint="default" w:ascii="Arial" w:hAnsi="Arial" w:eastAsia="宋体" w:cs="Arial"/>
          <w:color w:val="auto"/>
          <w:highlight w:val="none"/>
        </w:rPr>
      </w:pPr>
      <w:r>
        <w:rPr>
          <w:rFonts w:hint="default" w:ascii="Arial" w:hAnsi="Arial" w:eastAsia="宋体" w:cs="Arial"/>
          <w:color w:val="auto"/>
          <w:highlight w:val="none"/>
        </w:rPr>
        <w:t>4.2.3.</w:t>
      </w:r>
      <w:r>
        <w:rPr>
          <w:rFonts w:hint="default" w:ascii="Arial" w:hAnsi="Arial" w:eastAsia="宋体" w:cs="Arial"/>
          <w:color w:val="auto"/>
          <w:highlight w:val="none"/>
          <w:lang w:val="en-US" w:eastAsia="zh-CN"/>
        </w:rPr>
        <w:t>3</w:t>
      </w:r>
      <w:r>
        <w:rPr>
          <w:rFonts w:hint="default" w:ascii="Arial" w:hAnsi="Arial" w:eastAsia="宋体" w:cs="Arial"/>
          <w:color w:val="auto"/>
          <w:highlight w:val="none"/>
        </w:rPr>
        <w:t>监测方法</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kern w:val="0"/>
          <w:highlight w:val="none"/>
        </w:rPr>
      </w:pPr>
      <w:bookmarkStart w:id="316" w:name="_Toc494206318"/>
      <w:bookmarkStart w:id="317" w:name="_Toc521342156"/>
      <w:r>
        <w:rPr>
          <w:rFonts w:hint="default" w:ascii="Arial" w:hAnsi="Arial" w:eastAsia="宋体" w:cs="Arial"/>
          <w:color w:val="auto"/>
          <w:kern w:val="0"/>
          <w:highlight w:val="none"/>
        </w:rPr>
        <w:t>采样和分析方法按《土壤环境监测技术规范》（HJ/T166－2004）及</w:t>
      </w:r>
      <w:r>
        <w:rPr>
          <w:rFonts w:hint="default" w:ascii="Arial" w:hAnsi="Arial" w:eastAsia="宋体" w:cs="Arial"/>
          <w:color w:val="auto"/>
          <w:highlight w:val="none"/>
        </w:rPr>
        <w:t>《土壤环境质量 农用地土壤污染风险管控标准（试行）》（GB15618-2018）</w:t>
      </w:r>
      <w:r>
        <w:rPr>
          <w:rFonts w:hint="default" w:ascii="Arial" w:hAnsi="Arial" w:eastAsia="宋体" w:cs="Arial"/>
          <w:color w:val="auto"/>
          <w:kern w:val="0"/>
          <w:highlight w:val="none"/>
        </w:rPr>
        <w:t>中相关要求进行，见下表。</w:t>
      </w:r>
    </w:p>
    <w:p>
      <w:pPr>
        <w:pStyle w:val="8"/>
        <w:pageBreakBefore w:val="0"/>
        <w:widowControl w:val="0"/>
        <w:kinsoku/>
        <w:wordWrap/>
        <w:overflowPunct/>
        <w:topLinePunct/>
        <w:autoSpaceDE w:val="0"/>
        <w:autoSpaceDN/>
        <w:bidi w:val="0"/>
        <w:adjustRightInd/>
        <w:snapToGrid/>
        <w:textAlignment w:val="auto"/>
        <w:rPr>
          <w:rFonts w:hint="default" w:ascii="Arial" w:hAnsi="Arial" w:eastAsia="宋体" w:cs="Arial"/>
          <w:color w:val="auto"/>
          <w:highlight w:val="none"/>
        </w:rPr>
      </w:pPr>
      <w:r>
        <w:rPr>
          <w:rFonts w:hint="default" w:ascii="Arial" w:hAnsi="Arial" w:eastAsia="宋体" w:cs="Arial"/>
          <w:color w:val="auto"/>
          <w:highlight w:val="none"/>
        </w:rPr>
        <w:t>表4.2-1</w:t>
      </w:r>
      <w:r>
        <w:rPr>
          <w:rFonts w:hint="default" w:ascii="Arial" w:hAnsi="Arial" w:eastAsia="宋体" w:cs="Arial"/>
          <w:color w:val="auto"/>
          <w:highlight w:val="none"/>
          <w:lang w:val="en-US" w:eastAsia="zh-CN"/>
        </w:rPr>
        <w:t>3</w:t>
      </w:r>
      <w:r>
        <w:rPr>
          <w:rFonts w:hint="default" w:ascii="Arial" w:hAnsi="Arial" w:eastAsia="宋体" w:cs="Arial"/>
          <w:color w:val="auto"/>
          <w:highlight w:val="none"/>
        </w:rPr>
        <w:t xml:space="preserve">    土壤检测项目分析方法</w:t>
      </w:r>
    </w:p>
    <w:tbl>
      <w:tblPr>
        <w:tblStyle w:val="39"/>
        <w:tblW w:w="900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7"/>
        <w:gridCol w:w="1161"/>
        <w:gridCol w:w="3755"/>
        <w:gridCol w:w="893"/>
        <w:gridCol w:w="1511"/>
        <w:gridCol w:w="12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427" w:type="dxa"/>
            <w:tcBorders>
              <w:left w:val="nil"/>
            </w:tcBorders>
            <w:noWrap w:val="0"/>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b/>
                <w:bCs/>
                <w:color w:val="auto"/>
                <w:sz w:val="21"/>
                <w:szCs w:val="21"/>
                <w:lang w:eastAsia="zh-CN"/>
              </w:rPr>
            </w:pPr>
            <w:r>
              <w:rPr>
                <w:rFonts w:hint="default" w:ascii="Arial" w:hAnsi="Arial" w:eastAsia="宋体" w:cs="Arial"/>
                <w:b/>
                <w:bCs/>
                <w:color w:val="auto"/>
                <w:sz w:val="21"/>
                <w:szCs w:val="21"/>
                <w:lang w:eastAsia="zh-CN"/>
              </w:rPr>
              <w:t>序号</w:t>
            </w:r>
          </w:p>
        </w:tc>
        <w:tc>
          <w:tcPr>
            <w:tcW w:w="1161" w:type="dxa"/>
            <w:noWrap w:val="0"/>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b/>
                <w:bCs/>
                <w:color w:val="auto"/>
                <w:sz w:val="21"/>
                <w:szCs w:val="21"/>
              </w:rPr>
            </w:pPr>
            <w:r>
              <w:rPr>
                <w:rFonts w:hint="default" w:ascii="Arial" w:hAnsi="Arial" w:eastAsia="宋体" w:cs="Arial"/>
                <w:b/>
                <w:bCs/>
                <w:color w:val="auto"/>
                <w:sz w:val="21"/>
                <w:szCs w:val="21"/>
              </w:rPr>
              <w:t>检测项目</w:t>
            </w:r>
          </w:p>
        </w:tc>
        <w:tc>
          <w:tcPr>
            <w:tcW w:w="3755" w:type="dxa"/>
            <w:noWrap w:val="0"/>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b/>
                <w:bCs/>
                <w:color w:val="auto"/>
                <w:sz w:val="21"/>
                <w:szCs w:val="21"/>
              </w:rPr>
            </w:pPr>
            <w:r>
              <w:rPr>
                <w:rFonts w:hint="default" w:ascii="Arial" w:hAnsi="Arial" w:eastAsia="宋体" w:cs="Arial"/>
                <w:b/>
                <w:bCs/>
                <w:color w:val="auto"/>
                <w:sz w:val="21"/>
                <w:szCs w:val="21"/>
              </w:rPr>
              <w:t>分析方法及来源</w:t>
            </w:r>
          </w:p>
        </w:tc>
        <w:tc>
          <w:tcPr>
            <w:tcW w:w="893" w:type="dxa"/>
            <w:noWrap w:val="0"/>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b/>
                <w:bCs/>
                <w:color w:val="auto"/>
                <w:sz w:val="21"/>
                <w:szCs w:val="21"/>
                <w:lang w:eastAsia="zh-CN"/>
              </w:rPr>
            </w:pPr>
            <w:r>
              <w:rPr>
                <w:rFonts w:hint="default" w:ascii="Arial" w:hAnsi="Arial" w:eastAsia="宋体" w:cs="Arial"/>
                <w:b/>
                <w:bCs/>
                <w:color w:val="auto"/>
                <w:sz w:val="21"/>
                <w:szCs w:val="21"/>
              </w:rPr>
              <w:t>检出限</w:t>
            </w:r>
            <w:r>
              <w:rPr>
                <w:rFonts w:hint="default" w:ascii="Arial" w:hAnsi="Arial" w:eastAsia="宋体" w:cs="Arial"/>
                <w:b/>
                <w:bCs/>
                <w:color w:val="auto"/>
                <w:sz w:val="21"/>
                <w:szCs w:val="21"/>
                <w:lang w:eastAsia="zh-CN"/>
              </w:rPr>
              <w:t>（</w:t>
            </w:r>
            <w:r>
              <w:rPr>
                <w:rFonts w:hint="default" w:ascii="Arial" w:hAnsi="Arial" w:eastAsia="宋体" w:cs="Arial"/>
                <w:color w:val="auto"/>
                <w:sz w:val="21"/>
                <w:szCs w:val="21"/>
              </w:rPr>
              <w:t>mg/kg</w:t>
            </w:r>
            <w:r>
              <w:rPr>
                <w:rFonts w:hint="default" w:ascii="Arial" w:hAnsi="Arial" w:eastAsia="宋体" w:cs="Arial"/>
                <w:b/>
                <w:bCs/>
                <w:color w:val="auto"/>
                <w:sz w:val="21"/>
                <w:szCs w:val="21"/>
                <w:lang w:eastAsia="zh-CN"/>
              </w:rPr>
              <w:t>）</w:t>
            </w:r>
          </w:p>
        </w:tc>
        <w:tc>
          <w:tcPr>
            <w:tcW w:w="1511" w:type="dxa"/>
            <w:noWrap w:val="0"/>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b/>
                <w:bCs/>
                <w:color w:val="auto"/>
                <w:sz w:val="21"/>
                <w:szCs w:val="21"/>
              </w:rPr>
            </w:pPr>
            <w:r>
              <w:rPr>
                <w:rFonts w:hint="default" w:ascii="Arial" w:hAnsi="Arial" w:eastAsia="宋体" w:cs="Arial"/>
                <w:b/>
                <w:bCs/>
                <w:color w:val="auto"/>
                <w:sz w:val="21"/>
                <w:szCs w:val="21"/>
              </w:rPr>
              <w:t>仪器设备名称/型号</w:t>
            </w:r>
          </w:p>
        </w:tc>
        <w:tc>
          <w:tcPr>
            <w:tcW w:w="1256" w:type="dxa"/>
            <w:tcBorders>
              <w:right w:val="nil"/>
            </w:tcBorders>
            <w:noWrap w:val="0"/>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b/>
                <w:bCs/>
                <w:color w:val="auto"/>
                <w:sz w:val="21"/>
                <w:szCs w:val="21"/>
              </w:rPr>
            </w:pPr>
            <w:r>
              <w:rPr>
                <w:rFonts w:hint="default" w:ascii="Arial" w:hAnsi="Arial" w:eastAsia="宋体" w:cs="Arial"/>
                <w:b/>
                <w:bCs/>
                <w:color w:val="auto"/>
                <w:sz w:val="21"/>
                <w:szCs w:val="21"/>
              </w:rPr>
              <w:t>仪器管理编号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427" w:type="dxa"/>
            <w:tcBorders>
              <w:left w:val="nil"/>
            </w:tcBorders>
            <w:noWrap w:val="0"/>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r>
              <w:rPr>
                <w:rFonts w:hint="default" w:ascii="Arial" w:hAnsi="Arial" w:eastAsia="宋体" w:cs="Arial"/>
                <w:color w:val="auto"/>
                <w:sz w:val="21"/>
                <w:szCs w:val="21"/>
              </w:rPr>
              <w:t>1</w:t>
            </w:r>
          </w:p>
        </w:tc>
        <w:tc>
          <w:tcPr>
            <w:tcW w:w="1161" w:type="dxa"/>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总砷</w:t>
            </w:r>
          </w:p>
        </w:tc>
        <w:tc>
          <w:tcPr>
            <w:tcW w:w="3755" w:type="dxa"/>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r>
              <w:rPr>
                <w:rFonts w:hint="default" w:ascii="Arial" w:hAnsi="Arial" w:eastAsia="宋体" w:cs="Arial"/>
                <w:color w:val="auto"/>
                <w:sz w:val="21"/>
                <w:szCs w:val="21"/>
              </w:rPr>
              <w:t>《土壤质量 总汞、总砷、总铅的测定原子荧光法》第2部分:土壤中总砷的测定</w:t>
            </w:r>
          </w:p>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（GB</w:t>
            </w:r>
            <w:r>
              <w:rPr>
                <w:rFonts w:hint="default" w:ascii="Arial" w:hAnsi="Arial" w:eastAsia="宋体" w:cs="Arial"/>
                <w:color w:val="auto"/>
                <w:sz w:val="21"/>
                <w:szCs w:val="21"/>
                <w:lang w:eastAsia="zh-CN"/>
              </w:rPr>
              <w:t>/</w:t>
            </w:r>
            <w:r>
              <w:rPr>
                <w:rFonts w:hint="default" w:ascii="Arial" w:hAnsi="Arial" w:eastAsia="宋体" w:cs="Arial"/>
                <w:color w:val="auto"/>
                <w:sz w:val="21"/>
                <w:szCs w:val="21"/>
              </w:rPr>
              <w:t>T 22105.2-2008）</w:t>
            </w:r>
          </w:p>
        </w:tc>
        <w:tc>
          <w:tcPr>
            <w:tcW w:w="893" w:type="dxa"/>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0.01</w:t>
            </w:r>
          </w:p>
        </w:tc>
        <w:tc>
          <w:tcPr>
            <w:tcW w:w="1511" w:type="dxa"/>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原子荧光光度计</w:t>
            </w:r>
            <w:r>
              <w:rPr>
                <w:rFonts w:hint="default" w:ascii="Arial" w:hAnsi="Arial" w:eastAsia="宋体" w:cs="Arial"/>
                <w:color w:val="auto"/>
                <w:sz w:val="21"/>
                <w:szCs w:val="21"/>
                <w:lang w:eastAsia="zh-CN"/>
              </w:rPr>
              <w:t>/</w:t>
            </w:r>
            <w:r>
              <w:rPr>
                <w:rFonts w:hint="default" w:ascii="Arial" w:hAnsi="Arial" w:eastAsia="宋体" w:cs="Arial"/>
                <w:color w:val="auto"/>
                <w:sz w:val="21"/>
                <w:szCs w:val="21"/>
              </w:rPr>
              <w:t>AFS-8220</w:t>
            </w:r>
          </w:p>
        </w:tc>
        <w:tc>
          <w:tcPr>
            <w:tcW w:w="1256" w:type="dxa"/>
            <w:tcBorders>
              <w:right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HZD-003-A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427" w:type="dxa"/>
            <w:tcBorders>
              <w:left w:val="nil"/>
            </w:tcBorders>
            <w:noWrap w:val="0"/>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lang w:val="en-US" w:eastAsia="zh-CN"/>
              </w:rPr>
            </w:pPr>
            <w:r>
              <w:rPr>
                <w:rFonts w:hint="default" w:ascii="Arial" w:hAnsi="Arial" w:eastAsia="宋体" w:cs="Arial"/>
                <w:color w:val="auto"/>
                <w:sz w:val="21"/>
                <w:szCs w:val="21"/>
                <w:lang w:val="en-US" w:eastAsia="zh-CN"/>
              </w:rPr>
              <w:t>2</w:t>
            </w:r>
          </w:p>
        </w:tc>
        <w:tc>
          <w:tcPr>
            <w:tcW w:w="1161" w:type="dxa"/>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镉</w:t>
            </w:r>
          </w:p>
        </w:tc>
        <w:tc>
          <w:tcPr>
            <w:tcW w:w="3755" w:type="dxa"/>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《土壤质量 铅、镉的测定石墨炉原子吸收分光光度法》（GB</w:t>
            </w:r>
            <w:r>
              <w:rPr>
                <w:rFonts w:hint="default" w:ascii="Arial" w:hAnsi="Arial" w:eastAsia="宋体" w:cs="Arial"/>
                <w:color w:val="auto"/>
                <w:sz w:val="21"/>
                <w:szCs w:val="21"/>
                <w:lang w:eastAsia="zh-CN"/>
              </w:rPr>
              <w:t>/</w:t>
            </w:r>
            <w:r>
              <w:rPr>
                <w:rFonts w:hint="default" w:ascii="Arial" w:hAnsi="Arial" w:eastAsia="宋体" w:cs="Arial"/>
                <w:color w:val="auto"/>
                <w:sz w:val="21"/>
                <w:szCs w:val="21"/>
              </w:rPr>
              <w:t>T 17141-1997）</w:t>
            </w:r>
          </w:p>
        </w:tc>
        <w:tc>
          <w:tcPr>
            <w:tcW w:w="893" w:type="dxa"/>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0.01</w:t>
            </w:r>
          </w:p>
        </w:tc>
        <w:tc>
          <w:tcPr>
            <w:tcW w:w="1511" w:type="dxa"/>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原子吸收光谱仪</w:t>
            </w:r>
            <w:r>
              <w:rPr>
                <w:rFonts w:hint="default" w:ascii="Arial" w:hAnsi="Arial" w:eastAsia="宋体" w:cs="Arial"/>
                <w:color w:val="auto"/>
                <w:sz w:val="21"/>
                <w:szCs w:val="21"/>
                <w:lang w:eastAsia="zh-CN"/>
              </w:rPr>
              <w:t>/</w:t>
            </w:r>
            <w:r>
              <w:rPr>
                <w:rFonts w:hint="default" w:ascii="Arial" w:hAnsi="Arial" w:eastAsia="宋体" w:cs="Arial"/>
                <w:color w:val="auto"/>
                <w:sz w:val="21"/>
                <w:szCs w:val="21"/>
              </w:rPr>
              <w:t>ICE-3500</w:t>
            </w:r>
          </w:p>
        </w:tc>
        <w:tc>
          <w:tcPr>
            <w:tcW w:w="1256" w:type="dxa"/>
            <w:tcBorders>
              <w:right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HZD-020-A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427" w:type="dxa"/>
            <w:tcBorders>
              <w:left w:val="nil"/>
            </w:tcBorders>
            <w:noWrap w:val="0"/>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lang w:val="en-US" w:eastAsia="zh-CN"/>
              </w:rPr>
            </w:pPr>
            <w:r>
              <w:rPr>
                <w:rFonts w:hint="default" w:ascii="Arial" w:hAnsi="Arial" w:eastAsia="宋体" w:cs="Arial"/>
                <w:color w:val="auto"/>
                <w:sz w:val="21"/>
                <w:szCs w:val="21"/>
                <w:lang w:val="en-US" w:eastAsia="zh-CN"/>
              </w:rPr>
              <w:t>3</w:t>
            </w:r>
          </w:p>
        </w:tc>
        <w:tc>
          <w:tcPr>
            <w:tcW w:w="1161" w:type="dxa"/>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铅</w:t>
            </w:r>
          </w:p>
        </w:tc>
        <w:tc>
          <w:tcPr>
            <w:tcW w:w="3755" w:type="dxa"/>
            <w:noWrap w:val="0"/>
            <w:vAlign w:val="center"/>
          </w:tcPr>
          <w:p>
            <w:pPr>
              <w:keepNext w:val="0"/>
              <w:keepLines w:val="0"/>
              <w:pageBreakBefore w:val="0"/>
              <w:widowControl/>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r>
              <w:rPr>
                <w:rFonts w:hint="default" w:ascii="Arial" w:hAnsi="Arial" w:eastAsia="宋体" w:cs="Arial"/>
                <w:color w:val="auto"/>
                <w:sz w:val="21"/>
                <w:szCs w:val="21"/>
              </w:rPr>
              <w:t>《土壤和沉积物 铜、锌、铅、镍、铬 的测定 火焰原子吸收分光光度法》</w:t>
            </w:r>
          </w:p>
          <w:p>
            <w:pPr>
              <w:keepNext w:val="0"/>
              <w:keepLines w:val="0"/>
              <w:pageBreakBefore w:val="0"/>
              <w:widowControl/>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（HJ 491-2019）</w:t>
            </w:r>
          </w:p>
        </w:tc>
        <w:tc>
          <w:tcPr>
            <w:tcW w:w="893" w:type="dxa"/>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10</w:t>
            </w:r>
          </w:p>
        </w:tc>
        <w:tc>
          <w:tcPr>
            <w:tcW w:w="1511" w:type="dxa"/>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原子吸收光谱仪</w:t>
            </w:r>
            <w:r>
              <w:rPr>
                <w:rFonts w:hint="default" w:ascii="Arial" w:hAnsi="Arial" w:eastAsia="宋体" w:cs="Arial"/>
                <w:color w:val="auto"/>
                <w:sz w:val="21"/>
                <w:szCs w:val="21"/>
                <w:lang w:eastAsia="zh-CN"/>
              </w:rPr>
              <w:t>/</w:t>
            </w:r>
            <w:r>
              <w:rPr>
                <w:rFonts w:hint="default" w:ascii="Arial" w:hAnsi="Arial" w:eastAsia="宋体" w:cs="Arial"/>
                <w:color w:val="auto"/>
                <w:sz w:val="21"/>
                <w:szCs w:val="21"/>
              </w:rPr>
              <w:t>ICE-3500</w:t>
            </w:r>
          </w:p>
        </w:tc>
        <w:tc>
          <w:tcPr>
            <w:tcW w:w="1256" w:type="dxa"/>
            <w:tcBorders>
              <w:right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HZD-020-A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427" w:type="dxa"/>
            <w:tcBorders>
              <w:left w:val="nil"/>
            </w:tcBorders>
            <w:noWrap w:val="0"/>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lang w:val="en-US" w:eastAsia="zh-CN"/>
              </w:rPr>
            </w:pPr>
            <w:r>
              <w:rPr>
                <w:rFonts w:hint="default" w:ascii="Arial" w:hAnsi="Arial" w:eastAsia="宋体" w:cs="Arial"/>
                <w:color w:val="auto"/>
                <w:sz w:val="21"/>
                <w:szCs w:val="21"/>
                <w:lang w:val="en-US" w:eastAsia="zh-CN"/>
              </w:rPr>
              <w:t>4</w:t>
            </w:r>
          </w:p>
        </w:tc>
        <w:tc>
          <w:tcPr>
            <w:tcW w:w="1161" w:type="dxa"/>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铜</w:t>
            </w:r>
          </w:p>
        </w:tc>
        <w:tc>
          <w:tcPr>
            <w:tcW w:w="3755" w:type="dxa"/>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《土壤和沉积物铜、锌、铅、镍、铬的测定火焰原子吸收分光光度法》（HJ 491-2019）</w:t>
            </w:r>
          </w:p>
        </w:tc>
        <w:tc>
          <w:tcPr>
            <w:tcW w:w="893" w:type="dxa"/>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0"/>
                <w:sz w:val="21"/>
                <w:szCs w:val="21"/>
                <w:lang w:bidi="ar"/>
              </w:rPr>
              <w:t>1</w:t>
            </w:r>
          </w:p>
        </w:tc>
        <w:tc>
          <w:tcPr>
            <w:tcW w:w="1511" w:type="dxa"/>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0"/>
                <w:sz w:val="21"/>
                <w:szCs w:val="21"/>
                <w:lang w:bidi="ar"/>
              </w:rPr>
              <w:t>原子吸收光谱仪</w:t>
            </w:r>
            <w:r>
              <w:rPr>
                <w:rFonts w:hint="default" w:ascii="Arial" w:hAnsi="Arial" w:eastAsia="宋体" w:cs="Arial"/>
                <w:color w:val="auto"/>
                <w:kern w:val="0"/>
                <w:sz w:val="21"/>
                <w:szCs w:val="21"/>
                <w:lang w:eastAsia="zh-CN" w:bidi="ar"/>
              </w:rPr>
              <w:t>/</w:t>
            </w:r>
            <w:r>
              <w:rPr>
                <w:rFonts w:hint="default" w:ascii="Arial" w:hAnsi="Arial" w:eastAsia="宋体" w:cs="Arial"/>
                <w:color w:val="auto"/>
                <w:kern w:val="0"/>
                <w:sz w:val="21"/>
                <w:szCs w:val="21"/>
                <w:lang w:bidi="ar"/>
              </w:rPr>
              <w:t>ICE-3500</w:t>
            </w:r>
          </w:p>
        </w:tc>
        <w:tc>
          <w:tcPr>
            <w:tcW w:w="1256" w:type="dxa"/>
            <w:tcBorders>
              <w:right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0"/>
                <w:sz w:val="21"/>
                <w:szCs w:val="21"/>
                <w:lang w:bidi="ar"/>
              </w:rPr>
              <w:t>HZD-020-A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427" w:type="dxa"/>
            <w:tcBorders>
              <w:left w:val="nil"/>
            </w:tcBorders>
            <w:noWrap w:val="0"/>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lang w:val="en-US" w:eastAsia="zh-CN"/>
              </w:rPr>
            </w:pPr>
            <w:r>
              <w:rPr>
                <w:rFonts w:hint="default" w:ascii="Arial" w:hAnsi="Arial" w:eastAsia="宋体" w:cs="Arial"/>
                <w:color w:val="auto"/>
                <w:sz w:val="21"/>
                <w:szCs w:val="21"/>
                <w:lang w:val="en-US" w:eastAsia="zh-CN"/>
              </w:rPr>
              <w:t>5</w:t>
            </w:r>
          </w:p>
        </w:tc>
        <w:tc>
          <w:tcPr>
            <w:tcW w:w="1161" w:type="dxa"/>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总汞</w:t>
            </w:r>
          </w:p>
        </w:tc>
        <w:tc>
          <w:tcPr>
            <w:tcW w:w="3755" w:type="dxa"/>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《土壤质量 总汞、总砷、总铅的测定原子荧光法》 第1部分：土壤中总汞的测定）（GB</w:t>
            </w:r>
            <w:r>
              <w:rPr>
                <w:rFonts w:hint="default" w:ascii="Arial" w:hAnsi="Arial" w:eastAsia="宋体" w:cs="Arial"/>
                <w:color w:val="auto"/>
                <w:sz w:val="21"/>
                <w:szCs w:val="21"/>
                <w:lang w:eastAsia="zh-CN"/>
              </w:rPr>
              <w:t>/</w:t>
            </w:r>
            <w:r>
              <w:rPr>
                <w:rFonts w:hint="default" w:ascii="Arial" w:hAnsi="Arial" w:eastAsia="宋体" w:cs="Arial"/>
                <w:color w:val="auto"/>
                <w:sz w:val="21"/>
                <w:szCs w:val="21"/>
              </w:rPr>
              <w:t>T 22105.1-2008）</w:t>
            </w:r>
          </w:p>
        </w:tc>
        <w:tc>
          <w:tcPr>
            <w:tcW w:w="893" w:type="dxa"/>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0.002</w:t>
            </w:r>
          </w:p>
        </w:tc>
        <w:tc>
          <w:tcPr>
            <w:tcW w:w="1511" w:type="dxa"/>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原子荧光光度计</w:t>
            </w:r>
            <w:r>
              <w:rPr>
                <w:rFonts w:hint="default" w:ascii="Arial" w:hAnsi="Arial" w:eastAsia="宋体" w:cs="Arial"/>
                <w:color w:val="auto"/>
                <w:sz w:val="21"/>
                <w:szCs w:val="21"/>
                <w:lang w:eastAsia="zh-CN"/>
              </w:rPr>
              <w:t>/</w:t>
            </w:r>
            <w:r>
              <w:rPr>
                <w:rFonts w:hint="default" w:ascii="Arial" w:hAnsi="Arial" w:eastAsia="宋体" w:cs="Arial"/>
                <w:color w:val="auto"/>
                <w:sz w:val="21"/>
                <w:szCs w:val="21"/>
              </w:rPr>
              <w:t>AFS-8220</w:t>
            </w:r>
          </w:p>
        </w:tc>
        <w:tc>
          <w:tcPr>
            <w:tcW w:w="1256" w:type="dxa"/>
            <w:tcBorders>
              <w:right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HZD-003-A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427" w:type="dxa"/>
            <w:tcBorders>
              <w:left w:val="nil"/>
            </w:tcBorders>
            <w:noWrap w:val="0"/>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lang w:val="en-US" w:eastAsia="zh-CN"/>
              </w:rPr>
            </w:pPr>
            <w:r>
              <w:rPr>
                <w:rFonts w:hint="default" w:ascii="Arial" w:hAnsi="Arial" w:eastAsia="宋体" w:cs="Arial"/>
                <w:color w:val="auto"/>
                <w:sz w:val="21"/>
                <w:szCs w:val="21"/>
                <w:lang w:val="en-US" w:eastAsia="zh-CN"/>
              </w:rPr>
              <w:t>6</w:t>
            </w:r>
          </w:p>
        </w:tc>
        <w:tc>
          <w:tcPr>
            <w:tcW w:w="1161" w:type="dxa"/>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铬</w:t>
            </w:r>
          </w:p>
        </w:tc>
        <w:tc>
          <w:tcPr>
            <w:tcW w:w="3755" w:type="dxa"/>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r>
              <w:rPr>
                <w:rFonts w:hint="default" w:ascii="Arial" w:hAnsi="Arial" w:eastAsia="宋体" w:cs="Arial"/>
                <w:color w:val="auto"/>
                <w:sz w:val="21"/>
                <w:szCs w:val="21"/>
              </w:rPr>
              <w:t>《</w:t>
            </w:r>
            <w:r>
              <w:rPr>
                <w:rFonts w:hint="default" w:ascii="Arial" w:hAnsi="Arial" w:eastAsia="宋体" w:cs="Arial"/>
                <w:color w:val="auto"/>
                <w:sz w:val="21"/>
                <w:szCs w:val="21"/>
                <w:lang w:eastAsia="zh-CN"/>
              </w:rPr>
              <w:t>土壤和沉积物铜、锌、铅、镍、铬的测定火焰原子吸收分光光</w:t>
            </w:r>
            <w:r>
              <w:rPr>
                <w:rFonts w:hint="default" w:ascii="Arial" w:hAnsi="Arial" w:eastAsia="宋体" w:cs="Arial"/>
                <w:color w:val="auto"/>
                <w:sz w:val="21"/>
                <w:szCs w:val="21"/>
              </w:rPr>
              <w:t>度法》</w:t>
            </w:r>
          </w:p>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w:t>
            </w:r>
            <w:r>
              <w:rPr>
                <w:rFonts w:hint="default" w:ascii="Arial" w:hAnsi="Arial" w:eastAsia="宋体" w:cs="Arial"/>
                <w:color w:val="auto"/>
                <w:sz w:val="21"/>
                <w:szCs w:val="21"/>
                <w:lang w:val="en-US" w:eastAsia="zh-CN"/>
              </w:rPr>
              <w:t>HJ 491-2019</w:t>
            </w:r>
            <w:r>
              <w:rPr>
                <w:rFonts w:hint="default" w:ascii="Arial" w:hAnsi="Arial" w:eastAsia="宋体" w:cs="Arial"/>
                <w:color w:val="auto"/>
                <w:sz w:val="21"/>
                <w:szCs w:val="21"/>
              </w:rPr>
              <w:t>）</w:t>
            </w:r>
          </w:p>
        </w:tc>
        <w:tc>
          <w:tcPr>
            <w:tcW w:w="893" w:type="dxa"/>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4</w:t>
            </w:r>
          </w:p>
        </w:tc>
        <w:tc>
          <w:tcPr>
            <w:tcW w:w="1511" w:type="dxa"/>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原子吸收光谱仪</w:t>
            </w:r>
            <w:r>
              <w:rPr>
                <w:rFonts w:hint="default" w:ascii="Arial" w:hAnsi="Arial" w:eastAsia="宋体" w:cs="Arial"/>
                <w:color w:val="auto"/>
                <w:sz w:val="21"/>
                <w:szCs w:val="21"/>
                <w:lang w:eastAsia="zh-CN"/>
              </w:rPr>
              <w:t>/</w:t>
            </w:r>
            <w:r>
              <w:rPr>
                <w:rFonts w:hint="default" w:ascii="Arial" w:hAnsi="Arial" w:eastAsia="宋体" w:cs="Arial"/>
                <w:color w:val="auto"/>
                <w:sz w:val="21"/>
                <w:szCs w:val="21"/>
              </w:rPr>
              <w:t>ICE-3</w:t>
            </w:r>
            <w:r>
              <w:rPr>
                <w:rFonts w:hint="default" w:ascii="Arial" w:hAnsi="Arial" w:eastAsia="宋体" w:cs="Arial"/>
                <w:color w:val="auto"/>
                <w:sz w:val="21"/>
                <w:szCs w:val="21"/>
                <w:lang w:val="en-US" w:eastAsia="zh-CN"/>
              </w:rPr>
              <w:t>500</w:t>
            </w:r>
          </w:p>
        </w:tc>
        <w:tc>
          <w:tcPr>
            <w:tcW w:w="1256" w:type="dxa"/>
            <w:tcBorders>
              <w:right w:val="nil"/>
            </w:tcBorders>
            <w:noWrap w:val="0"/>
            <w:vAlign w:val="center"/>
          </w:tcPr>
          <w:p>
            <w:pPr>
              <w:keepNext w:val="0"/>
              <w:keepLines w:val="0"/>
              <w:pageBreakBefore w:val="0"/>
              <w:kinsoku/>
              <w:wordWrap/>
              <w:overflowPunct/>
              <w:topLinePunct w:val="0"/>
              <w:autoSpaceDE/>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HZD-020-A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427" w:type="dxa"/>
            <w:tcBorders>
              <w:left w:val="nil"/>
            </w:tcBorders>
            <w:noWrap w:val="0"/>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lang w:val="en-US" w:eastAsia="zh-CN"/>
              </w:rPr>
            </w:pPr>
            <w:r>
              <w:rPr>
                <w:rFonts w:hint="default" w:ascii="Arial" w:hAnsi="Arial" w:eastAsia="宋体" w:cs="Arial"/>
                <w:color w:val="auto"/>
                <w:sz w:val="21"/>
                <w:szCs w:val="21"/>
                <w:lang w:val="en-US" w:eastAsia="zh-CN"/>
              </w:rPr>
              <w:t>7</w:t>
            </w:r>
          </w:p>
        </w:tc>
        <w:tc>
          <w:tcPr>
            <w:tcW w:w="1161" w:type="dxa"/>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镍</w:t>
            </w:r>
          </w:p>
        </w:tc>
        <w:tc>
          <w:tcPr>
            <w:tcW w:w="3755" w:type="dxa"/>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《土壤和沉积物铜、锌、铅、镍、铬的测定火焰原子吸收分光光度法》（HJ 491-2019）</w:t>
            </w:r>
          </w:p>
        </w:tc>
        <w:tc>
          <w:tcPr>
            <w:tcW w:w="893" w:type="dxa"/>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0"/>
                <w:sz w:val="21"/>
                <w:szCs w:val="21"/>
                <w:lang w:bidi="ar"/>
              </w:rPr>
              <w:t>3</w:t>
            </w:r>
          </w:p>
        </w:tc>
        <w:tc>
          <w:tcPr>
            <w:tcW w:w="1511" w:type="dxa"/>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0"/>
                <w:sz w:val="21"/>
                <w:szCs w:val="21"/>
                <w:lang w:bidi="ar"/>
              </w:rPr>
              <w:t>原子吸收光谱仪</w:t>
            </w:r>
            <w:r>
              <w:rPr>
                <w:rFonts w:hint="default" w:ascii="Arial" w:hAnsi="Arial" w:eastAsia="宋体" w:cs="Arial"/>
                <w:color w:val="auto"/>
                <w:kern w:val="0"/>
                <w:sz w:val="21"/>
                <w:szCs w:val="21"/>
                <w:lang w:eastAsia="zh-CN" w:bidi="ar"/>
              </w:rPr>
              <w:t>/</w:t>
            </w:r>
            <w:r>
              <w:rPr>
                <w:rFonts w:hint="default" w:ascii="Arial" w:hAnsi="Arial" w:eastAsia="宋体" w:cs="Arial"/>
                <w:color w:val="auto"/>
                <w:kern w:val="0"/>
                <w:sz w:val="21"/>
                <w:szCs w:val="21"/>
                <w:lang w:bidi="ar"/>
              </w:rPr>
              <w:t>ICE-3500</w:t>
            </w:r>
          </w:p>
        </w:tc>
        <w:tc>
          <w:tcPr>
            <w:tcW w:w="1256" w:type="dxa"/>
            <w:tcBorders>
              <w:right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0"/>
                <w:sz w:val="21"/>
                <w:szCs w:val="21"/>
                <w:lang w:bidi="ar"/>
              </w:rPr>
              <w:t>HZD-020-A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427" w:type="dxa"/>
            <w:tcBorders>
              <w:left w:val="nil"/>
            </w:tcBorders>
            <w:noWrap w:val="0"/>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lang w:val="en-US" w:eastAsia="zh-CN"/>
              </w:rPr>
            </w:pPr>
            <w:r>
              <w:rPr>
                <w:rFonts w:hint="default" w:ascii="Arial" w:hAnsi="Arial" w:eastAsia="宋体" w:cs="Arial"/>
                <w:color w:val="auto"/>
                <w:sz w:val="21"/>
                <w:szCs w:val="21"/>
                <w:lang w:val="en-US" w:eastAsia="zh-CN"/>
              </w:rPr>
              <w:t>8</w:t>
            </w:r>
          </w:p>
        </w:tc>
        <w:tc>
          <w:tcPr>
            <w:tcW w:w="1161" w:type="dxa"/>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锌</w:t>
            </w:r>
          </w:p>
        </w:tc>
        <w:tc>
          <w:tcPr>
            <w:tcW w:w="3755" w:type="dxa"/>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r>
              <w:rPr>
                <w:rFonts w:hint="default" w:ascii="Arial" w:hAnsi="Arial" w:eastAsia="宋体" w:cs="Arial"/>
                <w:color w:val="auto"/>
                <w:sz w:val="21"/>
                <w:szCs w:val="21"/>
              </w:rPr>
              <w:t>《土壤和沉积物铜、锌、铅、镍、铬的测定火焰原子吸收分光光度法》</w:t>
            </w:r>
          </w:p>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（HJ 491-2019）</w:t>
            </w:r>
          </w:p>
        </w:tc>
        <w:tc>
          <w:tcPr>
            <w:tcW w:w="893" w:type="dxa"/>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1</w:t>
            </w:r>
          </w:p>
        </w:tc>
        <w:tc>
          <w:tcPr>
            <w:tcW w:w="1511" w:type="dxa"/>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原子吸收光谱仪</w:t>
            </w:r>
            <w:r>
              <w:rPr>
                <w:rFonts w:hint="default" w:ascii="Arial" w:hAnsi="Arial" w:eastAsia="宋体" w:cs="Arial"/>
                <w:color w:val="auto"/>
                <w:sz w:val="21"/>
                <w:szCs w:val="21"/>
                <w:lang w:eastAsia="zh-CN"/>
              </w:rPr>
              <w:t>/</w:t>
            </w:r>
            <w:r>
              <w:rPr>
                <w:rFonts w:hint="default" w:ascii="Arial" w:hAnsi="Arial" w:eastAsia="宋体" w:cs="Arial"/>
                <w:color w:val="auto"/>
                <w:sz w:val="21"/>
                <w:szCs w:val="21"/>
              </w:rPr>
              <w:t>ICE-3500</w:t>
            </w:r>
          </w:p>
        </w:tc>
        <w:tc>
          <w:tcPr>
            <w:tcW w:w="1256" w:type="dxa"/>
            <w:tcBorders>
              <w:right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HZD-020-A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427" w:type="dxa"/>
            <w:tcBorders>
              <w:left w:val="nil"/>
            </w:tcBorders>
            <w:noWrap w:val="0"/>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lang w:val="en-US" w:eastAsia="zh-CN"/>
              </w:rPr>
            </w:pPr>
            <w:r>
              <w:rPr>
                <w:rFonts w:hint="default" w:ascii="Arial" w:hAnsi="Arial" w:eastAsia="宋体" w:cs="Arial"/>
                <w:color w:val="auto"/>
                <w:sz w:val="21"/>
                <w:szCs w:val="21"/>
                <w:lang w:val="en-US" w:eastAsia="zh-CN"/>
              </w:rPr>
              <w:t>9</w:t>
            </w:r>
          </w:p>
        </w:tc>
        <w:tc>
          <w:tcPr>
            <w:tcW w:w="1161" w:type="dxa"/>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pH</w:t>
            </w:r>
          </w:p>
        </w:tc>
        <w:tc>
          <w:tcPr>
            <w:tcW w:w="3755" w:type="dxa"/>
            <w:noWrap w:val="0"/>
            <w:vAlign w:val="center"/>
          </w:tcPr>
          <w:p>
            <w:pPr>
              <w:keepNext w:val="0"/>
              <w:keepLines w:val="0"/>
              <w:pageBreakBefore w:val="0"/>
              <w:widowControl/>
              <w:suppressLineNumbers w:val="0"/>
              <w:kinsoku/>
              <w:wordWrap/>
              <w:overflowPunct/>
              <w:autoSpaceDN/>
              <w:bidi w:val="0"/>
              <w:adjustRightInd/>
              <w:snapToGrid/>
              <w:spacing w:line="360" w:lineRule="exact"/>
              <w:ind w:left="0" w:leftChars="0"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《土壤 pH 测定 电位法 》</w:t>
            </w:r>
          </w:p>
          <w:p>
            <w:pPr>
              <w:keepNext w:val="0"/>
              <w:keepLines w:val="0"/>
              <w:pageBreakBefore w:val="0"/>
              <w:widowControl/>
              <w:suppressLineNumbers w:val="0"/>
              <w:kinsoku/>
              <w:wordWrap/>
              <w:overflowPunct/>
              <w:autoSpaceDN/>
              <w:bidi w:val="0"/>
              <w:adjustRightInd/>
              <w:snapToGrid/>
              <w:spacing w:line="360" w:lineRule="exact"/>
              <w:ind w:left="0" w:leftChars="0"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（HJ 962-2018）</w:t>
            </w:r>
          </w:p>
        </w:tc>
        <w:tc>
          <w:tcPr>
            <w:tcW w:w="893" w:type="dxa"/>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eastAsia="zh-CN"/>
              </w:rPr>
              <w:t>—</w:t>
            </w:r>
          </w:p>
        </w:tc>
        <w:tc>
          <w:tcPr>
            <w:tcW w:w="1511" w:type="dxa"/>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pH计/PHSJ-4F</w:t>
            </w:r>
          </w:p>
        </w:tc>
        <w:tc>
          <w:tcPr>
            <w:tcW w:w="1256" w:type="dxa"/>
            <w:tcBorders>
              <w:right w:val="nil"/>
            </w:tcBorders>
            <w:noWrap w:val="0"/>
            <w:vAlign w:val="center"/>
          </w:tcPr>
          <w:p>
            <w:pPr>
              <w:keepNext w:val="0"/>
              <w:keepLines w:val="0"/>
              <w:pageBreakBefore w:val="0"/>
              <w:kinsoku/>
              <w:wordWrap/>
              <w:overflowPunct/>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HZD-0</w:t>
            </w:r>
            <w:r>
              <w:rPr>
                <w:rFonts w:hint="default" w:ascii="Arial" w:hAnsi="Arial" w:eastAsia="宋体" w:cs="Arial"/>
                <w:color w:val="auto"/>
                <w:sz w:val="21"/>
                <w:szCs w:val="21"/>
                <w:lang w:val="en-US" w:eastAsia="zh-CN"/>
              </w:rPr>
              <w:t>09</w:t>
            </w:r>
            <w:r>
              <w:rPr>
                <w:rFonts w:hint="default" w:ascii="Arial" w:hAnsi="Arial" w:eastAsia="宋体" w:cs="Arial"/>
                <w:color w:val="auto"/>
                <w:sz w:val="21"/>
                <w:szCs w:val="21"/>
              </w:rPr>
              <w:t>-A</w:t>
            </w:r>
          </w:p>
        </w:tc>
      </w:tr>
    </w:tbl>
    <w:p>
      <w:pPr>
        <w:pStyle w:val="7"/>
        <w:pageBreakBefore w:val="0"/>
        <w:widowControl w:val="0"/>
        <w:kinsoku/>
        <w:wordWrap/>
        <w:overflowPunct/>
        <w:topLinePunct/>
        <w:autoSpaceDE w:val="0"/>
        <w:autoSpaceDN/>
        <w:bidi w:val="0"/>
        <w:adjustRightInd/>
        <w:snapToGrid/>
        <w:textAlignment w:val="auto"/>
        <w:rPr>
          <w:rFonts w:hint="default" w:ascii="Arial" w:hAnsi="Arial" w:eastAsia="宋体" w:cs="Arial"/>
          <w:color w:val="auto"/>
          <w:highlight w:val="none"/>
        </w:rPr>
      </w:pPr>
      <w:r>
        <w:rPr>
          <w:rFonts w:hint="default" w:ascii="Arial" w:hAnsi="Arial" w:eastAsia="宋体" w:cs="Arial"/>
          <w:color w:val="auto"/>
          <w:highlight w:val="none"/>
        </w:rPr>
        <w:t>4.2.3.</w:t>
      </w:r>
      <w:r>
        <w:rPr>
          <w:rFonts w:hint="default" w:ascii="Arial" w:hAnsi="Arial" w:eastAsia="宋体" w:cs="Arial"/>
          <w:color w:val="auto"/>
          <w:highlight w:val="none"/>
          <w:lang w:val="en-US" w:eastAsia="zh-CN"/>
        </w:rPr>
        <w:t>4</w:t>
      </w:r>
      <w:r>
        <w:rPr>
          <w:rFonts w:hint="default" w:ascii="Arial" w:hAnsi="Arial" w:eastAsia="宋体" w:cs="Arial"/>
          <w:color w:val="auto"/>
          <w:highlight w:val="none"/>
        </w:rPr>
        <w:t>评价标准</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项目区土壤环境质量执行</w:t>
      </w:r>
      <w:r>
        <w:rPr>
          <w:rFonts w:hint="default" w:ascii="Arial" w:hAnsi="Arial" w:eastAsia="宋体" w:cs="Arial"/>
          <w:color w:val="auto"/>
          <w:highlight w:val="none"/>
          <w:lang w:eastAsia="zh-CN"/>
        </w:rPr>
        <w:t>《土壤环境质量 农用地土壤污染风险管控标准（试行）》（GB 15618-2018）表1农用地土壤污染风险筛选值（基本项目）--“其他”标准</w:t>
      </w:r>
      <w:r>
        <w:rPr>
          <w:rFonts w:hint="default" w:ascii="Arial" w:hAnsi="Arial" w:eastAsia="宋体" w:cs="Arial"/>
          <w:color w:val="auto"/>
          <w:highlight w:val="none"/>
        </w:rPr>
        <w:t>。</w:t>
      </w:r>
    </w:p>
    <w:p>
      <w:pPr>
        <w:pStyle w:val="7"/>
        <w:pageBreakBefore w:val="0"/>
        <w:widowControl w:val="0"/>
        <w:kinsoku/>
        <w:wordWrap/>
        <w:overflowPunct/>
        <w:topLinePunct/>
        <w:autoSpaceDE w:val="0"/>
        <w:autoSpaceDN/>
        <w:bidi w:val="0"/>
        <w:adjustRightInd/>
        <w:snapToGrid/>
        <w:textAlignment w:val="auto"/>
        <w:rPr>
          <w:rFonts w:hint="default" w:ascii="Arial" w:hAnsi="Arial" w:eastAsia="宋体" w:cs="Arial"/>
          <w:color w:val="auto"/>
          <w:highlight w:val="none"/>
        </w:rPr>
      </w:pPr>
      <w:r>
        <w:rPr>
          <w:rFonts w:hint="default" w:ascii="Arial" w:hAnsi="Arial" w:eastAsia="宋体" w:cs="Arial"/>
          <w:color w:val="auto"/>
          <w:highlight w:val="none"/>
        </w:rPr>
        <w:t>4.2.3.</w:t>
      </w:r>
      <w:r>
        <w:rPr>
          <w:rFonts w:hint="default" w:ascii="Arial" w:hAnsi="Arial" w:eastAsia="宋体" w:cs="Arial"/>
          <w:color w:val="auto"/>
          <w:highlight w:val="none"/>
          <w:lang w:val="en-US" w:eastAsia="zh-CN"/>
        </w:rPr>
        <w:t>5</w:t>
      </w:r>
      <w:r>
        <w:rPr>
          <w:rFonts w:hint="default" w:ascii="Arial" w:hAnsi="Arial" w:eastAsia="宋体" w:cs="Arial"/>
          <w:color w:val="auto"/>
          <w:highlight w:val="none"/>
        </w:rPr>
        <w:t>监测结果</w:t>
      </w:r>
    </w:p>
    <w:p>
      <w:pPr>
        <w:pageBreakBefore w:val="0"/>
        <w:widowControl w:val="0"/>
        <w:kinsoku/>
        <w:wordWrap/>
        <w:overflowPunct/>
        <w:topLinePunct/>
        <w:autoSpaceDE w:val="0"/>
        <w:autoSpaceDN/>
        <w:bidi w:val="0"/>
        <w:adjustRightInd/>
        <w:snapToGrid/>
        <w:textAlignment w:val="auto"/>
        <w:rPr>
          <w:rFonts w:hint="default" w:ascii="Arial" w:hAnsi="Arial" w:eastAsia="宋体" w:cs="Arial"/>
          <w:b/>
          <w:bCs/>
          <w:color w:val="auto"/>
          <w:highlight w:val="none"/>
        </w:rPr>
      </w:pPr>
      <w:r>
        <w:rPr>
          <w:rFonts w:hint="default" w:ascii="Arial" w:hAnsi="Arial" w:eastAsia="宋体" w:cs="Arial"/>
          <w:color w:val="auto"/>
          <w:highlight w:val="none"/>
        </w:rPr>
        <w:t>土壤环境质量现状监测结果见下表。</w:t>
      </w:r>
    </w:p>
    <w:p>
      <w:pPr>
        <w:pageBreakBefore w:val="0"/>
        <w:widowControl w:val="0"/>
        <w:kinsoku/>
        <w:wordWrap/>
        <w:overflowPunct/>
        <w:topLinePunct/>
        <w:autoSpaceDE w:val="0"/>
        <w:autoSpaceDN/>
        <w:bidi w:val="0"/>
        <w:adjustRightInd/>
        <w:snapToGrid/>
        <w:jc w:val="center"/>
        <w:textAlignment w:val="auto"/>
        <w:rPr>
          <w:rFonts w:hint="default" w:ascii="Arial" w:hAnsi="Arial" w:eastAsia="宋体" w:cs="Arial"/>
          <w:b/>
          <w:bCs/>
          <w:color w:val="auto"/>
          <w:highlight w:val="none"/>
        </w:rPr>
      </w:pPr>
    </w:p>
    <w:p>
      <w:pPr>
        <w:pageBreakBefore w:val="0"/>
        <w:widowControl w:val="0"/>
        <w:kinsoku/>
        <w:wordWrap/>
        <w:overflowPunct/>
        <w:topLinePunct/>
        <w:autoSpaceDE w:val="0"/>
        <w:autoSpaceDN/>
        <w:bidi w:val="0"/>
        <w:adjustRightInd/>
        <w:snapToGrid/>
        <w:jc w:val="center"/>
        <w:textAlignment w:val="auto"/>
        <w:rPr>
          <w:rFonts w:hint="default" w:ascii="Arial" w:hAnsi="Arial" w:eastAsia="宋体" w:cs="Arial"/>
          <w:b/>
          <w:bCs/>
          <w:color w:val="auto"/>
          <w:highlight w:val="none"/>
        </w:rPr>
      </w:pPr>
      <w:r>
        <w:rPr>
          <w:rFonts w:hint="default" w:ascii="Arial" w:hAnsi="Arial" w:eastAsia="宋体" w:cs="Arial"/>
          <w:b/>
          <w:bCs/>
          <w:color w:val="auto"/>
          <w:highlight w:val="none"/>
        </w:rPr>
        <w:t>表4.2-1</w:t>
      </w:r>
      <w:r>
        <w:rPr>
          <w:rFonts w:hint="default" w:ascii="Arial" w:hAnsi="Arial" w:eastAsia="宋体" w:cs="Arial"/>
          <w:b/>
          <w:bCs/>
          <w:color w:val="auto"/>
          <w:highlight w:val="none"/>
          <w:lang w:val="en-US" w:eastAsia="zh-CN"/>
        </w:rPr>
        <w:t>4</w:t>
      </w:r>
      <w:r>
        <w:rPr>
          <w:rFonts w:hint="default" w:ascii="Arial" w:hAnsi="Arial" w:eastAsia="宋体" w:cs="Arial"/>
          <w:b/>
          <w:bCs/>
          <w:color w:val="auto"/>
          <w:highlight w:val="none"/>
        </w:rPr>
        <w:t xml:space="preserve">    项目用地范围内土壤检测结果表（单位：mg/kg）</w:t>
      </w:r>
    </w:p>
    <w:tbl>
      <w:tblPr>
        <w:tblStyle w:val="39"/>
        <w:tblW w:w="9008" w:type="dxa"/>
        <w:jc w:val="center"/>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Layout w:type="fixed"/>
        <w:tblCellMar>
          <w:top w:w="0" w:type="dxa"/>
          <w:left w:w="0" w:type="dxa"/>
          <w:bottom w:w="0" w:type="dxa"/>
          <w:right w:w="0" w:type="dxa"/>
        </w:tblCellMar>
      </w:tblPr>
      <w:tblGrid>
        <w:gridCol w:w="1272"/>
        <w:gridCol w:w="1276"/>
        <w:gridCol w:w="1276"/>
        <w:gridCol w:w="1276"/>
        <w:gridCol w:w="1282"/>
        <w:gridCol w:w="1349"/>
        <w:gridCol w:w="1277"/>
      </w:tblGrid>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tblHeader/>
          <w:jc w:val="center"/>
        </w:trPr>
        <w:tc>
          <w:tcPr>
            <w:tcW w:w="1272" w:type="dxa"/>
            <w:vMerge w:val="restart"/>
            <w:vAlign w:val="center"/>
          </w:tcPr>
          <w:p>
            <w:pPr>
              <w:pStyle w:val="63"/>
              <w:keepNext w:val="0"/>
              <w:keepLines w:val="0"/>
              <w:pageBreakBefore w:val="0"/>
              <w:widowControl w:val="0"/>
              <w:kinsoku/>
              <w:wordWrap/>
              <w:overflowPunct/>
              <w:topLinePunct/>
              <w:autoSpaceDE w:val="0"/>
              <w:autoSpaceDN/>
              <w:bidi w:val="0"/>
              <w:adjustRightInd/>
              <w:snapToGrid/>
              <w:spacing w:line="360" w:lineRule="exact"/>
              <w:jc w:val="center"/>
              <w:rPr>
                <w:rFonts w:hint="default" w:ascii="Arial" w:hAnsi="Arial" w:eastAsia="宋体" w:cs="Arial"/>
                <w:color w:val="auto"/>
                <w:sz w:val="21"/>
                <w:szCs w:val="21"/>
                <w:highlight w:val="none"/>
                <w:lang w:bidi="ar"/>
              </w:rPr>
            </w:pPr>
            <w:r>
              <w:rPr>
                <w:rFonts w:hint="default" w:ascii="Arial" w:hAnsi="Arial" w:eastAsia="宋体" w:cs="Arial"/>
                <w:color w:val="auto"/>
                <w:sz w:val="21"/>
                <w:szCs w:val="21"/>
                <w:highlight w:val="none"/>
                <w:lang w:bidi="ar"/>
              </w:rPr>
              <w:t>序号</w:t>
            </w:r>
          </w:p>
        </w:tc>
        <w:tc>
          <w:tcPr>
            <w:tcW w:w="1276" w:type="dxa"/>
            <w:vMerge w:val="restart"/>
            <w:vAlign w:val="center"/>
          </w:tcPr>
          <w:p>
            <w:pPr>
              <w:pStyle w:val="63"/>
              <w:keepNext w:val="0"/>
              <w:keepLines w:val="0"/>
              <w:pageBreakBefore w:val="0"/>
              <w:widowControl w:val="0"/>
              <w:kinsoku/>
              <w:wordWrap/>
              <w:overflowPunct/>
              <w:topLinePunct/>
              <w:autoSpaceDE w:val="0"/>
              <w:autoSpaceDN/>
              <w:bidi w:val="0"/>
              <w:adjustRightInd/>
              <w:snapToGrid/>
              <w:spacing w:line="360" w:lineRule="exact"/>
              <w:jc w:val="center"/>
              <w:rPr>
                <w:rFonts w:hint="default" w:ascii="Arial" w:hAnsi="Arial" w:eastAsia="宋体" w:cs="Arial"/>
                <w:color w:val="auto"/>
                <w:sz w:val="21"/>
                <w:szCs w:val="21"/>
                <w:highlight w:val="none"/>
                <w:lang w:bidi="ar"/>
              </w:rPr>
            </w:pPr>
            <w:r>
              <w:rPr>
                <w:rFonts w:hint="default" w:ascii="Arial" w:hAnsi="Arial" w:eastAsia="宋体" w:cs="Arial"/>
                <w:color w:val="auto"/>
                <w:sz w:val="21"/>
                <w:szCs w:val="21"/>
                <w:highlight w:val="none"/>
                <w:lang w:bidi="ar"/>
              </w:rPr>
              <w:t>监测因子</w:t>
            </w:r>
          </w:p>
        </w:tc>
        <w:tc>
          <w:tcPr>
            <w:tcW w:w="3834" w:type="dxa"/>
            <w:gridSpan w:val="3"/>
          </w:tcPr>
          <w:p>
            <w:pPr>
              <w:pStyle w:val="63"/>
              <w:keepNext w:val="0"/>
              <w:keepLines w:val="0"/>
              <w:pageBreakBefore w:val="0"/>
              <w:widowControl w:val="0"/>
              <w:kinsoku/>
              <w:wordWrap/>
              <w:overflowPunct/>
              <w:topLinePunct/>
              <w:autoSpaceDE w:val="0"/>
              <w:autoSpaceDN/>
              <w:bidi w:val="0"/>
              <w:adjustRightInd/>
              <w:snapToGrid/>
              <w:spacing w:line="360" w:lineRule="exact"/>
              <w:jc w:val="center"/>
              <w:rPr>
                <w:rFonts w:hint="default" w:ascii="Arial" w:hAnsi="Arial" w:eastAsia="宋体" w:cs="Arial"/>
                <w:color w:val="auto"/>
                <w:sz w:val="21"/>
                <w:szCs w:val="21"/>
                <w:highlight w:val="none"/>
                <w:lang w:bidi="ar"/>
              </w:rPr>
            </w:pPr>
            <w:r>
              <w:rPr>
                <w:rFonts w:hint="default" w:ascii="Arial" w:hAnsi="Arial" w:eastAsia="宋体" w:cs="Arial"/>
                <w:color w:val="auto"/>
                <w:sz w:val="21"/>
                <w:szCs w:val="21"/>
                <w:highlight w:val="none"/>
                <w:lang w:bidi="ar"/>
              </w:rPr>
              <w:t>监测点位</w:t>
            </w:r>
          </w:p>
        </w:tc>
        <w:tc>
          <w:tcPr>
            <w:tcW w:w="1349" w:type="dxa"/>
            <w:vMerge w:val="restart"/>
            <w:vAlign w:val="center"/>
          </w:tcPr>
          <w:p>
            <w:pPr>
              <w:pStyle w:val="63"/>
              <w:keepNext w:val="0"/>
              <w:keepLines w:val="0"/>
              <w:pageBreakBefore w:val="0"/>
              <w:widowControl w:val="0"/>
              <w:kinsoku/>
              <w:wordWrap/>
              <w:overflowPunct/>
              <w:topLinePunct/>
              <w:autoSpaceDE w:val="0"/>
              <w:autoSpaceDN/>
              <w:bidi w:val="0"/>
              <w:adjustRightInd/>
              <w:snapToGrid/>
              <w:spacing w:line="360" w:lineRule="exact"/>
              <w:jc w:val="center"/>
              <w:rPr>
                <w:rFonts w:hint="default" w:ascii="Arial" w:hAnsi="Arial" w:eastAsia="宋体" w:cs="Arial"/>
                <w:color w:val="auto"/>
                <w:sz w:val="21"/>
                <w:szCs w:val="21"/>
                <w:highlight w:val="none"/>
                <w:lang w:bidi="ar"/>
              </w:rPr>
            </w:pPr>
            <w:r>
              <w:rPr>
                <w:rFonts w:hint="default" w:ascii="Arial" w:hAnsi="Arial" w:eastAsia="宋体" w:cs="Arial"/>
                <w:color w:val="auto"/>
                <w:sz w:val="21"/>
                <w:szCs w:val="21"/>
              </w:rPr>
              <w:t>GB15618-20</w:t>
            </w:r>
            <w:r>
              <w:rPr>
                <w:rFonts w:hint="default" w:ascii="Arial" w:hAnsi="Arial" w:eastAsia="宋体" w:cs="Arial"/>
                <w:color w:val="auto"/>
                <w:sz w:val="21"/>
                <w:szCs w:val="21"/>
                <w:highlight w:val="none"/>
                <w:lang w:bidi="ar"/>
              </w:rPr>
              <w:t>18</w:t>
            </w:r>
          </w:p>
        </w:tc>
        <w:tc>
          <w:tcPr>
            <w:tcW w:w="1277" w:type="dxa"/>
            <w:vMerge w:val="restart"/>
            <w:vAlign w:val="center"/>
          </w:tcPr>
          <w:p>
            <w:pPr>
              <w:pStyle w:val="63"/>
              <w:keepNext w:val="0"/>
              <w:keepLines w:val="0"/>
              <w:pageBreakBefore w:val="0"/>
              <w:widowControl w:val="0"/>
              <w:kinsoku/>
              <w:wordWrap/>
              <w:overflowPunct/>
              <w:topLinePunct/>
              <w:autoSpaceDE w:val="0"/>
              <w:autoSpaceDN/>
              <w:bidi w:val="0"/>
              <w:adjustRightInd/>
              <w:snapToGrid/>
              <w:spacing w:line="360" w:lineRule="exact"/>
              <w:jc w:val="center"/>
              <w:rPr>
                <w:rFonts w:hint="default" w:ascii="Arial" w:hAnsi="Arial" w:eastAsia="宋体" w:cs="Arial"/>
                <w:color w:val="auto"/>
                <w:sz w:val="21"/>
                <w:szCs w:val="21"/>
                <w:highlight w:val="none"/>
                <w:lang w:bidi="ar"/>
              </w:rPr>
            </w:pPr>
            <w:r>
              <w:rPr>
                <w:rFonts w:hint="default" w:ascii="Arial" w:hAnsi="Arial" w:eastAsia="宋体" w:cs="Arial"/>
                <w:color w:val="auto"/>
                <w:sz w:val="21"/>
                <w:szCs w:val="21"/>
                <w:highlight w:val="none"/>
                <w:lang w:bidi="ar"/>
              </w:rPr>
              <w:t>是否达标</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tblHeader/>
          <w:jc w:val="center"/>
        </w:trPr>
        <w:tc>
          <w:tcPr>
            <w:tcW w:w="1272" w:type="dxa"/>
            <w:vMerge w:val="continue"/>
            <w:vAlign w:val="center"/>
          </w:tcPr>
          <w:p>
            <w:pPr>
              <w:pStyle w:val="63"/>
              <w:keepNext w:val="0"/>
              <w:keepLines w:val="0"/>
              <w:pageBreakBefore w:val="0"/>
              <w:widowControl w:val="0"/>
              <w:kinsoku/>
              <w:wordWrap/>
              <w:overflowPunct/>
              <w:topLinePunct/>
              <w:autoSpaceDE w:val="0"/>
              <w:autoSpaceDN/>
              <w:bidi w:val="0"/>
              <w:adjustRightInd/>
              <w:snapToGrid/>
              <w:spacing w:line="360" w:lineRule="exact"/>
              <w:jc w:val="center"/>
              <w:rPr>
                <w:rFonts w:hint="default" w:ascii="Arial" w:hAnsi="Arial" w:eastAsia="宋体" w:cs="Arial"/>
                <w:color w:val="auto"/>
                <w:sz w:val="21"/>
                <w:szCs w:val="21"/>
                <w:highlight w:val="none"/>
                <w:lang w:bidi="ar"/>
              </w:rPr>
            </w:pPr>
          </w:p>
        </w:tc>
        <w:tc>
          <w:tcPr>
            <w:tcW w:w="1276" w:type="dxa"/>
            <w:vMerge w:val="continue"/>
            <w:vAlign w:val="center"/>
          </w:tcPr>
          <w:p>
            <w:pPr>
              <w:pStyle w:val="63"/>
              <w:keepNext w:val="0"/>
              <w:keepLines w:val="0"/>
              <w:pageBreakBefore w:val="0"/>
              <w:widowControl w:val="0"/>
              <w:kinsoku/>
              <w:wordWrap/>
              <w:overflowPunct/>
              <w:topLinePunct/>
              <w:autoSpaceDE w:val="0"/>
              <w:autoSpaceDN/>
              <w:bidi w:val="0"/>
              <w:adjustRightInd/>
              <w:snapToGrid/>
              <w:spacing w:line="360" w:lineRule="exact"/>
              <w:jc w:val="center"/>
              <w:rPr>
                <w:rFonts w:hint="default" w:ascii="Arial" w:hAnsi="Arial" w:eastAsia="宋体" w:cs="Arial"/>
                <w:color w:val="auto"/>
                <w:sz w:val="21"/>
                <w:szCs w:val="21"/>
                <w:highlight w:val="none"/>
                <w:lang w:bidi="ar"/>
              </w:rPr>
            </w:pPr>
          </w:p>
        </w:tc>
        <w:tc>
          <w:tcPr>
            <w:tcW w:w="1276"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jc w:val="center"/>
              <w:rPr>
                <w:rFonts w:hint="default" w:ascii="Arial" w:hAnsi="Arial" w:eastAsia="宋体" w:cs="Arial"/>
                <w:color w:val="auto"/>
                <w:sz w:val="21"/>
                <w:szCs w:val="21"/>
                <w:highlight w:val="none"/>
                <w:lang w:bidi="ar"/>
              </w:rPr>
            </w:pPr>
            <w:r>
              <w:rPr>
                <w:rFonts w:hint="default" w:ascii="Arial" w:hAnsi="Arial" w:eastAsia="宋体" w:cs="Arial"/>
                <w:color w:val="auto"/>
                <w:sz w:val="21"/>
                <w:szCs w:val="21"/>
                <w:highlight w:val="none"/>
                <w:lang w:bidi="ar"/>
              </w:rPr>
              <w:t>T</w:t>
            </w:r>
            <w:r>
              <w:rPr>
                <w:rFonts w:hint="default" w:ascii="Arial" w:hAnsi="Arial" w:eastAsia="宋体" w:cs="Arial"/>
                <w:color w:val="auto"/>
                <w:sz w:val="21"/>
                <w:szCs w:val="21"/>
                <w:highlight w:val="none"/>
                <w:lang w:val="en-US" w:eastAsia="zh-CN" w:bidi="ar"/>
              </w:rPr>
              <w:t>1</w:t>
            </w:r>
            <w:r>
              <w:rPr>
                <w:rFonts w:hint="default" w:ascii="Arial" w:hAnsi="Arial" w:eastAsia="宋体" w:cs="Arial"/>
                <w:color w:val="auto"/>
                <w:sz w:val="21"/>
                <w:szCs w:val="21"/>
                <w:highlight w:val="none"/>
                <w:lang w:bidi="ar"/>
              </w:rPr>
              <w:t>表层样</w:t>
            </w:r>
          </w:p>
        </w:tc>
        <w:tc>
          <w:tcPr>
            <w:tcW w:w="1276"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jc w:val="center"/>
              <w:rPr>
                <w:rFonts w:hint="default" w:ascii="Arial" w:hAnsi="Arial" w:eastAsia="宋体" w:cs="Arial"/>
                <w:color w:val="auto"/>
                <w:sz w:val="21"/>
                <w:szCs w:val="21"/>
                <w:highlight w:val="none"/>
                <w:lang w:bidi="ar"/>
              </w:rPr>
            </w:pPr>
            <w:r>
              <w:rPr>
                <w:rFonts w:hint="default" w:ascii="Arial" w:hAnsi="Arial" w:eastAsia="宋体" w:cs="Arial"/>
                <w:color w:val="auto"/>
                <w:sz w:val="21"/>
                <w:szCs w:val="21"/>
                <w:highlight w:val="none"/>
                <w:lang w:bidi="ar"/>
              </w:rPr>
              <w:t>T</w:t>
            </w:r>
            <w:r>
              <w:rPr>
                <w:rFonts w:hint="default" w:ascii="Arial" w:hAnsi="Arial" w:eastAsia="宋体" w:cs="Arial"/>
                <w:color w:val="auto"/>
                <w:sz w:val="21"/>
                <w:szCs w:val="21"/>
                <w:highlight w:val="none"/>
                <w:lang w:val="en-US" w:eastAsia="zh-CN" w:bidi="ar"/>
              </w:rPr>
              <w:t>2</w:t>
            </w:r>
            <w:r>
              <w:rPr>
                <w:rFonts w:hint="default" w:ascii="Arial" w:hAnsi="Arial" w:eastAsia="宋体" w:cs="Arial"/>
                <w:color w:val="auto"/>
                <w:sz w:val="21"/>
                <w:szCs w:val="21"/>
                <w:highlight w:val="none"/>
                <w:lang w:bidi="ar"/>
              </w:rPr>
              <w:t>表层样</w:t>
            </w:r>
          </w:p>
        </w:tc>
        <w:tc>
          <w:tcPr>
            <w:tcW w:w="1282"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jc w:val="center"/>
              <w:rPr>
                <w:rFonts w:hint="default" w:ascii="Arial" w:hAnsi="Arial" w:eastAsia="宋体" w:cs="Arial"/>
                <w:color w:val="auto"/>
                <w:sz w:val="21"/>
                <w:szCs w:val="21"/>
                <w:highlight w:val="none"/>
                <w:lang w:bidi="ar"/>
              </w:rPr>
            </w:pPr>
            <w:r>
              <w:rPr>
                <w:rFonts w:hint="default" w:ascii="Arial" w:hAnsi="Arial" w:eastAsia="宋体" w:cs="Arial"/>
                <w:color w:val="auto"/>
                <w:sz w:val="21"/>
                <w:szCs w:val="21"/>
                <w:highlight w:val="none"/>
                <w:lang w:bidi="ar"/>
              </w:rPr>
              <w:t>T</w:t>
            </w:r>
            <w:r>
              <w:rPr>
                <w:rFonts w:hint="default" w:ascii="Arial" w:hAnsi="Arial" w:eastAsia="宋体" w:cs="Arial"/>
                <w:color w:val="auto"/>
                <w:sz w:val="21"/>
                <w:szCs w:val="21"/>
                <w:highlight w:val="none"/>
                <w:lang w:val="en-US" w:eastAsia="zh-CN" w:bidi="ar"/>
              </w:rPr>
              <w:t>3</w:t>
            </w:r>
            <w:r>
              <w:rPr>
                <w:rFonts w:hint="default" w:ascii="Arial" w:hAnsi="Arial" w:eastAsia="宋体" w:cs="Arial"/>
                <w:color w:val="auto"/>
                <w:sz w:val="21"/>
                <w:szCs w:val="21"/>
                <w:highlight w:val="none"/>
                <w:lang w:bidi="ar"/>
              </w:rPr>
              <w:t>表层样</w:t>
            </w:r>
          </w:p>
        </w:tc>
        <w:tc>
          <w:tcPr>
            <w:tcW w:w="1349" w:type="dxa"/>
            <w:vMerge w:val="continue"/>
            <w:vAlign w:val="center"/>
          </w:tcPr>
          <w:p>
            <w:pPr>
              <w:pStyle w:val="63"/>
              <w:keepNext w:val="0"/>
              <w:keepLines w:val="0"/>
              <w:pageBreakBefore w:val="0"/>
              <w:widowControl w:val="0"/>
              <w:kinsoku/>
              <w:wordWrap/>
              <w:overflowPunct/>
              <w:topLinePunct/>
              <w:autoSpaceDE w:val="0"/>
              <w:autoSpaceDN/>
              <w:bidi w:val="0"/>
              <w:adjustRightInd/>
              <w:snapToGrid/>
              <w:spacing w:line="360" w:lineRule="exact"/>
              <w:jc w:val="center"/>
              <w:rPr>
                <w:rFonts w:hint="default" w:ascii="Arial" w:hAnsi="Arial" w:eastAsia="宋体" w:cs="Arial"/>
                <w:color w:val="auto"/>
                <w:sz w:val="21"/>
                <w:szCs w:val="21"/>
                <w:highlight w:val="none"/>
                <w:lang w:bidi="ar"/>
              </w:rPr>
            </w:pPr>
          </w:p>
        </w:tc>
        <w:tc>
          <w:tcPr>
            <w:tcW w:w="1277" w:type="dxa"/>
            <w:vMerge w:val="continue"/>
            <w:vAlign w:val="center"/>
          </w:tcPr>
          <w:p>
            <w:pPr>
              <w:pStyle w:val="63"/>
              <w:keepNext w:val="0"/>
              <w:keepLines w:val="0"/>
              <w:pageBreakBefore w:val="0"/>
              <w:widowControl w:val="0"/>
              <w:kinsoku/>
              <w:wordWrap/>
              <w:overflowPunct/>
              <w:topLinePunct/>
              <w:autoSpaceDE w:val="0"/>
              <w:autoSpaceDN/>
              <w:bidi w:val="0"/>
              <w:adjustRightInd/>
              <w:snapToGrid/>
              <w:spacing w:line="360" w:lineRule="exact"/>
              <w:jc w:val="center"/>
              <w:rPr>
                <w:rFonts w:hint="default" w:ascii="Arial" w:hAnsi="Arial" w:eastAsia="宋体" w:cs="Arial"/>
                <w:color w:val="auto"/>
                <w:sz w:val="21"/>
                <w:szCs w:val="21"/>
                <w:highlight w:val="none"/>
                <w:lang w:bidi="ar"/>
              </w:rPr>
            </w:pP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PrEx>
        <w:trPr>
          <w:trHeight w:val="340" w:hRule="atLeast"/>
          <w:jc w:val="center"/>
        </w:trPr>
        <w:tc>
          <w:tcPr>
            <w:tcW w:w="1272" w:type="dxa"/>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1</w:t>
            </w:r>
          </w:p>
        </w:tc>
        <w:tc>
          <w:tcPr>
            <w:tcW w:w="1276" w:type="dxa"/>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pH</w:t>
            </w:r>
          </w:p>
        </w:tc>
        <w:tc>
          <w:tcPr>
            <w:tcW w:w="1276" w:type="dxa"/>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7.23</w:t>
            </w:r>
          </w:p>
        </w:tc>
        <w:tc>
          <w:tcPr>
            <w:tcW w:w="1276" w:type="dxa"/>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7.58</w:t>
            </w:r>
          </w:p>
        </w:tc>
        <w:tc>
          <w:tcPr>
            <w:tcW w:w="1282" w:type="dxa"/>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7.74</w:t>
            </w:r>
          </w:p>
        </w:tc>
        <w:tc>
          <w:tcPr>
            <w:tcW w:w="1349" w:type="dxa"/>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eastAsia="zh-CN"/>
              </w:rPr>
              <w:t>—</w:t>
            </w:r>
          </w:p>
        </w:tc>
        <w:tc>
          <w:tcPr>
            <w:tcW w:w="1277"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达标</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PrEx>
        <w:trPr>
          <w:trHeight w:val="340" w:hRule="atLeast"/>
          <w:jc w:val="center"/>
        </w:trPr>
        <w:tc>
          <w:tcPr>
            <w:tcW w:w="1272" w:type="dxa"/>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2</w:t>
            </w:r>
          </w:p>
        </w:tc>
        <w:tc>
          <w:tcPr>
            <w:tcW w:w="1276" w:type="dxa"/>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总砷</w:t>
            </w:r>
          </w:p>
        </w:tc>
        <w:tc>
          <w:tcPr>
            <w:tcW w:w="1276" w:type="dxa"/>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1</w:t>
            </w:r>
            <w:r>
              <w:rPr>
                <w:rFonts w:hint="default" w:ascii="Arial" w:hAnsi="Arial" w:eastAsia="宋体" w:cs="Arial"/>
                <w:color w:val="auto"/>
                <w:sz w:val="21"/>
                <w:szCs w:val="21"/>
                <w:lang w:val="en-US" w:eastAsia="zh-CN"/>
              </w:rPr>
              <w:t>1.3</w:t>
            </w:r>
          </w:p>
        </w:tc>
        <w:tc>
          <w:tcPr>
            <w:tcW w:w="1276" w:type="dxa"/>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8.54</w:t>
            </w:r>
          </w:p>
        </w:tc>
        <w:tc>
          <w:tcPr>
            <w:tcW w:w="1282" w:type="dxa"/>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7.69</w:t>
            </w:r>
          </w:p>
        </w:tc>
        <w:tc>
          <w:tcPr>
            <w:tcW w:w="1349" w:type="dxa"/>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25</w:t>
            </w:r>
          </w:p>
        </w:tc>
        <w:tc>
          <w:tcPr>
            <w:tcW w:w="1277"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达标</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PrEx>
        <w:trPr>
          <w:trHeight w:val="340" w:hRule="atLeast"/>
          <w:jc w:val="center"/>
        </w:trPr>
        <w:tc>
          <w:tcPr>
            <w:tcW w:w="1272" w:type="dxa"/>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3</w:t>
            </w:r>
          </w:p>
        </w:tc>
        <w:tc>
          <w:tcPr>
            <w:tcW w:w="1276" w:type="dxa"/>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镉</w:t>
            </w:r>
          </w:p>
        </w:tc>
        <w:tc>
          <w:tcPr>
            <w:tcW w:w="1276" w:type="dxa"/>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0.0</w:t>
            </w:r>
            <w:r>
              <w:rPr>
                <w:rFonts w:hint="default" w:ascii="Arial" w:hAnsi="Arial" w:eastAsia="宋体" w:cs="Arial"/>
                <w:color w:val="auto"/>
                <w:sz w:val="21"/>
                <w:szCs w:val="21"/>
                <w:lang w:val="en-US" w:eastAsia="zh-CN"/>
              </w:rPr>
              <w:t>5</w:t>
            </w:r>
          </w:p>
        </w:tc>
        <w:tc>
          <w:tcPr>
            <w:tcW w:w="1276" w:type="dxa"/>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0.</w:t>
            </w:r>
            <w:r>
              <w:rPr>
                <w:rFonts w:hint="default" w:ascii="Arial" w:hAnsi="Arial" w:eastAsia="宋体" w:cs="Arial"/>
                <w:color w:val="auto"/>
                <w:sz w:val="21"/>
                <w:szCs w:val="21"/>
                <w:lang w:val="en-US" w:eastAsia="zh-CN"/>
              </w:rPr>
              <w:t>14</w:t>
            </w:r>
          </w:p>
        </w:tc>
        <w:tc>
          <w:tcPr>
            <w:tcW w:w="1282" w:type="dxa"/>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0.</w:t>
            </w:r>
            <w:r>
              <w:rPr>
                <w:rFonts w:hint="default" w:ascii="Arial" w:hAnsi="Arial" w:eastAsia="宋体" w:cs="Arial"/>
                <w:color w:val="auto"/>
                <w:sz w:val="21"/>
                <w:szCs w:val="21"/>
                <w:lang w:val="en-US" w:eastAsia="zh-CN"/>
              </w:rPr>
              <w:t>17</w:t>
            </w:r>
          </w:p>
        </w:tc>
        <w:tc>
          <w:tcPr>
            <w:tcW w:w="1349" w:type="dxa"/>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0.6</w:t>
            </w:r>
          </w:p>
        </w:tc>
        <w:tc>
          <w:tcPr>
            <w:tcW w:w="1277"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达标</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PrEx>
        <w:trPr>
          <w:trHeight w:val="340" w:hRule="atLeast"/>
          <w:jc w:val="center"/>
        </w:trPr>
        <w:tc>
          <w:tcPr>
            <w:tcW w:w="1272" w:type="dxa"/>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4</w:t>
            </w:r>
          </w:p>
        </w:tc>
        <w:tc>
          <w:tcPr>
            <w:tcW w:w="1276" w:type="dxa"/>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铬</w:t>
            </w:r>
          </w:p>
        </w:tc>
        <w:tc>
          <w:tcPr>
            <w:tcW w:w="1276" w:type="dxa"/>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5</w:t>
            </w:r>
            <w:r>
              <w:rPr>
                <w:rFonts w:hint="default" w:ascii="Arial" w:hAnsi="Arial" w:eastAsia="宋体" w:cs="Arial"/>
                <w:color w:val="auto"/>
                <w:sz w:val="21"/>
                <w:szCs w:val="21"/>
                <w:lang w:val="en-US" w:eastAsia="zh-CN"/>
              </w:rPr>
              <w:t>6</w:t>
            </w:r>
          </w:p>
        </w:tc>
        <w:tc>
          <w:tcPr>
            <w:tcW w:w="1276" w:type="dxa"/>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62</w:t>
            </w:r>
          </w:p>
        </w:tc>
        <w:tc>
          <w:tcPr>
            <w:tcW w:w="1282" w:type="dxa"/>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69</w:t>
            </w:r>
          </w:p>
        </w:tc>
        <w:tc>
          <w:tcPr>
            <w:tcW w:w="1349" w:type="dxa"/>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250</w:t>
            </w:r>
          </w:p>
        </w:tc>
        <w:tc>
          <w:tcPr>
            <w:tcW w:w="1277"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达标</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PrEx>
        <w:trPr>
          <w:trHeight w:val="340" w:hRule="atLeast"/>
          <w:jc w:val="center"/>
        </w:trPr>
        <w:tc>
          <w:tcPr>
            <w:tcW w:w="1272" w:type="dxa"/>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5</w:t>
            </w:r>
          </w:p>
        </w:tc>
        <w:tc>
          <w:tcPr>
            <w:tcW w:w="1276" w:type="dxa"/>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铜</w:t>
            </w:r>
          </w:p>
        </w:tc>
        <w:tc>
          <w:tcPr>
            <w:tcW w:w="1276" w:type="dxa"/>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35</w:t>
            </w:r>
          </w:p>
        </w:tc>
        <w:tc>
          <w:tcPr>
            <w:tcW w:w="1276" w:type="dxa"/>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43</w:t>
            </w:r>
          </w:p>
        </w:tc>
        <w:tc>
          <w:tcPr>
            <w:tcW w:w="1282" w:type="dxa"/>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41</w:t>
            </w:r>
          </w:p>
        </w:tc>
        <w:tc>
          <w:tcPr>
            <w:tcW w:w="1349" w:type="dxa"/>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100</w:t>
            </w:r>
          </w:p>
        </w:tc>
        <w:tc>
          <w:tcPr>
            <w:tcW w:w="1277"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达标</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PrEx>
        <w:trPr>
          <w:trHeight w:val="340" w:hRule="atLeast"/>
          <w:jc w:val="center"/>
        </w:trPr>
        <w:tc>
          <w:tcPr>
            <w:tcW w:w="1272" w:type="dxa"/>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6</w:t>
            </w:r>
          </w:p>
        </w:tc>
        <w:tc>
          <w:tcPr>
            <w:tcW w:w="1276" w:type="dxa"/>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铅</w:t>
            </w:r>
          </w:p>
        </w:tc>
        <w:tc>
          <w:tcPr>
            <w:tcW w:w="1276" w:type="dxa"/>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4</w:t>
            </w:r>
            <w:r>
              <w:rPr>
                <w:rFonts w:hint="default" w:ascii="Arial" w:hAnsi="Arial" w:eastAsia="宋体" w:cs="Arial"/>
                <w:color w:val="auto"/>
                <w:sz w:val="21"/>
                <w:szCs w:val="21"/>
                <w:lang w:val="en-US" w:eastAsia="zh-CN"/>
              </w:rPr>
              <w:t>7</w:t>
            </w:r>
          </w:p>
        </w:tc>
        <w:tc>
          <w:tcPr>
            <w:tcW w:w="1276" w:type="dxa"/>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5</w:t>
            </w:r>
            <w:r>
              <w:rPr>
                <w:rFonts w:hint="default" w:ascii="Arial" w:hAnsi="Arial" w:eastAsia="宋体" w:cs="Arial"/>
                <w:color w:val="auto"/>
                <w:sz w:val="21"/>
                <w:szCs w:val="21"/>
                <w:lang w:val="en-US" w:eastAsia="zh-CN"/>
              </w:rPr>
              <w:t>5</w:t>
            </w:r>
          </w:p>
        </w:tc>
        <w:tc>
          <w:tcPr>
            <w:tcW w:w="1282" w:type="dxa"/>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62</w:t>
            </w:r>
          </w:p>
        </w:tc>
        <w:tc>
          <w:tcPr>
            <w:tcW w:w="1349" w:type="dxa"/>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170</w:t>
            </w:r>
          </w:p>
        </w:tc>
        <w:tc>
          <w:tcPr>
            <w:tcW w:w="1277"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达标</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PrEx>
        <w:trPr>
          <w:trHeight w:val="340" w:hRule="atLeast"/>
          <w:jc w:val="center"/>
        </w:trPr>
        <w:tc>
          <w:tcPr>
            <w:tcW w:w="1272" w:type="dxa"/>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7</w:t>
            </w:r>
          </w:p>
        </w:tc>
        <w:tc>
          <w:tcPr>
            <w:tcW w:w="1276" w:type="dxa"/>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总汞</w:t>
            </w:r>
          </w:p>
        </w:tc>
        <w:tc>
          <w:tcPr>
            <w:tcW w:w="1276" w:type="dxa"/>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0.0</w:t>
            </w:r>
            <w:r>
              <w:rPr>
                <w:rFonts w:hint="default" w:ascii="Arial" w:hAnsi="Arial" w:eastAsia="宋体" w:cs="Arial"/>
                <w:color w:val="auto"/>
                <w:sz w:val="21"/>
                <w:szCs w:val="21"/>
                <w:lang w:val="en-US" w:eastAsia="zh-CN"/>
              </w:rPr>
              <w:t>5</w:t>
            </w:r>
            <w:r>
              <w:rPr>
                <w:rFonts w:hint="default" w:ascii="Arial" w:hAnsi="Arial" w:eastAsia="宋体" w:cs="Arial"/>
                <w:color w:val="auto"/>
                <w:sz w:val="21"/>
                <w:szCs w:val="21"/>
              </w:rPr>
              <w:t>3</w:t>
            </w:r>
          </w:p>
        </w:tc>
        <w:tc>
          <w:tcPr>
            <w:tcW w:w="1276" w:type="dxa"/>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0.0</w:t>
            </w:r>
            <w:r>
              <w:rPr>
                <w:rFonts w:hint="default" w:ascii="Arial" w:hAnsi="Arial" w:eastAsia="宋体" w:cs="Arial"/>
                <w:color w:val="auto"/>
                <w:sz w:val="21"/>
                <w:szCs w:val="21"/>
                <w:lang w:val="en-US" w:eastAsia="zh-CN"/>
              </w:rPr>
              <w:t>3</w:t>
            </w:r>
            <w:r>
              <w:rPr>
                <w:rFonts w:hint="default" w:ascii="Arial" w:hAnsi="Arial" w:eastAsia="宋体" w:cs="Arial"/>
                <w:color w:val="auto"/>
                <w:sz w:val="21"/>
                <w:szCs w:val="21"/>
              </w:rPr>
              <w:t>5</w:t>
            </w:r>
          </w:p>
        </w:tc>
        <w:tc>
          <w:tcPr>
            <w:tcW w:w="1282" w:type="dxa"/>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0.0</w:t>
            </w:r>
            <w:r>
              <w:rPr>
                <w:rFonts w:hint="default" w:ascii="Arial" w:hAnsi="Arial" w:eastAsia="宋体" w:cs="Arial"/>
                <w:color w:val="auto"/>
                <w:sz w:val="21"/>
                <w:szCs w:val="21"/>
                <w:lang w:val="en-US" w:eastAsia="zh-CN"/>
              </w:rPr>
              <w:t>4</w:t>
            </w:r>
            <w:r>
              <w:rPr>
                <w:rFonts w:hint="default" w:ascii="Arial" w:hAnsi="Arial" w:eastAsia="宋体" w:cs="Arial"/>
                <w:color w:val="auto"/>
                <w:sz w:val="21"/>
                <w:szCs w:val="21"/>
              </w:rPr>
              <w:t>5</w:t>
            </w:r>
          </w:p>
        </w:tc>
        <w:tc>
          <w:tcPr>
            <w:tcW w:w="1349" w:type="dxa"/>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3.4</w:t>
            </w:r>
          </w:p>
        </w:tc>
        <w:tc>
          <w:tcPr>
            <w:tcW w:w="1277"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达标</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PrEx>
        <w:trPr>
          <w:trHeight w:val="340" w:hRule="atLeast"/>
          <w:jc w:val="center"/>
        </w:trPr>
        <w:tc>
          <w:tcPr>
            <w:tcW w:w="1272" w:type="dxa"/>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8</w:t>
            </w:r>
          </w:p>
        </w:tc>
        <w:tc>
          <w:tcPr>
            <w:tcW w:w="1276" w:type="dxa"/>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镍</w:t>
            </w:r>
          </w:p>
        </w:tc>
        <w:tc>
          <w:tcPr>
            <w:tcW w:w="1276" w:type="dxa"/>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32</w:t>
            </w:r>
          </w:p>
        </w:tc>
        <w:tc>
          <w:tcPr>
            <w:tcW w:w="1276" w:type="dxa"/>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39</w:t>
            </w:r>
          </w:p>
        </w:tc>
        <w:tc>
          <w:tcPr>
            <w:tcW w:w="1282" w:type="dxa"/>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44</w:t>
            </w:r>
          </w:p>
        </w:tc>
        <w:tc>
          <w:tcPr>
            <w:tcW w:w="1349" w:type="dxa"/>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190</w:t>
            </w:r>
          </w:p>
        </w:tc>
        <w:tc>
          <w:tcPr>
            <w:tcW w:w="1277" w:type="dxa"/>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达标</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PrEx>
        <w:trPr>
          <w:trHeight w:val="340" w:hRule="atLeast"/>
          <w:jc w:val="center"/>
        </w:trPr>
        <w:tc>
          <w:tcPr>
            <w:tcW w:w="0" w:type="auto"/>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kern w:val="2"/>
                <w:sz w:val="21"/>
                <w:szCs w:val="21"/>
                <w:lang w:val="en-US" w:eastAsia="zh-CN" w:bidi="ar-SA"/>
              </w:rPr>
              <w:t>9</w:t>
            </w:r>
          </w:p>
        </w:tc>
        <w:tc>
          <w:tcPr>
            <w:tcW w:w="0" w:type="auto"/>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锌</w:t>
            </w:r>
          </w:p>
        </w:tc>
        <w:tc>
          <w:tcPr>
            <w:tcW w:w="0" w:type="auto"/>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83</w:t>
            </w:r>
          </w:p>
        </w:tc>
        <w:tc>
          <w:tcPr>
            <w:tcW w:w="0" w:type="auto"/>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76</w:t>
            </w:r>
          </w:p>
        </w:tc>
        <w:tc>
          <w:tcPr>
            <w:tcW w:w="0" w:type="auto"/>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68</w:t>
            </w:r>
          </w:p>
        </w:tc>
        <w:tc>
          <w:tcPr>
            <w:tcW w:w="0" w:type="auto"/>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300</w:t>
            </w:r>
          </w:p>
        </w:tc>
        <w:tc>
          <w:tcPr>
            <w:tcW w:w="0" w:type="auto"/>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达标</w:t>
            </w:r>
          </w:p>
        </w:tc>
      </w:tr>
    </w:tbl>
    <w:p>
      <w:pPr>
        <w:pStyle w:val="7"/>
        <w:rPr>
          <w:rFonts w:hint="default" w:ascii="Arial" w:hAnsi="Arial" w:eastAsia="宋体" w:cs="Arial"/>
          <w:color w:val="auto"/>
          <w:highlight w:val="none"/>
        </w:rPr>
      </w:pPr>
      <w:r>
        <w:rPr>
          <w:rFonts w:hint="default" w:ascii="Arial" w:hAnsi="Arial" w:eastAsia="宋体" w:cs="Arial"/>
          <w:color w:val="auto"/>
          <w:highlight w:val="none"/>
        </w:rPr>
        <w:t>4.2.3.</w:t>
      </w:r>
      <w:r>
        <w:rPr>
          <w:rFonts w:hint="default" w:ascii="Arial" w:hAnsi="Arial" w:eastAsia="宋体" w:cs="Arial"/>
          <w:color w:val="auto"/>
          <w:highlight w:val="none"/>
          <w:lang w:val="en-US" w:eastAsia="zh-CN"/>
        </w:rPr>
        <w:t>6</w:t>
      </w:r>
      <w:r>
        <w:rPr>
          <w:rFonts w:hint="default" w:ascii="Arial" w:hAnsi="Arial" w:eastAsia="宋体" w:cs="Arial"/>
          <w:color w:val="auto"/>
          <w:highlight w:val="none"/>
        </w:rPr>
        <w:t>评价结果</w:t>
      </w:r>
    </w:p>
    <w:p>
      <w:pPr>
        <w:ind w:firstLine="480"/>
        <w:rPr>
          <w:rFonts w:hint="default" w:ascii="Arial" w:hAnsi="Arial" w:eastAsia="宋体" w:cs="Arial"/>
          <w:color w:val="auto"/>
          <w:highlight w:val="none"/>
        </w:rPr>
      </w:pPr>
      <w:r>
        <w:rPr>
          <w:rFonts w:hint="default" w:ascii="Arial" w:hAnsi="Arial" w:eastAsia="宋体" w:cs="Arial"/>
          <w:color w:val="auto"/>
          <w:highlight w:val="none"/>
        </w:rPr>
        <w:t>从土壤环境监测和分析结果来看，项目用地范围内各监测点位监测值均满足</w:t>
      </w:r>
      <w:r>
        <w:rPr>
          <w:rFonts w:hint="default" w:ascii="Arial" w:hAnsi="Arial" w:eastAsia="宋体" w:cs="Arial"/>
          <w:color w:val="auto"/>
          <w:highlight w:val="none"/>
          <w:lang w:eastAsia="zh-CN"/>
        </w:rPr>
        <w:t>《土壤环境质量 农用地土壤污染风险管控标准（试行）》（GB 15618-2018）表1农用地土壤污染风险筛选值（基本项目）--“其他”标准</w:t>
      </w:r>
      <w:r>
        <w:rPr>
          <w:rFonts w:hint="default" w:ascii="Arial" w:hAnsi="Arial" w:eastAsia="宋体" w:cs="Arial"/>
          <w:color w:val="auto"/>
          <w:highlight w:val="none"/>
        </w:rPr>
        <w:t>，项目所在地土壤环境质量良好。</w:t>
      </w:r>
    </w:p>
    <w:p>
      <w:pPr>
        <w:pStyle w:val="6"/>
        <w:rPr>
          <w:rFonts w:hint="default" w:ascii="Arial" w:hAnsi="Arial" w:eastAsia="宋体" w:cs="Arial"/>
          <w:color w:val="auto"/>
          <w:highlight w:val="none"/>
        </w:rPr>
      </w:pPr>
      <w:bookmarkStart w:id="318" w:name="_Toc29182"/>
      <w:r>
        <w:rPr>
          <w:rFonts w:hint="default" w:ascii="Arial" w:hAnsi="Arial" w:eastAsia="宋体" w:cs="Arial"/>
          <w:color w:val="auto"/>
          <w:highlight w:val="none"/>
        </w:rPr>
        <w:t>4.2.4声环境质量现状调查与评价</w:t>
      </w:r>
      <w:bookmarkEnd w:id="316"/>
      <w:bookmarkEnd w:id="317"/>
      <w:bookmarkEnd w:id="318"/>
    </w:p>
    <w:p>
      <w:pPr>
        <w:ind w:firstLine="480"/>
        <w:rPr>
          <w:rFonts w:hint="default" w:ascii="Arial" w:hAnsi="Arial" w:eastAsia="宋体" w:cs="Arial"/>
          <w:color w:val="auto"/>
          <w:highlight w:val="none"/>
        </w:rPr>
      </w:pPr>
      <w:r>
        <w:rPr>
          <w:rFonts w:hint="default" w:ascii="Arial" w:hAnsi="Arial" w:eastAsia="宋体" w:cs="Arial"/>
          <w:color w:val="auto"/>
          <w:highlight w:val="none"/>
        </w:rPr>
        <w:t>本次评价对声环境质量现状进行实测，监测单位为内蒙古华智鼎环保科技有限公司，监测时间为202</w:t>
      </w:r>
      <w:r>
        <w:rPr>
          <w:rFonts w:hint="default" w:ascii="Arial" w:hAnsi="Arial" w:eastAsia="宋体" w:cs="Arial"/>
          <w:color w:val="auto"/>
          <w:highlight w:val="none"/>
          <w:lang w:val="en-US" w:eastAsia="zh-CN"/>
        </w:rPr>
        <w:t>2</w:t>
      </w:r>
      <w:r>
        <w:rPr>
          <w:rFonts w:hint="default" w:ascii="Arial" w:hAnsi="Arial" w:eastAsia="宋体" w:cs="Arial"/>
          <w:color w:val="auto"/>
          <w:highlight w:val="none"/>
        </w:rPr>
        <w:t>年</w:t>
      </w:r>
      <w:r>
        <w:rPr>
          <w:rFonts w:hint="default" w:ascii="Arial" w:hAnsi="Arial" w:eastAsia="宋体" w:cs="Arial"/>
          <w:color w:val="auto"/>
          <w:highlight w:val="none"/>
          <w:lang w:val="en-US" w:eastAsia="zh-CN"/>
        </w:rPr>
        <w:t>1</w:t>
      </w:r>
      <w:r>
        <w:rPr>
          <w:rFonts w:hint="default" w:ascii="Arial" w:hAnsi="Arial" w:eastAsia="宋体" w:cs="Arial"/>
          <w:color w:val="auto"/>
          <w:highlight w:val="none"/>
        </w:rPr>
        <w:t>月</w:t>
      </w:r>
      <w:r>
        <w:rPr>
          <w:rFonts w:hint="default" w:ascii="Arial" w:hAnsi="Arial" w:eastAsia="宋体" w:cs="Arial"/>
          <w:color w:val="auto"/>
          <w:highlight w:val="none"/>
          <w:lang w:val="en-US" w:eastAsia="zh-CN"/>
        </w:rPr>
        <w:t>5</w:t>
      </w:r>
      <w:r>
        <w:rPr>
          <w:rFonts w:hint="default" w:ascii="Arial" w:hAnsi="Arial" w:eastAsia="宋体" w:cs="Arial"/>
          <w:color w:val="auto"/>
          <w:highlight w:val="none"/>
        </w:rPr>
        <w:t>日</w:t>
      </w:r>
      <w:r>
        <w:rPr>
          <w:rFonts w:hint="default" w:ascii="Arial" w:hAnsi="Arial" w:eastAsia="宋体" w:cs="Arial"/>
          <w:color w:val="auto"/>
          <w:highlight w:val="none"/>
          <w:lang w:val="en-US" w:eastAsia="zh-CN"/>
        </w:rPr>
        <w:t>~6日</w:t>
      </w:r>
      <w:r>
        <w:rPr>
          <w:rFonts w:hint="default" w:ascii="Arial" w:hAnsi="Arial" w:eastAsia="宋体" w:cs="Arial"/>
          <w:color w:val="auto"/>
          <w:highlight w:val="none"/>
        </w:rPr>
        <w:t>。</w:t>
      </w:r>
    </w:p>
    <w:p>
      <w:pPr>
        <w:pStyle w:val="7"/>
        <w:rPr>
          <w:rFonts w:hint="default" w:ascii="Arial" w:hAnsi="Arial" w:eastAsia="宋体" w:cs="Arial"/>
          <w:color w:val="auto"/>
          <w:highlight w:val="none"/>
        </w:rPr>
      </w:pPr>
      <w:r>
        <w:rPr>
          <w:rFonts w:hint="default" w:ascii="Arial" w:hAnsi="Arial" w:eastAsia="宋体" w:cs="Arial"/>
          <w:color w:val="auto"/>
          <w:highlight w:val="none"/>
        </w:rPr>
        <w:t>4.2.4.1监测布点</w:t>
      </w:r>
    </w:p>
    <w:p>
      <w:pPr>
        <w:ind w:firstLine="480"/>
        <w:rPr>
          <w:rFonts w:hint="default" w:ascii="Arial" w:hAnsi="Arial" w:eastAsia="宋体" w:cs="Arial"/>
          <w:color w:val="auto"/>
          <w:highlight w:val="none"/>
        </w:rPr>
      </w:pPr>
      <w:r>
        <w:rPr>
          <w:rFonts w:hint="default" w:ascii="Arial" w:hAnsi="Arial" w:eastAsia="宋体" w:cs="Arial"/>
          <w:color w:val="auto"/>
          <w:highlight w:val="none"/>
        </w:rPr>
        <w:t>在建设项目东、南、西、北厂界外1m布设噪声现状监测点如图4.2-</w:t>
      </w:r>
      <w:r>
        <w:rPr>
          <w:rFonts w:hint="default" w:ascii="Arial" w:hAnsi="Arial" w:eastAsia="宋体" w:cs="Arial"/>
          <w:color w:val="auto"/>
          <w:highlight w:val="none"/>
          <w:lang w:val="en-US" w:eastAsia="zh-CN"/>
        </w:rPr>
        <w:t>1</w:t>
      </w:r>
      <w:r>
        <w:rPr>
          <w:rFonts w:hint="default" w:ascii="Arial" w:hAnsi="Arial" w:eastAsia="宋体" w:cs="Arial"/>
          <w:color w:val="auto"/>
          <w:highlight w:val="none"/>
        </w:rPr>
        <w:t>所示，噪声监测点的编号依次为1﹟-</w:t>
      </w:r>
      <w:r>
        <w:rPr>
          <w:rFonts w:hint="default" w:ascii="Arial" w:hAnsi="Arial" w:eastAsia="宋体" w:cs="Arial"/>
          <w:color w:val="auto"/>
          <w:highlight w:val="none"/>
          <w:lang w:val="en-US" w:eastAsia="zh-CN"/>
        </w:rPr>
        <w:t>8</w:t>
      </w:r>
      <w:r>
        <w:rPr>
          <w:rFonts w:hint="default" w:ascii="Arial" w:hAnsi="Arial" w:eastAsia="宋体" w:cs="Arial"/>
          <w:color w:val="auto"/>
          <w:highlight w:val="none"/>
        </w:rPr>
        <w:t>﹟。</w:t>
      </w:r>
    </w:p>
    <w:p>
      <w:pPr>
        <w:pStyle w:val="7"/>
        <w:rPr>
          <w:rFonts w:hint="default" w:ascii="Arial" w:hAnsi="Arial" w:eastAsia="宋体" w:cs="Arial"/>
          <w:color w:val="auto"/>
          <w:highlight w:val="none"/>
        </w:rPr>
      </w:pPr>
      <w:r>
        <w:rPr>
          <w:rFonts w:hint="default" w:ascii="Arial" w:hAnsi="Arial" w:eastAsia="宋体" w:cs="Arial"/>
          <w:color w:val="auto"/>
          <w:highlight w:val="none"/>
        </w:rPr>
        <w:t>4.2.4.2监测时间及频次</w:t>
      </w:r>
    </w:p>
    <w:p>
      <w:pPr>
        <w:ind w:firstLine="480"/>
        <w:rPr>
          <w:rFonts w:hint="default" w:ascii="Arial" w:hAnsi="Arial" w:eastAsia="宋体" w:cs="Arial"/>
          <w:color w:val="auto"/>
          <w:highlight w:val="none"/>
        </w:rPr>
      </w:pPr>
      <w:r>
        <w:rPr>
          <w:rFonts w:hint="default" w:ascii="Arial" w:hAnsi="Arial" w:eastAsia="宋体" w:cs="Arial"/>
          <w:color w:val="auto"/>
          <w:highlight w:val="none"/>
        </w:rPr>
        <w:t>监测频次：监测时间选择昼间（6：00～22：00）和夜间（22：00～6：00）两个时段分别测1天，每次测量10分钟的连续等效A声级</w:t>
      </w:r>
      <w:r>
        <w:rPr>
          <w:rFonts w:hint="default" w:ascii="Arial" w:hAnsi="Arial" w:eastAsia="宋体" w:cs="Arial"/>
          <w:bCs/>
          <w:color w:val="auto"/>
          <w:highlight w:val="none"/>
        </w:rPr>
        <w:t>。</w:t>
      </w:r>
    </w:p>
    <w:p>
      <w:pPr>
        <w:pStyle w:val="7"/>
        <w:rPr>
          <w:rFonts w:hint="default" w:ascii="Arial" w:hAnsi="Arial" w:eastAsia="宋体" w:cs="Arial"/>
          <w:color w:val="auto"/>
          <w:highlight w:val="none"/>
        </w:rPr>
      </w:pPr>
      <w:r>
        <w:rPr>
          <w:rFonts w:hint="default" w:ascii="Arial" w:hAnsi="Arial" w:eastAsia="宋体" w:cs="Arial"/>
          <w:color w:val="auto"/>
          <w:highlight w:val="none"/>
        </w:rPr>
        <w:t>4.2.4.3监测方法</w:t>
      </w:r>
    </w:p>
    <w:p>
      <w:pPr>
        <w:ind w:firstLine="480"/>
        <w:rPr>
          <w:rFonts w:hint="default" w:ascii="Arial" w:hAnsi="Arial" w:eastAsia="宋体" w:cs="Arial"/>
          <w:color w:val="auto"/>
          <w:highlight w:val="none"/>
        </w:rPr>
      </w:pPr>
      <w:r>
        <w:rPr>
          <w:rFonts w:hint="default" w:ascii="Arial" w:hAnsi="Arial" w:eastAsia="宋体" w:cs="Arial"/>
          <w:color w:val="auto"/>
          <w:highlight w:val="none"/>
        </w:rPr>
        <w:t>监测方法采用《声环境质量标准》（GB3096－2008）中要求的监测方法，采用的测试仪器为AWA5688型多功能声级计。</w:t>
      </w:r>
    </w:p>
    <w:p>
      <w:pPr>
        <w:pStyle w:val="7"/>
        <w:rPr>
          <w:rFonts w:hint="default" w:ascii="Arial" w:hAnsi="Arial" w:eastAsia="宋体" w:cs="Arial"/>
          <w:color w:val="auto"/>
          <w:highlight w:val="none"/>
        </w:rPr>
      </w:pPr>
      <w:r>
        <w:rPr>
          <w:rFonts w:hint="default" w:ascii="Arial" w:hAnsi="Arial" w:eastAsia="宋体" w:cs="Arial"/>
          <w:color w:val="auto"/>
          <w:highlight w:val="none"/>
        </w:rPr>
        <w:t>4.2.4.4监测结果</w:t>
      </w:r>
    </w:p>
    <w:p>
      <w:pPr>
        <w:ind w:firstLine="480"/>
        <w:rPr>
          <w:rFonts w:hint="default" w:ascii="Arial" w:hAnsi="Arial" w:eastAsia="宋体" w:cs="Arial"/>
          <w:color w:val="auto"/>
          <w:highlight w:val="none"/>
        </w:rPr>
      </w:pPr>
      <w:r>
        <w:rPr>
          <w:rFonts w:hint="default" w:ascii="Arial" w:hAnsi="Arial" w:eastAsia="宋体" w:cs="Arial"/>
          <w:color w:val="auto"/>
          <w:highlight w:val="none"/>
        </w:rPr>
        <w:t>噪声监测数据统计结果见下表。</w:t>
      </w:r>
    </w:p>
    <w:p>
      <w:pPr>
        <w:pStyle w:val="8"/>
        <w:rPr>
          <w:rFonts w:hint="default" w:ascii="Arial" w:hAnsi="Arial" w:eastAsia="宋体" w:cs="Arial"/>
          <w:color w:val="auto"/>
          <w:highlight w:val="none"/>
        </w:rPr>
      </w:pPr>
      <w:r>
        <w:rPr>
          <w:rFonts w:hint="default" w:ascii="Arial" w:hAnsi="Arial" w:eastAsia="宋体" w:cs="Arial"/>
          <w:color w:val="auto"/>
          <w:highlight w:val="none"/>
        </w:rPr>
        <w:t>表4.2-15    噪声监测结果统计表</w:t>
      </w:r>
    </w:p>
    <w:tbl>
      <w:tblPr>
        <w:tblStyle w:val="39"/>
        <w:tblW w:w="901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75"/>
        <w:gridCol w:w="1138"/>
        <w:gridCol w:w="1393"/>
        <w:gridCol w:w="1388"/>
        <w:gridCol w:w="1459"/>
        <w:gridCol w:w="14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75" w:type="dxa"/>
            <w:tcBorders>
              <w:top w:val="single" w:color="auto" w:sz="4" w:space="0"/>
              <w:left w:val="nil"/>
            </w:tcBorders>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lang w:val="en-US" w:eastAsia="zh-CN"/>
              </w:rPr>
              <w:t>检测</w:t>
            </w:r>
            <w:r>
              <w:rPr>
                <w:rFonts w:hint="default" w:ascii="Arial" w:hAnsi="Arial" w:eastAsia="宋体" w:cs="Arial"/>
                <w:color w:val="auto"/>
                <w:sz w:val="21"/>
                <w:szCs w:val="21"/>
                <w:highlight w:val="none"/>
              </w:rPr>
              <w:t>点位名称</w:t>
            </w:r>
          </w:p>
        </w:tc>
        <w:tc>
          <w:tcPr>
            <w:tcW w:w="1138" w:type="dxa"/>
            <w:tcBorders>
              <w:top w:val="single" w:color="auto" w:sz="4" w:space="0"/>
            </w:tcBorders>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采样日期</w:t>
            </w:r>
          </w:p>
        </w:tc>
        <w:tc>
          <w:tcPr>
            <w:tcW w:w="1393" w:type="dxa"/>
            <w:tcBorders>
              <w:top w:val="single" w:color="auto" w:sz="4" w:space="0"/>
            </w:tcBorders>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采样时间（昼）</w:t>
            </w:r>
          </w:p>
        </w:tc>
        <w:tc>
          <w:tcPr>
            <w:tcW w:w="1388" w:type="dxa"/>
            <w:tcBorders>
              <w:top w:val="single" w:color="auto" w:sz="4" w:space="0"/>
            </w:tcBorders>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测量值dB(A)</w:t>
            </w:r>
          </w:p>
        </w:tc>
        <w:tc>
          <w:tcPr>
            <w:tcW w:w="1459" w:type="dxa"/>
            <w:tcBorders>
              <w:top w:val="single" w:color="auto" w:sz="4" w:space="0"/>
            </w:tcBorders>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采样时间（夜）</w:t>
            </w:r>
          </w:p>
        </w:tc>
        <w:tc>
          <w:tcPr>
            <w:tcW w:w="1461" w:type="dxa"/>
            <w:tcBorders>
              <w:top w:val="single" w:color="auto" w:sz="4" w:space="0"/>
              <w:right w:val="nil"/>
            </w:tcBorders>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测量值dB(A)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75" w:type="dxa"/>
            <w:tcBorders>
              <w:left w:val="nil"/>
            </w:tcBorders>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东厂界△</w:t>
            </w:r>
            <w:r>
              <w:rPr>
                <w:rFonts w:hint="default" w:ascii="Arial" w:hAnsi="Arial" w:eastAsia="宋体" w:cs="Arial"/>
                <w:color w:val="auto"/>
                <w:sz w:val="21"/>
                <w:szCs w:val="21"/>
                <w:lang w:val="en-US" w:eastAsia="zh-CN"/>
              </w:rPr>
              <w:t>1</w:t>
            </w:r>
          </w:p>
        </w:tc>
        <w:tc>
          <w:tcPr>
            <w:tcW w:w="1138" w:type="dxa"/>
            <w:vMerge w:val="restart"/>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rPr>
              <w:t>202</w:t>
            </w:r>
            <w:r>
              <w:rPr>
                <w:rFonts w:hint="default" w:ascii="Arial" w:hAnsi="Arial" w:eastAsia="宋体" w:cs="Arial"/>
                <w:color w:val="auto"/>
                <w:sz w:val="21"/>
                <w:szCs w:val="21"/>
                <w:lang w:val="en-US" w:eastAsia="zh-CN"/>
              </w:rPr>
              <w:t>2</w:t>
            </w:r>
            <w:r>
              <w:rPr>
                <w:rFonts w:hint="default" w:ascii="Arial" w:hAnsi="Arial" w:eastAsia="宋体" w:cs="Arial"/>
                <w:color w:val="auto"/>
                <w:sz w:val="21"/>
                <w:szCs w:val="21"/>
              </w:rPr>
              <w:t>-</w:t>
            </w:r>
            <w:r>
              <w:rPr>
                <w:rFonts w:hint="default" w:ascii="Arial" w:hAnsi="Arial" w:eastAsia="宋体" w:cs="Arial"/>
                <w:color w:val="auto"/>
                <w:sz w:val="21"/>
                <w:szCs w:val="21"/>
                <w:lang w:val="en-US" w:eastAsia="zh-CN"/>
              </w:rPr>
              <w:t>01</w:t>
            </w:r>
            <w:r>
              <w:rPr>
                <w:rFonts w:hint="default" w:ascii="Arial" w:hAnsi="Arial" w:eastAsia="宋体" w:cs="Arial"/>
                <w:color w:val="auto"/>
                <w:sz w:val="21"/>
                <w:szCs w:val="21"/>
              </w:rPr>
              <w:t>-</w:t>
            </w:r>
            <w:r>
              <w:rPr>
                <w:rFonts w:hint="default" w:ascii="Arial" w:hAnsi="Arial" w:eastAsia="宋体" w:cs="Arial"/>
                <w:color w:val="auto"/>
                <w:sz w:val="21"/>
                <w:szCs w:val="21"/>
                <w:lang w:val="en-US" w:eastAsia="zh-CN"/>
              </w:rPr>
              <w:t>05</w:t>
            </w:r>
          </w:p>
        </w:tc>
        <w:tc>
          <w:tcPr>
            <w:tcW w:w="1393"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09</w:t>
            </w:r>
            <w:r>
              <w:rPr>
                <w:rFonts w:hint="default" w:ascii="Arial" w:hAnsi="Arial" w:eastAsia="宋体" w:cs="Arial"/>
                <w:color w:val="auto"/>
                <w:sz w:val="21"/>
                <w:szCs w:val="21"/>
              </w:rPr>
              <w:t>:</w:t>
            </w:r>
            <w:r>
              <w:rPr>
                <w:rFonts w:hint="default" w:ascii="Arial" w:hAnsi="Arial" w:eastAsia="宋体" w:cs="Arial"/>
                <w:color w:val="auto"/>
                <w:sz w:val="21"/>
                <w:szCs w:val="21"/>
                <w:lang w:val="en-US" w:eastAsia="zh-CN"/>
              </w:rPr>
              <w:t>08</w:t>
            </w:r>
            <w:r>
              <w:rPr>
                <w:rFonts w:hint="default" w:ascii="Arial" w:hAnsi="Arial" w:eastAsia="宋体" w:cs="Arial"/>
                <w:color w:val="auto"/>
                <w:sz w:val="21"/>
                <w:szCs w:val="21"/>
              </w:rPr>
              <w:t>~</w:t>
            </w:r>
            <w:r>
              <w:rPr>
                <w:rFonts w:hint="default" w:ascii="Arial" w:hAnsi="Arial" w:eastAsia="宋体" w:cs="Arial"/>
                <w:color w:val="auto"/>
                <w:sz w:val="21"/>
                <w:szCs w:val="21"/>
                <w:lang w:val="en-US" w:eastAsia="zh-CN"/>
              </w:rPr>
              <w:t>09</w:t>
            </w:r>
            <w:r>
              <w:rPr>
                <w:rFonts w:hint="default" w:ascii="Arial" w:hAnsi="Arial" w:eastAsia="宋体" w:cs="Arial"/>
                <w:color w:val="auto"/>
                <w:sz w:val="21"/>
                <w:szCs w:val="21"/>
              </w:rPr>
              <w:t>:</w:t>
            </w:r>
            <w:r>
              <w:rPr>
                <w:rFonts w:hint="default" w:ascii="Arial" w:hAnsi="Arial" w:eastAsia="宋体" w:cs="Arial"/>
                <w:color w:val="auto"/>
                <w:sz w:val="21"/>
                <w:szCs w:val="21"/>
                <w:lang w:val="en-US" w:eastAsia="zh-CN"/>
              </w:rPr>
              <w:t>18</w:t>
            </w:r>
          </w:p>
        </w:tc>
        <w:tc>
          <w:tcPr>
            <w:tcW w:w="1388"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49</w:t>
            </w:r>
          </w:p>
        </w:tc>
        <w:tc>
          <w:tcPr>
            <w:tcW w:w="1459"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22:0</w:t>
            </w:r>
            <w:r>
              <w:rPr>
                <w:rFonts w:hint="default" w:ascii="Arial" w:hAnsi="Arial" w:eastAsia="宋体" w:cs="Arial"/>
                <w:color w:val="auto"/>
                <w:sz w:val="21"/>
                <w:szCs w:val="21"/>
                <w:lang w:val="en-US" w:eastAsia="zh-CN"/>
              </w:rPr>
              <w:t>2</w:t>
            </w:r>
            <w:r>
              <w:rPr>
                <w:rFonts w:hint="default" w:ascii="Arial" w:hAnsi="Arial" w:eastAsia="宋体" w:cs="Arial"/>
                <w:color w:val="auto"/>
                <w:sz w:val="21"/>
                <w:szCs w:val="21"/>
              </w:rPr>
              <w:t>~22:</w:t>
            </w:r>
            <w:r>
              <w:rPr>
                <w:rFonts w:hint="default" w:ascii="Arial" w:hAnsi="Arial" w:eastAsia="宋体" w:cs="Arial"/>
                <w:color w:val="auto"/>
                <w:sz w:val="21"/>
                <w:szCs w:val="21"/>
                <w:lang w:val="en-US" w:eastAsia="zh-CN"/>
              </w:rPr>
              <w:t>12</w:t>
            </w:r>
          </w:p>
        </w:tc>
        <w:tc>
          <w:tcPr>
            <w:tcW w:w="1461" w:type="dxa"/>
            <w:tcBorders>
              <w:right w:val="nil"/>
            </w:tcBorders>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4</w:t>
            </w:r>
            <w:r>
              <w:rPr>
                <w:rFonts w:hint="default" w:ascii="Arial" w:hAnsi="Arial" w:eastAsia="宋体" w:cs="Arial"/>
                <w:color w:val="auto"/>
                <w:sz w:val="21"/>
                <w:szCs w:val="21"/>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75" w:type="dxa"/>
            <w:tcBorders>
              <w:left w:val="nil"/>
            </w:tcBorders>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东南厂界</w:t>
            </w:r>
            <w:r>
              <w:rPr>
                <w:rFonts w:hint="default" w:ascii="Arial" w:hAnsi="Arial" w:eastAsia="宋体" w:cs="Arial"/>
                <w:color w:val="auto"/>
                <w:sz w:val="21"/>
                <w:szCs w:val="21"/>
              </w:rPr>
              <w:t>△</w:t>
            </w:r>
            <w:r>
              <w:rPr>
                <w:rFonts w:hint="default" w:ascii="Arial" w:hAnsi="Arial" w:eastAsia="宋体" w:cs="Arial"/>
                <w:color w:val="auto"/>
                <w:sz w:val="21"/>
                <w:szCs w:val="21"/>
                <w:lang w:val="en-US" w:eastAsia="zh-CN"/>
              </w:rPr>
              <w:t>2</w:t>
            </w:r>
          </w:p>
        </w:tc>
        <w:tc>
          <w:tcPr>
            <w:tcW w:w="1138" w:type="dxa"/>
            <w:vMerge w:val="continue"/>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highlight w:val="none"/>
              </w:rPr>
            </w:pPr>
          </w:p>
        </w:tc>
        <w:tc>
          <w:tcPr>
            <w:tcW w:w="1393"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09</w:t>
            </w:r>
            <w:r>
              <w:rPr>
                <w:rFonts w:hint="default" w:ascii="Arial" w:hAnsi="Arial" w:eastAsia="宋体" w:cs="Arial"/>
                <w:color w:val="auto"/>
                <w:sz w:val="21"/>
                <w:szCs w:val="21"/>
              </w:rPr>
              <w:t>:</w:t>
            </w:r>
            <w:r>
              <w:rPr>
                <w:rFonts w:hint="default" w:ascii="Arial" w:hAnsi="Arial" w:eastAsia="宋体" w:cs="Arial"/>
                <w:color w:val="auto"/>
                <w:sz w:val="21"/>
                <w:szCs w:val="21"/>
                <w:lang w:val="en-US" w:eastAsia="zh-CN"/>
              </w:rPr>
              <w:t>24</w:t>
            </w:r>
            <w:r>
              <w:rPr>
                <w:rFonts w:hint="default" w:ascii="Arial" w:hAnsi="Arial" w:eastAsia="宋体" w:cs="Arial"/>
                <w:color w:val="auto"/>
                <w:sz w:val="21"/>
                <w:szCs w:val="21"/>
              </w:rPr>
              <w:t>~</w:t>
            </w:r>
            <w:r>
              <w:rPr>
                <w:rFonts w:hint="default" w:ascii="Arial" w:hAnsi="Arial" w:eastAsia="宋体" w:cs="Arial"/>
                <w:color w:val="auto"/>
                <w:sz w:val="21"/>
                <w:szCs w:val="21"/>
                <w:lang w:val="en-US" w:eastAsia="zh-CN"/>
              </w:rPr>
              <w:t>09</w:t>
            </w:r>
            <w:r>
              <w:rPr>
                <w:rFonts w:hint="default" w:ascii="Arial" w:hAnsi="Arial" w:eastAsia="宋体" w:cs="Arial"/>
                <w:color w:val="auto"/>
                <w:sz w:val="21"/>
                <w:szCs w:val="21"/>
              </w:rPr>
              <w:t>:</w:t>
            </w:r>
            <w:r>
              <w:rPr>
                <w:rFonts w:hint="default" w:ascii="Arial" w:hAnsi="Arial" w:eastAsia="宋体" w:cs="Arial"/>
                <w:color w:val="auto"/>
                <w:sz w:val="21"/>
                <w:szCs w:val="21"/>
                <w:lang w:val="en-US" w:eastAsia="zh-CN"/>
              </w:rPr>
              <w:t>34</w:t>
            </w:r>
          </w:p>
        </w:tc>
        <w:tc>
          <w:tcPr>
            <w:tcW w:w="1388"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5</w:t>
            </w:r>
            <w:r>
              <w:rPr>
                <w:rFonts w:hint="default" w:ascii="Arial" w:hAnsi="Arial" w:eastAsia="宋体" w:cs="Arial"/>
                <w:color w:val="auto"/>
                <w:sz w:val="21"/>
                <w:szCs w:val="21"/>
                <w:lang w:val="en-US" w:eastAsia="zh-CN"/>
              </w:rPr>
              <w:t>1</w:t>
            </w:r>
          </w:p>
        </w:tc>
        <w:tc>
          <w:tcPr>
            <w:tcW w:w="1459"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22:</w:t>
            </w:r>
            <w:r>
              <w:rPr>
                <w:rFonts w:hint="default" w:ascii="Arial" w:hAnsi="Arial" w:eastAsia="宋体" w:cs="Arial"/>
                <w:color w:val="auto"/>
                <w:sz w:val="21"/>
                <w:szCs w:val="21"/>
                <w:lang w:val="en-US" w:eastAsia="zh-CN"/>
              </w:rPr>
              <w:t>16</w:t>
            </w:r>
            <w:r>
              <w:rPr>
                <w:rFonts w:hint="default" w:ascii="Arial" w:hAnsi="Arial" w:eastAsia="宋体" w:cs="Arial"/>
                <w:color w:val="auto"/>
                <w:sz w:val="21"/>
                <w:szCs w:val="21"/>
              </w:rPr>
              <w:t>~22:</w:t>
            </w:r>
            <w:r>
              <w:rPr>
                <w:rFonts w:hint="default" w:ascii="Arial" w:hAnsi="Arial" w:eastAsia="宋体" w:cs="Arial"/>
                <w:color w:val="auto"/>
                <w:sz w:val="21"/>
                <w:szCs w:val="21"/>
                <w:lang w:val="en-US" w:eastAsia="zh-CN"/>
              </w:rPr>
              <w:t>26</w:t>
            </w:r>
          </w:p>
        </w:tc>
        <w:tc>
          <w:tcPr>
            <w:tcW w:w="1461" w:type="dxa"/>
            <w:tcBorders>
              <w:right w:val="nil"/>
            </w:tcBorders>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4</w:t>
            </w:r>
            <w:r>
              <w:rPr>
                <w:rFonts w:hint="default" w:ascii="Arial" w:hAnsi="Arial" w:eastAsia="宋体" w:cs="Arial"/>
                <w:color w:val="auto"/>
                <w:sz w:val="21"/>
                <w:szCs w:val="21"/>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75" w:type="dxa"/>
            <w:tcBorders>
              <w:left w:val="nil"/>
            </w:tcBorders>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南厂界</w:t>
            </w:r>
            <w:r>
              <w:rPr>
                <w:rFonts w:hint="default" w:ascii="Arial" w:hAnsi="Arial" w:eastAsia="宋体" w:cs="Arial"/>
                <w:color w:val="auto"/>
                <w:sz w:val="21"/>
                <w:szCs w:val="21"/>
              </w:rPr>
              <w:t>△</w:t>
            </w:r>
            <w:r>
              <w:rPr>
                <w:rFonts w:hint="default" w:ascii="Arial" w:hAnsi="Arial" w:eastAsia="宋体" w:cs="Arial"/>
                <w:color w:val="auto"/>
                <w:sz w:val="21"/>
                <w:szCs w:val="21"/>
                <w:lang w:val="en-US" w:eastAsia="zh-CN"/>
              </w:rPr>
              <w:t>3</w:t>
            </w:r>
          </w:p>
        </w:tc>
        <w:tc>
          <w:tcPr>
            <w:tcW w:w="1138" w:type="dxa"/>
            <w:vMerge w:val="continue"/>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highlight w:val="none"/>
              </w:rPr>
            </w:pPr>
          </w:p>
        </w:tc>
        <w:tc>
          <w:tcPr>
            <w:tcW w:w="1393"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09</w:t>
            </w:r>
            <w:r>
              <w:rPr>
                <w:rFonts w:hint="default" w:ascii="Arial" w:hAnsi="Arial" w:eastAsia="宋体" w:cs="Arial"/>
                <w:color w:val="auto"/>
                <w:sz w:val="21"/>
                <w:szCs w:val="21"/>
              </w:rPr>
              <w:t>:</w:t>
            </w:r>
            <w:r>
              <w:rPr>
                <w:rFonts w:hint="default" w:ascii="Arial" w:hAnsi="Arial" w:eastAsia="宋体" w:cs="Arial"/>
                <w:color w:val="auto"/>
                <w:sz w:val="21"/>
                <w:szCs w:val="21"/>
                <w:lang w:val="en-US" w:eastAsia="zh-CN"/>
              </w:rPr>
              <w:t>43</w:t>
            </w:r>
            <w:r>
              <w:rPr>
                <w:rFonts w:hint="default" w:ascii="Arial" w:hAnsi="Arial" w:eastAsia="宋体" w:cs="Arial"/>
                <w:color w:val="auto"/>
                <w:sz w:val="21"/>
                <w:szCs w:val="21"/>
              </w:rPr>
              <w:t>~</w:t>
            </w:r>
            <w:r>
              <w:rPr>
                <w:rFonts w:hint="default" w:ascii="Arial" w:hAnsi="Arial" w:eastAsia="宋体" w:cs="Arial"/>
                <w:color w:val="auto"/>
                <w:sz w:val="21"/>
                <w:szCs w:val="21"/>
                <w:lang w:val="en-US" w:eastAsia="zh-CN"/>
              </w:rPr>
              <w:t>09</w:t>
            </w:r>
            <w:r>
              <w:rPr>
                <w:rFonts w:hint="default" w:ascii="Arial" w:hAnsi="Arial" w:eastAsia="宋体" w:cs="Arial"/>
                <w:color w:val="auto"/>
                <w:sz w:val="21"/>
                <w:szCs w:val="21"/>
              </w:rPr>
              <w:t>:</w:t>
            </w:r>
            <w:r>
              <w:rPr>
                <w:rFonts w:hint="default" w:ascii="Arial" w:hAnsi="Arial" w:eastAsia="宋体" w:cs="Arial"/>
                <w:color w:val="auto"/>
                <w:sz w:val="21"/>
                <w:szCs w:val="21"/>
                <w:lang w:val="en-US" w:eastAsia="zh-CN"/>
              </w:rPr>
              <w:t>53</w:t>
            </w:r>
          </w:p>
        </w:tc>
        <w:tc>
          <w:tcPr>
            <w:tcW w:w="1388"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5</w:t>
            </w:r>
            <w:r>
              <w:rPr>
                <w:rFonts w:hint="default" w:ascii="Arial" w:hAnsi="Arial" w:eastAsia="宋体" w:cs="Arial"/>
                <w:color w:val="auto"/>
                <w:sz w:val="21"/>
                <w:szCs w:val="21"/>
                <w:lang w:val="en-US" w:eastAsia="zh-CN"/>
              </w:rPr>
              <w:t>0</w:t>
            </w:r>
          </w:p>
        </w:tc>
        <w:tc>
          <w:tcPr>
            <w:tcW w:w="1459"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22:</w:t>
            </w:r>
            <w:r>
              <w:rPr>
                <w:rFonts w:hint="default" w:ascii="Arial" w:hAnsi="Arial" w:eastAsia="宋体" w:cs="Arial"/>
                <w:color w:val="auto"/>
                <w:sz w:val="21"/>
                <w:szCs w:val="21"/>
                <w:lang w:val="en-US" w:eastAsia="zh-CN"/>
              </w:rPr>
              <w:t>34</w:t>
            </w:r>
            <w:r>
              <w:rPr>
                <w:rFonts w:hint="default" w:ascii="Arial" w:hAnsi="Arial" w:eastAsia="宋体" w:cs="Arial"/>
                <w:color w:val="auto"/>
                <w:sz w:val="21"/>
                <w:szCs w:val="21"/>
              </w:rPr>
              <w:t>~22:</w:t>
            </w:r>
            <w:r>
              <w:rPr>
                <w:rFonts w:hint="default" w:ascii="Arial" w:hAnsi="Arial" w:eastAsia="宋体" w:cs="Arial"/>
                <w:color w:val="auto"/>
                <w:sz w:val="21"/>
                <w:szCs w:val="21"/>
                <w:lang w:val="en-US" w:eastAsia="zh-CN"/>
              </w:rPr>
              <w:t>44</w:t>
            </w:r>
          </w:p>
        </w:tc>
        <w:tc>
          <w:tcPr>
            <w:tcW w:w="1461" w:type="dxa"/>
            <w:tcBorders>
              <w:right w:val="nil"/>
            </w:tcBorders>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4</w:t>
            </w:r>
            <w:r>
              <w:rPr>
                <w:rFonts w:hint="default" w:ascii="Arial" w:hAnsi="Arial" w:eastAsia="宋体" w:cs="Arial"/>
                <w:color w:val="auto"/>
                <w:sz w:val="21"/>
                <w:szCs w:val="21"/>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75" w:type="dxa"/>
            <w:tcBorders>
              <w:left w:val="nil"/>
            </w:tcBorders>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西南</w:t>
            </w:r>
            <w:r>
              <w:rPr>
                <w:rFonts w:hint="default" w:ascii="Arial" w:hAnsi="Arial" w:eastAsia="宋体" w:cs="Arial"/>
                <w:color w:val="auto"/>
                <w:sz w:val="21"/>
                <w:szCs w:val="21"/>
              </w:rPr>
              <w:t>厂界△</w:t>
            </w:r>
            <w:r>
              <w:rPr>
                <w:rFonts w:hint="default" w:ascii="Arial" w:hAnsi="Arial" w:eastAsia="宋体" w:cs="Arial"/>
                <w:color w:val="auto"/>
                <w:sz w:val="21"/>
                <w:szCs w:val="21"/>
                <w:lang w:val="en-US" w:eastAsia="zh-CN"/>
              </w:rPr>
              <w:t>4</w:t>
            </w:r>
          </w:p>
        </w:tc>
        <w:tc>
          <w:tcPr>
            <w:tcW w:w="1138" w:type="dxa"/>
            <w:vMerge w:val="continue"/>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highlight w:val="none"/>
              </w:rPr>
            </w:pPr>
          </w:p>
        </w:tc>
        <w:tc>
          <w:tcPr>
            <w:tcW w:w="1393"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10</w:t>
            </w:r>
            <w:r>
              <w:rPr>
                <w:rFonts w:hint="default" w:ascii="Arial" w:hAnsi="Arial" w:eastAsia="宋体" w:cs="Arial"/>
                <w:color w:val="auto"/>
                <w:sz w:val="21"/>
                <w:szCs w:val="21"/>
              </w:rPr>
              <w:t>:</w:t>
            </w:r>
            <w:r>
              <w:rPr>
                <w:rFonts w:hint="default" w:ascii="Arial" w:hAnsi="Arial" w:eastAsia="宋体" w:cs="Arial"/>
                <w:color w:val="auto"/>
                <w:sz w:val="21"/>
                <w:szCs w:val="21"/>
                <w:lang w:val="en-US" w:eastAsia="zh-CN"/>
              </w:rPr>
              <w:t>05</w:t>
            </w:r>
            <w:r>
              <w:rPr>
                <w:rFonts w:hint="default" w:ascii="Arial" w:hAnsi="Arial" w:eastAsia="宋体" w:cs="Arial"/>
                <w:color w:val="auto"/>
                <w:sz w:val="21"/>
                <w:szCs w:val="21"/>
              </w:rPr>
              <w:t>~</w:t>
            </w:r>
            <w:r>
              <w:rPr>
                <w:rFonts w:hint="default" w:ascii="Arial" w:hAnsi="Arial" w:eastAsia="宋体" w:cs="Arial"/>
                <w:color w:val="auto"/>
                <w:sz w:val="21"/>
                <w:szCs w:val="21"/>
                <w:lang w:val="en-US" w:eastAsia="zh-CN"/>
              </w:rPr>
              <w:t>10</w:t>
            </w:r>
            <w:r>
              <w:rPr>
                <w:rFonts w:hint="default" w:ascii="Arial" w:hAnsi="Arial" w:eastAsia="宋体" w:cs="Arial"/>
                <w:color w:val="auto"/>
                <w:sz w:val="21"/>
                <w:szCs w:val="21"/>
              </w:rPr>
              <w:t>:</w:t>
            </w:r>
            <w:r>
              <w:rPr>
                <w:rFonts w:hint="default" w:ascii="Arial" w:hAnsi="Arial" w:eastAsia="宋体" w:cs="Arial"/>
                <w:color w:val="auto"/>
                <w:sz w:val="21"/>
                <w:szCs w:val="21"/>
                <w:lang w:val="en-US" w:eastAsia="zh-CN"/>
              </w:rPr>
              <w:t>15</w:t>
            </w:r>
          </w:p>
        </w:tc>
        <w:tc>
          <w:tcPr>
            <w:tcW w:w="1388"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5</w:t>
            </w:r>
            <w:r>
              <w:rPr>
                <w:rFonts w:hint="default" w:ascii="Arial" w:hAnsi="Arial" w:eastAsia="宋体" w:cs="Arial"/>
                <w:color w:val="auto"/>
                <w:sz w:val="21"/>
                <w:szCs w:val="21"/>
                <w:lang w:val="en-US" w:eastAsia="zh-CN"/>
              </w:rPr>
              <w:t>0</w:t>
            </w:r>
          </w:p>
        </w:tc>
        <w:tc>
          <w:tcPr>
            <w:tcW w:w="1459"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22</w:t>
            </w:r>
            <w:r>
              <w:rPr>
                <w:rFonts w:hint="default" w:ascii="Arial" w:hAnsi="Arial" w:eastAsia="宋体" w:cs="Arial"/>
                <w:color w:val="auto"/>
                <w:sz w:val="21"/>
                <w:szCs w:val="21"/>
              </w:rPr>
              <w:t>:</w:t>
            </w:r>
            <w:r>
              <w:rPr>
                <w:rFonts w:hint="default" w:ascii="Arial" w:hAnsi="Arial" w:eastAsia="宋体" w:cs="Arial"/>
                <w:color w:val="auto"/>
                <w:sz w:val="21"/>
                <w:szCs w:val="21"/>
                <w:lang w:val="en-US" w:eastAsia="zh-CN"/>
              </w:rPr>
              <w:t>49</w:t>
            </w:r>
            <w:r>
              <w:rPr>
                <w:rFonts w:hint="default" w:ascii="Arial" w:hAnsi="Arial" w:eastAsia="宋体" w:cs="Arial"/>
                <w:color w:val="auto"/>
                <w:sz w:val="21"/>
                <w:szCs w:val="21"/>
              </w:rPr>
              <w:t>~</w:t>
            </w:r>
            <w:r>
              <w:rPr>
                <w:rFonts w:hint="default" w:ascii="Arial" w:hAnsi="Arial" w:eastAsia="宋体" w:cs="Arial"/>
                <w:color w:val="auto"/>
                <w:sz w:val="21"/>
                <w:szCs w:val="21"/>
                <w:lang w:val="en-US" w:eastAsia="zh-CN"/>
              </w:rPr>
              <w:t>22</w:t>
            </w:r>
            <w:r>
              <w:rPr>
                <w:rFonts w:hint="default" w:ascii="Arial" w:hAnsi="Arial" w:eastAsia="宋体" w:cs="Arial"/>
                <w:color w:val="auto"/>
                <w:sz w:val="21"/>
                <w:szCs w:val="21"/>
              </w:rPr>
              <w:t>:</w:t>
            </w:r>
            <w:r>
              <w:rPr>
                <w:rFonts w:hint="default" w:ascii="Arial" w:hAnsi="Arial" w:eastAsia="宋体" w:cs="Arial"/>
                <w:color w:val="auto"/>
                <w:sz w:val="21"/>
                <w:szCs w:val="21"/>
                <w:lang w:val="en-US" w:eastAsia="zh-CN"/>
              </w:rPr>
              <w:t>59</w:t>
            </w:r>
          </w:p>
        </w:tc>
        <w:tc>
          <w:tcPr>
            <w:tcW w:w="1461" w:type="dxa"/>
            <w:tcBorders>
              <w:right w:val="nil"/>
            </w:tcBorders>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4</w:t>
            </w:r>
            <w:r>
              <w:rPr>
                <w:rFonts w:hint="default" w:ascii="Arial" w:hAnsi="Arial" w:eastAsia="宋体" w:cs="Arial"/>
                <w:color w:val="auto"/>
                <w:sz w:val="21"/>
                <w:szCs w:val="21"/>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75" w:type="dxa"/>
            <w:tcBorders>
              <w:left w:val="nil"/>
            </w:tcBorders>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西</w:t>
            </w:r>
            <w:r>
              <w:rPr>
                <w:rFonts w:hint="default" w:ascii="Arial" w:hAnsi="Arial" w:eastAsia="宋体" w:cs="Arial"/>
                <w:color w:val="auto"/>
                <w:sz w:val="21"/>
                <w:szCs w:val="21"/>
              </w:rPr>
              <w:t>厂界△</w:t>
            </w:r>
            <w:r>
              <w:rPr>
                <w:rFonts w:hint="default" w:ascii="Arial" w:hAnsi="Arial" w:eastAsia="宋体" w:cs="Arial"/>
                <w:color w:val="auto"/>
                <w:sz w:val="21"/>
                <w:szCs w:val="21"/>
                <w:lang w:val="en-US" w:eastAsia="zh-CN"/>
              </w:rPr>
              <w:t>5</w:t>
            </w:r>
          </w:p>
        </w:tc>
        <w:tc>
          <w:tcPr>
            <w:tcW w:w="1138" w:type="dxa"/>
            <w:vMerge w:val="continue"/>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highlight w:val="none"/>
              </w:rPr>
            </w:pPr>
          </w:p>
        </w:tc>
        <w:tc>
          <w:tcPr>
            <w:tcW w:w="1393"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10</w:t>
            </w:r>
            <w:r>
              <w:rPr>
                <w:rFonts w:hint="default" w:ascii="Arial" w:hAnsi="Arial" w:eastAsia="宋体" w:cs="Arial"/>
                <w:color w:val="auto"/>
                <w:sz w:val="21"/>
                <w:szCs w:val="21"/>
              </w:rPr>
              <w:t>:</w:t>
            </w:r>
            <w:r>
              <w:rPr>
                <w:rFonts w:hint="default" w:ascii="Arial" w:hAnsi="Arial" w:eastAsia="宋体" w:cs="Arial"/>
                <w:color w:val="auto"/>
                <w:sz w:val="21"/>
                <w:szCs w:val="21"/>
                <w:lang w:val="en-US" w:eastAsia="zh-CN"/>
              </w:rPr>
              <w:t>19</w:t>
            </w:r>
            <w:r>
              <w:rPr>
                <w:rFonts w:hint="default" w:ascii="Arial" w:hAnsi="Arial" w:eastAsia="宋体" w:cs="Arial"/>
                <w:color w:val="auto"/>
                <w:sz w:val="21"/>
                <w:szCs w:val="21"/>
              </w:rPr>
              <w:t>~</w:t>
            </w:r>
            <w:r>
              <w:rPr>
                <w:rFonts w:hint="default" w:ascii="Arial" w:hAnsi="Arial" w:eastAsia="宋体" w:cs="Arial"/>
                <w:color w:val="auto"/>
                <w:sz w:val="21"/>
                <w:szCs w:val="21"/>
                <w:lang w:val="en-US" w:eastAsia="zh-CN"/>
              </w:rPr>
              <w:t>10</w:t>
            </w:r>
            <w:r>
              <w:rPr>
                <w:rFonts w:hint="default" w:ascii="Arial" w:hAnsi="Arial" w:eastAsia="宋体" w:cs="Arial"/>
                <w:color w:val="auto"/>
                <w:sz w:val="21"/>
                <w:szCs w:val="21"/>
              </w:rPr>
              <w:t>:</w:t>
            </w:r>
            <w:r>
              <w:rPr>
                <w:rFonts w:hint="default" w:ascii="Arial" w:hAnsi="Arial" w:eastAsia="宋体" w:cs="Arial"/>
                <w:color w:val="auto"/>
                <w:sz w:val="21"/>
                <w:szCs w:val="21"/>
                <w:lang w:val="en-US" w:eastAsia="zh-CN"/>
              </w:rPr>
              <w:t>29</w:t>
            </w:r>
          </w:p>
        </w:tc>
        <w:tc>
          <w:tcPr>
            <w:tcW w:w="1388"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49</w:t>
            </w:r>
          </w:p>
        </w:tc>
        <w:tc>
          <w:tcPr>
            <w:tcW w:w="1459"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23</w:t>
            </w:r>
            <w:r>
              <w:rPr>
                <w:rFonts w:hint="default" w:ascii="Arial" w:hAnsi="Arial" w:eastAsia="宋体" w:cs="Arial"/>
                <w:color w:val="auto"/>
                <w:sz w:val="21"/>
                <w:szCs w:val="21"/>
              </w:rPr>
              <w:t>:</w:t>
            </w:r>
            <w:r>
              <w:rPr>
                <w:rFonts w:hint="default" w:ascii="Arial" w:hAnsi="Arial" w:eastAsia="宋体" w:cs="Arial"/>
                <w:color w:val="auto"/>
                <w:sz w:val="21"/>
                <w:szCs w:val="21"/>
                <w:lang w:val="en-US" w:eastAsia="zh-CN"/>
              </w:rPr>
              <w:t>01</w:t>
            </w:r>
            <w:r>
              <w:rPr>
                <w:rFonts w:hint="default" w:ascii="Arial" w:hAnsi="Arial" w:eastAsia="宋体" w:cs="Arial"/>
                <w:color w:val="auto"/>
                <w:sz w:val="21"/>
                <w:szCs w:val="21"/>
              </w:rPr>
              <w:t>~</w:t>
            </w:r>
            <w:r>
              <w:rPr>
                <w:rFonts w:hint="default" w:ascii="Arial" w:hAnsi="Arial" w:eastAsia="宋体" w:cs="Arial"/>
                <w:color w:val="auto"/>
                <w:sz w:val="21"/>
                <w:szCs w:val="21"/>
                <w:lang w:val="en-US" w:eastAsia="zh-CN"/>
              </w:rPr>
              <w:t>23</w:t>
            </w:r>
            <w:r>
              <w:rPr>
                <w:rFonts w:hint="default" w:ascii="Arial" w:hAnsi="Arial" w:eastAsia="宋体" w:cs="Arial"/>
                <w:color w:val="auto"/>
                <w:sz w:val="21"/>
                <w:szCs w:val="21"/>
              </w:rPr>
              <w:t>:</w:t>
            </w:r>
            <w:r>
              <w:rPr>
                <w:rFonts w:hint="default" w:ascii="Arial" w:hAnsi="Arial" w:eastAsia="宋体" w:cs="Arial"/>
                <w:color w:val="auto"/>
                <w:sz w:val="21"/>
                <w:szCs w:val="21"/>
                <w:lang w:val="en-US" w:eastAsia="zh-CN"/>
              </w:rPr>
              <w:t>11</w:t>
            </w:r>
          </w:p>
        </w:tc>
        <w:tc>
          <w:tcPr>
            <w:tcW w:w="1461" w:type="dxa"/>
            <w:tcBorders>
              <w:right w:val="nil"/>
            </w:tcBorders>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4</w:t>
            </w:r>
            <w:r>
              <w:rPr>
                <w:rFonts w:hint="default" w:ascii="Arial" w:hAnsi="Arial" w:eastAsia="宋体" w:cs="Arial"/>
                <w:color w:val="auto"/>
                <w:sz w:val="21"/>
                <w:szCs w:val="21"/>
                <w:lang w:val="en-US" w:eastAsia="zh-CN"/>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75" w:type="dxa"/>
            <w:tcBorders>
              <w:left w:val="nil"/>
            </w:tcBorders>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西北</w:t>
            </w:r>
            <w:r>
              <w:rPr>
                <w:rFonts w:hint="default" w:ascii="Arial" w:hAnsi="Arial" w:eastAsia="宋体" w:cs="Arial"/>
                <w:color w:val="auto"/>
                <w:sz w:val="21"/>
                <w:szCs w:val="21"/>
              </w:rPr>
              <w:t>厂界△</w:t>
            </w:r>
            <w:r>
              <w:rPr>
                <w:rFonts w:hint="default" w:ascii="Arial" w:hAnsi="Arial" w:eastAsia="宋体" w:cs="Arial"/>
                <w:color w:val="auto"/>
                <w:sz w:val="21"/>
                <w:szCs w:val="21"/>
                <w:lang w:val="en-US" w:eastAsia="zh-CN"/>
              </w:rPr>
              <w:t>6</w:t>
            </w:r>
          </w:p>
        </w:tc>
        <w:tc>
          <w:tcPr>
            <w:tcW w:w="1138" w:type="dxa"/>
            <w:vMerge w:val="continue"/>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highlight w:val="none"/>
              </w:rPr>
            </w:pPr>
          </w:p>
        </w:tc>
        <w:tc>
          <w:tcPr>
            <w:tcW w:w="1393"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10</w:t>
            </w:r>
            <w:r>
              <w:rPr>
                <w:rFonts w:hint="default" w:ascii="Arial" w:hAnsi="Arial" w:eastAsia="宋体" w:cs="Arial"/>
                <w:color w:val="auto"/>
                <w:sz w:val="21"/>
                <w:szCs w:val="21"/>
              </w:rPr>
              <w:t>:</w:t>
            </w:r>
            <w:r>
              <w:rPr>
                <w:rFonts w:hint="default" w:ascii="Arial" w:hAnsi="Arial" w:eastAsia="宋体" w:cs="Arial"/>
                <w:color w:val="auto"/>
                <w:sz w:val="21"/>
                <w:szCs w:val="21"/>
                <w:lang w:val="en-US" w:eastAsia="zh-CN"/>
              </w:rPr>
              <w:t>35</w:t>
            </w:r>
            <w:r>
              <w:rPr>
                <w:rFonts w:hint="default" w:ascii="Arial" w:hAnsi="Arial" w:eastAsia="宋体" w:cs="Arial"/>
                <w:color w:val="auto"/>
                <w:sz w:val="21"/>
                <w:szCs w:val="21"/>
              </w:rPr>
              <w:t>~</w:t>
            </w:r>
            <w:r>
              <w:rPr>
                <w:rFonts w:hint="default" w:ascii="Arial" w:hAnsi="Arial" w:eastAsia="宋体" w:cs="Arial"/>
                <w:color w:val="auto"/>
                <w:sz w:val="21"/>
                <w:szCs w:val="21"/>
                <w:lang w:val="en-US" w:eastAsia="zh-CN"/>
              </w:rPr>
              <w:t>10</w:t>
            </w:r>
            <w:r>
              <w:rPr>
                <w:rFonts w:hint="default" w:ascii="Arial" w:hAnsi="Arial" w:eastAsia="宋体" w:cs="Arial"/>
                <w:color w:val="auto"/>
                <w:sz w:val="21"/>
                <w:szCs w:val="21"/>
              </w:rPr>
              <w:t>:</w:t>
            </w:r>
            <w:r>
              <w:rPr>
                <w:rFonts w:hint="default" w:ascii="Arial" w:hAnsi="Arial" w:eastAsia="宋体" w:cs="Arial"/>
                <w:color w:val="auto"/>
                <w:sz w:val="21"/>
                <w:szCs w:val="21"/>
                <w:lang w:val="en-US" w:eastAsia="zh-CN"/>
              </w:rPr>
              <w:t>45</w:t>
            </w:r>
          </w:p>
        </w:tc>
        <w:tc>
          <w:tcPr>
            <w:tcW w:w="1388"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49</w:t>
            </w:r>
          </w:p>
        </w:tc>
        <w:tc>
          <w:tcPr>
            <w:tcW w:w="1459"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23</w:t>
            </w:r>
            <w:r>
              <w:rPr>
                <w:rFonts w:hint="default" w:ascii="Arial" w:hAnsi="Arial" w:eastAsia="宋体" w:cs="Arial"/>
                <w:color w:val="auto"/>
                <w:sz w:val="21"/>
                <w:szCs w:val="21"/>
              </w:rPr>
              <w:t>:</w:t>
            </w:r>
            <w:r>
              <w:rPr>
                <w:rFonts w:hint="default" w:ascii="Arial" w:hAnsi="Arial" w:eastAsia="宋体" w:cs="Arial"/>
                <w:color w:val="auto"/>
                <w:sz w:val="21"/>
                <w:szCs w:val="21"/>
                <w:lang w:val="en-US" w:eastAsia="zh-CN"/>
              </w:rPr>
              <w:t>18</w:t>
            </w:r>
            <w:r>
              <w:rPr>
                <w:rFonts w:hint="default" w:ascii="Arial" w:hAnsi="Arial" w:eastAsia="宋体" w:cs="Arial"/>
                <w:color w:val="auto"/>
                <w:sz w:val="21"/>
                <w:szCs w:val="21"/>
              </w:rPr>
              <w:t>~</w:t>
            </w:r>
            <w:r>
              <w:rPr>
                <w:rFonts w:hint="default" w:ascii="Arial" w:hAnsi="Arial" w:eastAsia="宋体" w:cs="Arial"/>
                <w:color w:val="auto"/>
                <w:sz w:val="21"/>
                <w:szCs w:val="21"/>
                <w:lang w:val="en-US" w:eastAsia="zh-CN"/>
              </w:rPr>
              <w:t>23</w:t>
            </w:r>
            <w:r>
              <w:rPr>
                <w:rFonts w:hint="default" w:ascii="Arial" w:hAnsi="Arial" w:eastAsia="宋体" w:cs="Arial"/>
                <w:color w:val="auto"/>
                <w:sz w:val="21"/>
                <w:szCs w:val="21"/>
              </w:rPr>
              <w:t>:</w:t>
            </w:r>
            <w:r>
              <w:rPr>
                <w:rFonts w:hint="default" w:ascii="Arial" w:hAnsi="Arial" w:eastAsia="宋体" w:cs="Arial"/>
                <w:color w:val="auto"/>
                <w:sz w:val="21"/>
                <w:szCs w:val="21"/>
                <w:lang w:val="en-US" w:eastAsia="zh-CN"/>
              </w:rPr>
              <w:t>28</w:t>
            </w:r>
          </w:p>
        </w:tc>
        <w:tc>
          <w:tcPr>
            <w:tcW w:w="1461" w:type="dxa"/>
            <w:tcBorders>
              <w:right w:val="nil"/>
            </w:tcBorders>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4</w:t>
            </w:r>
            <w:r>
              <w:rPr>
                <w:rFonts w:hint="default" w:ascii="Arial" w:hAnsi="Arial" w:eastAsia="宋体" w:cs="Arial"/>
                <w:color w:val="auto"/>
                <w:sz w:val="21"/>
                <w:szCs w:val="21"/>
                <w:lang w:val="en-US" w:eastAsia="zh-CN"/>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75" w:type="dxa"/>
            <w:tcBorders>
              <w:left w:val="nil"/>
            </w:tcBorders>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北</w:t>
            </w:r>
            <w:r>
              <w:rPr>
                <w:rFonts w:hint="default" w:ascii="Arial" w:hAnsi="Arial" w:eastAsia="宋体" w:cs="Arial"/>
                <w:color w:val="auto"/>
                <w:sz w:val="21"/>
                <w:szCs w:val="21"/>
              </w:rPr>
              <w:t>厂界△</w:t>
            </w:r>
            <w:r>
              <w:rPr>
                <w:rFonts w:hint="default" w:ascii="Arial" w:hAnsi="Arial" w:eastAsia="宋体" w:cs="Arial"/>
                <w:color w:val="auto"/>
                <w:sz w:val="21"/>
                <w:szCs w:val="21"/>
                <w:lang w:val="en-US" w:eastAsia="zh-CN"/>
              </w:rPr>
              <w:t>7</w:t>
            </w:r>
          </w:p>
        </w:tc>
        <w:tc>
          <w:tcPr>
            <w:tcW w:w="1138" w:type="dxa"/>
            <w:vMerge w:val="continue"/>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highlight w:val="none"/>
              </w:rPr>
            </w:pPr>
          </w:p>
        </w:tc>
        <w:tc>
          <w:tcPr>
            <w:tcW w:w="1393"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10</w:t>
            </w:r>
            <w:r>
              <w:rPr>
                <w:rFonts w:hint="default" w:ascii="Arial" w:hAnsi="Arial" w:eastAsia="宋体" w:cs="Arial"/>
                <w:color w:val="auto"/>
                <w:sz w:val="21"/>
                <w:szCs w:val="21"/>
              </w:rPr>
              <w:t>:</w:t>
            </w:r>
            <w:r>
              <w:rPr>
                <w:rFonts w:hint="default" w:ascii="Arial" w:hAnsi="Arial" w:eastAsia="宋体" w:cs="Arial"/>
                <w:color w:val="auto"/>
                <w:sz w:val="21"/>
                <w:szCs w:val="21"/>
                <w:lang w:val="en-US" w:eastAsia="zh-CN"/>
              </w:rPr>
              <w:t>51</w:t>
            </w:r>
            <w:r>
              <w:rPr>
                <w:rFonts w:hint="default" w:ascii="Arial" w:hAnsi="Arial" w:eastAsia="宋体" w:cs="Arial"/>
                <w:color w:val="auto"/>
                <w:sz w:val="21"/>
                <w:szCs w:val="21"/>
              </w:rPr>
              <w:t>~</w:t>
            </w:r>
            <w:r>
              <w:rPr>
                <w:rFonts w:hint="default" w:ascii="Arial" w:hAnsi="Arial" w:eastAsia="宋体" w:cs="Arial"/>
                <w:color w:val="auto"/>
                <w:sz w:val="21"/>
                <w:szCs w:val="21"/>
                <w:lang w:val="en-US" w:eastAsia="zh-CN"/>
              </w:rPr>
              <w:t>11</w:t>
            </w:r>
            <w:r>
              <w:rPr>
                <w:rFonts w:hint="default" w:ascii="Arial" w:hAnsi="Arial" w:eastAsia="宋体" w:cs="Arial"/>
                <w:color w:val="auto"/>
                <w:sz w:val="21"/>
                <w:szCs w:val="21"/>
              </w:rPr>
              <w:t>:</w:t>
            </w:r>
            <w:r>
              <w:rPr>
                <w:rFonts w:hint="default" w:ascii="Arial" w:hAnsi="Arial" w:eastAsia="宋体" w:cs="Arial"/>
                <w:color w:val="auto"/>
                <w:sz w:val="21"/>
                <w:szCs w:val="21"/>
                <w:lang w:val="en-US" w:eastAsia="zh-CN"/>
              </w:rPr>
              <w:t>01</w:t>
            </w:r>
          </w:p>
        </w:tc>
        <w:tc>
          <w:tcPr>
            <w:tcW w:w="1388"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5</w:t>
            </w:r>
            <w:r>
              <w:rPr>
                <w:rFonts w:hint="default" w:ascii="Arial" w:hAnsi="Arial" w:eastAsia="宋体" w:cs="Arial"/>
                <w:color w:val="auto"/>
                <w:sz w:val="21"/>
                <w:szCs w:val="21"/>
                <w:lang w:val="en-US" w:eastAsia="zh-CN"/>
              </w:rPr>
              <w:t>1</w:t>
            </w:r>
          </w:p>
        </w:tc>
        <w:tc>
          <w:tcPr>
            <w:tcW w:w="1459"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23</w:t>
            </w:r>
            <w:r>
              <w:rPr>
                <w:rFonts w:hint="default" w:ascii="Arial" w:hAnsi="Arial" w:eastAsia="宋体" w:cs="Arial"/>
                <w:color w:val="auto"/>
                <w:sz w:val="21"/>
                <w:szCs w:val="21"/>
              </w:rPr>
              <w:t>:</w:t>
            </w:r>
            <w:r>
              <w:rPr>
                <w:rFonts w:hint="default" w:ascii="Arial" w:hAnsi="Arial" w:eastAsia="宋体" w:cs="Arial"/>
                <w:color w:val="auto"/>
                <w:sz w:val="21"/>
                <w:szCs w:val="21"/>
                <w:lang w:val="en-US" w:eastAsia="zh-CN"/>
              </w:rPr>
              <w:t>32</w:t>
            </w:r>
            <w:r>
              <w:rPr>
                <w:rFonts w:hint="default" w:ascii="Arial" w:hAnsi="Arial" w:eastAsia="宋体" w:cs="Arial"/>
                <w:color w:val="auto"/>
                <w:sz w:val="21"/>
                <w:szCs w:val="21"/>
              </w:rPr>
              <w:t>~</w:t>
            </w:r>
            <w:r>
              <w:rPr>
                <w:rFonts w:hint="default" w:ascii="Arial" w:hAnsi="Arial" w:eastAsia="宋体" w:cs="Arial"/>
                <w:color w:val="auto"/>
                <w:sz w:val="21"/>
                <w:szCs w:val="21"/>
                <w:lang w:val="en-US" w:eastAsia="zh-CN"/>
              </w:rPr>
              <w:t>23</w:t>
            </w:r>
            <w:r>
              <w:rPr>
                <w:rFonts w:hint="default" w:ascii="Arial" w:hAnsi="Arial" w:eastAsia="宋体" w:cs="Arial"/>
                <w:color w:val="auto"/>
                <w:sz w:val="21"/>
                <w:szCs w:val="21"/>
              </w:rPr>
              <w:t>:</w:t>
            </w:r>
            <w:r>
              <w:rPr>
                <w:rFonts w:hint="default" w:ascii="Arial" w:hAnsi="Arial" w:eastAsia="宋体" w:cs="Arial"/>
                <w:color w:val="auto"/>
                <w:sz w:val="21"/>
                <w:szCs w:val="21"/>
                <w:lang w:val="en-US" w:eastAsia="zh-CN"/>
              </w:rPr>
              <w:t>42</w:t>
            </w:r>
          </w:p>
        </w:tc>
        <w:tc>
          <w:tcPr>
            <w:tcW w:w="1461" w:type="dxa"/>
            <w:tcBorders>
              <w:right w:val="nil"/>
            </w:tcBorders>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41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75" w:type="dxa"/>
            <w:tcBorders>
              <w:left w:val="nil"/>
            </w:tcBorders>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东北</w:t>
            </w:r>
            <w:r>
              <w:rPr>
                <w:rFonts w:hint="default" w:ascii="Arial" w:hAnsi="Arial" w:eastAsia="宋体" w:cs="Arial"/>
                <w:color w:val="auto"/>
                <w:sz w:val="21"/>
                <w:szCs w:val="21"/>
              </w:rPr>
              <w:t>厂界△</w:t>
            </w:r>
            <w:r>
              <w:rPr>
                <w:rFonts w:hint="default" w:ascii="Arial" w:hAnsi="Arial" w:eastAsia="宋体" w:cs="Arial"/>
                <w:color w:val="auto"/>
                <w:sz w:val="21"/>
                <w:szCs w:val="21"/>
                <w:lang w:val="en-US" w:eastAsia="zh-CN"/>
              </w:rPr>
              <w:t>8</w:t>
            </w:r>
          </w:p>
        </w:tc>
        <w:tc>
          <w:tcPr>
            <w:tcW w:w="1138" w:type="dxa"/>
            <w:vMerge w:val="continue"/>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highlight w:val="none"/>
              </w:rPr>
            </w:pPr>
          </w:p>
        </w:tc>
        <w:tc>
          <w:tcPr>
            <w:tcW w:w="1393"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11:06~11:16</w:t>
            </w:r>
          </w:p>
        </w:tc>
        <w:tc>
          <w:tcPr>
            <w:tcW w:w="1388"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5</w:t>
            </w:r>
            <w:r>
              <w:rPr>
                <w:rFonts w:hint="default" w:ascii="Arial" w:hAnsi="Arial" w:eastAsia="宋体" w:cs="Arial"/>
                <w:color w:val="auto"/>
                <w:sz w:val="21"/>
                <w:szCs w:val="21"/>
                <w:lang w:val="en-US" w:eastAsia="zh-CN"/>
              </w:rPr>
              <w:t>0</w:t>
            </w:r>
          </w:p>
        </w:tc>
        <w:tc>
          <w:tcPr>
            <w:tcW w:w="1459"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23</w:t>
            </w:r>
            <w:r>
              <w:rPr>
                <w:rFonts w:hint="default" w:ascii="Arial" w:hAnsi="Arial" w:eastAsia="宋体" w:cs="Arial"/>
                <w:color w:val="auto"/>
                <w:sz w:val="21"/>
                <w:szCs w:val="21"/>
              </w:rPr>
              <w:t>:</w:t>
            </w:r>
            <w:r>
              <w:rPr>
                <w:rFonts w:hint="default" w:ascii="Arial" w:hAnsi="Arial" w:eastAsia="宋体" w:cs="Arial"/>
                <w:color w:val="auto"/>
                <w:sz w:val="21"/>
                <w:szCs w:val="21"/>
                <w:lang w:val="en-US" w:eastAsia="zh-CN"/>
              </w:rPr>
              <w:t>48</w:t>
            </w:r>
            <w:r>
              <w:rPr>
                <w:rFonts w:hint="default" w:ascii="Arial" w:hAnsi="Arial" w:eastAsia="宋体" w:cs="Arial"/>
                <w:color w:val="auto"/>
                <w:sz w:val="21"/>
                <w:szCs w:val="21"/>
              </w:rPr>
              <w:t>~</w:t>
            </w:r>
            <w:r>
              <w:rPr>
                <w:rFonts w:hint="default" w:ascii="Arial" w:hAnsi="Arial" w:eastAsia="宋体" w:cs="Arial"/>
                <w:color w:val="auto"/>
                <w:sz w:val="21"/>
                <w:szCs w:val="21"/>
                <w:lang w:val="en-US" w:eastAsia="zh-CN"/>
              </w:rPr>
              <w:t>23</w:t>
            </w:r>
            <w:r>
              <w:rPr>
                <w:rFonts w:hint="default" w:ascii="Arial" w:hAnsi="Arial" w:eastAsia="宋体" w:cs="Arial"/>
                <w:color w:val="auto"/>
                <w:sz w:val="21"/>
                <w:szCs w:val="21"/>
              </w:rPr>
              <w:t>:</w:t>
            </w:r>
            <w:r>
              <w:rPr>
                <w:rFonts w:hint="default" w:ascii="Arial" w:hAnsi="Arial" w:eastAsia="宋体" w:cs="Arial"/>
                <w:color w:val="auto"/>
                <w:sz w:val="21"/>
                <w:szCs w:val="21"/>
                <w:lang w:val="en-US" w:eastAsia="zh-CN"/>
              </w:rPr>
              <w:t>58</w:t>
            </w:r>
          </w:p>
        </w:tc>
        <w:tc>
          <w:tcPr>
            <w:tcW w:w="1461" w:type="dxa"/>
            <w:tcBorders>
              <w:right w:val="nil"/>
            </w:tcBorders>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4</w:t>
            </w:r>
            <w:r>
              <w:rPr>
                <w:rFonts w:hint="default" w:ascii="Arial" w:hAnsi="Arial" w:eastAsia="宋体" w:cs="Arial"/>
                <w:color w:val="auto"/>
                <w:sz w:val="21"/>
                <w:szCs w:val="21"/>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75" w:type="dxa"/>
            <w:tcBorders>
              <w:left w:val="nil"/>
            </w:tcBorders>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东厂界△</w:t>
            </w:r>
            <w:r>
              <w:rPr>
                <w:rFonts w:hint="default" w:ascii="Arial" w:hAnsi="Arial" w:eastAsia="宋体" w:cs="Arial"/>
                <w:color w:val="auto"/>
                <w:sz w:val="21"/>
                <w:szCs w:val="21"/>
                <w:lang w:val="en-US" w:eastAsia="zh-CN"/>
              </w:rPr>
              <w:t>1</w:t>
            </w:r>
          </w:p>
        </w:tc>
        <w:tc>
          <w:tcPr>
            <w:tcW w:w="1138" w:type="dxa"/>
            <w:vMerge w:val="restart"/>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rPr>
              <w:t>202</w:t>
            </w:r>
            <w:r>
              <w:rPr>
                <w:rFonts w:hint="default" w:ascii="Arial" w:hAnsi="Arial" w:eastAsia="宋体" w:cs="Arial"/>
                <w:color w:val="auto"/>
                <w:sz w:val="21"/>
                <w:szCs w:val="21"/>
                <w:lang w:val="en-US" w:eastAsia="zh-CN"/>
              </w:rPr>
              <w:t>2</w:t>
            </w:r>
            <w:r>
              <w:rPr>
                <w:rFonts w:hint="default" w:ascii="Arial" w:hAnsi="Arial" w:eastAsia="宋体" w:cs="Arial"/>
                <w:color w:val="auto"/>
                <w:sz w:val="21"/>
                <w:szCs w:val="21"/>
              </w:rPr>
              <w:t>-</w:t>
            </w:r>
            <w:r>
              <w:rPr>
                <w:rFonts w:hint="default" w:ascii="Arial" w:hAnsi="Arial" w:eastAsia="宋体" w:cs="Arial"/>
                <w:color w:val="auto"/>
                <w:sz w:val="21"/>
                <w:szCs w:val="21"/>
                <w:lang w:val="en-US" w:eastAsia="zh-CN"/>
              </w:rPr>
              <w:t>01</w:t>
            </w:r>
            <w:r>
              <w:rPr>
                <w:rFonts w:hint="default" w:ascii="Arial" w:hAnsi="Arial" w:eastAsia="宋体" w:cs="Arial"/>
                <w:color w:val="auto"/>
                <w:sz w:val="21"/>
                <w:szCs w:val="21"/>
              </w:rPr>
              <w:t>-</w:t>
            </w:r>
            <w:r>
              <w:rPr>
                <w:rFonts w:hint="default" w:ascii="Arial" w:hAnsi="Arial" w:eastAsia="宋体" w:cs="Arial"/>
                <w:color w:val="auto"/>
                <w:sz w:val="21"/>
                <w:szCs w:val="21"/>
                <w:lang w:val="en-US" w:eastAsia="zh-CN"/>
              </w:rPr>
              <w:t>06</w:t>
            </w:r>
          </w:p>
        </w:tc>
        <w:tc>
          <w:tcPr>
            <w:tcW w:w="1393"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09</w:t>
            </w:r>
            <w:r>
              <w:rPr>
                <w:rFonts w:hint="default" w:ascii="Arial" w:hAnsi="Arial" w:eastAsia="宋体" w:cs="Arial"/>
                <w:color w:val="auto"/>
                <w:sz w:val="21"/>
                <w:szCs w:val="21"/>
              </w:rPr>
              <w:t>:</w:t>
            </w:r>
            <w:r>
              <w:rPr>
                <w:rFonts w:hint="default" w:ascii="Arial" w:hAnsi="Arial" w:eastAsia="宋体" w:cs="Arial"/>
                <w:color w:val="auto"/>
                <w:sz w:val="21"/>
                <w:szCs w:val="21"/>
                <w:lang w:val="en-US" w:eastAsia="zh-CN"/>
              </w:rPr>
              <w:t>12</w:t>
            </w:r>
            <w:r>
              <w:rPr>
                <w:rFonts w:hint="default" w:ascii="Arial" w:hAnsi="Arial" w:eastAsia="宋体" w:cs="Arial"/>
                <w:color w:val="auto"/>
                <w:sz w:val="21"/>
                <w:szCs w:val="21"/>
              </w:rPr>
              <w:t>~</w:t>
            </w:r>
            <w:r>
              <w:rPr>
                <w:rFonts w:hint="default" w:ascii="Arial" w:hAnsi="Arial" w:eastAsia="宋体" w:cs="Arial"/>
                <w:color w:val="auto"/>
                <w:sz w:val="21"/>
                <w:szCs w:val="21"/>
                <w:lang w:val="en-US" w:eastAsia="zh-CN"/>
              </w:rPr>
              <w:t>09</w:t>
            </w:r>
            <w:r>
              <w:rPr>
                <w:rFonts w:hint="default" w:ascii="Arial" w:hAnsi="Arial" w:eastAsia="宋体" w:cs="Arial"/>
                <w:color w:val="auto"/>
                <w:sz w:val="21"/>
                <w:szCs w:val="21"/>
              </w:rPr>
              <w:t>:</w:t>
            </w:r>
            <w:r>
              <w:rPr>
                <w:rFonts w:hint="default" w:ascii="Arial" w:hAnsi="Arial" w:eastAsia="宋体" w:cs="Arial"/>
                <w:color w:val="auto"/>
                <w:sz w:val="21"/>
                <w:szCs w:val="21"/>
                <w:lang w:val="en-US" w:eastAsia="zh-CN"/>
              </w:rPr>
              <w:t>22</w:t>
            </w:r>
          </w:p>
        </w:tc>
        <w:tc>
          <w:tcPr>
            <w:tcW w:w="1388"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51</w:t>
            </w:r>
          </w:p>
        </w:tc>
        <w:tc>
          <w:tcPr>
            <w:tcW w:w="1459"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22:0</w:t>
            </w:r>
            <w:r>
              <w:rPr>
                <w:rFonts w:hint="default" w:ascii="Arial" w:hAnsi="Arial" w:eastAsia="宋体" w:cs="Arial"/>
                <w:color w:val="auto"/>
                <w:sz w:val="21"/>
                <w:szCs w:val="21"/>
                <w:lang w:val="en-US" w:eastAsia="zh-CN"/>
              </w:rPr>
              <w:t>3</w:t>
            </w:r>
            <w:r>
              <w:rPr>
                <w:rFonts w:hint="default" w:ascii="Arial" w:hAnsi="Arial" w:eastAsia="宋体" w:cs="Arial"/>
                <w:color w:val="auto"/>
                <w:sz w:val="21"/>
                <w:szCs w:val="21"/>
              </w:rPr>
              <w:t>~22:</w:t>
            </w:r>
            <w:r>
              <w:rPr>
                <w:rFonts w:hint="default" w:ascii="Arial" w:hAnsi="Arial" w:eastAsia="宋体" w:cs="Arial"/>
                <w:color w:val="auto"/>
                <w:sz w:val="21"/>
                <w:szCs w:val="21"/>
                <w:lang w:val="en-US" w:eastAsia="zh-CN"/>
              </w:rPr>
              <w:t>13</w:t>
            </w:r>
          </w:p>
        </w:tc>
        <w:tc>
          <w:tcPr>
            <w:tcW w:w="1461" w:type="dxa"/>
            <w:tcBorders>
              <w:right w:val="nil"/>
            </w:tcBorders>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41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75" w:type="dxa"/>
            <w:tcBorders>
              <w:left w:val="nil"/>
            </w:tcBorders>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东南厂界</w:t>
            </w:r>
            <w:r>
              <w:rPr>
                <w:rFonts w:hint="default" w:ascii="Arial" w:hAnsi="Arial" w:eastAsia="宋体" w:cs="Arial"/>
                <w:color w:val="auto"/>
                <w:sz w:val="21"/>
                <w:szCs w:val="21"/>
              </w:rPr>
              <w:t>△</w:t>
            </w:r>
            <w:r>
              <w:rPr>
                <w:rFonts w:hint="default" w:ascii="Arial" w:hAnsi="Arial" w:eastAsia="宋体" w:cs="Arial"/>
                <w:color w:val="auto"/>
                <w:sz w:val="21"/>
                <w:szCs w:val="21"/>
                <w:lang w:val="en-US" w:eastAsia="zh-CN"/>
              </w:rPr>
              <w:t>2</w:t>
            </w:r>
          </w:p>
        </w:tc>
        <w:tc>
          <w:tcPr>
            <w:tcW w:w="1138" w:type="dxa"/>
            <w:vMerge w:val="continue"/>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p>
        </w:tc>
        <w:tc>
          <w:tcPr>
            <w:tcW w:w="1393"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09</w:t>
            </w:r>
            <w:r>
              <w:rPr>
                <w:rFonts w:hint="default" w:ascii="Arial" w:hAnsi="Arial" w:eastAsia="宋体" w:cs="Arial"/>
                <w:color w:val="auto"/>
                <w:sz w:val="21"/>
                <w:szCs w:val="21"/>
              </w:rPr>
              <w:t>:</w:t>
            </w:r>
            <w:r>
              <w:rPr>
                <w:rFonts w:hint="default" w:ascii="Arial" w:hAnsi="Arial" w:eastAsia="宋体" w:cs="Arial"/>
                <w:color w:val="auto"/>
                <w:sz w:val="21"/>
                <w:szCs w:val="21"/>
                <w:lang w:val="en-US" w:eastAsia="zh-CN"/>
              </w:rPr>
              <w:t>25</w:t>
            </w:r>
            <w:r>
              <w:rPr>
                <w:rFonts w:hint="default" w:ascii="Arial" w:hAnsi="Arial" w:eastAsia="宋体" w:cs="Arial"/>
                <w:color w:val="auto"/>
                <w:sz w:val="21"/>
                <w:szCs w:val="21"/>
              </w:rPr>
              <w:t>~</w:t>
            </w:r>
            <w:r>
              <w:rPr>
                <w:rFonts w:hint="default" w:ascii="Arial" w:hAnsi="Arial" w:eastAsia="宋体" w:cs="Arial"/>
                <w:color w:val="auto"/>
                <w:sz w:val="21"/>
                <w:szCs w:val="21"/>
                <w:lang w:val="en-US" w:eastAsia="zh-CN"/>
              </w:rPr>
              <w:t>09</w:t>
            </w:r>
            <w:r>
              <w:rPr>
                <w:rFonts w:hint="default" w:ascii="Arial" w:hAnsi="Arial" w:eastAsia="宋体" w:cs="Arial"/>
                <w:color w:val="auto"/>
                <w:sz w:val="21"/>
                <w:szCs w:val="21"/>
              </w:rPr>
              <w:t>:</w:t>
            </w:r>
            <w:r>
              <w:rPr>
                <w:rFonts w:hint="default" w:ascii="Arial" w:hAnsi="Arial" w:eastAsia="宋体" w:cs="Arial"/>
                <w:color w:val="auto"/>
                <w:sz w:val="21"/>
                <w:szCs w:val="21"/>
                <w:lang w:val="en-US" w:eastAsia="zh-CN"/>
              </w:rPr>
              <w:t>35</w:t>
            </w:r>
          </w:p>
        </w:tc>
        <w:tc>
          <w:tcPr>
            <w:tcW w:w="1388"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51</w:t>
            </w:r>
          </w:p>
        </w:tc>
        <w:tc>
          <w:tcPr>
            <w:tcW w:w="1459"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22:</w:t>
            </w:r>
            <w:r>
              <w:rPr>
                <w:rFonts w:hint="default" w:ascii="Arial" w:hAnsi="Arial" w:eastAsia="宋体" w:cs="Arial"/>
                <w:color w:val="auto"/>
                <w:sz w:val="21"/>
                <w:szCs w:val="21"/>
                <w:lang w:val="en-US" w:eastAsia="zh-CN"/>
              </w:rPr>
              <w:t>15</w:t>
            </w:r>
            <w:r>
              <w:rPr>
                <w:rFonts w:hint="default" w:ascii="Arial" w:hAnsi="Arial" w:eastAsia="宋体" w:cs="Arial"/>
                <w:color w:val="auto"/>
                <w:sz w:val="21"/>
                <w:szCs w:val="21"/>
              </w:rPr>
              <w:t>~22:</w:t>
            </w:r>
            <w:r>
              <w:rPr>
                <w:rFonts w:hint="default" w:ascii="Arial" w:hAnsi="Arial" w:eastAsia="宋体" w:cs="Arial"/>
                <w:color w:val="auto"/>
                <w:sz w:val="21"/>
                <w:szCs w:val="21"/>
                <w:lang w:val="en-US" w:eastAsia="zh-CN"/>
              </w:rPr>
              <w:t>25</w:t>
            </w:r>
          </w:p>
        </w:tc>
        <w:tc>
          <w:tcPr>
            <w:tcW w:w="1461" w:type="dxa"/>
            <w:tcBorders>
              <w:right w:val="nil"/>
            </w:tcBorders>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41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75" w:type="dxa"/>
            <w:tcBorders>
              <w:left w:val="nil"/>
            </w:tcBorders>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南厂界</w:t>
            </w:r>
            <w:r>
              <w:rPr>
                <w:rFonts w:hint="default" w:ascii="Arial" w:hAnsi="Arial" w:eastAsia="宋体" w:cs="Arial"/>
                <w:color w:val="auto"/>
                <w:sz w:val="21"/>
                <w:szCs w:val="21"/>
              </w:rPr>
              <w:t>△</w:t>
            </w:r>
            <w:r>
              <w:rPr>
                <w:rFonts w:hint="default" w:ascii="Arial" w:hAnsi="Arial" w:eastAsia="宋体" w:cs="Arial"/>
                <w:color w:val="auto"/>
                <w:sz w:val="21"/>
                <w:szCs w:val="21"/>
                <w:lang w:val="en-US" w:eastAsia="zh-CN"/>
              </w:rPr>
              <w:t>3</w:t>
            </w:r>
          </w:p>
        </w:tc>
        <w:tc>
          <w:tcPr>
            <w:tcW w:w="1138" w:type="dxa"/>
            <w:vMerge w:val="continue"/>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p>
        </w:tc>
        <w:tc>
          <w:tcPr>
            <w:tcW w:w="1393"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09</w:t>
            </w:r>
            <w:r>
              <w:rPr>
                <w:rFonts w:hint="default" w:ascii="Arial" w:hAnsi="Arial" w:eastAsia="宋体" w:cs="Arial"/>
                <w:color w:val="auto"/>
                <w:sz w:val="21"/>
                <w:szCs w:val="21"/>
              </w:rPr>
              <w:t>:</w:t>
            </w:r>
            <w:r>
              <w:rPr>
                <w:rFonts w:hint="default" w:ascii="Arial" w:hAnsi="Arial" w:eastAsia="宋体" w:cs="Arial"/>
                <w:color w:val="auto"/>
                <w:sz w:val="21"/>
                <w:szCs w:val="21"/>
                <w:lang w:val="en-US" w:eastAsia="zh-CN"/>
              </w:rPr>
              <w:t>44</w:t>
            </w:r>
            <w:r>
              <w:rPr>
                <w:rFonts w:hint="default" w:ascii="Arial" w:hAnsi="Arial" w:eastAsia="宋体" w:cs="Arial"/>
                <w:color w:val="auto"/>
                <w:sz w:val="21"/>
                <w:szCs w:val="21"/>
              </w:rPr>
              <w:t>~</w:t>
            </w:r>
            <w:r>
              <w:rPr>
                <w:rFonts w:hint="default" w:ascii="Arial" w:hAnsi="Arial" w:eastAsia="宋体" w:cs="Arial"/>
                <w:color w:val="auto"/>
                <w:sz w:val="21"/>
                <w:szCs w:val="21"/>
                <w:lang w:val="en-US" w:eastAsia="zh-CN"/>
              </w:rPr>
              <w:t>09</w:t>
            </w:r>
            <w:r>
              <w:rPr>
                <w:rFonts w:hint="default" w:ascii="Arial" w:hAnsi="Arial" w:eastAsia="宋体" w:cs="Arial"/>
                <w:color w:val="auto"/>
                <w:sz w:val="21"/>
                <w:szCs w:val="21"/>
              </w:rPr>
              <w:t>:</w:t>
            </w:r>
            <w:r>
              <w:rPr>
                <w:rFonts w:hint="default" w:ascii="Arial" w:hAnsi="Arial" w:eastAsia="宋体" w:cs="Arial"/>
                <w:color w:val="auto"/>
                <w:sz w:val="21"/>
                <w:szCs w:val="21"/>
                <w:lang w:val="en-US" w:eastAsia="zh-CN"/>
              </w:rPr>
              <w:t>54</w:t>
            </w:r>
          </w:p>
        </w:tc>
        <w:tc>
          <w:tcPr>
            <w:tcW w:w="1388"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49</w:t>
            </w:r>
          </w:p>
        </w:tc>
        <w:tc>
          <w:tcPr>
            <w:tcW w:w="1459"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22:</w:t>
            </w:r>
            <w:r>
              <w:rPr>
                <w:rFonts w:hint="default" w:ascii="Arial" w:hAnsi="Arial" w:eastAsia="宋体" w:cs="Arial"/>
                <w:color w:val="auto"/>
                <w:sz w:val="21"/>
                <w:szCs w:val="21"/>
                <w:lang w:val="en-US" w:eastAsia="zh-CN"/>
              </w:rPr>
              <w:t>32</w:t>
            </w:r>
            <w:r>
              <w:rPr>
                <w:rFonts w:hint="default" w:ascii="Arial" w:hAnsi="Arial" w:eastAsia="宋体" w:cs="Arial"/>
                <w:color w:val="auto"/>
                <w:sz w:val="21"/>
                <w:szCs w:val="21"/>
              </w:rPr>
              <w:t>~22:</w:t>
            </w:r>
            <w:r>
              <w:rPr>
                <w:rFonts w:hint="default" w:ascii="Arial" w:hAnsi="Arial" w:eastAsia="宋体" w:cs="Arial"/>
                <w:color w:val="auto"/>
                <w:sz w:val="21"/>
                <w:szCs w:val="21"/>
                <w:lang w:val="en-US" w:eastAsia="zh-CN"/>
              </w:rPr>
              <w:t>42</w:t>
            </w:r>
          </w:p>
        </w:tc>
        <w:tc>
          <w:tcPr>
            <w:tcW w:w="1461" w:type="dxa"/>
            <w:tcBorders>
              <w:right w:val="nil"/>
            </w:tcBorders>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42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75" w:type="dxa"/>
            <w:tcBorders>
              <w:left w:val="nil"/>
            </w:tcBorders>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西南</w:t>
            </w:r>
            <w:r>
              <w:rPr>
                <w:rFonts w:hint="default" w:ascii="Arial" w:hAnsi="Arial" w:eastAsia="宋体" w:cs="Arial"/>
                <w:color w:val="auto"/>
                <w:sz w:val="21"/>
                <w:szCs w:val="21"/>
              </w:rPr>
              <w:t>厂界△</w:t>
            </w:r>
            <w:r>
              <w:rPr>
                <w:rFonts w:hint="default" w:ascii="Arial" w:hAnsi="Arial" w:eastAsia="宋体" w:cs="Arial"/>
                <w:color w:val="auto"/>
                <w:sz w:val="21"/>
                <w:szCs w:val="21"/>
                <w:lang w:val="en-US" w:eastAsia="zh-CN"/>
              </w:rPr>
              <w:t>4</w:t>
            </w:r>
          </w:p>
        </w:tc>
        <w:tc>
          <w:tcPr>
            <w:tcW w:w="1138" w:type="dxa"/>
            <w:vMerge w:val="continue"/>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p>
        </w:tc>
        <w:tc>
          <w:tcPr>
            <w:tcW w:w="1393"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10</w:t>
            </w:r>
            <w:r>
              <w:rPr>
                <w:rFonts w:hint="default" w:ascii="Arial" w:hAnsi="Arial" w:eastAsia="宋体" w:cs="Arial"/>
                <w:color w:val="auto"/>
                <w:sz w:val="21"/>
                <w:szCs w:val="21"/>
              </w:rPr>
              <w:t>:</w:t>
            </w:r>
            <w:r>
              <w:rPr>
                <w:rFonts w:hint="default" w:ascii="Arial" w:hAnsi="Arial" w:eastAsia="宋体" w:cs="Arial"/>
                <w:color w:val="auto"/>
                <w:sz w:val="21"/>
                <w:szCs w:val="21"/>
                <w:lang w:val="en-US" w:eastAsia="zh-CN"/>
              </w:rPr>
              <w:t>08</w:t>
            </w:r>
            <w:r>
              <w:rPr>
                <w:rFonts w:hint="default" w:ascii="Arial" w:hAnsi="Arial" w:eastAsia="宋体" w:cs="Arial"/>
                <w:color w:val="auto"/>
                <w:sz w:val="21"/>
                <w:szCs w:val="21"/>
              </w:rPr>
              <w:t>~</w:t>
            </w:r>
            <w:r>
              <w:rPr>
                <w:rFonts w:hint="default" w:ascii="Arial" w:hAnsi="Arial" w:eastAsia="宋体" w:cs="Arial"/>
                <w:color w:val="auto"/>
                <w:sz w:val="21"/>
                <w:szCs w:val="21"/>
                <w:lang w:val="en-US" w:eastAsia="zh-CN"/>
              </w:rPr>
              <w:t>10</w:t>
            </w:r>
            <w:r>
              <w:rPr>
                <w:rFonts w:hint="default" w:ascii="Arial" w:hAnsi="Arial" w:eastAsia="宋体" w:cs="Arial"/>
                <w:color w:val="auto"/>
                <w:sz w:val="21"/>
                <w:szCs w:val="21"/>
              </w:rPr>
              <w:t>:</w:t>
            </w:r>
            <w:r>
              <w:rPr>
                <w:rFonts w:hint="default" w:ascii="Arial" w:hAnsi="Arial" w:eastAsia="宋体" w:cs="Arial"/>
                <w:color w:val="auto"/>
                <w:sz w:val="21"/>
                <w:szCs w:val="21"/>
                <w:lang w:val="en-US" w:eastAsia="zh-CN"/>
              </w:rPr>
              <w:t>18</w:t>
            </w:r>
          </w:p>
        </w:tc>
        <w:tc>
          <w:tcPr>
            <w:tcW w:w="1388"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50</w:t>
            </w:r>
          </w:p>
        </w:tc>
        <w:tc>
          <w:tcPr>
            <w:tcW w:w="1459"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22</w:t>
            </w:r>
            <w:r>
              <w:rPr>
                <w:rFonts w:hint="default" w:ascii="Arial" w:hAnsi="Arial" w:eastAsia="宋体" w:cs="Arial"/>
                <w:color w:val="auto"/>
                <w:sz w:val="21"/>
                <w:szCs w:val="21"/>
              </w:rPr>
              <w:t>:</w:t>
            </w:r>
            <w:r>
              <w:rPr>
                <w:rFonts w:hint="default" w:ascii="Arial" w:hAnsi="Arial" w:eastAsia="宋体" w:cs="Arial"/>
                <w:color w:val="auto"/>
                <w:sz w:val="21"/>
                <w:szCs w:val="21"/>
                <w:lang w:val="en-US" w:eastAsia="zh-CN"/>
              </w:rPr>
              <w:t>45</w:t>
            </w:r>
            <w:r>
              <w:rPr>
                <w:rFonts w:hint="default" w:ascii="Arial" w:hAnsi="Arial" w:eastAsia="宋体" w:cs="Arial"/>
                <w:color w:val="auto"/>
                <w:sz w:val="21"/>
                <w:szCs w:val="21"/>
              </w:rPr>
              <w:t>~</w:t>
            </w:r>
            <w:r>
              <w:rPr>
                <w:rFonts w:hint="default" w:ascii="Arial" w:hAnsi="Arial" w:eastAsia="宋体" w:cs="Arial"/>
                <w:color w:val="auto"/>
                <w:sz w:val="21"/>
                <w:szCs w:val="21"/>
                <w:lang w:val="en-US" w:eastAsia="zh-CN"/>
              </w:rPr>
              <w:t>22</w:t>
            </w:r>
            <w:r>
              <w:rPr>
                <w:rFonts w:hint="default" w:ascii="Arial" w:hAnsi="Arial" w:eastAsia="宋体" w:cs="Arial"/>
                <w:color w:val="auto"/>
                <w:sz w:val="21"/>
                <w:szCs w:val="21"/>
              </w:rPr>
              <w:t>:</w:t>
            </w:r>
            <w:r>
              <w:rPr>
                <w:rFonts w:hint="default" w:ascii="Arial" w:hAnsi="Arial" w:eastAsia="宋体" w:cs="Arial"/>
                <w:color w:val="auto"/>
                <w:sz w:val="21"/>
                <w:szCs w:val="21"/>
                <w:lang w:val="en-US" w:eastAsia="zh-CN"/>
              </w:rPr>
              <w:t>55</w:t>
            </w:r>
          </w:p>
        </w:tc>
        <w:tc>
          <w:tcPr>
            <w:tcW w:w="1461" w:type="dxa"/>
            <w:tcBorders>
              <w:right w:val="nil"/>
            </w:tcBorders>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43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75" w:type="dxa"/>
            <w:tcBorders>
              <w:left w:val="nil"/>
            </w:tcBorders>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西</w:t>
            </w:r>
            <w:r>
              <w:rPr>
                <w:rFonts w:hint="default" w:ascii="Arial" w:hAnsi="Arial" w:eastAsia="宋体" w:cs="Arial"/>
                <w:color w:val="auto"/>
                <w:sz w:val="21"/>
                <w:szCs w:val="21"/>
              </w:rPr>
              <w:t>厂界△</w:t>
            </w:r>
            <w:r>
              <w:rPr>
                <w:rFonts w:hint="default" w:ascii="Arial" w:hAnsi="Arial" w:eastAsia="宋体" w:cs="Arial"/>
                <w:color w:val="auto"/>
                <w:sz w:val="21"/>
                <w:szCs w:val="21"/>
                <w:lang w:val="en-US" w:eastAsia="zh-CN"/>
              </w:rPr>
              <w:t>5</w:t>
            </w:r>
          </w:p>
        </w:tc>
        <w:tc>
          <w:tcPr>
            <w:tcW w:w="1138" w:type="dxa"/>
            <w:vMerge w:val="continue"/>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p>
        </w:tc>
        <w:tc>
          <w:tcPr>
            <w:tcW w:w="1393"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10</w:t>
            </w:r>
            <w:r>
              <w:rPr>
                <w:rFonts w:hint="default" w:ascii="Arial" w:hAnsi="Arial" w:eastAsia="宋体" w:cs="Arial"/>
                <w:color w:val="auto"/>
                <w:sz w:val="21"/>
                <w:szCs w:val="21"/>
              </w:rPr>
              <w:t>:</w:t>
            </w:r>
            <w:r>
              <w:rPr>
                <w:rFonts w:hint="default" w:ascii="Arial" w:hAnsi="Arial" w:eastAsia="宋体" w:cs="Arial"/>
                <w:color w:val="auto"/>
                <w:sz w:val="21"/>
                <w:szCs w:val="21"/>
                <w:lang w:val="en-US" w:eastAsia="zh-CN"/>
              </w:rPr>
              <w:t>25</w:t>
            </w:r>
            <w:r>
              <w:rPr>
                <w:rFonts w:hint="default" w:ascii="Arial" w:hAnsi="Arial" w:eastAsia="宋体" w:cs="Arial"/>
                <w:color w:val="auto"/>
                <w:sz w:val="21"/>
                <w:szCs w:val="21"/>
              </w:rPr>
              <w:t>~</w:t>
            </w:r>
            <w:r>
              <w:rPr>
                <w:rFonts w:hint="default" w:ascii="Arial" w:hAnsi="Arial" w:eastAsia="宋体" w:cs="Arial"/>
                <w:color w:val="auto"/>
                <w:sz w:val="21"/>
                <w:szCs w:val="21"/>
                <w:lang w:val="en-US" w:eastAsia="zh-CN"/>
              </w:rPr>
              <w:t>10</w:t>
            </w:r>
            <w:r>
              <w:rPr>
                <w:rFonts w:hint="default" w:ascii="Arial" w:hAnsi="Arial" w:eastAsia="宋体" w:cs="Arial"/>
                <w:color w:val="auto"/>
                <w:sz w:val="21"/>
                <w:szCs w:val="21"/>
              </w:rPr>
              <w:t>:</w:t>
            </w:r>
            <w:r>
              <w:rPr>
                <w:rFonts w:hint="default" w:ascii="Arial" w:hAnsi="Arial" w:eastAsia="宋体" w:cs="Arial"/>
                <w:color w:val="auto"/>
                <w:sz w:val="21"/>
                <w:szCs w:val="21"/>
                <w:lang w:val="en-US" w:eastAsia="zh-CN"/>
              </w:rPr>
              <w:t>35</w:t>
            </w:r>
          </w:p>
        </w:tc>
        <w:tc>
          <w:tcPr>
            <w:tcW w:w="1388"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50</w:t>
            </w:r>
          </w:p>
        </w:tc>
        <w:tc>
          <w:tcPr>
            <w:tcW w:w="1459"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22</w:t>
            </w:r>
            <w:r>
              <w:rPr>
                <w:rFonts w:hint="default" w:ascii="Arial" w:hAnsi="Arial" w:eastAsia="宋体" w:cs="Arial"/>
                <w:color w:val="auto"/>
                <w:sz w:val="21"/>
                <w:szCs w:val="21"/>
              </w:rPr>
              <w:t>:</w:t>
            </w:r>
            <w:r>
              <w:rPr>
                <w:rFonts w:hint="default" w:ascii="Arial" w:hAnsi="Arial" w:eastAsia="宋体" w:cs="Arial"/>
                <w:color w:val="auto"/>
                <w:sz w:val="21"/>
                <w:szCs w:val="21"/>
                <w:lang w:val="en-US" w:eastAsia="zh-CN"/>
              </w:rPr>
              <w:t>59</w:t>
            </w:r>
            <w:r>
              <w:rPr>
                <w:rFonts w:hint="default" w:ascii="Arial" w:hAnsi="Arial" w:eastAsia="宋体" w:cs="Arial"/>
                <w:color w:val="auto"/>
                <w:sz w:val="21"/>
                <w:szCs w:val="21"/>
              </w:rPr>
              <w:t>~2</w:t>
            </w:r>
            <w:r>
              <w:rPr>
                <w:rFonts w:hint="default" w:ascii="Arial" w:hAnsi="Arial" w:eastAsia="宋体" w:cs="Arial"/>
                <w:color w:val="auto"/>
                <w:sz w:val="21"/>
                <w:szCs w:val="21"/>
                <w:lang w:val="en-US" w:eastAsia="zh-CN"/>
              </w:rPr>
              <w:t>3</w:t>
            </w:r>
            <w:r>
              <w:rPr>
                <w:rFonts w:hint="default" w:ascii="Arial" w:hAnsi="Arial" w:eastAsia="宋体" w:cs="Arial"/>
                <w:color w:val="auto"/>
                <w:sz w:val="21"/>
                <w:szCs w:val="21"/>
              </w:rPr>
              <w:t>:</w:t>
            </w:r>
            <w:r>
              <w:rPr>
                <w:rFonts w:hint="default" w:ascii="Arial" w:hAnsi="Arial" w:eastAsia="宋体" w:cs="Arial"/>
                <w:color w:val="auto"/>
                <w:sz w:val="21"/>
                <w:szCs w:val="21"/>
                <w:lang w:val="en-US" w:eastAsia="zh-CN"/>
              </w:rPr>
              <w:t>09</w:t>
            </w:r>
          </w:p>
        </w:tc>
        <w:tc>
          <w:tcPr>
            <w:tcW w:w="1461" w:type="dxa"/>
            <w:tcBorders>
              <w:right w:val="nil"/>
            </w:tcBorders>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42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75" w:type="dxa"/>
            <w:tcBorders>
              <w:left w:val="nil"/>
            </w:tcBorders>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西北</w:t>
            </w:r>
            <w:r>
              <w:rPr>
                <w:rFonts w:hint="default" w:ascii="Arial" w:hAnsi="Arial" w:eastAsia="宋体" w:cs="Arial"/>
                <w:color w:val="auto"/>
                <w:sz w:val="21"/>
                <w:szCs w:val="21"/>
              </w:rPr>
              <w:t>厂界△</w:t>
            </w:r>
            <w:r>
              <w:rPr>
                <w:rFonts w:hint="default" w:ascii="Arial" w:hAnsi="Arial" w:eastAsia="宋体" w:cs="Arial"/>
                <w:color w:val="auto"/>
                <w:sz w:val="21"/>
                <w:szCs w:val="21"/>
                <w:lang w:val="en-US" w:eastAsia="zh-CN"/>
              </w:rPr>
              <w:t>6</w:t>
            </w:r>
          </w:p>
        </w:tc>
        <w:tc>
          <w:tcPr>
            <w:tcW w:w="1138" w:type="dxa"/>
            <w:vMerge w:val="continue"/>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highlight w:val="none"/>
              </w:rPr>
            </w:pPr>
          </w:p>
        </w:tc>
        <w:tc>
          <w:tcPr>
            <w:tcW w:w="1393"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10</w:t>
            </w:r>
            <w:r>
              <w:rPr>
                <w:rFonts w:hint="default" w:ascii="Arial" w:hAnsi="Arial" w:eastAsia="宋体" w:cs="Arial"/>
                <w:color w:val="auto"/>
                <w:sz w:val="21"/>
                <w:szCs w:val="21"/>
              </w:rPr>
              <w:t>:</w:t>
            </w:r>
            <w:r>
              <w:rPr>
                <w:rFonts w:hint="default" w:ascii="Arial" w:hAnsi="Arial" w:eastAsia="宋体" w:cs="Arial"/>
                <w:color w:val="auto"/>
                <w:sz w:val="21"/>
                <w:szCs w:val="21"/>
                <w:lang w:val="en-US" w:eastAsia="zh-CN"/>
              </w:rPr>
              <w:t>41</w:t>
            </w:r>
            <w:r>
              <w:rPr>
                <w:rFonts w:hint="default" w:ascii="Arial" w:hAnsi="Arial" w:eastAsia="宋体" w:cs="Arial"/>
                <w:color w:val="auto"/>
                <w:sz w:val="21"/>
                <w:szCs w:val="21"/>
              </w:rPr>
              <w:t>~</w:t>
            </w:r>
            <w:r>
              <w:rPr>
                <w:rFonts w:hint="default" w:ascii="Arial" w:hAnsi="Arial" w:eastAsia="宋体" w:cs="Arial"/>
                <w:color w:val="auto"/>
                <w:sz w:val="21"/>
                <w:szCs w:val="21"/>
                <w:lang w:val="en-US" w:eastAsia="zh-CN"/>
              </w:rPr>
              <w:t>10</w:t>
            </w:r>
            <w:r>
              <w:rPr>
                <w:rFonts w:hint="default" w:ascii="Arial" w:hAnsi="Arial" w:eastAsia="宋体" w:cs="Arial"/>
                <w:color w:val="auto"/>
                <w:sz w:val="21"/>
                <w:szCs w:val="21"/>
              </w:rPr>
              <w:t>:</w:t>
            </w:r>
            <w:r>
              <w:rPr>
                <w:rFonts w:hint="default" w:ascii="Arial" w:hAnsi="Arial" w:eastAsia="宋体" w:cs="Arial"/>
                <w:color w:val="auto"/>
                <w:sz w:val="21"/>
                <w:szCs w:val="21"/>
                <w:lang w:val="en-US" w:eastAsia="zh-CN"/>
              </w:rPr>
              <w:t>51</w:t>
            </w:r>
          </w:p>
        </w:tc>
        <w:tc>
          <w:tcPr>
            <w:tcW w:w="1388"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49</w:t>
            </w:r>
          </w:p>
        </w:tc>
        <w:tc>
          <w:tcPr>
            <w:tcW w:w="1459"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2</w:t>
            </w:r>
            <w:r>
              <w:rPr>
                <w:rFonts w:hint="default" w:ascii="Arial" w:hAnsi="Arial" w:eastAsia="宋体" w:cs="Arial"/>
                <w:color w:val="auto"/>
                <w:sz w:val="21"/>
                <w:szCs w:val="21"/>
                <w:lang w:val="en-US" w:eastAsia="zh-CN"/>
              </w:rPr>
              <w:t>3</w:t>
            </w:r>
            <w:r>
              <w:rPr>
                <w:rFonts w:hint="default" w:ascii="Arial" w:hAnsi="Arial" w:eastAsia="宋体" w:cs="Arial"/>
                <w:color w:val="auto"/>
                <w:sz w:val="21"/>
                <w:szCs w:val="21"/>
              </w:rPr>
              <w:t>:</w:t>
            </w:r>
            <w:r>
              <w:rPr>
                <w:rFonts w:hint="default" w:ascii="Arial" w:hAnsi="Arial" w:eastAsia="宋体" w:cs="Arial"/>
                <w:color w:val="auto"/>
                <w:sz w:val="21"/>
                <w:szCs w:val="21"/>
                <w:lang w:val="en-US" w:eastAsia="zh-CN"/>
              </w:rPr>
              <w:t>12</w:t>
            </w:r>
            <w:r>
              <w:rPr>
                <w:rFonts w:hint="default" w:ascii="Arial" w:hAnsi="Arial" w:eastAsia="宋体" w:cs="Arial"/>
                <w:color w:val="auto"/>
                <w:sz w:val="21"/>
                <w:szCs w:val="21"/>
              </w:rPr>
              <w:t>~2</w:t>
            </w:r>
            <w:r>
              <w:rPr>
                <w:rFonts w:hint="default" w:ascii="Arial" w:hAnsi="Arial" w:eastAsia="宋体" w:cs="Arial"/>
                <w:color w:val="auto"/>
                <w:sz w:val="21"/>
                <w:szCs w:val="21"/>
                <w:lang w:val="en-US" w:eastAsia="zh-CN"/>
              </w:rPr>
              <w:t>3</w:t>
            </w:r>
            <w:r>
              <w:rPr>
                <w:rFonts w:hint="default" w:ascii="Arial" w:hAnsi="Arial" w:eastAsia="宋体" w:cs="Arial"/>
                <w:color w:val="auto"/>
                <w:sz w:val="21"/>
                <w:szCs w:val="21"/>
              </w:rPr>
              <w:t>:</w:t>
            </w:r>
            <w:r>
              <w:rPr>
                <w:rFonts w:hint="default" w:ascii="Arial" w:hAnsi="Arial" w:eastAsia="宋体" w:cs="Arial"/>
                <w:color w:val="auto"/>
                <w:sz w:val="21"/>
                <w:szCs w:val="21"/>
                <w:lang w:val="en-US" w:eastAsia="zh-CN"/>
              </w:rPr>
              <w:t>22</w:t>
            </w:r>
          </w:p>
        </w:tc>
        <w:tc>
          <w:tcPr>
            <w:tcW w:w="1461" w:type="dxa"/>
            <w:tcBorders>
              <w:right w:val="nil"/>
            </w:tcBorders>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42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75" w:type="dxa"/>
            <w:tcBorders>
              <w:left w:val="nil"/>
            </w:tcBorders>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北</w:t>
            </w:r>
            <w:r>
              <w:rPr>
                <w:rFonts w:hint="default" w:ascii="Arial" w:hAnsi="Arial" w:eastAsia="宋体" w:cs="Arial"/>
                <w:color w:val="auto"/>
                <w:sz w:val="21"/>
                <w:szCs w:val="21"/>
              </w:rPr>
              <w:t>厂界△</w:t>
            </w:r>
            <w:r>
              <w:rPr>
                <w:rFonts w:hint="default" w:ascii="Arial" w:hAnsi="Arial" w:eastAsia="宋体" w:cs="Arial"/>
                <w:color w:val="auto"/>
                <w:sz w:val="21"/>
                <w:szCs w:val="21"/>
                <w:lang w:val="en-US" w:eastAsia="zh-CN"/>
              </w:rPr>
              <w:t>7</w:t>
            </w:r>
          </w:p>
        </w:tc>
        <w:tc>
          <w:tcPr>
            <w:tcW w:w="1138" w:type="dxa"/>
            <w:vMerge w:val="continue"/>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highlight w:val="none"/>
              </w:rPr>
            </w:pPr>
          </w:p>
        </w:tc>
        <w:tc>
          <w:tcPr>
            <w:tcW w:w="1393"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10</w:t>
            </w:r>
            <w:r>
              <w:rPr>
                <w:rFonts w:hint="default" w:ascii="Arial" w:hAnsi="Arial" w:eastAsia="宋体" w:cs="Arial"/>
                <w:color w:val="auto"/>
                <w:sz w:val="21"/>
                <w:szCs w:val="21"/>
              </w:rPr>
              <w:t>:</w:t>
            </w:r>
            <w:r>
              <w:rPr>
                <w:rFonts w:hint="default" w:ascii="Arial" w:hAnsi="Arial" w:eastAsia="宋体" w:cs="Arial"/>
                <w:color w:val="auto"/>
                <w:sz w:val="21"/>
                <w:szCs w:val="21"/>
                <w:lang w:val="en-US" w:eastAsia="zh-CN"/>
              </w:rPr>
              <w:t>58</w:t>
            </w:r>
            <w:r>
              <w:rPr>
                <w:rFonts w:hint="default" w:ascii="Arial" w:hAnsi="Arial" w:eastAsia="宋体" w:cs="Arial"/>
                <w:color w:val="auto"/>
                <w:sz w:val="21"/>
                <w:szCs w:val="21"/>
              </w:rPr>
              <w:t>~</w:t>
            </w:r>
            <w:r>
              <w:rPr>
                <w:rFonts w:hint="default" w:ascii="Arial" w:hAnsi="Arial" w:eastAsia="宋体" w:cs="Arial"/>
                <w:color w:val="auto"/>
                <w:sz w:val="21"/>
                <w:szCs w:val="21"/>
                <w:lang w:val="en-US" w:eastAsia="zh-CN"/>
              </w:rPr>
              <w:t>11</w:t>
            </w:r>
            <w:r>
              <w:rPr>
                <w:rFonts w:hint="default" w:ascii="Arial" w:hAnsi="Arial" w:eastAsia="宋体" w:cs="Arial"/>
                <w:color w:val="auto"/>
                <w:sz w:val="21"/>
                <w:szCs w:val="21"/>
              </w:rPr>
              <w:t>:</w:t>
            </w:r>
            <w:r>
              <w:rPr>
                <w:rFonts w:hint="default" w:ascii="Arial" w:hAnsi="Arial" w:eastAsia="宋体" w:cs="Arial"/>
                <w:color w:val="auto"/>
                <w:sz w:val="21"/>
                <w:szCs w:val="21"/>
                <w:lang w:val="en-US" w:eastAsia="zh-CN"/>
              </w:rPr>
              <w:t>08</w:t>
            </w:r>
          </w:p>
        </w:tc>
        <w:tc>
          <w:tcPr>
            <w:tcW w:w="1388"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51</w:t>
            </w:r>
          </w:p>
        </w:tc>
        <w:tc>
          <w:tcPr>
            <w:tcW w:w="1459"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rPr>
              <w:t>2</w:t>
            </w:r>
            <w:r>
              <w:rPr>
                <w:rFonts w:hint="default" w:ascii="Arial" w:hAnsi="Arial" w:eastAsia="宋体" w:cs="Arial"/>
                <w:color w:val="auto"/>
                <w:sz w:val="21"/>
                <w:szCs w:val="21"/>
                <w:lang w:val="en-US" w:eastAsia="zh-CN"/>
              </w:rPr>
              <w:t>3</w:t>
            </w:r>
            <w:r>
              <w:rPr>
                <w:rFonts w:hint="default" w:ascii="Arial" w:hAnsi="Arial" w:eastAsia="宋体" w:cs="Arial"/>
                <w:color w:val="auto"/>
                <w:sz w:val="21"/>
                <w:szCs w:val="21"/>
              </w:rPr>
              <w:t>:</w:t>
            </w:r>
            <w:r>
              <w:rPr>
                <w:rFonts w:hint="default" w:ascii="Arial" w:hAnsi="Arial" w:eastAsia="宋体" w:cs="Arial"/>
                <w:color w:val="auto"/>
                <w:sz w:val="21"/>
                <w:szCs w:val="21"/>
                <w:lang w:val="en-US" w:eastAsia="zh-CN"/>
              </w:rPr>
              <w:t>28</w:t>
            </w:r>
            <w:r>
              <w:rPr>
                <w:rFonts w:hint="default" w:ascii="Arial" w:hAnsi="Arial" w:eastAsia="宋体" w:cs="Arial"/>
                <w:color w:val="auto"/>
                <w:sz w:val="21"/>
                <w:szCs w:val="21"/>
              </w:rPr>
              <w:t>~2</w:t>
            </w:r>
            <w:r>
              <w:rPr>
                <w:rFonts w:hint="default" w:ascii="Arial" w:hAnsi="Arial" w:eastAsia="宋体" w:cs="Arial"/>
                <w:color w:val="auto"/>
                <w:sz w:val="21"/>
                <w:szCs w:val="21"/>
                <w:lang w:val="en-US" w:eastAsia="zh-CN"/>
              </w:rPr>
              <w:t>3</w:t>
            </w:r>
            <w:r>
              <w:rPr>
                <w:rFonts w:hint="default" w:ascii="Arial" w:hAnsi="Arial" w:eastAsia="宋体" w:cs="Arial"/>
                <w:color w:val="auto"/>
                <w:sz w:val="21"/>
                <w:szCs w:val="21"/>
              </w:rPr>
              <w:t>:</w:t>
            </w:r>
            <w:r>
              <w:rPr>
                <w:rFonts w:hint="default" w:ascii="Arial" w:hAnsi="Arial" w:eastAsia="宋体" w:cs="Arial"/>
                <w:color w:val="auto"/>
                <w:sz w:val="21"/>
                <w:szCs w:val="21"/>
                <w:lang w:val="en-US" w:eastAsia="zh-CN"/>
              </w:rPr>
              <w:t>38</w:t>
            </w:r>
          </w:p>
        </w:tc>
        <w:tc>
          <w:tcPr>
            <w:tcW w:w="1461" w:type="dxa"/>
            <w:tcBorders>
              <w:right w:val="nil"/>
            </w:tcBorders>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41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75" w:type="dxa"/>
            <w:tcBorders>
              <w:left w:val="nil"/>
            </w:tcBorders>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东北</w:t>
            </w:r>
            <w:r>
              <w:rPr>
                <w:rFonts w:hint="default" w:ascii="Arial" w:hAnsi="Arial" w:eastAsia="宋体" w:cs="Arial"/>
                <w:color w:val="auto"/>
                <w:sz w:val="21"/>
                <w:szCs w:val="21"/>
              </w:rPr>
              <w:t>厂界△</w:t>
            </w:r>
            <w:r>
              <w:rPr>
                <w:rFonts w:hint="default" w:ascii="Arial" w:hAnsi="Arial" w:eastAsia="宋体" w:cs="Arial"/>
                <w:color w:val="auto"/>
                <w:sz w:val="21"/>
                <w:szCs w:val="21"/>
                <w:lang w:val="en-US" w:eastAsia="zh-CN"/>
              </w:rPr>
              <w:t>8</w:t>
            </w:r>
          </w:p>
        </w:tc>
        <w:tc>
          <w:tcPr>
            <w:tcW w:w="1138" w:type="dxa"/>
            <w:vMerge w:val="continue"/>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highlight w:val="none"/>
              </w:rPr>
            </w:pPr>
          </w:p>
        </w:tc>
        <w:tc>
          <w:tcPr>
            <w:tcW w:w="1393"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11:12~11:22</w:t>
            </w:r>
          </w:p>
        </w:tc>
        <w:tc>
          <w:tcPr>
            <w:tcW w:w="1388"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51</w:t>
            </w:r>
          </w:p>
        </w:tc>
        <w:tc>
          <w:tcPr>
            <w:tcW w:w="1459"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23</w:t>
            </w:r>
            <w:r>
              <w:rPr>
                <w:rFonts w:hint="default" w:ascii="Arial" w:hAnsi="Arial" w:eastAsia="宋体" w:cs="Arial"/>
                <w:color w:val="auto"/>
                <w:sz w:val="21"/>
                <w:szCs w:val="21"/>
              </w:rPr>
              <w:t>:</w:t>
            </w:r>
            <w:r>
              <w:rPr>
                <w:rFonts w:hint="default" w:ascii="Arial" w:hAnsi="Arial" w:eastAsia="宋体" w:cs="Arial"/>
                <w:color w:val="auto"/>
                <w:sz w:val="21"/>
                <w:szCs w:val="21"/>
                <w:lang w:val="en-US" w:eastAsia="zh-CN"/>
              </w:rPr>
              <w:t>45</w:t>
            </w:r>
            <w:r>
              <w:rPr>
                <w:rFonts w:hint="default" w:ascii="Arial" w:hAnsi="Arial" w:eastAsia="宋体" w:cs="Arial"/>
                <w:color w:val="auto"/>
                <w:sz w:val="21"/>
                <w:szCs w:val="21"/>
              </w:rPr>
              <w:t>~</w:t>
            </w:r>
            <w:r>
              <w:rPr>
                <w:rFonts w:hint="default" w:ascii="Arial" w:hAnsi="Arial" w:eastAsia="宋体" w:cs="Arial"/>
                <w:color w:val="auto"/>
                <w:sz w:val="21"/>
                <w:szCs w:val="21"/>
                <w:lang w:val="en-US" w:eastAsia="zh-CN"/>
              </w:rPr>
              <w:t>23</w:t>
            </w:r>
            <w:r>
              <w:rPr>
                <w:rFonts w:hint="default" w:ascii="Arial" w:hAnsi="Arial" w:eastAsia="宋体" w:cs="Arial"/>
                <w:color w:val="auto"/>
                <w:sz w:val="21"/>
                <w:szCs w:val="21"/>
              </w:rPr>
              <w:t>:</w:t>
            </w:r>
            <w:r>
              <w:rPr>
                <w:rFonts w:hint="default" w:ascii="Arial" w:hAnsi="Arial" w:eastAsia="宋体" w:cs="Arial"/>
                <w:color w:val="auto"/>
                <w:sz w:val="21"/>
                <w:szCs w:val="21"/>
                <w:lang w:val="en-US" w:eastAsia="zh-CN"/>
              </w:rPr>
              <w:t>55</w:t>
            </w:r>
          </w:p>
        </w:tc>
        <w:tc>
          <w:tcPr>
            <w:tcW w:w="1461" w:type="dxa"/>
            <w:tcBorders>
              <w:right w:val="nil"/>
            </w:tcBorders>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lang w:val="en-US" w:eastAsia="zh-CN" w:bidi="ar-SA"/>
              </w:rPr>
            </w:pPr>
            <w:r>
              <w:rPr>
                <w:rFonts w:hint="default" w:ascii="Arial" w:hAnsi="Arial" w:eastAsia="宋体" w:cs="Arial"/>
                <w:color w:val="auto"/>
                <w:sz w:val="21"/>
                <w:szCs w:val="21"/>
                <w:lang w:val="en-US" w:eastAsia="zh-CN"/>
              </w:rPr>
              <w:t>42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313" w:type="dxa"/>
            <w:gridSpan w:val="2"/>
            <w:tcBorders>
              <w:left w:val="nil"/>
            </w:tcBorders>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限值</w:t>
            </w:r>
          </w:p>
        </w:tc>
        <w:tc>
          <w:tcPr>
            <w:tcW w:w="1393"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highlight w:val="none"/>
                <w:lang w:val="en-US" w:eastAsia="zh-CN"/>
              </w:rPr>
            </w:pPr>
          </w:p>
        </w:tc>
        <w:tc>
          <w:tcPr>
            <w:tcW w:w="1388"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highlight w:val="none"/>
              </w:rPr>
              <w:t>60</w:t>
            </w:r>
          </w:p>
        </w:tc>
        <w:tc>
          <w:tcPr>
            <w:tcW w:w="1459" w:type="dxa"/>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highlight w:val="none"/>
                <w:lang w:val="en-US" w:eastAsia="zh-CN"/>
              </w:rPr>
            </w:pPr>
          </w:p>
        </w:tc>
        <w:tc>
          <w:tcPr>
            <w:tcW w:w="1461" w:type="dxa"/>
            <w:tcBorders>
              <w:right w:val="nil"/>
            </w:tcBorders>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highlight w:val="none"/>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313" w:type="dxa"/>
            <w:gridSpan w:val="2"/>
            <w:tcBorders>
              <w:left w:val="nil"/>
            </w:tcBorders>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执行标准</w:t>
            </w:r>
          </w:p>
        </w:tc>
        <w:tc>
          <w:tcPr>
            <w:tcW w:w="5701" w:type="dxa"/>
            <w:gridSpan w:val="4"/>
            <w:tcBorders>
              <w:right w:val="nil"/>
            </w:tcBorders>
            <w:noWrap w:val="0"/>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highlight w:val="none"/>
              </w:rPr>
              <w:t>《声环境质量标准》（GB3096-2008）中2类标准</w:t>
            </w:r>
          </w:p>
        </w:tc>
      </w:tr>
    </w:tbl>
    <w:p>
      <w:pPr>
        <w:pStyle w:val="7"/>
        <w:pageBreakBefore w:val="0"/>
        <w:widowControl w:val="0"/>
        <w:kinsoku/>
        <w:wordWrap/>
        <w:overflowPunct/>
        <w:topLinePunct/>
        <w:autoSpaceDE w:val="0"/>
        <w:autoSpaceDN/>
        <w:bidi w:val="0"/>
        <w:adjustRightInd/>
        <w:snapToGrid/>
        <w:ind w:right="0"/>
        <w:textAlignment w:val="auto"/>
        <w:rPr>
          <w:rFonts w:hint="default" w:ascii="Arial" w:hAnsi="Arial" w:eastAsia="宋体" w:cs="Arial"/>
          <w:color w:val="auto"/>
          <w:highlight w:val="none"/>
        </w:rPr>
      </w:pPr>
      <w:r>
        <w:rPr>
          <w:rFonts w:hint="default" w:ascii="Arial" w:hAnsi="Arial" w:eastAsia="宋体" w:cs="Arial"/>
          <w:color w:val="auto"/>
          <w:highlight w:val="none"/>
        </w:rPr>
        <w:t>4.2.4.5声环境质量现状评价</w:t>
      </w:r>
    </w:p>
    <w:p>
      <w:pPr>
        <w:pageBreakBefore w:val="0"/>
        <w:widowControl w:val="0"/>
        <w:kinsoku/>
        <w:wordWrap/>
        <w:overflowPunct/>
        <w:topLinePunct/>
        <w:autoSpaceDE w:val="0"/>
        <w:autoSpaceDN/>
        <w:bidi w:val="0"/>
        <w:adjustRightInd/>
        <w:snapToGrid/>
        <w:ind w:right="0"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1）评价标准</w:t>
      </w:r>
    </w:p>
    <w:p>
      <w:pPr>
        <w:pageBreakBefore w:val="0"/>
        <w:widowControl w:val="0"/>
        <w:kinsoku/>
        <w:wordWrap/>
        <w:overflowPunct/>
        <w:topLinePunct/>
        <w:autoSpaceDE w:val="0"/>
        <w:autoSpaceDN/>
        <w:bidi w:val="0"/>
        <w:adjustRightInd/>
        <w:snapToGrid/>
        <w:ind w:right="0"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根据项目区域的环境特征，声环境现状评价依据《声环境质量标准》（GB3096－2008）中的2类区标准：昼间60dB（A），夜间50dB（A）</w:t>
      </w:r>
    </w:p>
    <w:p>
      <w:pPr>
        <w:pageBreakBefore w:val="0"/>
        <w:widowControl w:val="0"/>
        <w:kinsoku/>
        <w:wordWrap/>
        <w:overflowPunct/>
        <w:topLinePunct/>
        <w:autoSpaceDE w:val="0"/>
        <w:autoSpaceDN/>
        <w:bidi w:val="0"/>
        <w:adjustRightInd/>
        <w:snapToGrid/>
        <w:ind w:right="0" w:firstLine="496"/>
        <w:textAlignment w:val="auto"/>
        <w:rPr>
          <w:rFonts w:hint="default" w:ascii="Arial" w:hAnsi="Arial" w:eastAsia="宋体" w:cs="Arial"/>
          <w:color w:val="auto"/>
          <w:spacing w:val="4"/>
          <w:szCs w:val="24"/>
          <w:highlight w:val="none"/>
        </w:rPr>
      </w:pPr>
      <w:r>
        <w:rPr>
          <w:rFonts w:hint="default" w:ascii="Arial" w:hAnsi="Arial" w:eastAsia="宋体" w:cs="Arial"/>
          <w:color w:val="auto"/>
          <w:spacing w:val="4"/>
          <w:szCs w:val="24"/>
          <w:highlight w:val="none"/>
        </w:rPr>
        <w:t>2）评价结果</w:t>
      </w:r>
    </w:p>
    <w:p>
      <w:pPr>
        <w:pageBreakBefore w:val="0"/>
        <w:widowControl w:val="0"/>
        <w:kinsoku/>
        <w:wordWrap/>
        <w:overflowPunct/>
        <w:topLinePunct/>
        <w:autoSpaceDE w:val="0"/>
        <w:autoSpaceDN/>
        <w:bidi w:val="0"/>
        <w:adjustRightInd/>
        <w:snapToGrid/>
        <w:ind w:right="0"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根据监测结果</w:t>
      </w:r>
      <w:r>
        <w:rPr>
          <w:rFonts w:hint="default" w:ascii="Arial" w:hAnsi="Arial" w:eastAsia="宋体" w:cs="Arial"/>
          <w:color w:val="auto"/>
          <w:highlight w:val="none"/>
          <w:lang w:eastAsia="zh-CN"/>
        </w:rPr>
        <w:t>可知，本项目拟建场区</w:t>
      </w:r>
      <w:r>
        <w:rPr>
          <w:rFonts w:hint="default" w:ascii="Arial" w:hAnsi="Arial" w:eastAsia="宋体" w:cs="Arial"/>
          <w:color w:val="auto"/>
          <w:highlight w:val="none"/>
        </w:rPr>
        <w:t>昼间声环境现状</w:t>
      </w:r>
      <w:r>
        <w:rPr>
          <w:rFonts w:hint="default" w:ascii="Arial" w:hAnsi="Arial" w:eastAsia="宋体" w:cs="Arial"/>
          <w:color w:val="auto"/>
          <w:highlight w:val="none"/>
          <w:lang w:eastAsia="zh-CN"/>
        </w:rPr>
        <w:t>监测值为</w:t>
      </w:r>
      <w:r>
        <w:rPr>
          <w:rFonts w:hint="default" w:ascii="Arial" w:hAnsi="Arial" w:eastAsia="宋体" w:cs="Arial"/>
          <w:color w:val="auto"/>
          <w:highlight w:val="none"/>
          <w:lang w:val="en-US" w:eastAsia="zh-CN"/>
        </w:rPr>
        <w:t>49</w:t>
      </w:r>
      <w:r>
        <w:rPr>
          <w:rFonts w:hint="default" w:ascii="Arial" w:hAnsi="Arial" w:eastAsia="宋体" w:cs="Arial"/>
          <w:color w:val="auto"/>
          <w:highlight w:val="none"/>
        </w:rPr>
        <w:t>~5</w:t>
      </w:r>
      <w:r>
        <w:rPr>
          <w:rFonts w:hint="default" w:ascii="Arial" w:hAnsi="Arial" w:eastAsia="宋体" w:cs="Arial"/>
          <w:color w:val="auto"/>
          <w:highlight w:val="none"/>
          <w:lang w:val="en-US" w:eastAsia="zh-CN"/>
        </w:rPr>
        <w:t>1</w:t>
      </w:r>
      <w:r>
        <w:rPr>
          <w:rFonts w:hint="default" w:ascii="Arial" w:hAnsi="Arial" w:eastAsia="宋体" w:cs="Arial"/>
          <w:color w:val="auto"/>
          <w:highlight w:val="none"/>
        </w:rPr>
        <w:t>dB(A)、夜间声环境现状</w:t>
      </w:r>
      <w:r>
        <w:rPr>
          <w:rFonts w:hint="default" w:ascii="Arial" w:hAnsi="Arial" w:eastAsia="宋体" w:cs="Arial"/>
          <w:color w:val="auto"/>
          <w:highlight w:val="none"/>
          <w:lang w:eastAsia="zh-CN"/>
        </w:rPr>
        <w:t>监测值为</w:t>
      </w:r>
      <w:r>
        <w:rPr>
          <w:rFonts w:hint="default" w:ascii="Arial" w:hAnsi="Arial" w:eastAsia="宋体" w:cs="Arial"/>
          <w:color w:val="auto"/>
          <w:highlight w:val="none"/>
          <w:lang w:val="en-US" w:eastAsia="zh-CN"/>
        </w:rPr>
        <w:t>40</w:t>
      </w:r>
      <w:r>
        <w:rPr>
          <w:rFonts w:hint="default" w:ascii="Arial" w:hAnsi="Arial" w:eastAsia="宋体" w:cs="Arial"/>
          <w:color w:val="auto"/>
          <w:highlight w:val="none"/>
        </w:rPr>
        <w:t>~4</w:t>
      </w:r>
      <w:r>
        <w:rPr>
          <w:rFonts w:hint="default" w:ascii="Arial" w:hAnsi="Arial" w:eastAsia="宋体" w:cs="Arial"/>
          <w:color w:val="auto"/>
          <w:highlight w:val="none"/>
          <w:lang w:val="en-US" w:eastAsia="zh-CN"/>
        </w:rPr>
        <w:t>3</w:t>
      </w:r>
      <w:r>
        <w:rPr>
          <w:rFonts w:hint="default" w:ascii="Arial" w:hAnsi="Arial" w:eastAsia="宋体" w:cs="Arial"/>
          <w:color w:val="auto"/>
          <w:highlight w:val="none"/>
        </w:rPr>
        <w:t>dB(A)，均满足《声环境质量标准》</w:t>
      </w:r>
      <w:r>
        <w:rPr>
          <w:rFonts w:hint="default" w:ascii="Arial" w:hAnsi="Arial" w:eastAsia="宋体" w:cs="Arial"/>
          <w:color w:val="auto"/>
          <w:highlight w:val="none"/>
          <w:lang w:eastAsia="zh-CN"/>
        </w:rPr>
        <w:t>（</w:t>
      </w:r>
      <w:r>
        <w:rPr>
          <w:rFonts w:hint="default" w:ascii="Arial" w:hAnsi="Arial" w:eastAsia="宋体" w:cs="Arial"/>
          <w:color w:val="auto"/>
          <w:highlight w:val="none"/>
        </w:rPr>
        <w:t>GB3096-2008</w:t>
      </w:r>
      <w:r>
        <w:rPr>
          <w:rFonts w:hint="default" w:ascii="Arial" w:hAnsi="Arial" w:eastAsia="宋体" w:cs="Arial"/>
          <w:color w:val="auto"/>
          <w:highlight w:val="none"/>
          <w:lang w:eastAsia="zh-CN"/>
        </w:rPr>
        <w:t>）</w:t>
      </w:r>
      <w:r>
        <w:rPr>
          <w:rFonts w:hint="default" w:ascii="Arial" w:hAnsi="Arial" w:eastAsia="宋体" w:cs="Arial"/>
          <w:color w:val="auto"/>
          <w:highlight w:val="none"/>
        </w:rPr>
        <w:t>中2类标准限值要求。</w:t>
      </w:r>
    </w:p>
    <w:p>
      <w:pPr>
        <w:pageBreakBefore w:val="0"/>
        <w:widowControl w:val="0"/>
        <w:kinsoku/>
        <w:wordWrap/>
        <w:overflowPunct/>
        <w:topLinePunct/>
        <w:autoSpaceDE w:val="0"/>
        <w:autoSpaceDN/>
        <w:bidi w:val="0"/>
        <w:adjustRightInd/>
        <w:snapToGrid/>
        <w:ind w:right="0" w:firstLine="480"/>
        <w:textAlignment w:val="auto"/>
        <w:rPr>
          <w:rFonts w:hint="default" w:ascii="Arial" w:hAnsi="Arial" w:eastAsia="宋体" w:cs="Arial"/>
          <w:color w:val="auto"/>
          <w:highlight w:val="none"/>
        </w:rPr>
        <w:sectPr>
          <w:pgSz w:w="11906" w:h="16838"/>
          <w:pgMar w:top="1418" w:right="1418" w:bottom="1247" w:left="1701" w:header="851" w:footer="680" w:gutter="0"/>
          <w:pgBorders>
            <w:top w:val="none" w:sz="0" w:space="0"/>
            <w:left w:val="none" w:sz="0" w:space="0"/>
            <w:bottom w:val="none" w:sz="0" w:space="0"/>
            <w:right w:val="none" w:sz="0" w:space="0"/>
          </w:pgBorders>
          <w:pgNumType w:fmt="numberInDash"/>
          <w:cols w:space="425" w:num="1"/>
          <w:docGrid w:linePitch="326" w:charSpace="0"/>
        </w:sectPr>
      </w:pPr>
    </w:p>
    <w:p>
      <w:pPr>
        <w:spacing w:line="240" w:lineRule="auto"/>
        <w:ind w:firstLine="0" w:firstLineChars="0"/>
        <w:jc w:val="center"/>
        <w:rPr>
          <w:rFonts w:hint="default" w:ascii="Arial" w:hAnsi="Arial" w:eastAsia="宋体" w:cs="Arial"/>
          <w:color w:val="auto"/>
          <w:highlight w:val="none"/>
          <w:lang w:eastAsia="zh-CN"/>
        </w:rPr>
      </w:pPr>
      <w:r>
        <w:rPr>
          <w:rFonts w:hint="default" w:ascii="Arial" w:hAnsi="Arial" w:eastAsia="宋体" w:cs="Arial"/>
          <w:color w:val="auto"/>
          <w:sz w:val="24"/>
          <w:highlight w:val="none"/>
        </w:rPr>
        <w:drawing>
          <wp:inline distT="0" distB="0" distL="114300" distR="114300">
            <wp:extent cx="8267065" cy="5255895"/>
            <wp:effectExtent l="0" t="0" r="635" b="1905"/>
            <wp:docPr id="1" name="图片 1" descr="16451442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645144238(1)"/>
                    <pic:cNvPicPr>
                      <a:picLocks noChangeAspect="1"/>
                    </pic:cNvPicPr>
                  </pic:nvPicPr>
                  <pic:blipFill>
                    <a:blip r:embed="rId29"/>
                    <a:stretch>
                      <a:fillRect/>
                    </a:stretch>
                  </pic:blipFill>
                  <pic:spPr>
                    <a:xfrm>
                      <a:off x="0" y="0"/>
                      <a:ext cx="8267065" cy="5255895"/>
                    </a:xfrm>
                    <a:prstGeom prst="rect">
                      <a:avLst/>
                    </a:prstGeom>
                  </pic:spPr>
                </pic:pic>
              </a:graphicData>
            </a:graphic>
          </wp:inline>
        </w:drawing>
      </w:r>
    </w:p>
    <w:p>
      <w:pPr>
        <w:pStyle w:val="8"/>
        <w:rPr>
          <w:rFonts w:hint="default" w:ascii="Arial" w:hAnsi="Arial" w:eastAsia="宋体" w:cs="Arial"/>
          <w:color w:val="auto"/>
          <w:highlight w:val="none"/>
        </w:rPr>
        <w:sectPr>
          <w:pgSz w:w="16838" w:h="11906" w:orient="landscape"/>
          <w:pgMar w:top="1134" w:right="1134" w:bottom="1134" w:left="1134" w:header="737" w:footer="680" w:gutter="0"/>
          <w:pgBorders>
            <w:top w:val="none" w:sz="0" w:space="0"/>
            <w:left w:val="none" w:sz="0" w:space="0"/>
            <w:bottom w:val="none" w:sz="0" w:space="0"/>
            <w:right w:val="none" w:sz="0" w:space="0"/>
          </w:pgBorders>
          <w:pgNumType w:fmt="numberInDash"/>
          <w:cols w:space="425" w:num="1"/>
          <w:docGrid w:linePitch="326" w:charSpace="0"/>
        </w:sectPr>
      </w:pPr>
      <w:r>
        <w:rPr>
          <w:rFonts w:hint="default" w:ascii="Arial" w:hAnsi="Arial" w:eastAsia="宋体" w:cs="Arial"/>
          <w:color w:val="auto"/>
          <w:highlight w:val="none"/>
        </w:rPr>
        <w:t>图4.2-1    环境现状监测布点图</w:t>
      </w:r>
    </w:p>
    <w:p>
      <w:pPr>
        <w:pStyle w:val="6"/>
        <w:pageBreakBefore w:val="0"/>
        <w:widowControl w:val="0"/>
        <w:kinsoku/>
        <w:wordWrap/>
        <w:overflowPunct/>
        <w:topLinePunct/>
        <w:autoSpaceDE w:val="0"/>
        <w:autoSpaceDN/>
        <w:bidi w:val="0"/>
        <w:adjustRightInd/>
        <w:spacing w:line="480" w:lineRule="exact"/>
        <w:textAlignment w:val="auto"/>
        <w:rPr>
          <w:rFonts w:hint="default" w:ascii="Arial" w:hAnsi="Arial" w:eastAsia="宋体" w:cs="Arial"/>
          <w:color w:val="auto"/>
          <w:highlight w:val="none"/>
        </w:rPr>
      </w:pPr>
      <w:bookmarkStart w:id="319" w:name="_Toc46421122"/>
      <w:bookmarkStart w:id="320" w:name="_Toc10454"/>
      <w:r>
        <w:rPr>
          <w:rFonts w:hint="default" w:ascii="Arial" w:hAnsi="Arial" w:eastAsia="宋体" w:cs="Arial"/>
          <w:color w:val="auto"/>
          <w:highlight w:val="none"/>
        </w:rPr>
        <w:t>4.2.5生态环境现状调查与评价</w:t>
      </w:r>
      <w:bookmarkEnd w:id="319"/>
      <w:bookmarkEnd w:id="320"/>
    </w:p>
    <w:p>
      <w:pPr>
        <w:pageBreakBefore w:val="0"/>
        <w:widowControl w:val="0"/>
        <w:kinsoku/>
        <w:wordWrap/>
        <w:overflowPunct/>
        <w:topLinePunct/>
        <w:autoSpaceDE w:val="0"/>
        <w:autoSpaceDN/>
        <w:bidi w:val="0"/>
        <w:adjustRightInd/>
        <w:snapToGrid w:val="0"/>
        <w:spacing w:line="480" w:lineRule="exact"/>
        <w:ind w:firstLine="480" w:firstLineChars="200"/>
        <w:jc w:val="left"/>
        <w:textAlignment w:val="auto"/>
        <w:rPr>
          <w:rFonts w:hint="default" w:ascii="Arial" w:hAnsi="Arial" w:eastAsia="宋体" w:cs="Arial"/>
          <w:color w:val="auto"/>
          <w:sz w:val="24"/>
          <w:highlight w:val="none"/>
        </w:rPr>
      </w:pPr>
      <w:r>
        <w:rPr>
          <w:rFonts w:hint="default" w:ascii="Arial" w:hAnsi="Arial" w:eastAsia="宋体" w:cs="Arial"/>
          <w:color w:val="auto"/>
          <w:sz w:val="24"/>
          <w:highlight w:val="none"/>
        </w:rPr>
        <w:t>1、遥感数据源的选择与解译</w:t>
      </w:r>
    </w:p>
    <w:p>
      <w:pPr>
        <w:pageBreakBefore w:val="0"/>
        <w:widowControl w:val="0"/>
        <w:kinsoku/>
        <w:wordWrap/>
        <w:overflowPunct/>
        <w:topLinePunct/>
        <w:autoSpaceDE w:val="0"/>
        <w:autoSpaceDN/>
        <w:bidi w:val="0"/>
        <w:adjustRightInd/>
        <w:snapToGrid w:val="0"/>
        <w:spacing w:line="480" w:lineRule="exact"/>
        <w:ind w:firstLine="480" w:firstLineChars="200"/>
        <w:jc w:val="left"/>
        <w:textAlignment w:val="auto"/>
        <w:rPr>
          <w:rFonts w:hint="default" w:ascii="Arial" w:hAnsi="Arial" w:eastAsia="宋体" w:cs="Arial"/>
          <w:color w:val="auto"/>
          <w:sz w:val="24"/>
          <w:highlight w:val="none"/>
        </w:rPr>
      </w:pPr>
      <w:r>
        <w:rPr>
          <w:rFonts w:hint="default" w:ascii="Arial" w:hAnsi="Arial" w:eastAsia="宋体" w:cs="Arial"/>
          <w:color w:val="auto"/>
          <w:sz w:val="24"/>
          <w:highlight w:val="none"/>
        </w:rPr>
        <w:t>本次遥感信息解译使用的信息源为landsat8影像，空间分辨率为</w:t>
      </w:r>
      <w:r>
        <w:rPr>
          <w:rFonts w:hint="default" w:ascii="Arial" w:hAnsi="Arial" w:eastAsia="宋体" w:cs="Arial"/>
          <w:color w:val="auto"/>
          <w:sz w:val="24"/>
          <w:highlight w:val="none"/>
          <w:lang w:val="en-US" w:eastAsia="zh-CN"/>
        </w:rPr>
        <w:t>15</w:t>
      </w:r>
      <w:r>
        <w:rPr>
          <w:rFonts w:hint="default" w:ascii="Arial" w:hAnsi="Arial" w:eastAsia="宋体" w:cs="Arial"/>
          <w:color w:val="auto"/>
          <w:sz w:val="24"/>
          <w:highlight w:val="none"/>
        </w:rPr>
        <w:t>m，成像时间为20</w:t>
      </w:r>
      <w:r>
        <w:rPr>
          <w:rFonts w:hint="default" w:ascii="Arial" w:hAnsi="Arial" w:eastAsia="宋体" w:cs="Arial"/>
          <w:color w:val="auto"/>
          <w:sz w:val="24"/>
          <w:highlight w:val="none"/>
          <w:lang w:val="en-US" w:eastAsia="zh-CN"/>
        </w:rPr>
        <w:t>21</w:t>
      </w:r>
      <w:r>
        <w:rPr>
          <w:rFonts w:hint="default" w:ascii="Arial" w:hAnsi="Arial" w:eastAsia="宋体" w:cs="Arial"/>
          <w:color w:val="auto"/>
          <w:sz w:val="24"/>
          <w:highlight w:val="none"/>
        </w:rPr>
        <w:t>年</w:t>
      </w:r>
      <w:r>
        <w:rPr>
          <w:rFonts w:hint="default" w:ascii="Arial" w:hAnsi="Arial" w:eastAsia="宋体" w:cs="Arial"/>
          <w:color w:val="auto"/>
          <w:sz w:val="24"/>
          <w:highlight w:val="none"/>
          <w:lang w:val="en-US" w:eastAsia="zh-CN"/>
        </w:rPr>
        <w:t>7</w:t>
      </w:r>
      <w:r>
        <w:rPr>
          <w:rFonts w:hint="default" w:ascii="Arial" w:hAnsi="Arial" w:eastAsia="宋体" w:cs="Arial"/>
          <w:color w:val="auto"/>
          <w:sz w:val="24"/>
          <w:highlight w:val="none"/>
        </w:rPr>
        <w:t>月</w:t>
      </w:r>
      <w:r>
        <w:rPr>
          <w:rFonts w:hint="default" w:ascii="Arial" w:hAnsi="Arial" w:eastAsia="宋体" w:cs="Arial"/>
          <w:color w:val="auto"/>
          <w:sz w:val="24"/>
          <w:highlight w:val="none"/>
          <w:lang w:val="en-US" w:eastAsia="zh-CN"/>
        </w:rPr>
        <w:t>31</w:t>
      </w:r>
      <w:r>
        <w:rPr>
          <w:rFonts w:hint="default" w:ascii="Arial" w:hAnsi="Arial" w:eastAsia="宋体" w:cs="Arial"/>
          <w:color w:val="auto"/>
          <w:sz w:val="24"/>
          <w:highlight w:val="none"/>
        </w:rPr>
        <w:t>日。</w:t>
      </w:r>
    </w:p>
    <w:p>
      <w:pPr>
        <w:pageBreakBefore w:val="0"/>
        <w:widowControl w:val="0"/>
        <w:kinsoku/>
        <w:wordWrap/>
        <w:overflowPunct/>
        <w:topLinePunct/>
        <w:autoSpaceDE w:val="0"/>
        <w:autoSpaceDN/>
        <w:bidi w:val="0"/>
        <w:adjustRightInd/>
        <w:spacing w:line="480" w:lineRule="exact"/>
        <w:ind w:firstLine="480" w:firstLineChars="200"/>
        <w:jc w:val="left"/>
        <w:textAlignment w:val="auto"/>
        <w:rPr>
          <w:rFonts w:hint="default" w:ascii="Arial" w:hAnsi="Arial" w:eastAsia="宋体" w:cs="Arial"/>
          <w:color w:val="auto"/>
          <w:sz w:val="24"/>
          <w:highlight w:val="none"/>
        </w:rPr>
      </w:pPr>
      <w:r>
        <w:rPr>
          <w:rFonts w:hint="default" w:ascii="Arial" w:hAnsi="Arial" w:eastAsia="宋体" w:cs="Arial"/>
          <w:color w:val="auto"/>
          <w:sz w:val="24"/>
          <w:highlight w:val="none"/>
        </w:rPr>
        <w:t>通过遥感解译与地面调查相结合的方式获取评价范围土地利用、植被类型、土壤侵蚀、景观类型等数据，最终，利用GIS软件完成评价范围内各种生态图件的制作。</w:t>
      </w:r>
    </w:p>
    <w:p>
      <w:pPr>
        <w:pageBreakBefore w:val="0"/>
        <w:widowControl w:val="0"/>
        <w:kinsoku/>
        <w:wordWrap/>
        <w:overflowPunct/>
        <w:topLinePunct/>
        <w:autoSpaceDE w:val="0"/>
        <w:autoSpaceDN/>
        <w:bidi w:val="0"/>
        <w:adjustRightInd/>
        <w:spacing w:line="480" w:lineRule="exact"/>
        <w:ind w:firstLine="480" w:firstLineChars="200"/>
        <w:textAlignment w:val="auto"/>
        <w:rPr>
          <w:rFonts w:hint="default" w:ascii="Arial" w:hAnsi="Arial" w:eastAsia="宋体" w:cs="Arial"/>
          <w:color w:val="auto"/>
          <w:sz w:val="24"/>
          <w:szCs w:val="32"/>
          <w:highlight w:val="none"/>
        </w:rPr>
      </w:pPr>
      <w:bookmarkStart w:id="321" w:name="_Toc28276"/>
      <w:bookmarkStart w:id="322" w:name="_Toc5335"/>
      <w:bookmarkStart w:id="323" w:name="_Toc31451"/>
      <w:bookmarkStart w:id="324" w:name="_Toc15827"/>
      <w:bookmarkStart w:id="325" w:name="_Toc15260"/>
      <w:r>
        <w:rPr>
          <w:rFonts w:hint="default" w:ascii="Arial" w:hAnsi="Arial" w:eastAsia="宋体" w:cs="Arial"/>
          <w:color w:val="auto"/>
          <w:sz w:val="24"/>
          <w:szCs w:val="32"/>
          <w:highlight w:val="none"/>
        </w:rPr>
        <w:t>2、现场调查</w:t>
      </w:r>
      <w:bookmarkEnd w:id="321"/>
      <w:bookmarkEnd w:id="322"/>
      <w:bookmarkEnd w:id="323"/>
      <w:bookmarkEnd w:id="324"/>
      <w:bookmarkEnd w:id="325"/>
    </w:p>
    <w:p>
      <w:pPr>
        <w:pageBreakBefore w:val="0"/>
        <w:widowControl w:val="0"/>
        <w:kinsoku/>
        <w:wordWrap/>
        <w:overflowPunct/>
        <w:topLinePunct/>
        <w:autoSpaceDE w:val="0"/>
        <w:autoSpaceDN/>
        <w:bidi w:val="0"/>
        <w:adjustRightInd/>
        <w:snapToGrid w:val="0"/>
        <w:spacing w:line="480" w:lineRule="exact"/>
        <w:ind w:firstLine="480" w:firstLineChars="200"/>
        <w:textAlignment w:val="auto"/>
        <w:rPr>
          <w:rFonts w:hint="default" w:ascii="Arial" w:hAnsi="Arial" w:eastAsia="宋体" w:cs="Arial"/>
          <w:color w:val="auto"/>
          <w:sz w:val="24"/>
          <w:highlight w:val="none"/>
        </w:rPr>
      </w:pPr>
      <w:r>
        <w:rPr>
          <w:rFonts w:hint="default" w:ascii="Arial" w:hAnsi="Arial" w:eastAsia="宋体" w:cs="Arial"/>
          <w:color w:val="auto"/>
          <w:sz w:val="24"/>
          <w:highlight w:val="none"/>
        </w:rPr>
        <w:t>地面调查主要采取以实地调查为主，收集资料为辅相结合的方法。实地调查掌握项目区范围内自然生态的基本情况以及各种水土保持项目的情况。</w:t>
      </w:r>
    </w:p>
    <w:p>
      <w:pPr>
        <w:pageBreakBefore w:val="0"/>
        <w:widowControl w:val="0"/>
        <w:kinsoku/>
        <w:wordWrap/>
        <w:overflowPunct/>
        <w:topLinePunct/>
        <w:autoSpaceDE w:val="0"/>
        <w:autoSpaceDN/>
        <w:bidi w:val="0"/>
        <w:adjustRightInd/>
        <w:snapToGrid w:val="0"/>
        <w:spacing w:line="480" w:lineRule="exact"/>
        <w:ind w:firstLine="480" w:firstLineChars="200"/>
        <w:textAlignment w:val="auto"/>
        <w:rPr>
          <w:rFonts w:hint="default" w:ascii="Arial" w:hAnsi="Arial" w:eastAsia="宋体" w:cs="Arial"/>
          <w:color w:val="auto"/>
          <w:sz w:val="24"/>
          <w:highlight w:val="none"/>
        </w:rPr>
      </w:pPr>
      <w:r>
        <w:rPr>
          <w:rFonts w:hint="default" w:ascii="Arial" w:hAnsi="Arial" w:eastAsia="宋体" w:cs="Arial"/>
          <w:color w:val="auto"/>
          <w:sz w:val="24"/>
          <w:highlight w:val="none"/>
        </w:rPr>
        <w:t>现场调查使用1/</w:t>
      </w:r>
      <w:r>
        <w:rPr>
          <w:rFonts w:hint="default" w:ascii="Arial" w:hAnsi="Arial" w:eastAsia="宋体" w:cs="Arial"/>
          <w:color w:val="auto"/>
          <w:sz w:val="24"/>
          <w:highlight w:val="none"/>
          <w:lang w:eastAsia="zh-CN"/>
        </w:rPr>
        <w:t>12100</w:t>
      </w:r>
      <w:r>
        <w:rPr>
          <w:rFonts w:hint="default" w:ascii="Arial" w:hAnsi="Arial" w:eastAsia="宋体" w:cs="Arial"/>
          <w:color w:val="auto"/>
          <w:sz w:val="24"/>
          <w:highlight w:val="none"/>
        </w:rPr>
        <w:t>地形图和全球定位系统。在实地调查的基础上，结合卫星影像图，取得植被组成、土地利用现状等第一手资料，最后利用REGIONMANAGER处理软件绘制评价区1/50000相关生态图件和数据统计表。</w:t>
      </w:r>
    </w:p>
    <w:p>
      <w:pPr>
        <w:keepNext w:val="0"/>
        <w:keepLines w:val="0"/>
        <w:pageBreakBefore w:val="0"/>
        <w:widowControl w:val="0"/>
        <w:kinsoku/>
        <w:wordWrap/>
        <w:overflowPunct/>
        <w:topLinePunct/>
        <w:autoSpaceDE w:val="0"/>
        <w:autoSpaceDN/>
        <w:bidi w:val="0"/>
        <w:adjustRightInd/>
        <w:snapToGrid/>
        <w:spacing w:line="480" w:lineRule="exact"/>
        <w:textAlignment w:val="auto"/>
        <w:rPr>
          <w:rFonts w:hint="default" w:ascii="Arial" w:hAnsi="Arial" w:eastAsia="宋体" w:cs="Arial"/>
          <w:color w:val="auto"/>
          <w:highlight w:val="none"/>
          <w:lang w:eastAsia="zh-CN"/>
        </w:rPr>
      </w:pPr>
      <w:r>
        <w:rPr>
          <w:rFonts w:hint="default" w:ascii="Arial" w:hAnsi="Arial" w:eastAsia="宋体" w:cs="Arial"/>
          <w:color w:val="auto"/>
          <w:sz w:val="24"/>
          <w:highlight w:val="none"/>
        </w:rPr>
        <w:t>以项目区边界外扩1.0km，作为本次生态现状的评价范围</w:t>
      </w:r>
      <w:r>
        <w:rPr>
          <w:rFonts w:hint="default" w:ascii="Arial" w:hAnsi="Arial" w:eastAsia="宋体" w:cs="Arial"/>
          <w:color w:val="auto"/>
          <w:sz w:val="24"/>
          <w:highlight w:val="none"/>
          <w:lang w:eastAsia="zh-CN"/>
        </w:rPr>
        <w:t>。</w:t>
      </w:r>
    </w:p>
    <w:p>
      <w:pPr>
        <w:pStyle w:val="7"/>
        <w:pageBreakBefore w:val="0"/>
        <w:widowControl w:val="0"/>
        <w:kinsoku/>
        <w:wordWrap/>
        <w:overflowPunct/>
        <w:topLinePunct/>
        <w:autoSpaceDE w:val="0"/>
        <w:autoSpaceDN/>
        <w:bidi w:val="0"/>
        <w:adjustRightInd/>
        <w:spacing w:line="480" w:lineRule="exact"/>
        <w:textAlignment w:val="auto"/>
        <w:rPr>
          <w:rFonts w:hint="default" w:ascii="Arial" w:hAnsi="Arial" w:eastAsia="宋体" w:cs="Arial"/>
          <w:color w:val="auto"/>
          <w:highlight w:val="none"/>
        </w:rPr>
      </w:pPr>
      <w:r>
        <w:rPr>
          <w:rFonts w:hint="default" w:ascii="Arial" w:hAnsi="Arial" w:eastAsia="宋体" w:cs="Arial"/>
          <w:color w:val="auto"/>
          <w:highlight w:val="none"/>
        </w:rPr>
        <w:t>4.2.</w:t>
      </w:r>
      <w:r>
        <w:rPr>
          <w:rStyle w:val="51"/>
          <w:rFonts w:hint="default" w:ascii="Arial" w:hAnsi="Arial" w:eastAsia="宋体" w:cs="Arial"/>
          <w:b/>
          <w:bCs/>
          <w:color w:val="auto"/>
          <w:highlight w:val="none"/>
          <w:lang w:val="en-US" w:eastAsia="zh-CN"/>
        </w:rPr>
        <w:t>5</w:t>
      </w:r>
      <w:r>
        <w:rPr>
          <w:rFonts w:hint="default" w:ascii="Arial" w:hAnsi="Arial" w:eastAsia="宋体" w:cs="Arial"/>
          <w:color w:val="auto"/>
          <w:highlight w:val="none"/>
        </w:rPr>
        <w:t>.1土地利用现状</w:t>
      </w:r>
    </w:p>
    <w:p>
      <w:pPr>
        <w:pageBreakBefore w:val="0"/>
        <w:widowControl w:val="0"/>
        <w:kinsoku/>
        <w:wordWrap/>
        <w:overflowPunct/>
        <w:topLinePunct/>
        <w:autoSpaceDE w:val="0"/>
        <w:autoSpaceDN/>
        <w:bidi w:val="0"/>
        <w:adjustRightInd/>
        <w:spacing w:line="480" w:lineRule="exact"/>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项目土地利用现状图如图4.2-</w:t>
      </w:r>
      <w:r>
        <w:rPr>
          <w:rFonts w:hint="default" w:ascii="Arial" w:hAnsi="Arial" w:eastAsia="宋体" w:cs="Arial"/>
          <w:color w:val="auto"/>
          <w:highlight w:val="none"/>
          <w:lang w:val="en-US" w:eastAsia="zh-CN"/>
        </w:rPr>
        <w:t>2</w:t>
      </w:r>
      <w:r>
        <w:rPr>
          <w:rFonts w:hint="default" w:ascii="Arial" w:hAnsi="Arial" w:eastAsia="宋体" w:cs="Arial"/>
          <w:color w:val="auto"/>
          <w:highlight w:val="none"/>
        </w:rPr>
        <w:t>所示。</w:t>
      </w:r>
    </w:p>
    <w:p>
      <w:pPr>
        <w:pStyle w:val="8"/>
        <w:pageBreakBefore w:val="0"/>
        <w:widowControl w:val="0"/>
        <w:kinsoku/>
        <w:wordWrap/>
        <w:overflowPunct/>
        <w:topLinePunct/>
        <w:autoSpaceDE w:val="0"/>
        <w:autoSpaceDN/>
        <w:bidi w:val="0"/>
        <w:adjustRightInd/>
        <w:spacing w:line="480" w:lineRule="exact"/>
        <w:textAlignment w:val="auto"/>
        <w:rPr>
          <w:rFonts w:hint="default" w:ascii="Arial" w:hAnsi="Arial" w:eastAsia="宋体" w:cs="Arial"/>
          <w:color w:val="auto"/>
          <w:highlight w:val="none"/>
        </w:rPr>
      </w:pPr>
      <w:r>
        <w:rPr>
          <w:rFonts w:hint="default" w:ascii="Arial" w:hAnsi="Arial" w:eastAsia="宋体" w:cs="Arial"/>
          <w:color w:val="auto"/>
          <w:highlight w:val="none"/>
        </w:rPr>
        <w:t>表4.2-1</w:t>
      </w:r>
      <w:r>
        <w:rPr>
          <w:rFonts w:hint="default" w:ascii="Arial" w:hAnsi="Arial" w:eastAsia="宋体" w:cs="Arial"/>
          <w:color w:val="auto"/>
          <w:highlight w:val="none"/>
          <w:lang w:val="en-US" w:eastAsia="zh-CN"/>
        </w:rPr>
        <w:t>6</w:t>
      </w:r>
      <w:r>
        <w:rPr>
          <w:rFonts w:hint="default" w:ascii="Arial" w:hAnsi="Arial" w:eastAsia="宋体" w:cs="Arial"/>
          <w:color w:val="auto"/>
          <w:highlight w:val="none"/>
        </w:rPr>
        <w:t xml:space="preserve">   </w:t>
      </w:r>
      <w:r>
        <w:rPr>
          <w:rFonts w:hint="default" w:ascii="Arial" w:hAnsi="Arial" w:eastAsia="宋体" w:cs="Arial"/>
          <w:color w:val="auto"/>
          <w:highlight w:val="none"/>
          <w:lang w:eastAsia="zh-CN"/>
        </w:rPr>
        <w:t>评价区</w:t>
      </w:r>
      <w:r>
        <w:rPr>
          <w:rFonts w:hint="default" w:ascii="Arial" w:hAnsi="Arial" w:eastAsia="宋体" w:cs="Arial"/>
          <w:color w:val="auto"/>
          <w:highlight w:val="none"/>
        </w:rPr>
        <w:t>土地利用类型统计表</w:t>
      </w:r>
    </w:p>
    <w:tbl>
      <w:tblPr>
        <w:tblStyle w:val="39"/>
        <w:tblW w:w="9014" w:type="dxa"/>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2018"/>
        <w:gridCol w:w="2018"/>
        <w:gridCol w:w="2033"/>
        <w:gridCol w:w="2945"/>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980" w:type="dxa"/>
            <w:shd w:val="clear" w:color="auto" w:fill="auto"/>
            <w:noWrap/>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土地利用类型</w:t>
            </w:r>
          </w:p>
        </w:tc>
        <w:tc>
          <w:tcPr>
            <w:tcW w:w="1980" w:type="dxa"/>
            <w:shd w:val="clear" w:color="auto" w:fill="auto"/>
            <w:noWrap/>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斑块数（个）</w:t>
            </w:r>
          </w:p>
        </w:tc>
        <w:tc>
          <w:tcPr>
            <w:tcW w:w="1994" w:type="dxa"/>
            <w:shd w:val="clear" w:color="auto" w:fill="auto"/>
            <w:noWrap/>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sz w:val="21"/>
                <w:szCs w:val="21"/>
                <w:highlight w:val="none"/>
                <w:lang w:eastAsia="zh-CN"/>
              </w:rPr>
            </w:pPr>
            <w:r>
              <w:rPr>
                <w:rFonts w:hint="default" w:ascii="Arial" w:hAnsi="Arial" w:eastAsia="宋体" w:cs="Arial"/>
                <w:color w:val="auto"/>
                <w:sz w:val="21"/>
                <w:szCs w:val="21"/>
                <w:highlight w:val="none"/>
                <w:lang w:eastAsia="zh-CN"/>
              </w:rPr>
              <w:t>面积（hm</w:t>
            </w:r>
            <w:r>
              <w:rPr>
                <w:rFonts w:hint="default" w:ascii="Arial" w:hAnsi="Arial" w:eastAsia="宋体" w:cs="Arial"/>
                <w:color w:val="auto"/>
                <w:sz w:val="21"/>
                <w:szCs w:val="21"/>
                <w:highlight w:val="none"/>
                <w:vertAlign w:val="superscript"/>
                <w:lang w:eastAsia="zh-CN"/>
              </w:rPr>
              <w:t>2</w:t>
            </w:r>
            <w:r>
              <w:rPr>
                <w:rFonts w:hint="default" w:ascii="Arial" w:hAnsi="Arial" w:eastAsia="宋体" w:cs="Arial"/>
                <w:color w:val="auto"/>
                <w:sz w:val="21"/>
                <w:szCs w:val="21"/>
                <w:highlight w:val="none"/>
                <w:lang w:eastAsia="zh-CN"/>
              </w:rPr>
              <w:t>）</w:t>
            </w:r>
          </w:p>
        </w:tc>
        <w:tc>
          <w:tcPr>
            <w:tcW w:w="2889" w:type="dxa"/>
            <w:shd w:val="clear" w:color="auto" w:fill="auto"/>
            <w:noWrap/>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sz w:val="21"/>
                <w:szCs w:val="21"/>
                <w:highlight w:val="none"/>
                <w:lang w:eastAsia="zh-CN"/>
              </w:rPr>
            </w:pPr>
            <w:r>
              <w:rPr>
                <w:rFonts w:hint="default" w:ascii="Arial" w:hAnsi="Arial" w:eastAsia="宋体" w:cs="Arial"/>
                <w:color w:val="auto"/>
                <w:sz w:val="21"/>
                <w:szCs w:val="21"/>
                <w:highlight w:val="none"/>
                <w:lang w:eastAsia="zh-CN"/>
              </w:rPr>
              <w:t>占总面积比例（%）</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980" w:type="dxa"/>
            <w:shd w:val="clear" w:color="auto" w:fill="auto"/>
            <w:noWrap/>
            <w:vAlign w:val="bottom"/>
          </w:tcPr>
          <w:p>
            <w:pPr>
              <w:keepNext w:val="0"/>
              <w:keepLines w:val="0"/>
              <w:pageBreakBefore w:val="0"/>
              <w:widowControl w:val="0"/>
              <w:kinsoku/>
              <w:wordWrap/>
              <w:overflowPunct/>
              <w:topLinePunct/>
              <w:autoSpaceDE w:val="0"/>
              <w:autoSpaceDN/>
              <w:bidi w:val="0"/>
              <w:adjustRightInd/>
              <w:snapToGrid w:val="0"/>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公路用地</w:t>
            </w:r>
          </w:p>
        </w:tc>
        <w:tc>
          <w:tcPr>
            <w:tcW w:w="1980" w:type="dxa"/>
            <w:shd w:val="clear" w:color="auto" w:fill="auto"/>
            <w:noWrap/>
            <w:vAlign w:val="bottom"/>
          </w:tcPr>
          <w:p>
            <w:pPr>
              <w:keepNext w:val="0"/>
              <w:keepLines w:val="0"/>
              <w:pageBreakBefore w:val="0"/>
              <w:widowControl w:val="0"/>
              <w:kinsoku/>
              <w:wordWrap/>
              <w:overflowPunct/>
              <w:topLinePunct/>
              <w:autoSpaceDE w:val="0"/>
              <w:autoSpaceDN/>
              <w:bidi w:val="0"/>
              <w:adjustRightInd/>
              <w:snapToGrid w:val="0"/>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1</w:t>
            </w:r>
          </w:p>
        </w:tc>
        <w:tc>
          <w:tcPr>
            <w:tcW w:w="1994" w:type="dxa"/>
            <w:shd w:val="clear" w:color="auto" w:fill="auto"/>
            <w:noWrap/>
            <w:vAlign w:val="bottom"/>
          </w:tcPr>
          <w:p>
            <w:pPr>
              <w:keepNext w:val="0"/>
              <w:keepLines w:val="0"/>
              <w:pageBreakBefore w:val="0"/>
              <w:widowControl w:val="0"/>
              <w:kinsoku/>
              <w:wordWrap/>
              <w:overflowPunct/>
              <w:topLinePunct/>
              <w:autoSpaceDE w:val="0"/>
              <w:autoSpaceDN/>
              <w:bidi w:val="0"/>
              <w:adjustRightInd/>
              <w:snapToGrid w:val="0"/>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3.57</w:t>
            </w:r>
          </w:p>
        </w:tc>
        <w:tc>
          <w:tcPr>
            <w:tcW w:w="2889"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val="0"/>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0.65</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980" w:type="dxa"/>
            <w:shd w:val="clear" w:color="auto" w:fill="auto"/>
            <w:noWrap/>
            <w:vAlign w:val="bottom"/>
          </w:tcPr>
          <w:p>
            <w:pPr>
              <w:keepNext w:val="0"/>
              <w:keepLines w:val="0"/>
              <w:pageBreakBefore w:val="0"/>
              <w:widowControl w:val="0"/>
              <w:kinsoku/>
              <w:wordWrap/>
              <w:overflowPunct/>
              <w:topLinePunct/>
              <w:autoSpaceDE w:val="0"/>
              <w:autoSpaceDN/>
              <w:bidi w:val="0"/>
              <w:adjustRightInd/>
              <w:snapToGrid w:val="0"/>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沟渠</w:t>
            </w:r>
          </w:p>
        </w:tc>
        <w:tc>
          <w:tcPr>
            <w:tcW w:w="1980" w:type="dxa"/>
            <w:shd w:val="clear" w:color="auto" w:fill="auto"/>
            <w:noWrap/>
            <w:vAlign w:val="bottom"/>
          </w:tcPr>
          <w:p>
            <w:pPr>
              <w:keepNext w:val="0"/>
              <w:keepLines w:val="0"/>
              <w:pageBreakBefore w:val="0"/>
              <w:widowControl w:val="0"/>
              <w:kinsoku/>
              <w:wordWrap/>
              <w:overflowPunct/>
              <w:topLinePunct/>
              <w:autoSpaceDE w:val="0"/>
              <w:autoSpaceDN/>
              <w:bidi w:val="0"/>
              <w:adjustRightInd/>
              <w:snapToGrid w:val="0"/>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24</w:t>
            </w:r>
          </w:p>
        </w:tc>
        <w:tc>
          <w:tcPr>
            <w:tcW w:w="1994" w:type="dxa"/>
            <w:shd w:val="clear" w:color="auto" w:fill="auto"/>
            <w:noWrap/>
            <w:vAlign w:val="bottom"/>
          </w:tcPr>
          <w:p>
            <w:pPr>
              <w:keepNext w:val="0"/>
              <w:keepLines w:val="0"/>
              <w:pageBreakBefore w:val="0"/>
              <w:widowControl w:val="0"/>
              <w:kinsoku/>
              <w:wordWrap/>
              <w:overflowPunct/>
              <w:topLinePunct/>
              <w:autoSpaceDE w:val="0"/>
              <w:autoSpaceDN/>
              <w:bidi w:val="0"/>
              <w:adjustRightInd/>
              <w:snapToGrid w:val="0"/>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19.51</w:t>
            </w:r>
          </w:p>
        </w:tc>
        <w:tc>
          <w:tcPr>
            <w:tcW w:w="2889"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val="0"/>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3.57</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980" w:type="dxa"/>
            <w:shd w:val="clear" w:color="auto" w:fill="auto"/>
            <w:noWrap/>
            <w:vAlign w:val="bottom"/>
          </w:tcPr>
          <w:p>
            <w:pPr>
              <w:keepNext w:val="0"/>
              <w:keepLines w:val="0"/>
              <w:pageBreakBefore w:val="0"/>
              <w:widowControl w:val="0"/>
              <w:kinsoku/>
              <w:wordWrap/>
              <w:overflowPunct/>
              <w:topLinePunct/>
              <w:autoSpaceDE w:val="0"/>
              <w:autoSpaceDN/>
              <w:bidi w:val="0"/>
              <w:adjustRightInd/>
              <w:snapToGrid w:val="0"/>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旱地</w:t>
            </w:r>
          </w:p>
        </w:tc>
        <w:tc>
          <w:tcPr>
            <w:tcW w:w="1980" w:type="dxa"/>
            <w:shd w:val="clear" w:color="auto" w:fill="auto"/>
            <w:noWrap/>
            <w:vAlign w:val="bottom"/>
          </w:tcPr>
          <w:p>
            <w:pPr>
              <w:keepNext w:val="0"/>
              <w:keepLines w:val="0"/>
              <w:pageBreakBefore w:val="0"/>
              <w:widowControl w:val="0"/>
              <w:kinsoku/>
              <w:wordWrap/>
              <w:overflowPunct/>
              <w:topLinePunct/>
              <w:autoSpaceDE w:val="0"/>
              <w:autoSpaceDN/>
              <w:bidi w:val="0"/>
              <w:adjustRightInd/>
              <w:snapToGrid w:val="0"/>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19</w:t>
            </w:r>
          </w:p>
        </w:tc>
        <w:tc>
          <w:tcPr>
            <w:tcW w:w="1994" w:type="dxa"/>
            <w:shd w:val="clear" w:color="auto" w:fill="auto"/>
            <w:noWrap/>
            <w:vAlign w:val="bottom"/>
          </w:tcPr>
          <w:p>
            <w:pPr>
              <w:keepNext w:val="0"/>
              <w:keepLines w:val="0"/>
              <w:pageBreakBefore w:val="0"/>
              <w:widowControl w:val="0"/>
              <w:kinsoku/>
              <w:wordWrap/>
              <w:overflowPunct/>
              <w:topLinePunct/>
              <w:autoSpaceDE w:val="0"/>
              <w:autoSpaceDN/>
              <w:bidi w:val="0"/>
              <w:adjustRightInd/>
              <w:snapToGrid w:val="0"/>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301.17</w:t>
            </w:r>
          </w:p>
        </w:tc>
        <w:tc>
          <w:tcPr>
            <w:tcW w:w="2889"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val="0"/>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55.13</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980" w:type="dxa"/>
            <w:shd w:val="clear" w:color="auto" w:fill="auto"/>
            <w:noWrap/>
            <w:vAlign w:val="bottom"/>
          </w:tcPr>
          <w:p>
            <w:pPr>
              <w:keepNext w:val="0"/>
              <w:keepLines w:val="0"/>
              <w:pageBreakBefore w:val="0"/>
              <w:widowControl w:val="0"/>
              <w:kinsoku/>
              <w:wordWrap/>
              <w:overflowPunct/>
              <w:topLinePunct/>
              <w:autoSpaceDE w:val="0"/>
              <w:autoSpaceDN/>
              <w:bidi w:val="0"/>
              <w:adjustRightInd/>
              <w:snapToGrid w:val="0"/>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坑塘水面</w:t>
            </w:r>
          </w:p>
        </w:tc>
        <w:tc>
          <w:tcPr>
            <w:tcW w:w="1980" w:type="dxa"/>
            <w:shd w:val="clear" w:color="auto" w:fill="auto"/>
            <w:noWrap/>
            <w:vAlign w:val="bottom"/>
          </w:tcPr>
          <w:p>
            <w:pPr>
              <w:keepNext w:val="0"/>
              <w:keepLines w:val="0"/>
              <w:pageBreakBefore w:val="0"/>
              <w:widowControl w:val="0"/>
              <w:kinsoku/>
              <w:wordWrap/>
              <w:overflowPunct/>
              <w:topLinePunct/>
              <w:autoSpaceDE w:val="0"/>
              <w:autoSpaceDN/>
              <w:bidi w:val="0"/>
              <w:adjustRightInd/>
              <w:snapToGrid w:val="0"/>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9</w:t>
            </w:r>
          </w:p>
        </w:tc>
        <w:tc>
          <w:tcPr>
            <w:tcW w:w="1994" w:type="dxa"/>
            <w:shd w:val="clear" w:color="auto" w:fill="auto"/>
            <w:noWrap/>
            <w:vAlign w:val="bottom"/>
          </w:tcPr>
          <w:p>
            <w:pPr>
              <w:keepNext w:val="0"/>
              <w:keepLines w:val="0"/>
              <w:pageBreakBefore w:val="0"/>
              <w:widowControl w:val="0"/>
              <w:kinsoku/>
              <w:wordWrap/>
              <w:overflowPunct/>
              <w:topLinePunct/>
              <w:autoSpaceDE w:val="0"/>
              <w:autoSpaceDN/>
              <w:bidi w:val="0"/>
              <w:adjustRightInd/>
              <w:snapToGrid w:val="0"/>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4.86</w:t>
            </w:r>
          </w:p>
        </w:tc>
        <w:tc>
          <w:tcPr>
            <w:tcW w:w="2889"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val="0"/>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0.89</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980" w:type="dxa"/>
            <w:shd w:val="clear" w:color="auto" w:fill="auto"/>
            <w:noWrap/>
            <w:vAlign w:val="bottom"/>
          </w:tcPr>
          <w:p>
            <w:pPr>
              <w:keepNext w:val="0"/>
              <w:keepLines w:val="0"/>
              <w:pageBreakBefore w:val="0"/>
              <w:widowControl w:val="0"/>
              <w:kinsoku/>
              <w:wordWrap/>
              <w:overflowPunct/>
              <w:topLinePunct/>
              <w:autoSpaceDE w:val="0"/>
              <w:autoSpaceDN/>
              <w:bidi w:val="0"/>
              <w:adjustRightInd/>
              <w:snapToGrid w:val="0"/>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农村道路</w:t>
            </w:r>
          </w:p>
        </w:tc>
        <w:tc>
          <w:tcPr>
            <w:tcW w:w="1980" w:type="dxa"/>
            <w:shd w:val="clear" w:color="auto" w:fill="auto"/>
            <w:noWrap/>
            <w:vAlign w:val="bottom"/>
          </w:tcPr>
          <w:p>
            <w:pPr>
              <w:keepNext w:val="0"/>
              <w:keepLines w:val="0"/>
              <w:pageBreakBefore w:val="0"/>
              <w:widowControl w:val="0"/>
              <w:kinsoku/>
              <w:wordWrap/>
              <w:overflowPunct/>
              <w:topLinePunct/>
              <w:autoSpaceDE w:val="0"/>
              <w:autoSpaceDN/>
              <w:bidi w:val="0"/>
              <w:adjustRightInd/>
              <w:snapToGrid w:val="0"/>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10</w:t>
            </w:r>
          </w:p>
        </w:tc>
        <w:tc>
          <w:tcPr>
            <w:tcW w:w="1994" w:type="dxa"/>
            <w:shd w:val="clear" w:color="auto" w:fill="auto"/>
            <w:noWrap/>
            <w:vAlign w:val="bottom"/>
          </w:tcPr>
          <w:p>
            <w:pPr>
              <w:keepNext w:val="0"/>
              <w:keepLines w:val="0"/>
              <w:pageBreakBefore w:val="0"/>
              <w:widowControl w:val="0"/>
              <w:kinsoku/>
              <w:wordWrap/>
              <w:overflowPunct/>
              <w:topLinePunct/>
              <w:autoSpaceDE w:val="0"/>
              <w:autoSpaceDN/>
              <w:bidi w:val="0"/>
              <w:adjustRightInd/>
              <w:snapToGrid w:val="0"/>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8.64</w:t>
            </w:r>
          </w:p>
        </w:tc>
        <w:tc>
          <w:tcPr>
            <w:tcW w:w="2889"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val="0"/>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1.58</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980" w:type="dxa"/>
            <w:shd w:val="clear" w:color="auto" w:fill="auto"/>
            <w:noWrap/>
            <w:vAlign w:val="bottom"/>
          </w:tcPr>
          <w:p>
            <w:pPr>
              <w:keepNext w:val="0"/>
              <w:keepLines w:val="0"/>
              <w:pageBreakBefore w:val="0"/>
              <w:widowControl w:val="0"/>
              <w:kinsoku/>
              <w:wordWrap/>
              <w:overflowPunct/>
              <w:topLinePunct/>
              <w:autoSpaceDE w:val="0"/>
              <w:autoSpaceDN/>
              <w:bidi w:val="0"/>
              <w:adjustRightInd/>
              <w:snapToGrid w:val="0"/>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农村宅基地</w:t>
            </w:r>
          </w:p>
        </w:tc>
        <w:tc>
          <w:tcPr>
            <w:tcW w:w="1980" w:type="dxa"/>
            <w:shd w:val="clear" w:color="auto" w:fill="auto"/>
            <w:noWrap/>
            <w:vAlign w:val="bottom"/>
          </w:tcPr>
          <w:p>
            <w:pPr>
              <w:keepNext w:val="0"/>
              <w:keepLines w:val="0"/>
              <w:pageBreakBefore w:val="0"/>
              <w:widowControl w:val="0"/>
              <w:kinsoku/>
              <w:wordWrap/>
              <w:overflowPunct/>
              <w:topLinePunct/>
              <w:autoSpaceDE w:val="0"/>
              <w:autoSpaceDN/>
              <w:bidi w:val="0"/>
              <w:adjustRightInd/>
              <w:snapToGrid w:val="0"/>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16</w:t>
            </w:r>
          </w:p>
        </w:tc>
        <w:tc>
          <w:tcPr>
            <w:tcW w:w="1994" w:type="dxa"/>
            <w:shd w:val="clear" w:color="auto" w:fill="auto"/>
            <w:noWrap/>
            <w:vAlign w:val="bottom"/>
          </w:tcPr>
          <w:p>
            <w:pPr>
              <w:keepNext w:val="0"/>
              <w:keepLines w:val="0"/>
              <w:pageBreakBefore w:val="0"/>
              <w:widowControl w:val="0"/>
              <w:kinsoku/>
              <w:wordWrap/>
              <w:overflowPunct/>
              <w:topLinePunct/>
              <w:autoSpaceDE w:val="0"/>
              <w:autoSpaceDN/>
              <w:bidi w:val="0"/>
              <w:adjustRightInd/>
              <w:snapToGrid w:val="0"/>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14.66</w:t>
            </w:r>
          </w:p>
        </w:tc>
        <w:tc>
          <w:tcPr>
            <w:tcW w:w="2889"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val="0"/>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2.68</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980" w:type="dxa"/>
            <w:shd w:val="clear" w:color="auto" w:fill="auto"/>
            <w:noWrap/>
            <w:vAlign w:val="bottom"/>
          </w:tcPr>
          <w:p>
            <w:pPr>
              <w:keepNext w:val="0"/>
              <w:keepLines w:val="0"/>
              <w:pageBreakBefore w:val="0"/>
              <w:widowControl w:val="0"/>
              <w:kinsoku/>
              <w:wordWrap/>
              <w:overflowPunct/>
              <w:topLinePunct/>
              <w:autoSpaceDE w:val="0"/>
              <w:autoSpaceDN/>
              <w:bidi w:val="0"/>
              <w:adjustRightInd/>
              <w:snapToGrid w:val="0"/>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其他草地</w:t>
            </w:r>
          </w:p>
        </w:tc>
        <w:tc>
          <w:tcPr>
            <w:tcW w:w="1980" w:type="dxa"/>
            <w:shd w:val="clear" w:color="auto" w:fill="auto"/>
            <w:noWrap/>
            <w:vAlign w:val="bottom"/>
          </w:tcPr>
          <w:p>
            <w:pPr>
              <w:keepNext w:val="0"/>
              <w:keepLines w:val="0"/>
              <w:pageBreakBefore w:val="0"/>
              <w:widowControl w:val="0"/>
              <w:kinsoku/>
              <w:wordWrap/>
              <w:overflowPunct/>
              <w:topLinePunct/>
              <w:autoSpaceDE w:val="0"/>
              <w:autoSpaceDN/>
              <w:bidi w:val="0"/>
              <w:adjustRightInd/>
              <w:snapToGrid w:val="0"/>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1</w:t>
            </w:r>
          </w:p>
        </w:tc>
        <w:tc>
          <w:tcPr>
            <w:tcW w:w="1994" w:type="dxa"/>
            <w:shd w:val="clear" w:color="auto" w:fill="auto"/>
            <w:noWrap/>
            <w:vAlign w:val="bottom"/>
          </w:tcPr>
          <w:p>
            <w:pPr>
              <w:keepNext w:val="0"/>
              <w:keepLines w:val="0"/>
              <w:pageBreakBefore w:val="0"/>
              <w:widowControl w:val="0"/>
              <w:kinsoku/>
              <w:wordWrap/>
              <w:overflowPunct/>
              <w:topLinePunct/>
              <w:autoSpaceDE w:val="0"/>
              <w:autoSpaceDN/>
              <w:bidi w:val="0"/>
              <w:adjustRightInd/>
              <w:snapToGrid w:val="0"/>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6.60</w:t>
            </w:r>
          </w:p>
        </w:tc>
        <w:tc>
          <w:tcPr>
            <w:tcW w:w="2889"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val="0"/>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1.21</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980" w:type="dxa"/>
            <w:shd w:val="clear" w:color="auto" w:fill="auto"/>
            <w:noWrap/>
            <w:vAlign w:val="bottom"/>
          </w:tcPr>
          <w:p>
            <w:pPr>
              <w:keepNext w:val="0"/>
              <w:keepLines w:val="0"/>
              <w:pageBreakBefore w:val="0"/>
              <w:widowControl w:val="0"/>
              <w:kinsoku/>
              <w:wordWrap/>
              <w:overflowPunct/>
              <w:topLinePunct/>
              <w:autoSpaceDE w:val="0"/>
              <w:autoSpaceDN/>
              <w:bidi w:val="0"/>
              <w:adjustRightInd/>
              <w:snapToGrid w:val="0"/>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乔木林地</w:t>
            </w:r>
          </w:p>
        </w:tc>
        <w:tc>
          <w:tcPr>
            <w:tcW w:w="1980" w:type="dxa"/>
            <w:shd w:val="clear" w:color="auto" w:fill="auto"/>
            <w:noWrap/>
            <w:vAlign w:val="bottom"/>
          </w:tcPr>
          <w:p>
            <w:pPr>
              <w:keepNext w:val="0"/>
              <w:keepLines w:val="0"/>
              <w:pageBreakBefore w:val="0"/>
              <w:widowControl w:val="0"/>
              <w:kinsoku/>
              <w:wordWrap/>
              <w:overflowPunct/>
              <w:topLinePunct/>
              <w:autoSpaceDE w:val="0"/>
              <w:autoSpaceDN/>
              <w:bidi w:val="0"/>
              <w:adjustRightInd/>
              <w:snapToGrid w:val="0"/>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15</w:t>
            </w:r>
          </w:p>
        </w:tc>
        <w:tc>
          <w:tcPr>
            <w:tcW w:w="1994" w:type="dxa"/>
            <w:shd w:val="clear" w:color="auto" w:fill="auto"/>
            <w:noWrap/>
            <w:vAlign w:val="bottom"/>
          </w:tcPr>
          <w:p>
            <w:pPr>
              <w:keepNext w:val="0"/>
              <w:keepLines w:val="0"/>
              <w:pageBreakBefore w:val="0"/>
              <w:widowControl w:val="0"/>
              <w:kinsoku/>
              <w:wordWrap/>
              <w:overflowPunct/>
              <w:topLinePunct/>
              <w:autoSpaceDE w:val="0"/>
              <w:autoSpaceDN/>
              <w:bidi w:val="0"/>
              <w:adjustRightInd/>
              <w:snapToGrid w:val="0"/>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13.04</w:t>
            </w:r>
          </w:p>
        </w:tc>
        <w:tc>
          <w:tcPr>
            <w:tcW w:w="2889"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val="0"/>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2.39</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980" w:type="dxa"/>
            <w:shd w:val="clear" w:color="auto" w:fill="auto"/>
            <w:noWrap/>
            <w:vAlign w:val="bottom"/>
          </w:tcPr>
          <w:p>
            <w:pPr>
              <w:keepNext w:val="0"/>
              <w:keepLines w:val="0"/>
              <w:pageBreakBefore w:val="0"/>
              <w:widowControl w:val="0"/>
              <w:kinsoku/>
              <w:wordWrap/>
              <w:overflowPunct/>
              <w:topLinePunct/>
              <w:autoSpaceDE w:val="0"/>
              <w:autoSpaceDN/>
              <w:bidi w:val="0"/>
              <w:adjustRightInd/>
              <w:snapToGrid w:val="0"/>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设施农用地</w:t>
            </w:r>
          </w:p>
        </w:tc>
        <w:tc>
          <w:tcPr>
            <w:tcW w:w="1980" w:type="dxa"/>
            <w:shd w:val="clear" w:color="auto" w:fill="auto"/>
            <w:noWrap/>
            <w:vAlign w:val="bottom"/>
          </w:tcPr>
          <w:p>
            <w:pPr>
              <w:keepNext w:val="0"/>
              <w:keepLines w:val="0"/>
              <w:pageBreakBefore w:val="0"/>
              <w:widowControl w:val="0"/>
              <w:kinsoku/>
              <w:wordWrap/>
              <w:overflowPunct/>
              <w:topLinePunct/>
              <w:autoSpaceDE w:val="0"/>
              <w:autoSpaceDN/>
              <w:bidi w:val="0"/>
              <w:adjustRightInd/>
              <w:snapToGrid w:val="0"/>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7</w:t>
            </w:r>
          </w:p>
        </w:tc>
        <w:tc>
          <w:tcPr>
            <w:tcW w:w="1994" w:type="dxa"/>
            <w:shd w:val="clear" w:color="auto" w:fill="auto"/>
            <w:noWrap/>
            <w:vAlign w:val="bottom"/>
          </w:tcPr>
          <w:p>
            <w:pPr>
              <w:keepNext w:val="0"/>
              <w:keepLines w:val="0"/>
              <w:pageBreakBefore w:val="0"/>
              <w:widowControl w:val="0"/>
              <w:kinsoku/>
              <w:wordWrap/>
              <w:overflowPunct/>
              <w:topLinePunct/>
              <w:autoSpaceDE w:val="0"/>
              <w:autoSpaceDN/>
              <w:bidi w:val="0"/>
              <w:adjustRightInd/>
              <w:snapToGrid w:val="0"/>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105.38</w:t>
            </w:r>
          </w:p>
        </w:tc>
        <w:tc>
          <w:tcPr>
            <w:tcW w:w="2889"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val="0"/>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19.29</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980" w:type="dxa"/>
            <w:shd w:val="clear" w:color="auto" w:fill="auto"/>
            <w:noWrap/>
            <w:vAlign w:val="bottom"/>
          </w:tcPr>
          <w:p>
            <w:pPr>
              <w:keepNext w:val="0"/>
              <w:keepLines w:val="0"/>
              <w:pageBreakBefore w:val="0"/>
              <w:widowControl w:val="0"/>
              <w:kinsoku/>
              <w:wordWrap/>
              <w:overflowPunct/>
              <w:topLinePunct/>
              <w:autoSpaceDE w:val="0"/>
              <w:autoSpaceDN/>
              <w:bidi w:val="0"/>
              <w:adjustRightInd/>
              <w:snapToGrid w:val="0"/>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天然牧草地</w:t>
            </w:r>
          </w:p>
        </w:tc>
        <w:tc>
          <w:tcPr>
            <w:tcW w:w="1980" w:type="dxa"/>
            <w:shd w:val="clear" w:color="auto" w:fill="auto"/>
            <w:noWrap/>
            <w:vAlign w:val="bottom"/>
          </w:tcPr>
          <w:p>
            <w:pPr>
              <w:keepNext w:val="0"/>
              <w:keepLines w:val="0"/>
              <w:pageBreakBefore w:val="0"/>
              <w:widowControl w:val="0"/>
              <w:kinsoku/>
              <w:wordWrap/>
              <w:overflowPunct/>
              <w:topLinePunct/>
              <w:autoSpaceDE w:val="0"/>
              <w:autoSpaceDN/>
              <w:bidi w:val="0"/>
              <w:adjustRightInd/>
              <w:snapToGrid w:val="0"/>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47</w:t>
            </w:r>
          </w:p>
        </w:tc>
        <w:tc>
          <w:tcPr>
            <w:tcW w:w="1994" w:type="dxa"/>
            <w:shd w:val="clear" w:color="auto" w:fill="auto"/>
            <w:noWrap/>
            <w:vAlign w:val="bottom"/>
          </w:tcPr>
          <w:p>
            <w:pPr>
              <w:keepNext w:val="0"/>
              <w:keepLines w:val="0"/>
              <w:pageBreakBefore w:val="0"/>
              <w:widowControl w:val="0"/>
              <w:kinsoku/>
              <w:wordWrap/>
              <w:overflowPunct/>
              <w:topLinePunct/>
              <w:autoSpaceDE w:val="0"/>
              <w:autoSpaceDN/>
              <w:bidi w:val="0"/>
              <w:adjustRightInd/>
              <w:snapToGrid w:val="0"/>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68.89</w:t>
            </w:r>
          </w:p>
        </w:tc>
        <w:tc>
          <w:tcPr>
            <w:tcW w:w="2889"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val="0"/>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12.61</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980"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val="0"/>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总计</w:t>
            </w:r>
          </w:p>
        </w:tc>
        <w:tc>
          <w:tcPr>
            <w:tcW w:w="1980"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val="0"/>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149</w:t>
            </w:r>
          </w:p>
        </w:tc>
        <w:tc>
          <w:tcPr>
            <w:tcW w:w="1994"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val="0"/>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546.32</w:t>
            </w:r>
          </w:p>
        </w:tc>
        <w:tc>
          <w:tcPr>
            <w:tcW w:w="2889"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val="0"/>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100.00</w:t>
            </w:r>
          </w:p>
        </w:tc>
      </w:tr>
    </w:tbl>
    <w:p>
      <w:pPr>
        <w:pStyle w:val="8"/>
        <w:rPr>
          <w:rFonts w:hint="default" w:ascii="Arial" w:hAnsi="Arial" w:eastAsia="宋体" w:cs="Arial"/>
          <w:color w:val="auto"/>
          <w:highlight w:val="none"/>
        </w:rPr>
      </w:pPr>
      <w:r>
        <w:rPr>
          <w:rFonts w:hint="default" w:ascii="Arial" w:hAnsi="Arial" w:eastAsia="宋体" w:cs="Arial"/>
          <w:color w:val="auto"/>
          <w:highlight w:val="none"/>
        </w:rPr>
        <w:t>表4.2-1</w:t>
      </w:r>
      <w:r>
        <w:rPr>
          <w:rFonts w:hint="default" w:ascii="Arial" w:hAnsi="Arial" w:eastAsia="宋体" w:cs="Arial"/>
          <w:color w:val="auto"/>
          <w:highlight w:val="none"/>
          <w:lang w:val="en-US" w:eastAsia="zh-CN"/>
        </w:rPr>
        <w:t>7</w:t>
      </w:r>
      <w:r>
        <w:rPr>
          <w:rFonts w:hint="default" w:ascii="Arial" w:hAnsi="Arial" w:eastAsia="宋体" w:cs="Arial"/>
          <w:color w:val="auto"/>
          <w:highlight w:val="none"/>
        </w:rPr>
        <w:t xml:space="preserve">   项目</w:t>
      </w:r>
      <w:r>
        <w:rPr>
          <w:rFonts w:hint="default" w:ascii="Arial" w:hAnsi="Arial" w:eastAsia="宋体" w:cs="Arial"/>
          <w:color w:val="auto"/>
          <w:highlight w:val="none"/>
          <w:lang w:eastAsia="zh-CN"/>
        </w:rPr>
        <w:t>区</w:t>
      </w:r>
      <w:r>
        <w:rPr>
          <w:rFonts w:hint="default" w:ascii="Arial" w:hAnsi="Arial" w:eastAsia="宋体" w:cs="Arial"/>
          <w:color w:val="auto"/>
          <w:highlight w:val="none"/>
        </w:rPr>
        <w:t>土地利用类型统计表</w:t>
      </w:r>
    </w:p>
    <w:tbl>
      <w:tblPr>
        <w:tblStyle w:val="39"/>
        <w:tblW w:w="8844" w:type="dxa"/>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1980"/>
        <w:gridCol w:w="1981"/>
        <w:gridCol w:w="1995"/>
        <w:gridCol w:w="2888"/>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980" w:type="dxa"/>
            <w:shd w:val="clear" w:color="auto" w:fill="auto"/>
            <w:noWrap/>
            <w:vAlign w:val="center"/>
          </w:tcPr>
          <w:p>
            <w:pPr>
              <w:pStyle w:val="63"/>
              <w:keepNext w:val="0"/>
              <w:keepLines w:val="0"/>
              <w:pageBreakBefore w:val="0"/>
              <w:widowControl w:val="0"/>
              <w:kinsoku/>
              <w:wordWrap/>
              <w:overflowPunct/>
              <w:topLinePunct/>
              <w:autoSpaceDE w:val="0"/>
              <w:autoSpaceDN/>
              <w:bidi w:val="0"/>
              <w:adjustRightInd/>
              <w:spacing w:line="360" w:lineRule="exact"/>
              <w:rPr>
                <w:rFonts w:hint="default" w:ascii="Arial" w:hAnsi="Arial" w:eastAsia="宋体" w:cs="Arial"/>
                <w:color w:val="auto"/>
                <w:highlight w:val="none"/>
                <w:lang w:eastAsia="zh-CN"/>
              </w:rPr>
            </w:pPr>
            <w:bookmarkStart w:id="326" w:name="RANGE!A1:C5"/>
            <w:r>
              <w:rPr>
                <w:rFonts w:hint="default" w:ascii="Arial" w:hAnsi="Arial" w:eastAsia="宋体" w:cs="Arial"/>
                <w:color w:val="auto"/>
                <w:highlight w:val="none"/>
                <w:lang w:eastAsia="zh-CN"/>
              </w:rPr>
              <w:t>土地利用类型</w:t>
            </w:r>
            <w:bookmarkEnd w:id="326"/>
          </w:p>
        </w:tc>
        <w:tc>
          <w:tcPr>
            <w:tcW w:w="1981" w:type="dxa"/>
            <w:shd w:val="clear" w:color="auto" w:fill="auto"/>
            <w:noWrap/>
            <w:vAlign w:val="center"/>
          </w:tcPr>
          <w:p>
            <w:pPr>
              <w:pStyle w:val="63"/>
              <w:keepNext w:val="0"/>
              <w:keepLines w:val="0"/>
              <w:pageBreakBefore w:val="0"/>
              <w:widowControl w:val="0"/>
              <w:kinsoku/>
              <w:wordWrap/>
              <w:overflowPunct/>
              <w:topLinePunct/>
              <w:autoSpaceDE w:val="0"/>
              <w:autoSpaceDN/>
              <w:bidi w:val="0"/>
              <w:adjustRightInd/>
              <w:spacing w:line="360" w:lineRule="exact"/>
              <w:rPr>
                <w:rFonts w:hint="default" w:ascii="Arial" w:hAnsi="Arial" w:eastAsia="宋体" w:cs="Arial"/>
                <w:color w:val="auto"/>
                <w:highlight w:val="none"/>
                <w:lang w:eastAsia="zh-CN"/>
              </w:rPr>
            </w:pPr>
            <w:r>
              <w:rPr>
                <w:rFonts w:hint="default" w:ascii="Arial" w:hAnsi="Arial" w:eastAsia="宋体" w:cs="Arial"/>
                <w:color w:val="auto"/>
                <w:highlight w:val="none"/>
                <w:lang w:eastAsia="zh-CN"/>
              </w:rPr>
              <w:t>斑块数（个）</w:t>
            </w:r>
          </w:p>
        </w:tc>
        <w:tc>
          <w:tcPr>
            <w:tcW w:w="1995" w:type="dxa"/>
            <w:shd w:val="clear" w:color="auto" w:fill="auto"/>
            <w:noWrap/>
            <w:vAlign w:val="center"/>
          </w:tcPr>
          <w:p>
            <w:pPr>
              <w:pStyle w:val="63"/>
              <w:keepNext w:val="0"/>
              <w:keepLines w:val="0"/>
              <w:pageBreakBefore w:val="0"/>
              <w:widowControl w:val="0"/>
              <w:kinsoku/>
              <w:wordWrap/>
              <w:overflowPunct/>
              <w:topLinePunct/>
              <w:autoSpaceDE w:val="0"/>
              <w:autoSpaceDN/>
              <w:bidi w:val="0"/>
              <w:adjustRightInd/>
              <w:spacing w:line="360" w:lineRule="exact"/>
              <w:rPr>
                <w:rFonts w:hint="default" w:ascii="Arial" w:hAnsi="Arial" w:eastAsia="宋体" w:cs="Arial"/>
                <w:color w:val="auto"/>
                <w:highlight w:val="none"/>
                <w:lang w:eastAsia="zh-CN"/>
              </w:rPr>
            </w:pPr>
            <w:r>
              <w:rPr>
                <w:rFonts w:hint="default" w:ascii="Arial" w:hAnsi="Arial" w:eastAsia="宋体" w:cs="Arial"/>
                <w:color w:val="auto"/>
                <w:highlight w:val="none"/>
                <w:lang w:eastAsia="zh-CN"/>
              </w:rPr>
              <w:t>面积（hm</w:t>
            </w:r>
            <w:r>
              <w:rPr>
                <w:rFonts w:hint="default" w:ascii="Arial" w:hAnsi="Arial" w:eastAsia="宋体" w:cs="Arial"/>
                <w:color w:val="auto"/>
                <w:highlight w:val="none"/>
                <w:vertAlign w:val="superscript"/>
                <w:lang w:eastAsia="zh-CN"/>
              </w:rPr>
              <w:t>2</w:t>
            </w:r>
            <w:r>
              <w:rPr>
                <w:rFonts w:hint="default" w:ascii="Arial" w:hAnsi="Arial" w:eastAsia="宋体" w:cs="Arial"/>
                <w:color w:val="auto"/>
                <w:highlight w:val="none"/>
                <w:lang w:eastAsia="zh-CN"/>
              </w:rPr>
              <w:t>）</w:t>
            </w:r>
          </w:p>
        </w:tc>
        <w:tc>
          <w:tcPr>
            <w:tcW w:w="2888" w:type="dxa"/>
            <w:shd w:val="clear" w:color="auto" w:fill="auto"/>
            <w:noWrap/>
            <w:vAlign w:val="center"/>
          </w:tcPr>
          <w:p>
            <w:pPr>
              <w:pStyle w:val="63"/>
              <w:keepNext w:val="0"/>
              <w:keepLines w:val="0"/>
              <w:pageBreakBefore w:val="0"/>
              <w:widowControl w:val="0"/>
              <w:kinsoku/>
              <w:wordWrap/>
              <w:overflowPunct/>
              <w:topLinePunct/>
              <w:autoSpaceDE w:val="0"/>
              <w:autoSpaceDN/>
              <w:bidi w:val="0"/>
              <w:adjustRightInd/>
              <w:spacing w:line="360" w:lineRule="exact"/>
              <w:rPr>
                <w:rFonts w:hint="default" w:ascii="Arial" w:hAnsi="Arial" w:eastAsia="宋体" w:cs="Arial"/>
                <w:color w:val="auto"/>
                <w:highlight w:val="none"/>
                <w:lang w:eastAsia="zh-CN"/>
              </w:rPr>
            </w:pPr>
            <w:r>
              <w:rPr>
                <w:rFonts w:hint="default" w:ascii="Arial" w:hAnsi="Arial" w:eastAsia="宋体" w:cs="Arial"/>
                <w:color w:val="auto"/>
                <w:highlight w:val="none"/>
                <w:lang w:eastAsia="zh-CN"/>
              </w:rPr>
              <w:t>占总面积比例（%）</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980" w:type="dxa"/>
            <w:shd w:val="clear" w:color="auto" w:fill="auto"/>
            <w:noWrap/>
            <w:vAlign w:val="bottom"/>
          </w:tcPr>
          <w:p>
            <w:pPr>
              <w:keepNext w:val="0"/>
              <w:keepLines w:val="0"/>
              <w:pageBreakBefore w:val="0"/>
              <w:widowControl w:val="0"/>
              <w:kinsoku/>
              <w:wordWrap/>
              <w:overflowPunct/>
              <w:topLinePunct/>
              <w:autoSpaceDE w:val="0"/>
              <w:autoSpaceDN/>
              <w:bidi w:val="0"/>
              <w:adjustRightInd/>
              <w:snapToGrid w:val="0"/>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坑塘水面</w:t>
            </w:r>
          </w:p>
        </w:tc>
        <w:tc>
          <w:tcPr>
            <w:tcW w:w="1981" w:type="dxa"/>
            <w:shd w:val="clear" w:color="auto" w:fill="auto"/>
            <w:noWrap/>
            <w:vAlign w:val="bottom"/>
          </w:tcPr>
          <w:p>
            <w:pPr>
              <w:keepNext w:val="0"/>
              <w:keepLines w:val="0"/>
              <w:pageBreakBefore w:val="0"/>
              <w:widowControl w:val="0"/>
              <w:kinsoku/>
              <w:wordWrap/>
              <w:overflowPunct/>
              <w:topLinePunct/>
              <w:autoSpaceDE w:val="0"/>
              <w:autoSpaceDN/>
              <w:bidi w:val="0"/>
              <w:adjustRightInd/>
              <w:snapToGrid w:val="0"/>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1</w:t>
            </w:r>
          </w:p>
        </w:tc>
        <w:tc>
          <w:tcPr>
            <w:tcW w:w="1995" w:type="dxa"/>
            <w:shd w:val="clear" w:color="auto" w:fill="auto"/>
            <w:noWrap/>
            <w:vAlign w:val="bottom"/>
          </w:tcPr>
          <w:p>
            <w:pPr>
              <w:keepNext w:val="0"/>
              <w:keepLines w:val="0"/>
              <w:pageBreakBefore w:val="0"/>
              <w:widowControl w:val="0"/>
              <w:kinsoku/>
              <w:wordWrap/>
              <w:overflowPunct/>
              <w:topLinePunct/>
              <w:autoSpaceDE w:val="0"/>
              <w:autoSpaceDN/>
              <w:bidi w:val="0"/>
              <w:adjustRightInd/>
              <w:snapToGrid w:val="0"/>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 xml:space="preserve">0.05 </w:t>
            </w:r>
          </w:p>
        </w:tc>
        <w:tc>
          <w:tcPr>
            <w:tcW w:w="288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val="0"/>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 xml:space="preserve">0.21 </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980" w:type="dxa"/>
            <w:shd w:val="clear" w:color="auto" w:fill="auto"/>
            <w:noWrap/>
            <w:vAlign w:val="bottom"/>
          </w:tcPr>
          <w:p>
            <w:pPr>
              <w:keepNext w:val="0"/>
              <w:keepLines w:val="0"/>
              <w:pageBreakBefore w:val="0"/>
              <w:widowControl w:val="0"/>
              <w:kinsoku/>
              <w:wordWrap/>
              <w:overflowPunct/>
              <w:topLinePunct/>
              <w:autoSpaceDE w:val="0"/>
              <w:autoSpaceDN/>
              <w:bidi w:val="0"/>
              <w:adjustRightInd/>
              <w:snapToGrid w:val="0"/>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天然牧草地</w:t>
            </w:r>
          </w:p>
        </w:tc>
        <w:tc>
          <w:tcPr>
            <w:tcW w:w="1981" w:type="dxa"/>
            <w:shd w:val="clear" w:color="auto" w:fill="auto"/>
            <w:noWrap/>
            <w:vAlign w:val="bottom"/>
          </w:tcPr>
          <w:p>
            <w:pPr>
              <w:keepNext w:val="0"/>
              <w:keepLines w:val="0"/>
              <w:pageBreakBefore w:val="0"/>
              <w:widowControl w:val="0"/>
              <w:kinsoku/>
              <w:wordWrap/>
              <w:overflowPunct/>
              <w:topLinePunct/>
              <w:autoSpaceDE w:val="0"/>
              <w:autoSpaceDN/>
              <w:bidi w:val="0"/>
              <w:adjustRightInd/>
              <w:snapToGrid w:val="0"/>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1</w:t>
            </w:r>
          </w:p>
        </w:tc>
        <w:tc>
          <w:tcPr>
            <w:tcW w:w="1995" w:type="dxa"/>
            <w:shd w:val="clear" w:color="auto" w:fill="auto"/>
            <w:noWrap/>
            <w:vAlign w:val="bottom"/>
          </w:tcPr>
          <w:p>
            <w:pPr>
              <w:keepNext w:val="0"/>
              <w:keepLines w:val="0"/>
              <w:pageBreakBefore w:val="0"/>
              <w:widowControl w:val="0"/>
              <w:kinsoku/>
              <w:wordWrap/>
              <w:overflowPunct/>
              <w:topLinePunct/>
              <w:autoSpaceDE w:val="0"/>
              <w:autoSpaceDN/>
              <w:bidi w:val="0"/>
              <w:adjustRightInd/>
              <w:snapToGrid w:val="0"/>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 xml:space="preserve">21.58 </w:t>
            </w:r>
          </w:p>
        </w:tc>
        <w:tc>
          <w:tcPr>
            <w:tcW w:w="288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val="0"/>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 xml:space="preserve">99.79 </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980"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val="0"/>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总计</w:t>
            </w:r>
          </w:p>
        </w:tc>
        <w:tc>
          <w:tcPr>
            <w:tcW w:w="1981"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val="0"/>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2</w:t>
            </w:r>
          </w:p>
        </w:tc>
        <w:tc>
          <w:tcPr>
            <w:tcW w:w="1995"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val="0"/>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 xml:space="preserve">21.62 </w:t>
            </w:r>
          </w:p>
        </w:tc>
        <w:tc>
          <w:tcPr>
            <w:tcW w:w="288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val="0"/>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 xml:space="preserve">100.00 </w:t>
            </w:r>
          </w:p>
        </w:tc>
      </w:tr>
    </w:tbl>
    <w:p>
      <w:pPr>
        <w:pStyle w:val="7"/>
        <w:rPr>
          <w:rFonts w:hint="default" w:ascii="Arial" w:hAnsi="Arial" w:eastAsia="宋体" w:cs="Arial"/>
          <w:color w:val="auto"/>
          <w:highlight w:val="none"/>
        </w:rPr>
      </w:pPr>
      <w:r>
        <w:rPr>
          <w:rFonts w:hint="default" w:ascii="Arial" w:hAnsi="Arial" w:eastAsia="宋体" w:cs="Arial"/>
          <w:color w:val="auto"/>
          <w:highlight w:val="none"/>
        </w:rPr>
        <w:t>4.2.5</w:t>
      </w:r>
      <w:r>
        <w:rPr>
          <w:rFonts w:hint="default" w:ascii="Arial" w:hAnsi="Arial" w:eastAsia="宋体" w:cs="Arial"/>
          <w:color w:val="auto"/>
          <w:highlight w:val="none"/>
          <w:lang w:val="en-US" w:eastAsia="zh-CN"/>
        </w:rPr>
        <w:t>.2</w:t>
      </w:r>
      <w:r>
        <w:rPr>
          <w:rFonts w:hint="default" w:ascii="Arial" w:hAnsi="Arial" w:eastAsia="宋体" w:cs="Arial"/>
          <w:color w:val="auto"/>
          <w:highlight w:val="none"/>
        </w:rPr>
        <w:t>生态系统功能区划</w:t>
      </w:r>
    </w:p>
    <w:p>
      <w:pPr>
        <w:ind w:firstLine="480"/>
        <w:rPr>
          <w:rFonts w:hint="default" w:ascii="Arial" w:hAnsi="Arial" w:eastAsia="宋体" w:cs="Arial"/>
          <w:color w:val="auto"/>
          <w:highlight w:val="none"/>
        </w:rPr>
      </w:pPr>
      <w:r>
        <w:rPr>
          <w:rFonts w:hint="default" w:ascii="Arial" w:hAnsi="Arial" w:eastAsia="宋体" w:cs="Arial"/>
          <w:color w:val="auto"/>
          <w:highlight w:val="none"/>
        </w:rPr>
        <w:t>经过现场踏勘，评价范围内无国家级和地方重点保护野生动植物集中分布区或栖息地、国家级和自治区级自然保护区、生态功能保护区以及其它类型的保护区域。</w:t>
      </w:r>
    </w:p>
    <w:p>
      <w:pPr>
        <w:ind w:firstLine="480"/>
        <w:rPr>
          <w:rFonts w:hint="default" w:ascii="Arial" w:hAnsi="Arial" w:eastAsia="宋体" w:cs="Arial"/>
          <w:color w:val="auto"/>
          <w:highlight w:val="none"/>
        </w:rPr>
      </w:pPr>
      <w:r>
        <w:rPr>
          <w:rFonts w:hint="default" w:ascii="Arial" w:hAnsi="Arial" w:eastAsia="宋体" w:cs="Arial"/>
          <w:color w:val="auto"/>
          <w:highlight w:val="none"/>
        </w:rPr>
        <w:t>项目在巴彦淖尔市的生态功能区划位置如图4.2-</w:t>
      </w:r>
      <w:r>
        <w:rPr>
          <w:rFonts w:hint="default" w:ascii="Arial" w:hAnsi="Arial" w:eastAsia="宋体" w:cs="Arial"/>
          <w:color w:val="auto"/>
          <w:highlight w:val="none"/>
          <w:lang w:val="en-US" w:eastAsia="zh-CN"/>
        </w:rPr>
        <w:t>3</w:t>
      </w:r>
      <w:r>
        <w:rPr>
          <w:rFonts w:hint="default" w:ascii="Arial" w:hAnsi="Arial" w:eastAsia="宋体" w:cs="Arial"/>
          <w:color w:val="auto"/>
          <w:highlight w:val="none"/>
        </w:rPr>
        <w:t>所示。</w:t>
      </w:r>
    </w:p>
    <w:p>
      <w:pPr>
        <w:pStyle w:val="7"/>
        <w:rPr>
          <w:rFonts w:hint="default" w:ascii="Arial" w:hAnsi="Arial" w:eastAsia="宋体" w:cs="Arial"/>
          <w:color w:val="auto"/>
          <w:highlight w:val="none"/>
        </w:rPr>
      </w:pPr>
      <w:r>
        <w:rPr>
          <w:rFonts w:hint="default" w:ascii="Arial" w:hAnsi="Arial" w:eastAsia="宋体" w:cs="Arial"/>
          <w:color w:val="auto"/>
          <w:highlight w:val="none"/>
        </w:rPr>
        <w:t>4.2.5.</w:t>
      </w:r>
      <w:r>
        <w:rPr>
          <w:rFonts w:hint="default" w:ascii="Arial" w:hAnsi="Arial" w:eastAsia="宋体" w:cs="Arial"/>
          <w:color w:val="auto"/>
          <w:highlight w:val="none"/>
          <w:lang w:val="en-US" w:eastAsia="zh-CN"/>
        </w:rPr>
        <w:t>3</w:t>
      </w:r>
      <w:r>
        <w:rPr>
          <w:rFonts w:hint="default" w:ascii="Arial" w:hAnsi="Arial" w:eastAsia="宋体" w:cs="Arial"/>
          <w:color w:val="auto"/>
          <w:highlight w:val="none"/>
        </w:rPr>
        <w:t>植被类型</w:t>
      </w:r>
    </w:p>
    <w:p>
      <w:pPr>
        <w:ind w:firstLine="480"/>
        <w:rPr>
          <w:rFonts w:hint="default" w:ascii="Arial" w:hAnsi="Arial" w:eastAsia="宋体" w:cs="Arial"/>
          <w:color w:val="auto"/>
          <w:highlight w:val="none"/>
        </w:rPr>
      </w:pPr>
      <w:r>
        <w:rPr>
          <w:rFonts w:hint="default" w:ascii="Arial" w:hAnsi="Arial" w:eastAsia="宋体" w:cs="Arial"/>
          <w:color w:val="auto"/>
          <w:highlight w:val="none"/>
        </w:rPr>
        <w:t>植被类型以沙生、旱生、盐生类灌木和小灌木为主。林地植被以松树为主。乔木物种单一，分布范围较为集中，多为落叶乔木种类，种类少。草本层种类少，受当地气候的影响，草本植物更趋旱生和中旱生。草种主要有蒿类、禾草杂类、隐子草等。</w:t>
      </w:r>
    </w:p>
    <w:p>
      <w:pPr>
        <w:pStyle w:val="7"/>
        <w:rPr>
          <w:rFonts w:hint="default" w:ascii="Arial" w:hAnsi="Arial" w:eastAsia="宋体" w:cs="Arial"/>
          <w:color w:val="auto"/>
          <w:highlight w:val="none"/>
        </w:rPr>
      </w:pPr>
      <w:r>
        <w:rPr>
          <w:rFonts w:hint="default" w:ascii="Arial" w:hAnsi="Arial" w:eastAsia="宋体" w:cs="Arial"/>
          <w:color w:val="auto"/>
          <w:highlight w:val="none"/>
        </w:rPr>
        <w:t>4.2.5.</w:t>
      </w:r>
      <w:r>
        <w:rPr>
          <w:rFonts w:hint="default" w:ascii="Arial" w:hAnsi="Arial" w:eastAsia="宋体" w:cs="Arial"/>
          <w:color w:val="auto"/>
          <w:highlight w:val="none"/>
          <w:lang w:val="en-US" w:eastAsia="zh-CN"/>
        </w:rPr>
        <w:t>4</w:t>
      </w:r>
      <w:r>
        <w:rPr>
          <w:rFonts w:hint="default" w:ascii="Arial" w:hAnsi="Arial" w:eastAsia="宋体" w:cs="Arial"/>
          <w:color w:val="auto"/>
          <w:highlight w:val="none"/>
        </w:rPr>
        <w:t>水土流失及土壤侵蚀现状</w:t>
      </w:r>
    </w:p>
    <w:p>
      <w:pPr>
        <w:ind w:firstLine="480"/>
        <w:rPr>
          <w:rFonts w:hint="default" w:ascii="Arial" w:hAnsi="Arial" w:eastAsia="宋体" w:cs="Arial"/>
          <w:color w:val="auto"/>
          <w:highlight w:val="none"/>
          <w:lang w:val="en-US" w:eastAsia="zh-CN"/>
        </w:rPr>
      </w:pPr>
      <w:r>
        <w:rPr>
          <w:rFonts w:hint="default" w:ascii="Arial" w:hAnsi="Arial" w:eastAsia="宋体" w:cs="Arial"/>
          <w:color w:val="auto"/>
          <w:highlight w:val="none"/>
        </w:rPr>
        <w:t>通过收集项目区所在遥感资料，评价区在地质构造上是一个断陷盆地，为细沙及乌兰布和沙漠粘土状第四之冲积—湖积物所覆盖，其上为冲积、淤积和风积物，多为高低不等3~10m的流动、半固定、固定沙丘、平缓沙地及丘间低地相互交错呈复区分布的地貌类型。土壤类型主要有灰漠土和风沙土2个土类。项目区水土流失类型为风水复合侵蚀。土壤侵蚀既有风蚀又有水蚀，风蚀为主，水蚀为辅。侵蚀形式以面蚀为主，土壤流失容许值为5000t/(km</w:t>
      </w:r>
      <w:r>
        <w:rPr>
          <w:rFonts w:hint="default" w:ascii="Arial" w:hAnsi="Arial" w:eastAsia="宋体" w:cs="Arial"/>
          <w:color w:val="auto"/>
          <w:highlight w:val="none"/>
          <w:vertAlign w:val="superscript"/>
        </w:rPr>
        <w:t>2</w:t>
      </w:r>
      <w:r>
        <w:rPr>
          <w:rFonts w:hint="default" w:ascii="Arial" w:hAnsi="Arial" w:eastAsia="宋体" w:cs="Arial"/>
          <w:color w:val="auto"/>
          <w:highlight w:val="none"/>
        </w:rPr>
        <w:t>•a)</w:t>
      </w:r>
      <w:r>
        <w:rPr>
          <w:rFonts w:hint="default" w:ascii="Arial" w:hAnsi="Arial" w:eastAsia="宋体" w:cs="Arial"/>
          <w:color w:val="auto"/>
          <w:highlight w:val="none"/>
          <w:lang w:eastAsia="zh-CN"/>
        </w:rPr>
        <w:t>。</w:t>
      </w:r>
    </w:p>
    <w:p>
      <w:pPr>
        <w:ind w:firstLine="480"/>
        <w:rPr>
          <w:rFonts w:hint="default" w:ascii="Arial" w:hAnsi="Arial" w:eastAsia="宋体" w:cs="Arial"/>
          <w:color w:val="auto"/>
          <w:highlight w:val="none"/>
          <w:lang w:eastAsia="zh-CN"/>
        </w:rPr>
      </w:pPr>
    </w:p>
    <w:p>
      <w:pPr>
        <w:ind w:firstLine="480"/>
        <w:rPr>
          <w:rFonts w:hint="default" w:ascii="Arial" w:hAnsi="Arial" w:eastAsia="宋体" w:cs="Arial"/>
          <w:color w:val="auto"/>
          <w:highlight w:val="none"/>
          <w:lang w:eastAsia="zh-CN"/>
        </w:rPr>
      </w:pPr>
    </w:p>
    <w:p>
      <w:pPr>
        <w:ind w:firstLine="480"/>
        <w:rPr>
          <w:rFonts w:hint="default" w:ascii="Arial" w:hAnsi="Arial" w:eastAsia="宋体" w:cs="Arial"/>
          <w:color w:val="auto"/>
          <w:highlight w:val="none"/>
          <w:lang w:eastAsia="zh-CN"/>
        </w:rPr>
        <w:sectPr>
          <w:pgSz w:w="11906" w:h="16838"/>
          <w:pgMar w:top="1134" w:right="1418" w:bottom="1134" w:left="1701" w:header="737" w:footer="680" w:gutter="0"/>
          <w:pgBorders>
            <w:top w:val="none" w:sz="0" w:space="0"/>
            <w:left w:val="none" w:sz="0" w:space="0"/>
            <w:bottom w:val="none" w:sz="0" w:space="0"/>
            <w:right w:val="none" w:sz="0" w:space="0"/>
          </w:pgBorders>
          <w:pgNumType w:fmt="numberInDash"/>
          <w:cols w:space="425" w:num="1"/>
          <w:docGrid w:linePitch="326" w:charSpace="0"/>
        </w:sectPr>
      </w:pPr>
    </w:p>
    <w:p>
      <w:pPr>
        <w:ind w:left="0" w:leftChars="0" w:firstLine="0" w:firstLineChars="0"/>
        <w:rPr>
          <w:rFonts w:hint="default" w:ascii="Arial" w:hAnsi="Arial" w:eastAsia="宋体" w:cs="Arial"/>
          <w:color w:val="auto"/>
          <w:highlight w:val="none"/>
          <w:lang w:eastAsia="zh-CN"/>
        </w:rPr>
      </w:pPr>
      <w:r>
        <w:rPr>
          <w:rFonts w:hint="default" w:ascii="Arial" w:hAnsi="Arial" w:eastAsia="宋体" w:cs="Arial"/>
          <w:color w:val="auto"/>
          <w:highlight w:val="none"/>
          <w:lang w:eastAsia="zh-CN"/>
        </w:rPr>
        <w:drawing>
          <wp:anchor distT="0" distB="0" distL="114300" distR="114300" simplePos="0" relativeHeight="251682816" behindDoc="0" locked="0" layoutInCell="1" allowOverlap="1">
            <wp:simplePos x="0" y="0"/>
            <wp:positionH relativeFrom="column">
              <wp:posOffset>1390650</wp:posOffset>
            </wp:positionH>
            <wp:positionV relativeFrom="paragraph">
              <wp:posOffset>-13335</wp:posOffset>
            </wp:positionV>
            <wp:extent cx="6801485" cy="5255895"/>
            <wp:effectExtent l="0" t="0" r="18415" b="1905"/>
            <wp:wrapNone/>
            <wp:docPr id="3" name="图片 3" descr="土地利用类型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土地利用类型图"/>
                    <pic:cNvPicPr>
                      <a:picLocks noChangeAspect="1"/>
                    </pic:cNvPicPr>
                  </pic:nvPicPr>
                  <pic:blipFill>
                    <a:blip r:embed="rId30"/>
                    <a:stretch>
                      <a:fillRect/>
                    </a:stretch>
                  </pic:blipFill>
                  <pic:spPr>
                    <a:xfrm>
                      <a:off x="0" y="0"/>
                      <a:ext cx="6801485" cy="5255895"/>
                    </a:xfrm>
                    <a:prstGeom prst="rect">
                      <a:avLst/>
                    </a:prstGeom>
                  </pic:spPr>
                </pic:pic>
              </a:graphicData>
            </a:graphic>
          </wp:anchor>
        </w:drawing>
      </w:r>
    </w:p>
    <w:p>
      <w:pPr>
        <w:ind w:firstLine="480"/>
        <w:rPr>
          <w:rFonts w:hint="default" w:ascii="Arial" w:hAnsi="Arial" w:eastAsia="宋体" w:cs="Arial"/>
          <w:color w:val="auto"/>
          <w:highlight w:val="none"/>
        </w:rPr>
      </w:pPr>
    </w:p>
    <w:p>
      <w:pPr>
        <w:ind w:firstLine="480"/>
        <w:rPr>
          <w:rFonts w:hint="default" w:ascii="Arial" w:hAnsi="Arial" w:eastAsia="宋体" w:cs="Arial"/>
          <w:color w:val="auto"/>
          <w:highlight w:val="none"/>
        </w:rPr>
      </w:pPr>
    </w:p>
    <w:p>
      <w:pPr>
        <w:ind w:firstLine="480"/>
        <w:rPr>
          <w:rFonts w:hint="default" w:ascii="Arial" w:hAnsi="Arial" w:eastAsia="宋体" w:cs="Arial"/>
          <w:color w:val="auto"/>
          <w:highlight w:val="none"/>
        </w:rPr>
      </w:pPr>
    </w:p>
    <w:p>
      <w:pPr>
        <w:ind w:firstLine="480"/>
        <w:rPr>
          <w:rFonts w:hint="default" w:ascii="Arial" w:hAnsi="Arial" w:eastAsia="宋体" w:cs="Arial"/>
          <w:color w:val="auto"/>
          <w:highlight w:val="none"/>
        </w:rPr>
      </w:pPr>
    </w:p>
    <w:p>
      <w:pPr>
        <w:ind w:firstLine="480"/>
        <w:rPr>
          <w:rFonts w:hint="default" w:ascii="Arial" w:hAnsi="Arial" w:eastAsia="宋体" w:cs="Arial"/>
          <w:color w:val="auto"/>
          <w:highlight w:val="none"/>
        </w:rPr>
      </w:pPr>
    </w:p>
    <w:p>
      <w:pPr>
        <w:ind w:firstLine="480"/>
        <w:rPr>
          <w:rFonts w:hint="default" w:ascii="Arial" w:hAnsi="Arial" w:eastAsia="宋体" w:cs="Arial"/>
          <w:color w:val="auto"/>
          <w:highlight w:val="none"/>
        </w:rPr>
      </w:pPr>
    </w:p>
    <w:p>
      <w:pPr>
        <w:ind w:firstLine="480"/>
        <w:rPr>
          <w:rFonts w:hint="default" w:ascii="Arial" w:hAnsi="Arial" w:eastAsia="宋体" w:cs="Arial"/>
          <w:color w:val="auto"/>
          <w:highlight w:val="none"/>
        </w:rPr>
      </w:pPr>
    </w:p>
    <w:p>
      <w:pPr>
        <w:ind w:firstLine="480"/>
        <w:rPr>
          <w:rFonts w:hint="default" w:ascii="Arial" w:hAnsi="Arial" w:eastAsia="宋体" w:cs="Arial"/>
          <w:color w:val="auto"/>
          <w:highlight w:val="none"/>
        </w:rPr>
      </w:pPr>
    </w:p>
    <w:p>
      <w:pPr>
        <w:ind w:firstLine="480"/>
        <w:rPr>
          <w:rFonts w:hint="default" w:ascii="Arial" w:hAnsi="Arial" w:eastAsia="宋体" w:cs="Arial"/>
          <w:color w:val="auto"/>
          <w:highlight w:val="none"/>
        </w:rPr>
      </w:pPr>
    </w:p>
    <w:p>
      <w:pPr>
        <w:ind w:firstLine="480"/>
        <w:rPr>
          <w:rFonts w:hint="default" w:ascii="Arial" w:hAnsi="Arial" w:eastAsia="宋体" w:cs="Arial"/>
          <w:color w:val="auto"/>
          <w:highlight w:val="none"/>
        </w:rPr>
      </w:pPr>
    </w:p>
    <w:p>
      <w:pPr>
        <w:ind w:firstLine="480"/>
        <w:rPr>
          <w:rFonts w:hint="default" w:ascii="Arial" w:hAnsi="Arial" w:eastAsia="宋体" w:cs="Arial"/>
          <w:color w:val="auto"/>
          <w:highlight w:val="none"/>
        </w:rPr>
      </w:pPr>
    </w:p>
    <w:p>
      <w:pPr>
        <w:ind w:firstLine="480"/>
        <w:rPr>
          <w:rFonts w:hint="default" w:ascii="Arial" w:hAnsi="Arial" w:eastAsia="宋体" w:cs="Arial"/>
          <w:color w:val="auto"/>
          <w:highlight w:val="none"/>
          <w:lang w:eastAsia="zh-CN"/>
        </w:rPr>
      </w:pPr>
    </w:p>
    <w:p>
      <w:pPr>
        <w:ind w:firstLine="480"/>
        <w:rPr>
          <w:rFonts w:hint="default" w:ascii="Arial" w:hAnsi="Arial" w:eastAsia="宋体" w:cs="Arial"/>
          <w:color w:val="auto"/>
          <w:highlight w:val="none"/>
        </w:rPr>
      </w:pPr>
    </w:p>
    <w:p>
      <w:pPr>
        <w:ind w:firstLine="480"/>
        <w:rPr>
          <w:rFonts w:hint="default" w:ascii="Arial" w:hAnsi="Arial" w:eastAsia="宋体" w:cs="Arial"/>
          <w:color w:val="auto"/>
          <w:highlight w:val="none"/>
        </w:rPr>
      </w:pPr>
    </w:p>
    <w:p>
      <w:pPr>
        <w:ind w:firstLine="480"/>
        <w:rPr>
          <w:rFonts w:hint="default" w:ascii="Arial" w:hAnsi="Arial" w:eastAsia="宋体" w:cs="Arial"/>
          <w:color w:val="auto"/>
          <w:highlight w:val="none"/>
        </w:rPr>
      </w:pPr>
    </w:p>
    <w:p>
      <w:pPr>
        <w:ind w:left="0" w:leftChars="0" w:firstLine="0" w:firstLineChars="0"/>
        <w:rPr>
          <w:rFonts w:hint="default" w:ascii="Arial" w:hAnsi="Arial" w:eastAsia="宋体" w:cs="Arial"/>
          <w:color w:val="auto"/>
          <w:highlight w:val="none"/>
        </w:rPr>
      </w:pPr>
    </w:p>
    <w:p>
      <w:pPr>
        <w:ind w:firstLine="480"/>
        <w:jc w:val="center"/>
        <w:rPr>
          <w:rFonts w:hint="default" w:ascii="Arial" w:hAnsi="Arial" w:eastAsia="宋体" w:cs="Arial"/>
          <w:b/>
          <w:bCs/>
          <w:color w:val="auto"/>
          <w:highlight w:val="none"/>
        </w:rPr>
        <w:sectPr>
          <w:pgSz w:w="16838" w:h="11906" w:orient="landscape"/>
          <w:pgMar w:top="1701" w:right="1134" w:bottom="1418" w:left="1134" w:header="737" w:footer="680" w:gutter="0"/>
          <w:pgBorders>
            <w:top w:val="none" w:sz="0" w:space="0"/>
            <w:left w:val="none" w:sz="0" w:space="0"/>
            <w:bottom w:val="none" w:sz="0" w:space="0"/>
            <w:right w:val="none" w:sz="0" w:space="0"/>
          </w:pgBorders>
          <w:pgNumType w:fmt="numberInDash"/>
          <w:cols w:space="425" w:num="1"/>
          <w:docGrid w:linePitch="326" w:charSpace="0"/>
        </w:sectPr>
      </w:pPr>
      <w:r>
        <w:rPr>
          <w:rFonts w:hint="default" w:ascii="Arial" w:hAnsi="Arial" w:eastAsia="宋体" w:cs="Arial"/>
          <w:b/>
          <w:bCs/>
          <w:color w:val="auto"/>
          <w:highlight w:val="none"/>
        </w:rPr>
        <w:t>图4.2-2    项目土地利用现状图</w:t>
      </w:r>
    </w:p>
    <w:p>
      <w:pPr>
        <w:pStyle w:val="8"/>
        <w:rPr>
          <w:rFonts w:hint="default" w:ascii="Arial" w:hAnsi="Arial" w:eastAsia="宋体" w:cs="Arial"/>
          <w:color w:val="auto"/>
          <w:highlight w:val="none"/>
        </w:rPr>
        <w:sectPr>
          <w:pgSz w:w="16838" w:h="11906" w:orient="landscape"/>
          <w:pgMar w:top="1134" w:right="1134" w:bottom="1134" w:left="1134" w:header="737" w:footer="680" w:gutter="0"/>
          <w:pgBorders>
            <w:top w:val="none" w:sz="0" w:space="0"/>
            <w:left w:val="none" w:sz="0" w:space="0"/>
            <w:bottom w:val="none" w:sz="0" w:space="0"/>
            <w:right w:val="none" w:sz="0" w:space="0"/>
          </w:pgBorders>
          <w:pgNumType w:fmt="numberInDash"/>
          <w:cols w:space="425" w:num="1"/>
          <w:docGrid w:linePitch="326" w:charSpace="0"/>
        </w:sectPr>
      </w:pPr>
      <w:r>
        <w:rPr>
          <w:rFonts w:hint="default" w:ascii="Arial" w:hAnsi="Arial" w:eastAsia="宋体" w:cs="Arial"/>
          <w:color w:val="auto"/>
          <w:highlight w:val="none"/>
        </w:rPr>
        <mc:AlternateContent>
          <mc:Choice Requires="wps">
            <w:drawing>
              <wp:anchor distT="0" distB="0" distL="114300" distR="114300" simplePos="0" relativeHeight="251662336" behindDoc="0" locked="0" layoutInCell="1" allowOverlap="1">
                <wp:simplePos x="0" y="0"/>
                <wp:positionH relativeFrom="column">
                  <wp:posOffset>4836795</wp:posOffset>
                </wp:positionH>
                <wp:positionV relativeFrom="paragraph">
                  <wp:posOffset>4023995</wp:posOffset>
                </wp:positionV>
                <wp:extent cx="1176020" cy="436880"/>
                <wp:effectExtent l="4445" t="1051560" r="248285" b="16510"/>
                <wp:wrapNone/>
                <wp:docPr id="62" name="自选图形 335"/>
                <wp:cNvGraphicFramePr/>
                <a:graphic xmlns:a="http://schemas.openxmlformats.org/drawingml/2006/main">
                  <a:graphicData uri="http://schemas.microsoft.com/office/word/2010/wordprocessingShape">
                    <wps:wsp>
                      <wps:cNvSpPr/>
                      <wps:spPr>
                        <a:xfrm>
                          <a:off x="0" y="0"/>
                          <a:ext cx="1176020" cy="436880"/>
                        </a:xfrm>
                        <a:prstGeom prst="wedgeRectCallout">
                          <a:avLst>
                            <a:gd name="adj1" fmla="val 68790"/>
                            <a:gd name="adj2" fmla="val -282994"/>
                          </a:avLst>
                        </a:prstGeom>
                        <a:solidFill>
                          <a:srgbClr val="FFFFFF"/>
                        </a:solidFill>
                        <a:ln w="9525" cap="flat" cmpd="sng">
                          <a:solidFill>
                            <a:srgbClr val="000000"/>
                          </a:solidFill>
                          <a:prstDash val="solid"/>
                          <a:miter/>
                          <a:headEnd type="none" w="med" len="med"/>
                          <a:tailEnd type="none" w="med" len="med"/>
                        </a:ln>
                      </wps:spPr>
                      <wps:txbx>
                        <w:txbxContent>
                          <w:p>
                            <w:pPr>
                              <w:ind w:firstLine="0" w:firstLineChars="0"/>
                              <w:jc w:val="center"/>
                              <w:rPr>
                                <w:b/>
                                <w:bCs/>
                                <w:sz w:val="28"/>
                                <w:szCs w:val="24"/>
                              </w:rPr>
                            </w:pPr>
                            <w:r>
                              <w:rPr>
                                <w:rFonts w:hint="eastAsia"/>
                                <w:b/>
                                <w:bCs/>
                                <w:sz w:val="28"/>
                                <w:szCs w:val="24"/>
                              </w:rPr>
                              <w:t>项目所在地</w:t>
                            </w:r>
                          </w:p>
                        </w:txbxContent>
                      </wps:txbx>
                      <wps:bodyPr upright="1"/>
                    </wps:wsp>
                  </a:graphicData>
                </a:graphic>
              </wp:anchor>
            </w:drawing>
          </mc:Choice>
          <mc:Fallback>
            <w:pict>
              <v:shape id="自选图形 335" o:spid="_x0000_s1026" o:spt="61" type="#_x0000_t61" style="position:absolute;left:0pt;margin-left:380.85pt;margin-top:316.85pt;height:34.4pt;width:92.6pt;z-index:251662336;mso-width-relative:page;mso-height-relative:page;" fillcolor="#FFFFFF" filled="t" stroked="t" coordsize="21600,21600" o:gfxdata="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FcHHR3YAAAACwEAAA8AAAAAAAAAAQAgAAAAIgAA&#10;AGRycy9kb3ducmV2LnhtbFBLAQIUABQAAAAIAIdO4kCGbnW8QQIAAJEEAAAOAAAAAAAAAAEAIAAA&#10;ACcBAABkcnMvZTJvRG9jLnhtbFBLBQYAAAAABgAGAFkBAADaBQAAAAA=&#10;" adj="25659,-50327">
                <v:fill on="t" focussize="0,0"/>
                <v:stroke color="#000000" joinstyle="miter"/>
                <v:imagedata o:title=""/>
                <o:lock v:ext="edit" aspectratio="f"/>
                <v:textbox>
                  <w:txbxContent>
                    <w:p>
                      <w:pPr>
                        <w:ind w:firstLine="0" w:firstLineChars="0"/>
                        <w:jc w:val="center"/>
                        <w:rPr>
                          <w:b/>
                          <w:bCs/>
                          <w:sz w:val="28"/>
                          <w:szCs w:val="24"/>
                        </w:rPr>
                      </w:pPr>
                      <w:r>
                        <w:rPr>
                          <w:rFonts w:hint="eastAsia"/>
                          <w:b/>
                          <w:bCs/>
                          <w:sz w:val="28"/>
                          <w:szCs w:val="24"/>
                        </w:rPr>
                        <w:t>项目所在地</w:t>
                      </w:r>
                    </w:p>
                  </w:txbxContent>
                </v:textbox>
              </v:shape>
            </w:pict>
          </mc:Fallback>
        </mc:AlternateContent>
      </w:r>
      <w:r>
        <w:rPr>
          <w:rFonts w:hint="default" w:ascii="Arial" w:hAnsi="Arial" w:eastAsia="宋体" w:cs="Arial"/>
          <w:color w:val="auto"/>
          <w:highlight w:val="none"/>
        </w:rPr>
        <w:drawing>
          <wp:anchor distT="0" distB="0" distL="114300" distR="114300" simplePos="0" relativeHeight="251660288" behindDoc="0" locked="0" layoutInCell="1" allowOverlap="1">
            <wp:simplePos x="0" y="0"/>
            <wp:positionH relativeFrom="margin">
              <wp:posOffset>0</wp:posOffset>
            </wp:positionH>
            <wp:positionV relativeFrom="paragraph">
              <wp:posOffset>-635</wp:posOffset>
            </wp:positionV>
            <wp:extent cx="9251950" cy="5568315"/>
            <wp:effectExtent l="0" t="0" r="0" b="0"/>
            <wp:wrapTopAndBottom/>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a:xfrm>
                      <a:off x="0" y="0"/>
                      <a:ext cx="9252000" cy="5568197"/>
                    </a:xfrm>
                    <a:prstGeom prst="rect">
                      <a:avLst/>
                    </a:prstGeom>
                    <a:noFill/>
                    <a:ln>
                      <a:noFill/>
                    </a:ln>
                  </pic:spPr>
                </pic:pic>
              </a:graphicData>
            </a:graphic>
          </wp:anchor>
        </w:drawing>
      </w:r>
      <w:r>
        <w:rPr>
          <w:rFonts w:hint="default" w:ascii="Arial" w:hAnsi="Arial" w:eastAsia="宋体" w:cs="Arial"/>
          <w:color w:val="auto"/>
          <w:highlight w:val="none"/>
        </w:rPr>
        <w:t>图4.2-3    巴彦淖尔生态功能图</w:t>
      </w:r>
    </w:p>
    <w:p>
      <w:pPr>
        <w:pStyle w:val="4"/>
        <w:rPr>
          <w:rFonts w:hint="default" w:ascii="Arial" w:hAnsi="Arial" w:eastAsia="宋体" w:cs="Arial"/>
          <w:color w:val="auto"/>
          <w:highlight w:val="none"/>
        </w:rPr>
      </w:pPr>
      <w:bookmarkStart w:id="327" w:name="_Toc25865"/>
      <w:r>
        <w:rPr>
          <w:rFonts w:hint="default" w:ascii="Arial" w:hAnsi="Arial" w:eastAsia="宋体" w:cs="Arial"/>
          <w:color w:val="auto"/>
          <w:highlight w:val="none"/>
        </w:rPr>
        <w:t>5环境影响预测与评价</w:t>
      </w:r>
      <w:bookmarkEnd w:id="327"/>
    </w:p>
    <w:p>
      <w:pPr>
        <w:pStyle w:val="5"/>
        <w:rPr>
          <w:rFonts w:hint="default" w:ascii="Arial" w:hAnsi="Arial" w:eastAsia="宋体" w:cs="Arial"/>
          <w:color w:val="auto"/>
          <w:highlight w:val="none"/>
        </w:rPr>
      </w:pPr>
      <w:bookmarkStart w:id="328" w:name="_Toc17582"/>
      <w:r>
        <w:rPr>
          <w:rFonts w:hint="default" w:ascii="Arial" w:hAnsi="Arial" w:eastAsia="宋体" w:cs="Arial"/>
          <w:color w:val="auto"/>
          <w:highlight w:val="none"/>
        </w:rPr>
        <w:t>5.1施工期环境影响分析</w:t>
      </w:r>
      <w:bookmarkEnd w:id="328"/>
    </w:p>
    <w:p>
      <w:pPr>
        <w:ind w:firstLine="480"/>
        <w:rPr>
          <w:rFonts w:hint="default" w:ascii="Arial" w:hAnsi="Arial" w:eastAsia="宋体" w:cs="Arial"/>
          <w:color w:val="auto"/>
          <w:highlight w:val="none"/>
        </w:rPr>
      </w:pPr>
      <w:r>
        <w:rPr>
          <w:rFonts w:hint="default" w:ascii="Arial" w:hAnsi="Arial" w:eastAsia="宋体" w:cs="Arial"/>
          <w:color w:val="auto"/>
          <w:highlight w:val="none"/>
        </w:rPr>
        <w:t>由于建筑施工的每个施工阶段所进行的项目内容和采用的机械设备不同，对周围环境要素在不同程度上将产生一定影响。建筑施工对周围环境的影响主要表现在生态破坏、水土流失、扬尘、噪声、固体废物及废水等方面，其中以扬尘</w:t>
      </w:r>
      <w:r>
        <w:rPr>
          <w:rFonts w:hint="default" w:ascii="Arial" w:hAnsi="Arial" w:eastAsia="宋体" w:cs="Arial"/>
          <w:color w:val="auto"/>
          <w:highlight w:val="none"/>
          <w:lang w:eastAsia="zh-CN"/>
        </w:rPr>
        <w:t>和生态破坏</w:t>
      </w:r>
      <w:r>
        <w:rPr>
          <w:rFonts w:hint="default" w:ascii="Arial" w:hAnsi="Arial" w:eastAsia="宋体" w:cs="Arial"/>
          <w:color w:val="auto"/>
          <w:highlight w:val="none"/>
        </w:rPr>
        <w:t>对环境的影响较为显著。施工期的环境影响属短期的、可恢复和局部的。</w:t>
      </w:r>
    </w:p>
    <w:p>
      <w:pPr>
        <w:ind w:firstLine="480"/>
        <w:rPr>
          <w:rFonts w:hint="default" w:ascii="Arial" w:hAnsi="Arial" w:eastAsia="宋体" w:cs="Arial"/>
          <w:color w:val="auto"/>
          <w:highlight w:val="none"/>
        </w:rPr>
      </w:pPr>
      <w:r>
        <w:rPr>
          <w:rFonts w:hint="default" w:ascii="Arial" w:hAnsi="Arial" w:eastAsia="宋体" w:cs="Arial"/>
          <w:color w:val="auto"/>
          <w:highlight w:val="none"/>
        </w:rPr>
        <w:t>施工期间应加强管理，严格执行国家的有关规定，减少对周围环境的影响。下面将结合本工程的特征和当地的环境状况，就项目施工过程中对环境的影响进行分析，并在此基础上提出减少影响的措施和建议。</w:t>
      </w:r>
    </w:p>
    <w:p>
      <w:pPr>
        <w:pStyle w:val="6"/>
        <w:rPr>
          <w:rFonts w:hint="default" w:ascii="Arial" w:hAnsi="Arial" w:eastAsia="宋体" w:cs="Arial"/>
          <w:color w:val="auto"/>
          <w:highlight w:val="none"/>
        </w:rPr>
      </w:pPr>
      <w:bookmarkStart w:id="329" w:name="_Toc1456"/>
      <w:r>
        <w:rPr>
          <w:rFonts w:hint="default" w:ascii="Arial" w:hAnsi="Arial" w:eastAsia="宋体" w:cs="Arial"/>
          <w:color w:val="auto"/>
          <w:highlight w:val="none"/>
        </w:rPr>
        <w:t>5.1.1大气环境影响分析</w:t>
      </w:r>
      <w:bookmarkEnd w:id="329"/>
    </w:p>
    <w:p>
      <w:pPr>
        <w:pStyle w:val="7"/>
        <w:rPr>
          <w:rFonts w:hint="default" w:ascii="Arial" w:hAnsi="Arial" w:eastAsia="宋体" w:cs="Arial"/>
          <w:color w:val="auto"/>
          <w:highlight w:val="none"/>
        </w:rPr>
      </w:pPr>
      <w:r>
        <w:rPr>
          <w:rFonts w:hint="default" w:ascii="Arial" w:hAnsi="Arial" w:eastAsia="宋体" w:cs="Arial"/>
          <w:color w:val="auto"/>
          <w:highlight w:val="none"/>
        </w:rPr>
        <w:t>5.1.1.1施工扬尘的影响</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施工场区</w:t>
      </w:r>
      <w:r>
        <w:rPr>
          <w:rFonts w:hint="default" w:ascii="Arial" w:hAnsi="Arial" w:eastAsia="宋体" w:cs="Arial"/>
          <w:color w:val="auto"/>
          <w:highlight w:val="none"/>
          <w:lang w:eastAsia="zh-CN"/>
        </w:rPr>
        <w:t>和管道铺设产生的</w:t>
      </w:r>
      <w:r>
        <w:rPr>
          <w:rFonts w:hint="default" w:ascii="Arial" w:hAnsi="Arial" w:eastAsia="宋体" w:cs="Arial"/>
          <w:color w:val="auto"/>
          <w:highlight w:val="none"/>
        </w:rPr>
        <w:t>扬尘的主要来源是施工场地清理及平整、施工建筑材料（水泥、石灰、砂石料）</w:t>
      </w:r>
      <w:r>
        <w:rPr>
          <w:rFonts w:hint="default" w:ascii="Arial" w:hAnsi="Arial" w:eastAsia="宋体" w:cs="Arial"/>
          <w:color w:val="auto"/>
          <w:highlight w:val="none"/>
          <w:lang w:eastAsia="zh-CN"/>
        </w:rPr>
        <w:t>和</w:t>
      </w:r>
      <w:r>
        <w:rPr>
          <w:rFonts w:hint="default" w:ascii="Arial" w:hAnsi="Arial" w:eastAsia="宋体" w:cs="Arial"/>
          <w:color w:val="auto"/>
          <w:highlight w:val="none"/>
        </w:rPr>
        <w:t>开挖</w:t>
      </w:r>
      <w:r>
        <w:rPr>
          <w:rFonts w:hint="default" w:ascii="Arial" w:hAnsi="Arial" w:eastAsia="宋体" w:cs="Arial"/>
          <w:color w:val="auto"/>
          <w:highlight w:val="none"/>
          <w:lang w:eastAsia="zh-CN"/>
        </w:rPr>
        <w:t>土方在</w:t>
      </w:r>
      <w:r>
        <w:rPr>
          <w:rFonts w:hint="default" w:ascii="Arial" w:hAnsi="Arial" w:eastAsia="宋体" w:cs="Arial"/>
          <w:color w:val="auto"/>
          <w:highlight w:val="none"/>
        </w:rPr>
        <w:t>装卸</w:t>
      </w:r>
      <w:r>
        <w:rPr>
          <w:rFonts w:hint="default" w:ascii="Arial" w:hAnsi="Arial" w:eastAsia="宋体" w:cs="Arial"/>
          <w:color w:val="auto"/>
          <w:highlight w:val="none"/>
          <w:lang w:eastAsia="zh-CN"/>
        </w:rPr>
        <w:t>、堆存</w:t>
      </w:r>
      <w:r>
        <w:rPr>
          <w:rFonts w:hint="default" w:ascii="Arial" w:hAnsi="Arial" w:eastAsia="宋体" w:cs="Arial"/>
          <w:color w:val="auto"/>
          <w:highlight w:val="none"/>
        </w:rPr>
        <w:t>、运输过程中造成的扬尘，</w:t>
      </w:r>
      <w:r>
        <w:rPr>
          <w:rFonts w:hint="default" w:ascii="Arial" w:hAnsi="Arial" w:eastAsia="宋体" w:cs="Arial"/>
          <w:color w:val="auto"/>
          <w:highlight w:val="none"/>
          <w:lang w:eastAsia="zh-CN"/>
        </w:rPr>
        <w:t>以及</w:t>
      </w:r>
      <w:r>
        <w:rPr>
          <w:rFonts w:hint="default" w:ascii="Arial" w:hAnsi="Arial" w:eastAsia="宋体" w:cs="Arial"/>
          <w:color w:val="auto"/>
          <w:highlight w:val="none"/>
        </w:rPr>
        <w:t>道路扬尘</w:t>
      </w:r>
      <w:r>
        <w:rPr>
          <w:rFonts w:hint="default" w:ascii="Arial" w:hAnsi="Arial" w:eastAsia="宋体" w:cs="Arial"/>
          <w:color w:val="auto"/>
          <w:highlight w:val="none"/>
          <w:lang w:eastAsia="zh-CN"/>
        </w:rPr>
        <w:t>；</w:t>
      </w:r>
      <w:r>
        <w:rPr>
          <w:rFonts w:hint="default" w:ascii="Arial" w:hAnsi="Arial" w:eastAsia="宋体" w:cs="Arial"/>
          <w:color w:val="auto"/>
          <w:highlight w:val="none"/>
        </w:rPr>
        <w:t>另外运输汽车、施工机械等燃油会排放少量尾气，对空气环境也有一定的影响。</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（1）施工场区扬尘</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施工场区扬尘的主要来源是工程建设产生的扬尘，主要集中在土建施工阶段，土地平整、表土剥离、开挖、回填、建材运输、露天堆放、装卸和搅拌等过程。扬尘的排放与施工场地的面积和施工活动频率成比例，还与风速与粒径和含水率有关，因此减小露天堆场和保证一定的含水率及减少裸露地面是减少风力起尘的有效手段。粉尘在空气中的扩散稀散与风速等气象条件有关，也与粉尘的沉降速度有关。不同粒径的沉降速度见下表。</w:t>
      </w:r>
    </w:p>
    <w:p>
      <w:pPr>
        <w:pStyle w:val="8"/>
        <w:pageBreakBefore w:val="0"/>
        <w:widowControl w:val="0"/>
        <w:kinsoku/>
        <w:wordWrap/>
        <w:overflowPunct/>
        <w:topLinePunct/>
        <w:autoSpaceDE w:val="0"/>
        <w:autoSpaceDN/>
        <w:bidi w:val="0"/>
        <w:adjustRightInd/>
        <w:snapToGrid/>
        <w:textAlignment w:val="auto"/>
        <w:rPr>
          <w:rFonts w:hint="default" w:ascii="Arial" w:hAnsi="Arial" w:eastAsia="宋体" w:cs="Arial"/>
          <w:color w:val="auto"/>
          <w:highlight w:val="none"/>
        </w:rPr>
      </w:pPr>
      <w:r>
        <w:rPr>
          <w:rFonts w:hint="default" w:ascii="Arial" w:hAnsi="Arial" w:eastAsia="宋体" w:cs="Arial"/>
          <w:color w:val="auto"/>
          <w:highlight w:val="none"/>
        </w:rPr>
        <w:t>表5.1-1    不同粒径尘粒的沉降速度一览表</w:t>
      </w:r>
    </w:p>
    <w:tbl>
      <w:tblPr>
        <w:tblStyle w:val="39"/>
        <w:tblW w:w="9003" w:type="dxa"/>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28" w:type="dxa"/>
          <w:left w:w="0" w:type="dxa"/>
          <w:bottom w:w="28" w:type="dxa"/>
          <w:right w:w="0" w:type="dxa"/>
        </w:tblCellMar>
      </w:tblPr>
      <w:tblGrid>
        <w:gridCol w:w="2840"/>
        <w:gridCol w:w="882"/>
        <w:gridCol w:w="882"/>
        <w:gridCol w:w="882"/>
        <w:gridCol w:w="882"/>
        <w:gridCol w:w="882"/>
        <w:gridCol w:w="882"/>
        <w:gridCol w:w="871"/>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28" w:type="dxa"/>
            <w:left w:w="0" w:type="dxa"/>
            <w:bottom w:w="28" w:type="dxa"/>
            <w:right w:w="0" w:type="dxa"/>
          </w:tblCellMar>
        </w:tblPrEx>
        <w:trPr>
          <w:cantSplit/>
          <w:trHeight w:val="340" w:hRule="atLeast"/>
          <w:jc w:val="center"/>
        </w:trPr>
        <w:tc>
          <w:tcPr>
            <w:tcW w:w="2840" w:type="dxa"/>
            <w:tcMar>
              <w:top w:w="0" w:type="dxa"/>
              <w:bottom w:w="0" w:type="dxa"/>
            </w:tcMar>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粉尘粒径（μm）</w:t>
            </w:r>
          </w:p>
        </w:tc>
        <w:tc>
          <w:tcPr>
            <w:tcW w:w="882" w:type="dxa"/>
            <w:tcMar>
              <w:top w:w="0" w:type="dxa"/>
              <w:bottom w:w="0" w:type="dxa"/>
            </w:tcMar>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10</w:t>
            </w:r>
          </w:p>
        </w:tc>
        <w:tc>
          <w:tcPr>
            <w:tcW w:w="882" w:type="dxa"/>
            <w:tcMar>
              <w:top w:w="0" w:type="dxa"/>
              <w:bottom w:w="0" w:type="dxa"/>
            </w:tcMar>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20</w:t>
            </w:r>
          </w:p>
        </w:tc>
        <w:tc>
          <w:tcPr>
            <w:tcW w:w="882" w:type="dxa"/>
            <w:tcMar>
              <w:top w:w="0" w:type="dxa"/>
              <w:bottom w:w="0" w:type="dxa"/>
            </w:tcMar>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30</w:t>
            </w:r>
          </w:p>
        </w:tc>
        <w:tc>
          <w:tcPr>
            <w:tcW w:w="882" w:type="dxa"/>
            <w:tcMar>
              <w:top w:w="0" w:type="dxa"/>
              <w:bottom w:w="0" w:type="dxa"/>
            </w:tcMar>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40</w:t>
            </w:r>
          </w:p>
        </w:tc>
        <w:tc>
          <w:tcPr>
            <w:tcW w:w="882" w:type="dxa"/>
            <w:tcMar>
              <w:top w:w="0" w:type="dxa"/>
              <w:bottom w:w="0" w:type="dxa"/>
            </w:tcMar>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50</w:t>
            </w:r>
          </w:p>
        </w:tc>
        <w:tc>
          <w:tcPr>
            <w:tcW w:w="882" w:type="dxa"/>
            <w:tcMar>
              <w:top w:w="0" w:type="dxa"/>
              <w:bottom w:w="0" w:type="dxa"/>
            </w:tcMar>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60</w:t>
            </w:r>
          </w:p>
        </w:tc>
        <w:tc>
          <w:tcPr>
            <w:tcW w:w="871" w:type="dxa"/>
            <w:tcMar>
              <w:top w:w="0" w:type="dxa"/>
              <w:bottom w:w="0" w:type="dxa"/>
            </w:tcMar>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70</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28" w:type="dxa"/>
            <w:left w:w="0" w:type="dxa"/>
            <w:bottom w:w="28" w:type="dxa"/>
            <w:right w:w="0" w:type="dxa"/>
          </w:tblCellMar>
        </w:tblPrEx>
        <w:trPr>
          <w:cantSplit/>
          <w:trHeight w:val="340" w:hRule="atLeast"/>
          <w:jc w:val="center"/>
        </w:trPr>
        <w:tc>
          <w:tcPr>
            <w:tcW w:w="2840" w:type="dxa"/>
            <w:tcMar>
              <w:top w:w="0" w:type="dxa"/>
              <w:bottom w:w="0" w:type="dxa"/>
            </w:tcMar>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沉降速度（m/s）</w:t>
            </w:r>
          </w:p>
        </w:tc>
        <w:tc>
          <w:tcPr>
            <w:tcW w:w="882" w:type="dxa"/>
            <w:tcMar>
              <w:top w:w="0" w:type="dxa"/>
              <w:bottom w:w="0" w:type="dxa"/>
            </w:tcMar>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0.003</w:t>
            </w:r>
          </w:p>
        </w:tc>
        <w:tc>
          <w:tcPr>
            <w:tcW w:w="882" w:type="dxa"/>
            <w:tcMar>
              <w:top w:w="0" w:type="dxa"/>
              <w:bottom w:w="0" w:type="dxa"/>
            </w:tcMar>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0.012</w:t>
            </w:r>
          </w:p>
        </w:tc>
        <w:tc>
          <w:tcPr>
            <w:tcW w:w="882" w:type="dxa"/>
            <w:tcMar>
              <w:top w:w="0" w:type="dxa"/>
              <w:bottom w:w="0" w:type="dxa"/>
            </w:tcMar>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0.027</w:t>
            </w:r>
          </w:p>
        </w:tc>
        <w:tc>
          <w:tcPr>
            <w:tcW w:w="882" w:type="dxa"/>
            <w:tcMar>
              <w:top w:w="0" w:type="dxa"/>
              <w:bottom w:w="0" w:type="dxa"/>
            </w:tcMar>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0.048</w:t>
            </w:r>
          </w:p>
        </w:tc>
        <w:tc>
          <w:tcPr>
            <w:tcW w:w="882" w:type="dxa"/>
            <w:tcMar>
              <w:top w:w="0" w:type="dxa"/>
              <w:bottom w:w="0" w:type="dxa"/>
            </w:tcMar>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0.075</w:t>
            </w:r>
          </w:p>
        </w:tc>
        <w:tc>
          <w:tcPr>
            <w:tcW w:w="882" w:type="dxa"/>
            <w:tcMar>
              <w:top w:w="0" w:type="dxa"/>
              <w:bottom w:w="0" w:type="dxa"/>
            </w:tcMar>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0108</w:t>
            </w:r>
          </w:p>
        </w:tc>
        <w:tc>
          <w:tcPr>
            <w:tcW w:w="871" w:type="dxa"/>
            <w:tcMar>
              <w:top w:w="0" w:type="dxa"/>
              <w:bottom w:w="0" w:type="dxa"/>
            </w:tcMar>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0.147</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PrEx>
        <w:trPr>
          <w:cantSplit/>
          <w:trHeight w:val="340" w:hRule="atLeast"/>
          <w:jc w:val="center"/>
        </w:trPr>
        <w:tc>
          <w:tcPr>
            <w:tcW w:w="2840" w:type="dxa"/>
            <w:tcMar>
              <w:top w:w="0" w:type="dxa"/>
              <w:bottom w:w="0" w:type="dxa"/>
            </w:tcMar>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粉尘粒径（μm）</w:t>
            </w:r>
          </w:p>
        </w:tc>
        <w:tc>
          <w:tcPr>
            <w:tcW w:w="882" w:type="dxa"/>
            <w:tcMar>
              <w:top w:w="0" w:type="dxa"/>
              <w:bottom w:w="0" w:type="dxa"/>
            </w:tcMar>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80</w:t>
            </w:r>
          </w:p>
        </w:tc>
        <w:tc>
          <w:tcPr>
            <w:tcW w:w="882" w:type="dxa"/>
            <w:tcMar>
              <w:top w:w="0" w:type="dxa"/>
              <w:bottom w:w="0" w:type="dxa"/>
            </w:tcMar>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90</w:t>
            </w:r>
          </w:p>
        </w:tc>
        <w:tc>
          <w:tcPr>
            <w:tcW w:w="882" w:type="dxa"/>
            <w:tcMar>
              <w:top w:w="0" w:type="dxa"/>
              <w:bottom w:w="0" w:type="dxa"/>
            </w:tcMar>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100</w:t>
            </w:r>
          </w:p>
        </w:tc>
        <w:tc>
          <w:tcPr>
            <w:tcW w:w="882" w:type="dxa"/>
            <w:tcMar>
              <w:top w:w="0" w:type="dxa"/>
              <w:bottom w:w="0" w:type="dxa"/>
            </w:tcMar>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150</w:t>
            </w:r>
          </w:p>
        </w:tc>
        <w:tc>
          <w:tcPr>
            <w:tcW w:w="882" w:type="dxa"/>
            <w:tcMar>
              <w:top w:w="0" w:type="dxa"/>
              <w:bottom w:w="0" w:type="dxa"/>
            </w:tcMar>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200</w:t>
            </w:r>
          </w:p>
        </w:tc>
        <w:tc>
          <w:tcPr>
            <w:tcW w:w="882" w:type="dxa"/>
            <w:tcMar>
              <w:top w:w="0" w:type="dxa"/>
              <w:bottom w:w="0" w:type="dxa"/>
            </w:tcMar>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250</w:t>
            </w:r>
          </w:p>
        </w:tc>
        <w:tc>
          <w:tcPr>
            <w:tcW w:w="871" w:type="dxa"/>
            <w:tcMar>
              <w:top w:w="0" w:type="dxa"/>
              <w:bottom w:w="0" w:type="dxa"/>
            </w:tcMar>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350</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PrEx>
        <w:trPr>
          <w:cantSplit/>
          <w:trHeight w:val="340" w:hRule="atLeast"/>
          <w:jc w:val="center"/>
        </w:trPr>
        <w:tc>
          <w:tcPr>
            <w:tcW w:w="2840" w:type="dxa"/>
            <w:tcMar>
              <w:top w:w="0" w:type="dxa"/>
              <w:bottom w:w="0" w:type="dxa"/>
            </w:tcMar>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沉降速度（m/s）</w:t>
            </w:r>
          </w:p>
        </w:tc>
        <w:tc>
          <w:tcPr>
            <w:tcW w:w="882" w:type="dxa"/>
            <w:tcMar>
              <w:top w:w="0" w:type="dxa"/>
              <w:bottom w:w="0" w:type="dxa"/>
            </w:tcMar>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0.158</w:t>
            </w:r>
          </w:p>
        </w:tc>
        <w:tc>
          <w:tcPr>
            <w:tcW w:w="882" w:type="dxa"/>
            <w:tcMar>
              <w:top w:w="0" w:type="dxa"/>
              <w:bottom w:w="0" w:type="dxa"/>
            </w:tcMar>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0.170</w:t>
            </w:r>
          </w:p>
        </w:tc>
        <w:tc>
          <w:tcPr>
            <w:tcW w:w="882" w:type="dxa"/>
            <w:tcMar>
              <w:top w:w="0" w:type="dxa"/>
              <w:bottom w:w="0" w:type="dxa"/>
            </w:tcMar>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0.182</w:t>
            </w:r>
          </w:p>
        </w:tc>
        <w:tc>
          <w:tcPr>
            <w:tcW w:w="882" w:type="dxa"/>
            <w:tcMar>
              <w:top w:w="0" w:type="dxa"/>
              <w:bottom w:w="0" w:type="dxa"/>
            </w:tcMar>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0.239</w:t>
            </w:r>
          </w:p>
        </w:tc>
        <w:tc>
          <w:tcPr>
            <w:tcW w:w="882" w:type="dxa"/>
            <w:tcMar>
              <w:top w:w="0" w:type="dxa"/>
              <w:bottom w:w="0" w:type="dxa"/>
            </w:tcMar>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0.804</w:t>
            </w:r>
          </w:p>
        </w:tc>
        <w:tc>
          <w:tcPr>
            <w:tcW w:w="882" w:type="dxa"/>
            <w:tcMar>
              <w:top w:w="0" w:type="dxa"/>
              <w:bottom w:w="0" w:type="dxa"/>
            </w:tcMar>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1.005</w:t>
            </w:r>
          </w:p>
        </w:tc>
        <w:tc>
          <w:tcPr>
            <w:tcW w:w="871" w:type="dxa"/>
            <w:tcMar>
              <w:top w:w="0" w:type="dxa"/>
              <w:bottom w:w="0" w:type="dxa"/>
            </w:tcMar>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1.829</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28" w:type="dxa"/>
            <w:left w:w="0" w:type="dxa"/>
            <w:bottom w:w="28" w:type="dxa"/>
            <w:right w:w="0" w:type="dxa"/>
          </w:tblCellMar>
        </w:tblPrEx>
        <w:trPr>
          <w:cantSplit/>
          <w:trHeight w:val="340" w:hRule="atLeast"/>
          <w:jc w:val="center"/>
        </w:trPr>
        <w:tc>
          <w:tcPr>
            <w:tcW w:w="2840" w:type="dxa"/>
            <w:tcMar>
              <w:top w:w="0" w:type="dxa"/>
              <w:bottom w:w="0" w:type="dxa"/>
            </w:tcMar>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粉尘粒径（μm）</w:t>
            </w:r>
          </w:p>
        </w:tc>
        <w:tc>
          <w:tcPr>
            <w:tcW w:w="882" w:type="dxa"/>
            <w:tcMar>
              <w:top w:w="0" w:type="dxa"/>
              <w:bottom w:w="0" w:type="dxa"/>
            </w:tcMar>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450</w:t>
            </w:r>
          </w:p>
        </w:tc>
        <w:tc>
          <w:tcPr>
            <w:tcW w:w="882" w:type="dxa"/>
            <w:tcMar>
              <w:top w:w="0" w:type="dxa"/>
              <w:bottom w:w="0" w:type="dxa"/>
            </w:tcMar>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550</w:t>
            </w:r>
          </w:p>
        </w:tc>
        <w:tc>
          <w:tcPr>
            <w:tcW w:w="882" w:type="dxa"/>
            <w:tcMar>
              <w:top w:w="0" w:type="dxa"/>
              <w:bottom w:w="0" w:type="dxa"/>
            </w:tcMar>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650</w:t>
            </w:r>
          </w:p>
        </w:tc>
        <w:tc>
          <w:tcPr>
            <w:tcW w:w="882" w:type="dxa"/>
            <w:tcMar>
              <w:top w:w="0" w:type="dxa"/>
              <w:bottom w:w="0" w:type="dxa"/>
            </w:tcMar>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750</w:t>
            </w:r>
          </w:p>
        </w:tc>
        <w:tc>
          <w:tcPr>
            <w:tcW w:w="882" w:type="dxa"/>
            <w:tcMar>
              <w:top w:w="0" w:type="dxa"/>
              <w:bottom w:w="0" w:type="dxa"/>
            </w:tcMar>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850</w:t>
            </w:r>
          </w:p>
        </w:tc>
        <w:tc>
          <w:tcPr>
            <w:tcW w:w="882" w:type="dxa"/>
            <w:tcMar>
              <w:top w:w="0" w:type="dxa"/>
              <w:bottom w:w="0" w:type="dxa"/>
            </w:tcMar>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950</w:t>
            </w:r>
          </w:p>
        </w:tc>
        <w:tc>
          <w:tcPr>
            <w:tcW w:w="871" w:type="dxa"/>
            <w:tcMar>
              <w:top w:w="0" w:type="dxa"/>
              <w:bottom w:w="0" w:type="dxa"/>
            </w:tcMar>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1050</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PrEx>
        <w:trPr>
          <w:cantSplit/>
          <w:trHeight w:val="340" w:hRule="atLeast"/>
          <w:jc w:val="center"/>
        </w:trPr>
        <w:tc>
          <w:tcPr>
            <w:tcW w:w="2840" w:type="dxa"/>
            <w:tcMar>
              <w:top w:w="0" w:type="dxa"/>
              <w:bottom w:w="0" w:type="dxa"/>
            </w:tcMar>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沉降速度（m/s）</w:t>
            </w:r>
          </w:p>
        </w:tc>
        <w:tc>
          <w:tcPr>
            <w:tcW w:w="882" w:type="dxa"/>
            <w:tcMar>
              <w:top w:w="0" w:type="dxa"/>
              <w:bottom w:w="0" w:type="dxa"/>
            </w:tcMar>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2.211</w:t>
            </w:r>
          </w:p>
        </w:tc>
        <w:tc>
          <w:tcPr>
            <w:tcW w:w="882" w:type="dxa"/>
            <w:tcMar>
              <w:top w:w="0" w:type="dxa"/>
              <w:bottom w:w="0" w:type="dxa"/>
            </w:tcMar>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2.614</w:t>
            </w:r>
          </w:p>
        </w:tc>
        <w:tc>
          <w:tcPr>
            <w:tcW w:w="882" w:type="dxa"/>
            <w:tcMar>
              <w:top w:w="0" w:type="dxa"/>
              <w:bottom w:w="0" w:type="dxa"/>
            </w:tcMar>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3.016</w:t>
            </w:r>
          </w:p>
        </w:tc>
        <w:tc>
          <w:tcPr>
            <w:tcW w:w="882" w:type="dxa"/>
            <w:tcMar>
              <w:top w:w="0" w:type="dxa"/>
              <w:bottom w:w="0" w:type="dxa"/>
            </w:tcMar>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3.418</w:t>
            </w:r>
          </w:p>
        </w:tc>
        <w:tc>
          <w:tcPr>
            <w:tcW w:w="882" w:type="dxa"/>
            <w:tcMar>
              <w:top w:w="0" w:type="dxa"/>
              <w:bottom w:w="0" w:type="dxa"/>
            </w:tcMar>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3.820</w:t>
            </w:r>
          </w:p>
        </w:tc>
        <w:tc>
          <w:tcPr>
            <w:tcW w:w="882" w:type="dxa"/>
            <w:tcMar>
              <w:top w:w="0" w:type="dxa"/>
              <w:bottom w:w="0" w:type="dxa"/>
            </w:tcMar>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4.222</w:t>
            </w:r>
          </w:p>
        </w:tc>
        <w:tc>
          <w:tcPr>
            <w:tcW w:w="871" w:type="dxa"/>
            <w:tcMar>
              <w:top w:w="0" w:type="dxa"/>
              <w:bottom w:w="0" w:type="dxa"/>
            </w:tcMar>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4.624</w:t>
            </w:r>
          </w:p>
        </w:tc>
      </w:tr>
    </w:tbl>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从上表中可知，粉尘的沉降速度随着粒径的增大而迅速增大，当粒径大于250μm时，主要影响范围在扬尘产生点下风向近距离范围内，而对外环境影响较大的是一些粒径微小的粉尘。</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根据有关资料，施工扬尘的影响范围一般在下风向50m范围内为重污染带、50m～100m为中污染带、100m～150m为轻污染带、150m以外基本不受影响。施工扬尘对周边人群聚集点的影响很小。</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通常施工扬尘中粒径大于10μm的颗粒物（降尘）会降落在植物叶片上，使植物叶片表面积尘成层而抑制植物的光合作用、呼吸作用和蒸腾作用，不利于植物的生长。根据类比，施工扬尘对周围植物的影响范围为扬尘点下风向100m范围内，但在施工场地采取勤洒水等防尘抑尘措施后，施工扬尘对周围植物的影响范围可以被控制在20～50m范围内，且施工对植物造成的这种影响是局部和暂时的，施工结束，这些影响也随即消失。</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如果施工阶段对汽车行驶路面勤洒水（4～5次/天），可以使空气中扬尘产生量减少70%左右，收到很好的降尘效果，施工扬尘造成的TSP污染距离可缩小到20~50m范围内。施工阶段洒水的试验资料见下表。</w:t>
      </w:r>
    </w:p>
    <w:p>
      <w:pPr>
        <w:pStyle w:val="8"/>
        <w:pageBreakBefore w:val="0"/>
        <w:widowControl w:val="0"/>
        <w:kinsoku/>
        <w:wordWrap/>
        <w:overflowPunct/>
        <w:topLinePunct/>
        <w:autoSpaceDE w:val="0"/>
        <w:autoSpaceDN/>
        <w:bidi w:val="0"/>
        <w:adjustRightInd/>
        <w:snapToGrid/>
        <w:textAlignment w:val="auto"/>
        <w:rPr>
          <w:rFonts w:hint="default" w:ascii="Arial" w:hAnsi="Arial" w:eastAsia="宋体" w:cs="Arial"/>
          <w:color w:val="auto"/>
          <w:highlight w:val="none"/>
        </w:rPr>
      </w:pPr>
      <w:r>
        <w:rPr>
          <w:rFonts w:hint="default" w:ascii="Arial" w:hAnsi="Arial" w:eastAsia="宋体" w:cs="Arial"/>
          <w:color w:val="auto"/>
          <w:highlight w:val="none"/>
        </w:rPr>
        <w:t>表5.1-2    施工阶段使用洒水降尘试验结果一览表</w:t>
      </w:r>
    </w:p>
    <w:tbl>
      <w:tblPr>
        <w:tblStyle w:val="39"/>
        <w:tblW w:w="9003" w:type="dxa"/>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28" w:type="dxa"/>
          <w:left w:w="0" w:type="dxa"/>
          <w:bottom w:w="28" w:type="dxa"/>
          <w:right w:w="0" w:type="dxa"/>
        </w:tblCellMar>
      </w:tblPr>
      <w:tblGrid>
        <w:gridCol w:w="2356"/>
        <w:gridCol w:w="1743"/>
        <w:gridCol w:w="1172"/>
        <w:gridCol w:w="933"/>
        <w:gridCol w:w="933"/>
        <w:gridCol w:w="933"/>
        <w:gridCol w:w="933"/>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28" w:type="dxa"/>
            <w:left w:w="0" w:type="dxa"/>
            <w:bottom w:w="28" w:type="dxa"/>
            <w:right w:w="0" w:type="dxa"/>
          </w:tblCellMar>
        </w:tblPrEx>
        <w:trPr>
          <w:trHeight w:val="340" w:hRule="exact"/>
          <w:jc w:val="center"/>
        </w:trPr>
        <w:tc>
          <w:tcPr>
            <w:tcW w:w="4099" w:type="dxa"/>
            <w:gridSpan w:val="2"/>
            <w:tcMar>
              <w:top w:w="0" w:type="dxa"/>
              <w:bottom w:w="0" w:type="dxa"/>
            </w:tcMar>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距路边距离（m）</w:t>
            </w:r>
          </w:p>
        </w:tc>
        <w:tc>
          <w:tcPr>
            <w:tcW w:w="1172" w:type="dxa"/>
            <w:tcMar>
              <w:top w:w="0" w:type="dxa"/>
              <w:bottom w:w="0" w:type="dxa"/>
            </w:tcMar>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0</w:t>
            </w:r>
          </w:p>
        </w:tc>
        <w:tc>
          <w:tcPr>
            <w:tcW w:w="933" w:type="dxa"/>
            <w:tcMar>
              <w:top w:w="0" w:type="dxa"/>
              <w:bottom w:w="0" w:type="dxa"/>
            </w:tcMar>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20</w:t>
            </w:r>
          </w:p>
        </w:tc>
        <w:tc>
          <w:tcPr>
            <w:tcW w:w="933" w:type="dxa"/>
            <w:tcMar>
              <w:top w:w="0" w:type="dxa"/>
              <w:bottom w:w="0" w:type="dxa"/>
            </w:tcMar>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50</w:t>
            </w:r>
          </w:p>
        </w:tc>
        <w:tc>
          <w:tcPr>
            <w:tcW w:w="933" w:type="dxa"/>
            <w:tcMar>
              <w:top w:w="0" w:type="dxa"/>
              <w:bottom w:w="0" w:type="dxa"/>
            </w:tcMar>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100</w:t>
            </w:r>
          </w:p>
        </w:tc>
        <w:tc>
          <w:tcPr>
            <w:tcW w:w="933" w:type="dxa"/>
            <w:tcMar>
              <w:top w:w="0" w:type="dxa"/>
              <w:bottom w:w="0" w:type="dxa"/>
            </w:tcMar>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200</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28" w:type="dxa"/>
            <w:left w:w="0" w:type="dxa"/>
            <w:bottom w:w="28" w:type="dxa"/>
            <w:right w:w="0" w:type="dxa"/>
          </w:tblCellMar>
        </w:tblPrEx>
        <w:trPr>
          <w:trHeight w:val="340" w:hRule="exact"/>
          <w:jc w:val="center"/>
        </w:trPr>
        <w:tc>
          <w:tcPr>
            <w:tcW w:w="2356" w:type="dxa"/>
            <w:vMerge w:val="restart"/>
            <w:tcMar>
              <w:top w:w="0" w:type="dxa"/>
              <w:bottom w:w="0" w:type="dxa"/>
            </w:tcMar>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TSP浓度</w:t>
            </w:r>
          </w:p>
        </w:tc>
        <w:tc>
          <w:tcPr>
            <w:tcW w:w="1743" w:type="dxa"/>
            <w:tcMar>
              <w:top w:w="0" w:type="dxa"/>
              <w:bottom w:w="0" w:type="dxa"/>
            </w:tcMar>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不洒水</w:t>
            </w:r>
          </w:p>
        </w:tc>
        <w:tc>
          <w:tcPr>
            <w:tcW w:w="1172" w:type="dxa"/>
            <w:tcMar>
              <w:top w:w="0" w:type="dxa"/>
              <w:bottom w:w="0" w:type="dxa"/>
            </w:tcMar>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11.03</w:t>
            </w:r>
          </w:p>
        </w:tc>
        <w:tc>
          <w:tcPr>
            <w:tcW w:w="933" w:type="dxa"/>
            <w:tcMar>
              <w:top w:w="0" w:type="dxa"/>
              <w:bottom w:w="0" w:type="dxa"/>
            </w:tcMar>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2.89</w:t>
            </w:r>
          </w:p>
        </w:tc>
        <w:tc>
          <w:tcPr>
            <w:tcW w:w="933" w:type="dxa"/>
            <w:tcMar>
              <w:top w:w="0" w:type="dxa"/>
              <w:bottom w:w="0" w:type="dxa"/>
            </w:tcMar>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1.15</w:t>
            </w:r>
          </w:p>
        </w:tc>
        <w:tc>
          <w:tcPr>
            <w:tcW w:w="933" w:type="dxa"/>
            <w:tcMar>
              <w:top w:w="0" w:type="dxa"/>
              <w:bottom w:w="0" w:type="dxa"/>
            </w:tcMar>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0.86</w:t>
            </w:r>
          </w:p>
        </w:tc>
        <w:tc>
          <w:tcPr>
            <w:tcW w:w="933" w:type="dxa"/>
            <w:tcMar>
              <w:top w:w="0" w:type="dxa"/>
              <w:bottom w:w="0" w:type="dxa"/>
            </w:tcMar>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0.56</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28" w:type="dxa"/>
            <w:left w:w="0" w:type="dxa"/>
            <w:bottom w:w="28" w:type="dxa"/>
            <w:right w:w="0" w:type="dxa"/>
          </w:tblCellMar>
        </w:tblPrEx>
        <w:trPr>
          <w:trHeight w:val="340" w:hRule="exact"/>
          <w:jc w:val="center"/>
        </w:trPr>
        <w:tc>
          <w:tcPr>
            <w:tcW w:w="2356" w:type="dxa"/>
            <w:vMerge w:val="continue"/>
            <w:tcMar>
              <w:top w:w="0" w:type="dxa"/>
              <w:bottom w:w="0" w:type="dxa"/>
            </w:tcMar>
            <w:vAlign w:val="center"/>
          </w:tcPr>
          <w:p>
            <w:pPr>
              <w:pStyle w:val="63"/>
              <w:rPr>
                <w:rFonts w:hint="default" w:ascii="Arial" w:hAnsi="Arial" w:eastAsia="宋体" w:cs="Arial"/>
                <w:color w:val="auto"/>
                <w:highlight w:val="none"/>
              </w:rPr>
            </w:pPr>
          </w:p>
        </w:tc>
        <w:tc>
          <w:tcPr>
            <w:tcW w:w="1743" w:type="dxa"/>
            <w:tcMar>
              <w:top w:w="0" w:type="dxa"/>
              <w:bottom w:w="0" w:type="dxa"/>
            </w:tcMar>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洒水</w:t>
            </w:r>
          </w:p>
        </w:tc>
        <w:tc>
          <w:tcPr>
            <w:tcW w:w="1172" w:type="dxa"/>
            <w:tcMar>
              <w:top w:w="0" w:type="dxa"/>
              <w:bottom w:w="0" w:type="dxa"/>
            </w:tcMar>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2.11</w:t>
            </w:r>
          </w:p>
        </w:tc>
        <w:tc>
          <w:tcPr>
            <w:tcW w:w="933" w:type="dxa"/>
            <w:tcMar>
              <w:top w:w="0" w:type="dxa"/>
              <w:bottom w:w="0" w:type="dxa"/>
            </w:tcMar>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1.40</w:t>
            </w:r>
          </w:p>
        </w:tc>
        <w:tc>
          <w:tcPr>
            <w:tcW w:w="933" w:type="dxa"/>
            <w:tcMar>
              <w:top w:w="0" w:type="dxa"/>
              <w:bottom w:w="0" w:type="dxa"/>
            </w:tcMar>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0.68</w:t>
            </w:r>
          </w:p>
        </w:tc>
        <w:tc>
          <w:tcPr>
            <w:tcW w:w="933" w:type="dxa"/>
            <w:tcMar>
              <w:top w:w="0" w:type="dxa"/>
              <w:bottom w:w="0" w:type="dxa"/>
            </w:tcMar>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0.60</w:t>
            </w:r>
          </w:p>
        </w:tc>
        <w:tc>
          <w:tcPr>
            <w:tcW w:w="933" w:type="dxa"/>
            <w:tcMar>
              <w:top w:w="0" w:type="dxa"/>
              <w:bottom w:w="0" w:type="dxa"/>
            </w:tcMar>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0.29</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28" w:type="dxa"/>
            <w:left w:w="0" w:type="dxa"/>
            <w:bottom w:w="28" w:type="dxa"/>
            <w:right w:w="0" w:type="dxa"/>
          </w:tblCellMar>
        </w:tblPrEx>
        <w:trPr>
          <w:trHeight w:val="340" w:hRule="exact"/>
          <w:jc w:val="center"/>
        </w:trPr>
        <w:tc>
          <w:tcPr>
            <w:tcW w:w="4099" w:type="dxa"/>
            <w:gridSpan w:val="2"/>
            <w:tcMar>
              <w:top w:w="0" w:type="dxa"/>
              <w:bottom w:w="0" w:type="dxa"/>
            </w:tcMar>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降尘效果（%）</w:t>
            </w:r>
          </w:p>
        </w:tc>
        <w:tc>
          <w:tcPr>
            <w:tcW w:w="1172" w:type="dxa"/>
            <w:tcMar>
              <w:top w:w="0" w:type="dxa"/>
              <w:bottom w:w="0" w:type="dxa"/>
            </w:tcMar>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80.2</w:t>
            </w:r>
          </w:p>
        </w:tc>
        <w:tc>
          <w:tcPr>
            <w:tcW w:w="933" w:type="dxa"/>
            <w:tcMar>
              <w:top w:w="0" w:type="dxa"/>
              <w:bottom w:w="0" w:type="dxa"/>
            </w:tcMar>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51.6</w:t>
            </w:r>
          </w:p>
        </w:tc>
        <w:tc>
          <w:tcPr>
            <w:tcW w:w="933" w:type="dxa"/>
            <w:tcMar>
              <w:top w:w="0" w:type="dxa"/>
              <w:bottom w:w="0" w:type="dxa"/>
            </w:tcMar>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41.7</w:t>
            </w:r>
          </w:p>
        </w:tc>
        <w:tc>
          <w:tcPr>
            <w:tcW w:w="933" w:type="dxa"/>
            <w:tcMar>
              <w:top w:w="0" w:type="dxa"/>
              <w:bottom w:w="0" w:type="dxa"/>
            </w:tcMar>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30.2</w:t>
            </w:r>
          </w:p>
        </w:tc>
        <w:tc>
          <w:tcPr>
            <w:tcW w:w="933" w:type="dxa"/>
            <w:tcMar>
              <w:top w:w="0" w:type="dxa"/>
              <w:bottom w:w="0" w:type="dxa"/>
            </w:tcMar>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48.2</w:t>
            </w:r>
          </w:p>
        </w:tc>
      </w:tr>
    </w:tbl>
    <w:p>
      <w:pPr>
        <w:keepNext w:val="0"/>
        <w:keepLines w:val="0"/>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从上表可知，洒水抑尘可以使扬尘在20~50m的距离内达到《大气污染物综合排放标准》（GB16297-1996）中无组织排放监控浓度限值要求的1.0mg/m</w:t>
      </w:r>
      <w:r>
        <w:rPr>
          <w:rFonts w:hint="default" w:ascii="Arial" w:hAnsi="Arial" w:eastAsia="宋体" w:cs="Arial"/>
          <w:color w:val="auto"/>
          <w:highlight w:val="none"/>
          <w:vertAlign w:val="superscript"/>
        </w:rPr>
        <w:t>3</w:t>
      </w:r>
      <w:r>
        <w:rPr>
          <w:rFonts w:hint="default" w:ascii="Arial" w:hAnsi="Arial" w:eastAsia="宋体" w:cs="Arial"/>
          <w:color w:val="auto"/>
          <w:highlight w:val="none"/>
        </w:rPr>
        <w:t>（周界外浓度最高点）。</w:t>
      </w:r>
    </w:p>
    <w:p>
      <w:pPr>
        <w:keepNext w:val="0"/>
        <w:keepLines w:val="0"/>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（2）车辆行驶扬尘</w:t>
      </w:r>
    </w:p>
    <w:p>
      <w:pPr>
        <w:keepNext w:val="0"/>
        <w:keepLines w:val="0"/>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根据有关文献资料介绍，施工过程中，车辆行驶产生的扬尘占总扬尘的60%以上。</w:t>
      </w:r>
    </w:p>
    <w:p>
      <w:pPr>
        <w:keepNext w:val="0"/>
        <w:keepLines w:val="0"/>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车辆行驶产生的扬尘，在完全干燥的情况下，可按以下经验公式计算：</w:t>
      </w:r>
    </w:p>
    <w:p>
      <w:pPr>
        <w:spacing w:line="360" w:lineRule="auto"/>
        <w:ind w:firstLine="0" w:firstLineChars="0"/>
        <w:jc w:val="center"/>
        <w:rPr>
          <w:rFonts w:hint="default" w:ascii="Arial" w:hAnsi="Arial" w:eastAsia="宋体" w:cs="Arial"/>
          <w:color w:val="auto"/>
          <w:highlight w:val="none"/>
        </w:rPr>
      </w:pPr>
      <w:r>
        <w:rPr>
          <w:rFonts w:hint="default" w:ascii="Arial" w:hAnsi="Arial" w:eastAsia="宋体" w:cs="Arial"/>
          <w:color w:val="auto"/>
          <w:position w:val="-28"/>
          <w:highlight w:val="none"/>
        </w:rPr>
        <w:object>
          <v:shape id="_x0000_i1027" o:spt="75" type="#_x0000_t75" style="height:35.3pt;width:153.5pt;" o:ole="t" filled="f" o:preferrelative="t" stroked="f" coordsize="21600,21600">
            <v:path/>
            <v:fill on="f" focussize="0,0"/>
            <v:stroke on="f" joinstyle="miter"/>
            <v:imagedata r:id="rId33" o:title=""/>
            <o:lock v:ext="edit" aspectratio="t"/>
            <w10:wrap type="none"/>
            <w10:anchorlock/>
          </v:shape>
          <o:OLEObject Type="Embed" ProgID="Equation.3" ShapeID="_x0000_i1027" DrawAspect="Content" ObjectID="_1468075730" r:id="rId32">
            <o:LockedField>false</o:LockedField>
          </o:OLEObject>
        </w:object>
      </w:r>
    </w:p>
    <w:p>
      <w:pPr>
        <w:ind w:firstLine="480"/>
        <w:rPr>
          <w:rFonts w:hint="default" w:ascii="Arial" w:hAnsi="Arial" w:eastAsia="宋体" w:cs="Arial"/>
          <w:color w:val="auto"/>
          <w:highlight w:val="none"/>
        </w:rPr>
      </w:pPr>
      <w:r>
        <w:rPr>
          <w:rFonts w:hint="default" w:ascii="Arial" w:hAnsi="Arial" w:eastAsia="宋体" w:cs="Arial"/>
          <w:color w:val="auto"/>
          <w:highlight w:val="none"/>
        </w:rPr>
        <w:t>式中：</w:t>
      </w:r>
    </w:p>
    <w:p>
      <w:pPr>
        <w:ind w:firstLine="480"/>
        <w:rPr>
          <w:rFonts w:hint="default" w:ascii="Arial" w:hAnsi="Arial" w:eastAsia="宋体" w:cs="Arial"/>
          <w:color w:val="auto"/>
          <w:highlight w:val="none"/>
        </w:rPr>
      </w:pPr>
      <w:r>
        <w:rPr>
          <w:rFonts w:hint="default" w:ascii="Arial" w:hAnsi="Arial" w:eastAsia="宋体" w:cs="Arial"/>
          <w:color w:val="auto"/>
          <w:highlight w:val="none"/>
        </w:rPr>
        <w:t>Q—汽车行驶的扬尘量，kg/km·辆；</w:t>
      </w:r>
    </w:p>
    <w:p>
      <w:pPr>
        <w:ind w:firstLine="480"/>
        <w:rPr>
          <w:rFonts w:hint="default" w:ascii="Arial" w:hAnsi="Arial" w:eastAsia="宋体" w:cs="Arial"/>
          <w:color w:val="auto"/>
          <w:highlight w:val="none"/>
        </w:rPr>
      </w:pPr>
      <w:r>
        <w:rPr>
          <w:rFonts w:hint="default" w:ascii="Arial" w:hAnsi="Arial" w:eastAsia="宋体" w:cs="Arial"/>
          <w:color w:val="auto"/>
          <w:highlight w:val="none"/>
        </w:rPr>
        <w:t>V—汽车速度，km/h；</w:t>
      </w:r>
    </w:p>
    <w:p>
      <w:pPr>
        <w:ind w:firstLine="480"/>
        <w:rPr>
          <w:rFonts w:hint="default" w:ascii="Arial" w:hAnsi="Arial" w:eastAsia="宋体" w:cs="Arial"/>
          <w:color w:val="auto"/>
          <w:highlight w:val="none"/>
        </w:rPr>
      </w:pPr>
      <w:r>
        <w:rPr>
          <w:rFonts w:hint="default" w:ascii="Arial" w:hAnsi="Arial" w:eastAsia="宋体" w:cs="Arial"/>
          <w:color w:val="auto"/>
          <w:highlight w:val="none"/>
        </w:rPr>
        <w:t>W—汽车载重量，T；</w:t>
      </w:r>
    </w:p>
    <w:p>
      <w:pPr>
        <w:ind w:firstLine="480"/>
        <w:rPr>
          <w:rFonts w:hint="default" w:ascii="Arial" w:hAnsi="Arial" w:eastAsia="宋体" w:cs="Arial"/>
          <w:color w:val="auto"/>
          <w:highlight w:val="none"/>
        </w:rPr>
      </w:pPr>
      <w:r>
        <w:rPr>
          <w:rFonts w:hint="default" w:ascii="Arial" w:hAnsi="Arial" w:eastAsia="宋体" w:cs="Arial"/>
          <w:color w:val="auto"/>
          <w:highlight w:val="none"/>
        </w:rPr>
        <w:t>P—道路表面粉尘量，kg/m</w:t>
      </w:r>
      <w:r>
        <w:rPr>
          <w:rFonts w:hint="default" w:ascii="Arial" w:hAnsi="Arial" w:eastAsia="宋体" w:cs="Arial"/>
          <w:color w:val="auto"/>
          <w:highlight w:val="none"/>
          <w:vertAlign w:val="superscript"/>
        </w:rPr>
        <w:t>2</w:t>
      </w:r>
      <w:r>
        <w:rPr>
          <w:rFonts w:hint="default" w:ascii="Arial" w:hAnsi="Arial" w:eastAsia="宋体" w:cs="Arial"/>
          <w:color w:val="auto"/>
          <w:highlight w:val="none"/>
        </w:rPr>
        <w:t>。</w:t>
      </w:r>
    </w:p>
    <w:p>
      <w:pPr>
        <w:ind w:firstLine="480"/>
        <w:rPr>
          <w:rFonts w:hint="default" w:ascii="Arial" w:hAnsi="Arial" w:eastAsia="宋体" w:cs="Arial"/>
          <w:color w:val="auto"/>
          <w:highlight w:val="none"/>
        </w:rPr>
      </w:pPr>
      <w:r>
        <w:rPr>
          <w:rFonts w:hint="default" w:ascii="Arial" w:hAnsi="Arial" w:eastAsia="宋体" w:cs="Arial"/>
          <w:color w:val="auto"/>
          <w:highlight w:val="none"/>
        </w:rPr>
        <w:t>下表为一辆10t卡车，通过一段长为1km的路面时，不同路面清洁程度，不同行驶速度情况下的扬尘量。</w:t>
      </w:r>
    </w:p>
    <w:p>
      <w:pPr>
        <w:pStyle w:val="8"/>
        <w:rPr>
          <w:rFonts w:hint="default" w:ascii="Arial" w:hAnsi="Arial" w:eastAsia="宋体" w:cs="Arial"/>
          <w:color w:val="auto"/>
          <w:highlight w:val="none"/>
        </w:rPr>
      </w:pPr>
      <w:r>
        <w:rPr>
          <w:rFonts w:hint="default" w:ascii="Arial" w:hAnsi="Arial" w:eastAsia="宋体" w:cs="Arial"/>
          <w:color w:val="auto"/>
          <w:highlight w:val="none"/>
        </w:rPr>
        <w:t>表5.1-3    在不同车速和地面清洁程度的汽车扬尘量    单位：kg/km·辆</w:t>
      </w:r>
    </w:p>
    <w:tbl>
      <w:tblPr>
        <w:tblStyle w:val="39"/>
        <w:tblW w:w="9003" w:type="dxa"/>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28" w:type="dxa"/>
          <w:left w:w="0" w:type="dxa"/>
          <w:bottom w:w="28" w:type="dxa"/>
          <w:right w:w="0" w:type="dxa"/>
        </w:tblCellMar>
      </w:tblPr>
      <w:tblGrid>
        <w:gridCol w:w="2179"/>
        <w:gridCol w:w="1138"/>
        <w:gridCol w:w="1138"/>
        <w:gridCol w:w="1138"/>
        <w:gridCol w:w="1138"/>
        <w:gridCol w:w="1138"/>
        <w:gridCol w:w="1134"/>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PrEx>
        <w:trPr>
          <w:trHeight w:val="340" w:hRule="atLeast"/>
          <w:jc w:val="center"/>
        </w:trPr>
        <w:tc>
          <w:tcPr>
            <w:tcW w:w="2179" w:type="dxa"/>
            <w:tcBorders>
              <w:tl2br w:val="single" w:color="auto" w:sz="4" w:space="0"/>
            </w:tcBorders>
            <w:tcMar>
              <w:top w:w="0" w:type="dxa"/>
              <w:left w:w="0" w:type="dxa"/>
              <w:bottom w:w="0" w:type="dxa"/>
              <w:right w:w="0" w:type="dxa"/>
            </w:tcMar>
            <w:vAlign w:val="center"/>
          </w:tcPr>
          <w:p>
            <w:pPr>
              <w:pStyle w:val="63"/>
              <w:rPr>
                <w:rFonts w:hint="default" w:ascii="Arial" w:hAnsi="Arial" w:eastAsia="宋体" w:cs="Arial"/>
                <w:color w:val="auto"/>
                <w:highlight w:val="none"/>
                <w:lang w:val="en-GB"/>
              </w:rPr>
            </w:pPr>
            <w:r>
              <w:rPr>
                <w:rFonts w:hint="default" w:ascii="Arial" w:hAnsi="Arial" w:eastAsia="宋体" w:cs="Arial"/>
                <w:color w:val="auto"/>
                <w:highlight w:val="none"/>
              </w:rPr>
              <w:t xml:space="preserve">          </w:t>
            </w:r>
            <w:r>
              <w:rPr>
                <w:rFonts w:hint="default" w:ascii="Arial" w:hAnsi="Arial" w:eastAsia="宋体" w:cs="Arial"/>
                <w:color w:val="auto"/>
                <w:highlight w:val="none"/>
                <w:lang w:val="en-GB"/>
              </w:rPr>
              <w:t>P（</w:t>
            </w:r>
            <w:r>
              <w:rPr>
                <w:rFonts w:hint="default" w:ascii="Arial" w:hAnsi="Arial" w:eastAsia="宋体" w:cs="Arial"/>
                <w:color w:val="auto"/>
                <w:highlight w:val="none"/>
              </w:rPr>
              <w:t>kg/m</w:t>
            </w:r>
            <w:r>
              <w:rPr>
                <w:rFonts w:hint="default" w:ascii="Arial" w:hAnsi="Arial" w:eastAsia="宋体" w:cs="Arial"/>
                <w:color w:val="auto"/>
                <w:highlight w:val="none"/>
                <w:vertAlign w:val="superscript"/>
              </w:rPr>
              <w:t>2</w:t>
            </w:r>
            <w:r>
              <w:rPr>
                <w:rFonts w:hint="default" w:ascii="Arial" w:hAnsi="Arial" w:eastAsia="宋体" w:cs="Arial"/>
                <w:color w:val="auto"/>
                <w:highlight w:val="none"/>
                <w:lang w:val="en-GB"/>
              </w:rPr>
              <w:t>）</w:t>
            </w:r>
          </w:p>
          <w:p>
            <w:pPr>
              <w:pStyle w:val="63"/>
              <w:jc w:val="both"/>
              <w:rPr>
                <w:rFonts w:hint="default" w:ascii="Arial" w:hAnsi="Arial" w:eastAsia="宋体" w:cs="Arial"/>
                <w:color w:val="auto"/>
                <w:highlight w:val="none"/>
                <w:lang w:val="en-GB"/>
              </w:rPr>
            </w:pPr>
            <w:r>
              <w:rPr>
                <w:rFonts w:hint="default" w:ascii="Arial" w:hAnsi="Arial" w:eastAsia="宋体" w:cs="Arial"/>
                <w:color w:val="auto"/>
                <w:highlight w:val="none"/>
                <w:lang w:val="en-GB"/>
              </w:rPr>
              <w:t>车速（km/h）</w:t>
            </w:r>
          </w:p>
        </w:tc>
        <w:tc>
          <w:tcPr>
            <w:tcW w:w="1138" w:type="dxa"/>
            <w:tcMar>
              <w:top w:w="0" w:type="dxa"/>
              <w:left w:w="0" w:type="dxa"/>
              <w:bottom w:w="0" w:type="dxa"/>
              <w:right w:w="0" w:type="dxa"/>
            </w:tcMar>
            <w:vAlign w:val="center"/>
          </w:tcPr>
          <w:p>
            <w:pPr>
              <w:pStyle w:val="63"/>
              <w:rPr>
                <w:rFonts w:hint="default" w:ascii="Arial" w:hAnsi="Arial" w:eastAsia="宋体" w:cs="Arial"/>
                <w:color w:val="auto"/>
                <w:highlight w:val="none"/>
                <w:lang w:val="en-GB"/>
              </w:rPr>
            </w:pPr>
            <w:r>
              <w:rPr>
                <w:rFonts w:hint="default" w:ascii="Arial" w:hAnsi="Arial" w:eastAsia="宋体" w:cs="Arial"/>
                <w:color w:val="auto"/>
                <w:highlight w:val="none"/>
                <w:lang w:val="en-GB"/>
              </w:rPr>
              <w:t>0.1</w:t>
            </w:r>
          </w:p>
        </w:tc>
        <w:tc>
          <w:tcPr>
            <w:tcW w:w="1138" w:type="dxa"/>
            <w:tcMar>
              <w:top w:w="0" w:type="dxa"/>
              <w:left w:w="0" w:type="dxa"/>
              <w:bottom w:w="0" w:type="dxa"/>
              <w:right w:w="0" w:type="dxa"/>
            </w:tcMar>
            <w:vAlign w:val="center"/>
          </w:tcPr>
          <w:p>
            <w:pPr>
              <w:pStyle w:val="63"/>
              <w:rPr>
                <w:rFonts w:hint="default" w:ascii="Arial" w:hAnsi="Arial" w:eastAsia="宋体" w:cs="Arial"/>
                <w:color w:val="auto"/>
                <w:highlight w:val="none"/>
                <w:lang w:val="en-GB"/>
              </w:rPr>
            </w:pPr>
            <w:r>
              <w:rPr>
                <w:rFonts w:hint="default" w:ascii="Arial" w:hAnsi="Arial" w:eastAsia="宋体" w:cs="Arial"/>
                <w:color w:val="auto"/>
                <w:highlight w:val="none"/>
                <w:lang w:val="en-GB"/>
              </w:rPr>
              <w:t>0.2</w:t>
            </w:r>
          </w:p>
        </w:tc>
        <w:tc>
          <w:tcPr>
            <w:tcW w:w="1138" w:type="dxa"/>
            <w:tcMar>
              <w:top w:w="0" w:type="dxa"/>
              <w:left w:w="0" w:type="dxa"/>
              <w:bottom w:w="0" w:type="dxa"/>
              <w:right w:w="0" w:type="dxa"/>
            </w:tcMar>
            <w:vAlign w:val="center"/>
          </w:tcPr>
          <w:p>
            <w:pPr>
              <w:pStyle w:val="63"/>
              <w:rPr>
                <w:rFonts w:hint="default" w:ascii="Arial" w:hAnsi="Arial" w:eastAsia="宋体" w:cs="Arial"/>
                <w:color w:val="auto"/>
                <w:highlight w:val="none"/>
                <w:lang w:val="en-GB"/>
              </w:rPr>
            </w:pPr>
            <w:r>
              <w:rPr>
                <w:rFonts w:hint="default" w:ascii="Arial" w:hAnsi="Arial" w:eastAsia="宋体" w:cs="Arial"/>
                <w:color w:val="auto"/>
                <w:highlight w:val="none"/>
                <w:lang w:val="en-GB"/>
              </w:rPr>
              <w:t>0.3</w:t>
            </w:r>
          </w:p>
        </w:tc>
        <w:tc>
          <w:tcPr>
            <w:tcW w:w="1138" w:type="dxa"/>
            <w:tcMar>
              <w:top w:w="0" w:type="dxa"/>
              <w:left w:w="0" w:type="dxa"/>
              <w:bottom w:w="0" w:type="dxa"/>
              <w:right w:w="0" w:type="dxa"/>
            </w:tcMar>
            <w:vAlign w:val="center"/>
          </w:tcPr>
          <w:p>
            <w:pPr>
              <w:pStyle w:val="63"/>
              <w:rPr>
                <w:rFonts w:hint="default" w:ascii="Arial" w:hAnsi="Arial" w:eastAsia="宋体" w:cs="Arial"/>
                <w:color w:val="auto"/>
                <w:highlight w:val="none"/>
                <w:lang w:val="en-GB"/>
              </w:rPr>
            </w:pPr>
            <w:r>
              <w:rPr>
                <w:rFonts w:hint="default" w:ascii="Arial" w:hAnsi="Arial" w:eastAsia="宋体" w:cs="Arial"/>
                <w:color w:val="auto"/>
                <w:highlight w:val="none"/>
                <w:lang w:val="en-GB"/>
              </w:rPr>
              <w:t>0.4</w:t>
            </w:r>
          </w:p>
        </w:tc>
        <w:tc>
          <w:tcPr>
            <w:tcW w:w="1138" w:type="dxa"/>
            <w:tcMar>
              <w:top w:w="0" w:type="dxa"/>
              <w:left w:w="0" w:type="dxa"/>
              <w:bottom w:w="0" w:type="dxa"/>
              <w:right w:w="0" w:type="dxa"/>
            </w:tcMar>
            <w:vAlign w:val="center"/>
          </w:tcPr>
          <w:p>
            <w:pPr>
              <w:pStyle w:val="63"/>
              <w:rPr>
                <w:rFonts w:hint="default" w:ascii="Arial" w:hAnsi="Arial" w:eastAsia="宋体" w:cs="Arial"/>
                <w:color w:val="auto"/>
                <w:highlight w:val="none"/>
                <w:lang w:val="en-GB"/>
              </w:rPr>
            </w:pPr>
            <w:r>
              <w:rPr>
                <w:rFonts w:hint="default" w:ascii="Arial" w:hAnsi="Arial" w:eastAsia="宋体" w:cs="Arial"/>
                <w:color w:val="auto"/>
                <w:highlight w:val="none"/>
                <w:lang w:val="en-GB"/>
              </w:rPr>
              <w:t>0.5</w:t>
            </w:r>
          </w:p>
        </w:tc>
        <w:tc>
          <w:tcPr>
            <w:tcW w:w="1134" w:type="dxa"/>
            <w:tcMar>
              <w:top w:w="0" w:type="dxa"/>
              <w:left w:w="0" w:type="dxa"/>
              <w:bottom w:w="0" w:type="dxa"/>
              <w:right w:w="0" w:type="dxa"/>
            </w:tcMar>
            <w:vAlign w:val="center"/>
          </w:tcPr>
          <w:p>
            <w:pPr>
              <w:pStyle w:val="63"/>
              <w:rPr>
                <w:rFonts w:hint="default" w:ascii="Arial" w:hAnsi="Arial" w:eastAsia="宋体" w:cs="Arial"/>
                <w:color w:val="auto"/>
                <w:highlight w:val="none"/>
                <w:lang w:val="en-GB"/>
              </w:rPr>
            </w:pPr>
            <w:r>
              <w:rPr>
                <w:rFonts w:hint="default" w:ascii="Arial" w:hAnsi="Arial" w:eastAsia="宋体" w:cs="Arial"/>
                <w:color w:val="auto"/>
                <w:highlight w:val="none"/>
                <w:lang w:val="en-GB"/>
              </w:rPr>
              <w:t>1.0</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PrEx>
        <w:trPr>
          <w:trHeight w:val="340" w:hRule="atLeast"/>
          <w:jc w:val="center"/>
        </w:trPr>
        <w:tc>
          <w:tcPr>
            <w:tcW w:w="2179" w:type="dxa"/>
            <w:tcMar>
              <w:top w:w="0" w:type="dxa"/>
              <w:left w:w="0" w:type="dxa"/>
              <w:bottom w:w="0" w:type="dxa"/>
              <w:right w:w="0" w:type="dxa"/>
            </w:tcMar>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5</w:t>
            </w:r>
          </w:p>
        </w:tc>
        <w:tc>
          <w:tcPr>
            <w:tcW w:w="1138" w:type="dxa"/>
            <w:tcMar>
              <w:top w:w="0" w:type="dxa"/>
              <w:left w:w="0" w:type="dxa"/>
              <w:bottom w:w="0" w:type="dxa"/>
              <w:right w:w="0" w:type="dxa"/>
            </w:tcMar>
            <w:vAlign w:val="center"/>
          </w:tcPr>
          <w:p>
            <w:pPr>
              <w:pStyle w:val="63"/>
              <w:rPr>
                <w:rFonts w:hint="default" w:ascii="Arial" w:hAnsi="Arial" w:eastAsia="宋体" w:cs="Arial"/>
                <w:color w:val="auto"/>
                <w:highlight w:val="none"/>
                <w:lang w:val="en-GB" w:eastAsia="zh-CN"/>
              </w:rPr>
            </w:pPr>
            <w:r>
              <w:rPr>
                <w:rFonts w:hint="default" w:ascii="Arial" w:hAnsi="Arial" w:eastAsia="宋体" w:cs="Arial"/>
                <w:color w:val="auto"/>
                <w:highlight w:val="none"/>
                <w:lang w:val="en-GB" w:eastAsia="zh-CN"/>
              </w:rPr>
              <w:t>0.224</w:t>
            </w:r>
          </w:p>
        </w:tc>
        <w:tc>
          <w:tcPr>
            <w:tcW w:w="1138" w:type="dxa"/>
            <w:tcMar>
              <w:top w:w="0" w:type="dxa"/>
              <w:left w:w="0" w:type="dxa"/>
              <w:bottom w:w="0" w:type="dxa"/>
              <w:right w:w="0" w:type="dxa"/>
            </w:tcMar>
            <w:vAlign w:val="center"/>
          </w:tcPr>
          <w:p>
            <w:pPr>
              <w:pStyle w:val="63"/>
              <w:rPr>
                <w:rFonts w:hint="default" w:ascii="Arial" w:hAnsi="Arial" w:eastAsia="宋体" w:cs="Arial"/>
                <w:color w:val="auto"/>
                <w:highlight w:val="none"/>
                <w:lang w:val="en-GB"/>
              </w:rPr>
            </w:pPr>
            <w:r>
              <w:rPr>
                <w:rFonts w:hint="default" w:ascii="Arial" w:hAnsi="Arial" w:eastAsia="宋体" w:cs="Arial"/>
                <w:color w:val="auto"/>
                <w:highlight w:val="none"/>
                <w:lang w:val="en-GB"/>
              </w:rPr>
              <w:t>0.086</w:t>
            </w:r>
          </w:p>
        </w:tc>
        <w:tc>
          <w:tcPr>
            <w:tcW w:w="1138" w:type="dxa"/>
            <w:tcMar>
              <w:top w:w="0" w:type="dxa"/>
              <w:left w:w="0" w:type="dxa"/>
              <w:bottom w:w="0" w:type="dxa"/>
              <w:right w:w="0" w:type="dxa"/>
            </w:tcMar>
            <w:vAlign w:val="center"/>
          </w:tcPr>
          <w:p>
            <w:pPr>
              <w:pStyle w:val="63"/>
              <w:rPr>
                <w:rFonts w:hint="default" w:ascii="Arial" w:hAnsi="Arial" w:eastAsia="宋体" w:cs="Arial"/>
                <w:color w:val="auto"/>
                <w:highlight w:val="none"/>
                <w:lang w:val="en-GB"/>
              </w:rPr>
            </w:pPr>
            <w:r>
              <w:rPr>
                <w:rFonts w:hint="default" w:ascii="Arial" w:hAnsi="Arial" w:eastAsia="宋体" w:cs="Arial"/>
                <w:color w:val="auto"/>
                <w:highlight w:val="none"/>
                <w:lang w:val="en-GB"/>
              </w:rPr>
              <w:t>0.116</w:t>
            </w:r>
          </w:p>
        </w:tc>
        <w:tc>
          <w:tcPr>
            <w:tcW w:w="1138" w:type="dxa"/>
            <w:tcMar>
              <w:top w:w="0" w:type="dxa"/>
              <w:left w:w="0" w:type="dxa"/>
              <w:bottom w:w="0" w:type="dxa"/>
              <w:right w:w="0" w:type="dxa"/>
            </w:tcMar>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0.144</w:t>
            </w:r>
          </w:p>
        </w:tc>
        <w:tc>
          <w:tcPr>
            <w:tcW w:w="1138" w:type="dxa"/>
            <w:tcMar>
              <w:top w:w="0" w:type="dxa"/>
              <w:left w:w="0" w:type="dxa"/>
              <w:bottom w:w="0" w:type="dxa"/>
              <w:right w:w="0" w:type="dxa"/>
            </w:tcMar>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0.171</w:t>
            </w:r>
          </w:p>
        </w:tc>
        <w:tc>
          <w:tcPr>
            <w:tcW w:w="1134" w:type="dxa"/>
            <w:tcMar>
              <w:top w:w="0" w:type="dxa"/>
              <w:left w:w="0" w:type="dxa"/>
              <w:bottom w:w="0" w:type="dxa"/>
              <w:right w:w="0" w:type="dxa"/>
            </w:tcMar>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0.287</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28" w:type="dxa"/>
            <w:left w:w="0" w:type="dxa"/>
            <w:bottom w:w="28" w:type="dxa"/>
            <w:right w:w="0" w:type="dxa"/>
          </w:tblCellMar>
        </w:tblPrEx>
        <w:trPr>
          <w:trHeight w:val="340" w:hRule="atLeast"/>
          <w:jc w:val="center"/>
        </w:trPr>
        <w:tc>
          <w:tcPr>
            <w:tcW w:w="2179" w:type="dxa"/>
            <w:tcMar>
              <w:top w:w="0" w:type="dxa"/>
              <w:left w:w="0" w:type="dxa"/>
              <w:bottom w:w="0" w:type="dxa"/>
              <w:right w:w="0" w:type="dxa"/>
            </w:tcMar>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10</w:t>
            </w:r>
          </w:p>
        </w:tc>
        <w:tc>
          <w:tcPr>
            <w:tcW w:w="1138" w:type="dxa"/>
            <w:tcMar>
              <w:top w:w="0" w:type="dxa"/>
              <w:left w:w="0" w:type="dxa"/>
              <w:bottom w:w="0" w:type="dxa"/>
              <w:right w:w="0" w:type="dxa"/>
            </w:tcMar>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0.102</w:t>
            </w:r>
          </w:p>
        </w:tc>
        <w:tc>
          <w:tcPr>
            <w:tcW w:w="1138" w:type="dxa"/>
            <w:tcMar>
              <w:top w:w="0" w:type="dxa"/>
              <w:left w:w="0" w:type="dxa"/>
              <w:bottom w:w="0" w:type="dxa"/>
              <w:right w:w="0" w:type="dxa"/>
            </w:tcMar>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0.171</w:t>
            </w:r>
          </w:p>
        </w:tc>
        <w:tc>
          <w:tcPr>
            <w:tcW w:w="1138" w:type="dxa"/>
            <w:tcMar>
              <w:top w:w="0" w:type="dxa"/>
              <w:left w:w="0" w:type="dxa"/>
              <w:bottom w:w="0" w:type="dxa"/>
              <w:right w:w="0" w:type="dxa"/>
            </w:tcMar>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0.232</w:t>
            </w:r>
          </w:p>
        </w:tc>
        <w:tc>
          <w:tcPr>
            <w:tcW w:w="1138" w:type="dxa"/>
            <w:tcMar>
              <w:top w:w="0" w:type="dxa"/>
              <w:left w:w="0" w:type="dxa"/>
              <w:bottom w:w="0" w:type="dxa"/>
              <w:right w:w="0" w:type="dxa"/>
            </w:tcMar>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0.289</w:t>
            </w:r>
          </w:p>
        </w:tc>
        <w:tc>
          <w:tcPr>
            <w:tcW w:w="1138" w:type="dxa"/>
            <w:tcMar>
              <w:top w:w="0" w:type="dxa"/>
              <w:left w:w="0" w:type="dxa"/>
              <w:bottom w:w="0" w:type="dxa"/>
              <w:right w:w="0" w:type="dxa"/>
            </w:tcMar>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0.341</w:t>
            </w:r>
          </w:p>
        </w:tc>
        <w:tc>
          <w:tcPr>
            <w:tcW w:w="1134" w:type="dxa"/>
            <w:tcMar>
              <w:top w:w="0" w:type="dxa"/>
              <w:left w:w="0" w:type="dxa"/>
              <w:bottom w:w="0" w:type="dxa"/>
              <w:right w:w="0" w:type="dxa"/>
            </w:tcMar>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0.574</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28" w:type="dxa"/>
            <w:left w:w="0" w:type="dxa"/>
            <w:bottom w:w="28" w:type="dxa"/>
            <w:right w:w="0" w:type="dxa"/>
          </w:tblCellMar>
        </w:tblPrEx>
        <w:trPr>
          <w:trHeight w:val="340" w:hRule="atLeast"/>
          <w:jc w:val="center"/>
        </w:trPr>
        <w:tc>
          <w:tcPr>
            <w:tcW w:w="2179" w:type="dxa"/>
            <w:tcMar>
              <w:top w:w="0" w:type="dxa"/>
              <w:left w:w="0" w:type="dxa"/>
              <w:bottom w:w="0" w:type="dxa"/>
              <w:right w:w="0" w:type="dxa"/>
            </w:tcMar>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15</w:t>
            </w:r>
          </w:p>
        </w:tc>
        <w:tc>
          <w:tcPr>
            <w:tcW w:w="1138" w:type="dxa"/>
            <w:tcMar>
              <w:top w:w="0" w:type="dxa"/>
              <w:left w:w="0" w:type="dxa"/>
              <w:bottom w:w="0" w:type="dxa"/>
              <w:right w:w="0" w:type="dxa"/>
            </w:tcMar>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0.153</w:t>
            </w:r>
          </w:p>
        </w:tc>
        <w:tc>
          <w:tcPr>
            <w:tcW w:w="1138" w:type="dxa"/>
            <w:tcMar>
              <w:top w:w="0" w:type="dxa"/>
              <w:left w:w="0" w:type="dxa"/>
              <w:bottom w:w="0" w:type="dxa"/>
              <w:right w:w="0" w:type="dxa"/>
            </w:tcMar>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0.257</w:t>
            </w:r>
          </w:p>
        </w:tc>
        <w:tc>
          <w:tcPr>
            <w:tcW w:w="1138" w:type="dxa"/>
            <w:tcMar>
              <w:top w:w="0" w:type="dxa"/>
              <w:left w:w="0" w:type="dxa"/>
              <w:bottom w:w="0" w:type="dxa"/>
              <w:right w:w="0" w:type="dxa"/>
            </w:tcMar>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0.349</w:t>
            </w:r>
          </w:p>
        </w:tc>
        <w:tc>
          <w:tcPr>
            <w:tcW w:w="1138" w:type="dxa"/>
            <w:tcMar>
              <w:top w:w="0" w:type="dxa"/>
              <w:left w:w="0" w:type="dxa"/>
              <w:bottom w:w="0" w:type="dxa"/>
              <w:right w:w="0" w:type="dxa"/>
            </w:tcMar>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0.433</w:t>
            </w:r>
          </w:p>
        </w:tc>
        <w:tc>
          <w:tcPr>
            <w:tcW w:w="1138" w:type="dxa"/>
            <w:tcMar>
              <w:top w:w="0" w:type="dxa"/>
              <w:left w:w="0" w:type="dxa"/>
              <w:bottom w:w="0" w:type="dxa"/>
              <w:right w:w="0" w:type="dxa"/>
            </w:tcMar>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0.512</w:t>
            </w:r>
          </w:p>
        </w:tc>
        <w:tc>
          <w:tcPr>
            <w:tcW w:w="1134" w:type="dxa"/>
            <w:tcMar>
              <w:top w:w="0" w:type="dxa"/>
              <w:left w:w="0" w:type="dxa"/>
              <w:bottom w:w="0" w:type="dxa"/>
              <w:right w:w="0" w:type="dxa"/>
            </w:tcMar>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0.861</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28" w:type="dxa"/>
            <w:left w:w="0" w:type="dxa"/>
            <w:bottom w:w="28" w:type="dxa"/>
            <w:right w:w="0" w:type="dxa"/>
          </w:tblCellMar>
        </w:tblPrEx>
        <w:trPr>
          <w:trHeight w:val="340" w:hRule="atLeast"/>
          <w:jc w:val="center"/>
        </w:trPr>
        <w:tc>
          <w:tcPr>
            <w:tcW w:w="2179" w:type="dxa"/>
            <w:tcMar>
              <w:top w:w="0" w:type="dxa"/>
              <w:left w:w="0" w:type="dxa"/>
              <w:bottom w:w="0" w:type="dxa"/>
              <w:right w:w="0" w:type="dxa"/>
            </w:tcMar>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20</w:t>
            </w:r>
          </w:p>
        </w:tc>
        <w:tc>
          <w:tcPr>
            <w:tcW w:w="1138" w:type="dxa"/>
            <w:tcMar>
              <w:top w:w="0" w:type="dxa"/>
              <w:left w:w="0" w:type="dxa"/>
              <w:bottom w:w="0" w:type="dxa"/>
              <w:right w:w="0" w:type="dxa"/>
            </w:tcMar>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0.255</w:t>
            </w:r>
          </w:p>
        </w:tc>
        <w:tc>
          <w:tcPr>
            <w:tcW w:w="1138" w:type="dxa"/>
            <w:tcMar>
              <w:top w:w="0" w:type="dxa"/>
              <w:left w:w="0" w:type="dxa"/>
              <w:bottom w:w="0" w:type="dxa"/>
              <w:right w:w="0" w:type="dxa"/>
            </w:tcMar>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0.429</w:t>
            </w:r>
          </w:p>
        </w:tc>
        <w:tc>
          <w:tcPr>
            <w:tcW w:w="1138" w:type="dxa"/>
            <w:tcMar>
              <w:top w:w="0" w:type="dxa"/>
              <w:left w:w="0" w:type="dxa"/>
              <w:bottom w:w="0" w:type="dxa"/>
              <w:right w:w="0" w:type="dxa"/>
            </w:tcMar>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0.582</w:t>
            </w:r>
          </w:p>
        </w:tc>
        <w:tc>
          <w:tcPr>
            <w:tcW w:w="1138" w:type="dxa"/>
            <w:tcMar>
              <w:top w:w="0" w:type="dxa"/>
              <w:left w:w="0" w:type="dxa"/>
              <w:bottom w:w="0" w:type="dxa"/>
              <w:right w:w="0" w:type="dxa"/>
            </w:tcMar>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0.722</w:t>
            </w:r>
          </w:p>
        </w:tc>
        <w:tc>
          <w:tcPr>
            <w:tcW w:w="1138" w:type="dxa"/>
            <w:tcMar>
              <w:top w:w="0" w:type="dxa"/>
              <w:left w:w="0" w:type="dxa"/>
              <w:bottom w:w="0" w:type="dxa"/>
              <w:right w:w="0" w:type="dxa"/>
            </w:tcMar>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0.853</w:t>
            </w:r>
          </w:p>
        </w:tc>
        <w:tc>
          <w:tcPr>
            <w:tcW w:w="1134" w:type="dxa"/>
            <w:tcMar>
              <w:top w:w="0" w:type="dxa"/>
              <w:left w:w="0" w:type="dxa"/>
              <w:bottom w:w="0" w:type="dxa"/>
              <w:right w:w="0" w:type="dxa"/>
            </w:tcMar>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1.435</w:t>
            </w:r>
          </w:p>
        </w:tc>
      </w:tr>
    </w:tbl>
    <w:p>
      <w:pPr>
        <w:ind w:firstLine="480"/>
        <w:rPr>
          <w:rFonts w:hint="default" w:ascii="Arial" w:hAnsi="Arial" w:eastAsia="宋体" w:cs="Arial"/>
          <w:color w:val="auto"/>
          <w:highlight w:val="none"/>
        </w:rPr>
      </w:pPr>
      <w:r>
        <w:rPr>
          <w:rFonts w:hint="default" w:ascii="Arial" w:hAnsi="Arial" w:eastAsia="宋体" w:cs="Arial"/>
          <w:color w:val="auto"/>
          <w:highlight w:val="none"/>
        </w:rPr>
        <w:t>从上表可见，在同样的路面条件下，车速越快，扬尘量越大，在同样的车速情况下，路面粉尘越大，扬尘量越大。因此，限制施工车辆速度和保持路面清洁是减小扬尘的有效手段。</w:t>
      </w:r>
    </w:p>
    <w:p>
      <w:pPr>
        <w:ind w:firstLine="480"/>
        <w:rPr>
          <w:rFonts w:hint="default" w:ascii="Arial" w:hAnsi="Arial" w:eastAsia="宋体" w:cs="Arial"/>
          <w:color w:val="auto"/>
          <w:highlight w:val="none"/>
        </w:rPr>
      </w:pPr>
      <w:r>
        <w:rPr>
          <w:rFonts w:hint="default" w:ascii="Arial" w:hAnsi="Arial" w:eastAsia="宋体" w:cs="Arial"/>
          <w:color w:val="auto"/>
          <w:highlight w:val="none"/>
        </w:rPr>
        <w:t>项目在施工过程中对车辆加盖苫布及减速慢行之后，对运输道路两侧环境空气影响较小。</w:t>
      </w:r>
    </w:p>
    <w:p>
      <w:pPr>
        <w:pStyle w:val="7"/>
        <w:rPr>
          <w:rFonts w:hint="default" w:ascii="Arial" w:hAnsi="Arial" w:eastAsia="宋体" w:cs="Arial"/>
          <w:color w:val="auto"/>
          <w:highlight w:val="none"/>
        </w:rPr>
      </w:pPr>
      <w:r>
        <w:rPr>
          <w:rFonts w:hint="default" w:ascii="Arial" w:hAnsi="Arial" w:eastAsia="宋体" w:cs="Arial"/>
          <w:color w:val="auto"/>
          <w:highlight w:val="none"/>
        </w:rPr>
        <w:t>5.1.1.2施工期焊接烟尘的影响</w:t>
      </w:r>
    </w:p>
    <w:p>
      <w:pPr>
        <w:ind w:firstLine="480"/>
        <w:rPr>
          <w:rFonts w:hint="default" w:ascii="Arial" w:hAnsi="Arial" w:eastAsia="宋体" w:cs="Arial"/>
          <w:color w:val="auto"/>
          <w:highlight w:val="none"/>
        </w:rPr>
      </w:pPr>
      <w:r>
        <w:rPr>
          <w:rFonts w:hint="default" w:ascii="Arial" w:hAnsi="Arial" w:eastAsia="宋体" w:cs="Arial"/>
          <w:color w:val="auto"/>
          <w:highlight w:val="none"/>
        </w:rPr>
        <w:t>本项目施工在进行设备固定、辅助设施建设过程会采取焊接工艺，焊接过程中会有少量焊接烟尘和烟气产生。焊接烟尘是由金属及非金属物质在过热条件下产生的蒸气经氧化和冷凝而形成的，其成分主要取决于焊接材料（焊丝、焊条、焊剂）成分及其蒸发的难易，焊接烟尘的产生量主要取决于焊料的材质和焊接方式。项目焊接工艺主要为二氧化碳焊，对焊接场所加强通风，产生的焊接烟尘对大气环境影响较小。</w:t>
      </w:r>
    </w:p>
    <w:p>
      <w:pPr>
        <w:pStyle w:val="7"/>
        <w:rPr>
          <w:rFonts w:hint="default" w:ascii="Arial" w:hAnsi="Arial" w:eastAsia="宋体" w:cs="Arial"/>
          <w:color w:val="auto"/>
          <w:highlight w:val="none"/>
        </w:rPr>
      </w:pPr>
      <w:r>
        <w:rPr>
          <w:rFonts w:hint="default" w:ascii="Arial" w:hAnsi="Arial" w:eastAsia="宋体" w:cs="Arial"/>
          <w:color w:val="auto"/>
          <w:highlight w:val="none"/>
        </w:rPr>
        <w:t>5.1.1.3施工机械废气</w:t>
      </w:r>
    </w:p>
    <w:p>
      <w:pPr>
        <w:ind w:firstLine="480"/>
        <w:rPr>
          <w:rFonts w:hint="default" w:ascii="Arial" w:hAnsi="Arial" w:eastAsia="宋体" w:cs="Arial"/>
          <w:color w:val="auto"/>
          <w:highlight w:val="none"/>
        </w:rPr>
      </w:pPr>
      <w:r>
        <w:rPr>
          <w:rFonts w:hint="default" w:ascii="Arial" w:hAnsi="Arial" w:eastAsia="宋体" w:cs="Arial"/>
          <w:color w:val="auto"/>
          <w:highlight w:val="none"/>
        </w:rPr>
        <w:t>施工机械设备（如柴油机等）和运输及施工车辆的尾气排放属无组织排放，污染物排放量的大小与交通量成比例，与车辆的类型以及运行的工况有关。项目在建设过程中，随着各类机动车辆和施工机械进入施工地区，必然造成车辆尾气排放量的相应增加，释放出一定量的NO</w:t>
      </w:r>
      <w:r>
        <w:rPr>
          <w:rFonts w:hint="default" w:ascii="Arial" w:hAnsi="Arial" w:eastAsia="宋体" w:cs="Arial"/>
          <w:color w:val="auto"/>
          <w:highlight w:val="none"/>
          <w:vertAlign w:val="subscript"/>
        </w:rPr>
        <w:t>x</w:t>
      </w:r>
      <w:r>
        <w:rPr>
          <w:rFonts w:hint="default" w:ascii="Arial" w:hAnsi="Arial" w:eastAsia="宋体" w:cs="Arial"/>
          <w:color w:val="auto"/>
          <w:highlight w:val="none"/>
        </w:rPr>
        <w:t>、CO、C</w:t>
      </w:r>
      <w:r>
        <w:rPr>
          <w:rFonts w:hint="default" w:ascii="Arial" w:hAnsi="Arial" w:eastAsia="宋体" w:cs="Arial"/>
          <w:color w:val="auto"/>
          <w:highlight w:val="none"/>
          <w:vertAlign w:val="subscript"/>
        </w:rPr>
        <w:t>m</w:t>
      </w:r>
      <w:r>
        <w:rPr>
          <w:rFonts w:hint="default" w:ascii="Arial" w:hAnsi="Arial" w:eastAsia="宋体" w:cs="Arial"/>
          <w:color w:val="auto"/>
          <w:highlight w:val="none"/>
        </w:rPr>
        <w:t>H</w:t>
      </w:r>
      <w:r>
        <w:rPr>
          <w:rFonts w:hint="default" w:ascii="Arial" w:hAnsi="Arial" w:eastAsia="宋体" w:cs="Arial"/>
          <w:color w:val="auto"/>
          <w:highlight w:val="none"/>
          <w:vertAlign w:val="subscript"/>
        </w:rPr>
        <w:t>n</w:t>
      </w:r>
      <w:r>
        <w:rPr>
          <w:rFonts w:hint="default" w:ascii="Arial" w:hAnsi="Arial" w:eastAsia="宋体" w:cs="Arial"/>
          <w:color w:val="auto"/>
          <w:highlight w:val="none"/>
        </w:rPr>
        <w:t>等大气污染物，且随着车辆行驶形成流动污染源，对区域环境空气造成污染。施工过程中应加强施工机械和车辆的维护保养，由于施工机械和运输车辆等排放的废气产生量较小，项目拟建地较开阔，空气流动性好，废气扩散快，对当地的空气环境影响较小。</w:t>
      </w:r>
    </w:p>
    <w:p>
      <w:pPr>
        <w:ind w:firstLine="480"/>
        <w:rPr>
          <w:rFonts w:hint="default" w:ascii="Arial" w:hAnsi="Arial" w:eastAsia="宋体" w:cs="Arial"/>
          <w:color w:val="auto"/>
          <w:highlight w:val="none"/>
        </w:rPr>
      </w:pPr>
      <w:r>
        <w:rPr>
          <w:rFonts w:hint="default" w:ascii="Arial" w:hAnsi="Arial" w:eastAsia="宋体" w:cs="Arial"/>
          <w:color w:val="auto"/>
          <w:highlight w:val="none"/>
        </w:rPr>
        <w:t>根据同类工程的施工资料，燃油废气对大气影响很小，施工对环境空气质量的影响是临时的，只限于施工期内，施工结束后，影响随之消失。</w:t>
      </w:r>
    </w:p>
    <w:p>
      <w:pPr>
        <w:ind w:firstLine="480"/>
        <w:rPr>
          <w:rFonts w:hint="default" w:ascii="Arial" w:hAnsi="Arial" w:eastAsia="宋体" w:cs="Arial"/>
          <w:color w:val="auto"/>
          <w:highlight w:val="none"/>
        </w:rPr>
      </w:pPr>
      <w:r>
        <w:rPr>
          <w:rFonts w:hint="default" w:ascii="Arial" w:hAnsi="Arial" w:eastAsia="宋体" w:cs="Arial"/>
          <w:color w:val="auto"/>
          <w:highlight w:val="none"/>
        </w:rPr>
        <w:t>机械尾气防治措施：</w:t>
      </w:r>
    </w:p>
    <w:p>
      <w:pPr>
        <w:ind w:firstLine="480"/>
        <w:rPr>
          <w:rFonts w:hint="default" w:ascii="Arial" w:hAnsi="Arial" w:eastAsia="宋体" w:cs="Arial"/>
          <w:color w:val="auto"/>
          <w:highlight w:val="none"/>
        </w:rPr>
      </w:pPr>
      <w:r>
        <w:rPr>
          <w:rFonts w:hint="default" w:ascii="Arial" w:hAnsi="Arial" w:eastAsia="宋体" w:cs="Arial"/>
          <w:color w:val="auto"/>
          <w:highlight w:val="none"/>
        </w:rPr>
        <w:t>（1）禁止使用尾气污染物超标排放机动车；</w:t>
      </w:r>
    </w:p>
    <w:p>
      <w:pPr>
        <w:ind w:firstLine="480"/>
        <w:rPr>
          <w:rFonts w:hint="default" w:ascii="Arial" w:hAnsi="Arial" w:eastAsia="宋体" w:cs="Arial"/>
          <w:color w:val="auto"/>
          <w:highlight w:val="none"/>
        </w:rPr>
      </w:pPr>
      <w:r>
        <w:rPr>
          <w:rFonts w:hint="default" w:ascii="Arial" w:hAnsi="Arial" w:eastAsia="宋体" w:cs="Arial"/>
          <w:color w:val="auto"/>
          <w:highlight w:val="none"/>
        </w:rPr>
        <w:t>（2）加强机动车的检测与维修，使在用车经常保持在良好的状态，以减少尾气污染物的排放；</w:t>
      </w:r>
    </w:p>
    <w:p>
      <w:pPr>
        <w:ind w:firstLine="480"/>
        <w:rPr>
          <w:rFonts w:hint="default" w:ascii="Arial" w:hAnsi="Arial" w:eastAsia="宋体" w:cs="Arial"/>
          <w:color w:val="auto"/>
          <w:highlight w:val="none"/>
        </w:rPr>
      </w:pPr>
      <w:r>
        <w:rPr>
          <w:rFonts w:hint="default" w:ascii="Arial" w:hAnsi="Arial" w:eastAsia="宋体" w:cs="Arial"/>
          <w:color w:val="auto"/>
          <w:highlight w:val="none"/>
        </w:rPr>
        <w:t>（3）施工车辆采用清洁柴油或汽油。</w:t>
      </w:r>
    </w:p>
    <w:p>
      <w:pPr>
        <w:pStyle w:val="6"/>
        <w:rPr>
          <w:rFonts w:hint="default" w:ascii="Arial" w:hAnsi="Arial" w:eastAsia="宋体" w:cs="Arial"/>
          <w:color w:val="auto"/>
          <w:highlight w:val="none"/>
        </w:rPr>
      </w:pPr>
      <w:bookmarkStart w:id="330" w:name="_Toc3271"/>
      <w:r>
        <w:rPr>
          <w:rFonts w:hint="default" w:ascii="Arial" w:hAnsi="Arial" w:eastAsia="宋体" w:cs="Arial"/>
          <w:color w:val="auto"/>
          <w:highlight w:val="none"/>
        </w:rPr>
        <w:t>5.1.2水环境影响分析</w:t>
      </w:r>
      <w:bookmarkEnd w:id="330"/>
    </w:p>
    <w:p>
      <w:pPr>
        <w:ind w:firstLine="480"/>
        <w:rPr>
          <w:rFonts w:hint="default" w:ascii="Arial" w:hAnsi="Arial" w:eastAsia="宋体" w:cs="Arial"/>
          <w:color w:val="auto"/>
          <w:highlight w:val="none"/>
        </w:rPr>
      </w:pPr>
      <w:r>
        <w:rPr>
          <w:rFonts w:hint="default" w:ascii="Arial" w:hAnsi="Arial" w:eastAsia="宋体" w:cs="Arial"/>
          <w:color w:val="auto"/>
          <w:highlight w:val="none"/>
        </w:rPr>
        <w:t>项目施工期排水主要为生活污水和</w:t>
      </w:r>
      <w:r>
        <w:rPr>
          <w:rFonts w:hint="default" w:ascii="Arial" w:hAnsi="Arial" w:eastAsia="宋体" w:cs="Arial"/>
          <w:color w:val="auto"/>
          <w:highlight w:val="none"/>
          <w:lang w:eastAsia="zh-CN"/>
        </w:rPr>
        <w:t>施工</w:t>
      </w:r>
      <w:r>
        <w:rPr>
          <w:rFonts w:hint="default" w:ascii="Arial" w:hAnsi="Arial" w:eastAsia="宋体" w:cs="Arial"/>
          <w:color w:val="auto"/>
          <w:highlight w:val="none"/>
        </w:rPr>
        <w:t>废水。</w:t>
      </w:r>
    </w:p>
    <w:p>
      <w:pPr>
        <w:pStyle w:val="7"/>
        <w:rPr>
          <w:rFonts w:hint="default" w:ascii="Arial" w:hAnsi="Arial" w:eastAsia="宋体" w:cs="Arial"/>
          <w:color w:val="auto"/>
          <w:highlight w:val="none"/>
        </w:rPr>
      </w:pPr>
      <w:r>
        <w:rPr>
          <w:rFonts w:hint="default" w:ascii="Arial" w:hAnsi="Arial" w:eastAsia="宋体" w:cs="Arial"/>
          <w:color w:val="auto"/>
          <w:highlight w:val="none"/>
        </w:rPr>
        <w:t>5.1.2.1生活污水</w:t>
      </w:r>
    </w:p>
    <w:p>
      <w:pPr>
        <w:ind w:firstLine="480"/>
        <w:rPr>
          <w:rFonts w:hint="default" w:ascii="Arial" w:hAnsi="Arial" w:eastAsia="宋体" w:cs="Arial"/>
          <w:color w:val="auto"/>
          <w:highlight w:val="none"/>
        </w:rPr>
      </w:pPr>
      <w:r>
        <w:rPr>
          <w:rFonts w:hint="default" w:ascii="Arial" w:hAnsi="Arial" w:eastAsia="宋体" w:cs="Arial"/>
          <w:color w:val="auto"/>
          <w:highlight w:val="none"/>
        </w:rPr>
        <w:t>项目在施工期的水环境影响包括施工人员的生活污水。经估算施工期施工人员最多可达30人。按每人每天排放污水0.01m</w:t>
      </w:r>
      <w:r>
        <w:rPr>
          <w:rFonts w:hint="default" w:ascii="Arial" w:hAnsi="Arial" w:eastAsia="宋体" w:cs="Arial"/>
          <w:color w:val="auto"/>
          <w:highlight w:val="none"/>
          <w:vertAlign w:val="superscript"/>
        </w:rPr>
        <w:t>3</w:t>
      </w:r>
      <w:r>
        <w:rPr>
          <w:rFonts w:hint="default" w:ascii="Arial" w:hAnsi="Arial" w:eastAsia="宋体" w:cs="Arial"/>
          <w:color w:val="auto"/>
          <w:highlight w:val="none"/>
        </w:rPr>
        <w:t>计算，施工人员每天共排放生活污水3.0m</w:t>
      </w:r>
      <w:r>
        <w:rPr>
          <w:rFonts w:hint="default" w:ascii="Arial" w:hAnsi="Arial" w:eastAsia="宋体" w:cs="Arial"/>
          <w:color w:val="auto"/>
          <w:highlight w:val="none"/>
          <w:vertAlign w:val="superscript"/>
        </w:rPr>
        <w:t>3</w:t>
      </w:r>
      <w:r>
        <w:rPr>
          <w:rFonts w:hint="default" w:ascii="Arial" w:hAnsi="Arial" w:eastAsia="宋体" w:cs="Arial"/>
          <w:color w:val="auto"/>
          <w:highlight w:val="none"/>
        </w:rPr>
        <w:t>。</w:t>
      </w:r>
    </w:p>
    <w:p>
      <w:pPr>
        <w:ind w:firstLine="480"/>
        <w:rPr>
          <w:rFonts w:hint="default" w:ascii="Arial" w:hAnsi="Arial" w:eastAsia="宋体" w:cs="Arial"/>
          <w:color w:val="auto"/>
          <w:highlight w:val="none"/>
        </w:rPr>
      </w:pPr>
      <w:r>
        <w:rPr>
          <w:rFonts w:hint="default" w:ascii="Arial" w:hAnsi="Arial" w:eastAsia="宋体" w:cs="Arial"/>
          <w:color w:val="auto"/>
          <w:highlight w:val="none"/>
        </w:rPr>
        <w:t>类比同类型生活污水排放浓度，生活污水中污染物浓度为：COD350mg/L，BOD</w:t>
      </w:r>
      <w:r>
        <w:rPr>
          <w:rFonts w:hint="default" w:ascii="Arial" w:hAnsi="Arial" w:eastAsia="宋体" w:cs="Arial"/>
          <w:color w:val="auto"/>
          <w:highlight w:val="none"/>
          <w:vertAlign w:val="subscript"/>
        </w:rPr>
        <w:t>5</w:t>
      </w:r>
      <w:r>
        <w:rPr>
          <w:rFonts w:hint="default" w:ascii="Arial" w:hAnsi="Arial" w:eastAsia="宋体" w:cs="Arial"/>
          <w:color w:val="auto"/>
          <w:highlight w:val="none"/>
        </w:rPr>
        <w:t>250mg/L，SS300mg/L，NH</w:t>
      </w:r>
      <w:r>
        <w:rPr>
          <w:rFonts w:hint="default" w:ascii="Arial" w:hAnsi="Arial" w:eastAsia="宋体" w:cs="Arial"/>
          <w:color w:val="auto"/>
          <w:highlight w:val="none"/>
          <w:vertAlign w:val="subscript"/>
        </w:rPr>
        <w:t>3</w:t>
      </w:r>
      <w:r>
        <w:rPr>
          <w:rFonts w:hint="default" w:ascii="Arial" w:hAnsi="Arial" w:eastAsia="宋体" w:cs="Arial"/>
          <w:color w:val="auto"/>
          <w:highlight w:val="none"/>
        </w:rPr>
        <w:t>-N30mg/L。本项目施工期排放生活污水中主要污染物的排放量见表5.1-4。</w:t>
      </w:r>
    </w:p>
    <w:p>
      <w:pPr>
        <w:pStyle w:val="8"/>
        <w:rPr>
          <w:rFonts w:hint="default" w:ascii="Arial" w:hAnsi="Arial" w:eastAsia="宋体" w:cs="Arial"/>
          <w:color w:val="auto"/>
          <w:highlight w:val="none"/>
        </w:rPr>
      </w:pPr>
      <w:r>
        <w:rPr>
          <w:rFonts w:hint="default" w:ascii="Arial" w:hAnsi="Arial" w:eastAsia="宋体" w:cs="Arial"/>
          <w:color w:val="auto"/>
          <w:highlight w:val="none"/>
        </w:rPr>
        <w:t>表5.1-4    施工期生活污水排放的污染物高峰负荷</w:t>
      </w:r>
    </w:p>
    <w:tbl>
      <w:tblPr>
        <w:tblStyle w:val="39"/>
        <w:tblW w:w="9003" w:type="dxa"/>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1154"/>
        <w:gridCol w:w="3088"/>
        <w:gridCol w:w="1201"/>
        <w:gridCol w:w="1201"/>
        <w:gridCol w:w="819"/>
        <w:gridCol w:w="1540"/>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154" w:type="dxa"/>
            <w:vMerge w:val="restart"/>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项目</w:t>
            </w:r>
          </w:p>
        </w:tc>
        <w:tc>
          <w:tcPr>
            <w:tcW w:w="3088" w:type="dxa"/>
            <w:vMerge w:val="restart"/>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污水量（m</w:t>
            </w:r>
            <w:r>
              <w:rPr>
                <w:rFonts w:hint="default" w:ascii="Arial" w:hAnsi="Arial" w:eastAsia="宋体" w:cs="Arial"/>
                <w:color w:val="auto"/>
                <w:sz w:val="21"/>
                <w:szCs w:val="21"/>
                <w:highlight w:val="none"/>
                <w:vertAlign w:val="superscript"/>
              </w:rPr>
              <w:t>3</w:t>
            </w:r>
            <w:r>
              <w:rPr>
                <w:rFonts w:hint="default" w:ascii="Arial" w:hAnsi="Arial" w:eastAsia="宋体" w:cs="Arial"/>
                <w:color w:val="auto"/>
                <w:sz w:val="21"/>
                <w:szCs w:val="21"/>
                <w:highlight w:val="none"/>
              </w:rPr>
              <w:t>/d）</w:t>
            </w:r>
          </w:p>
        </w:tc>
        <w:tc>
          <w:tcPr>
            <w:tcW w:w="4761" w:type="dxa"/>
            <w:gridSpan w:val="4"/>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污染物污染负荷（kg/d）</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154" w:type="dxa"/>
            <w:vMerge w:val="continue"/>
            <w:vAlign w:val="center"/>
          </w:tcPr>
          <w:p>
            <w:pPr>
              <w:pStyle w:val="63"/>
              <w:rPr>
                <w:rFonts w:hint="default" w:ascii="Arial" w:hAnsi="Arial" w:eastAsia="宋体" w:cs="Arial"/>
                <w:color w:val="auto"/>
                <w:sz w:val="21"/>
                <w:szCs w:val="21"/>
                <w:highlight w:val="none"/>
              </w:rPr>
            </w:pPr>
          </w:p>
        </w:tc>
        <w:tc>
          <w:tcPr>
            <w:tcW w:w="3088" w:type="dxa"/>
            <w:vMerge w:val="continue"/>
            <w:vAlign w:val="center"/>
          </w:tcPr>
          <w:p>
            <w:pPr>
              <w:pStyle w:val="63"/>
              <w:rPr>
                <w:rFonts w:hint="default" w:ascii="Arial" w:hAnsi="Arial" w:eastAsia="宋体" w:cs="Arial"/>
                <w:color w:val="auto"/>
                <w:sz w:val="21"/>
                <w:szCs w:val="21"/>
                <w:highlight w:val="none"/>
              </w:rPr>
            </w:pPr>
          </w:p>
        </w:tc>
        <w:tc>
          <w:tcPr>
            <w:tcW w:w="1201"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COD</w:t>
            </w:r>
          </w:p>
        </w:tc>
        <w:tc>
          <w:tcPr>
            <w:tcW w:w="1201"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BOD</w:t>
            </w:r>
            <w:r>
              <w:rPr>
                <w:rFonts w:hint="default" w:ascii="Arial" w:hAnsi="Arial" w:eastAsia="宋体" w:cs="Arial"/>
                <w:color w:val="auto"/>
                <w:sz w:val="21"/>
                <w:szCs w:val="21"/>
                <w:highlight w:val="none"/>
                <w:vertAlign w:val="subscript"/>
              </w:rPr>
              <w:t>5</w:t>
            </w:r>
          </w:p>
        </w:tc>
        <w:tc>
          <w:tcPr>
            <w:tcW w:w="819"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SS</w:t>
            </w:r>
          </w:p>
        </w:tc>
        <w:tc>
          <w:tcPr>
            <w:tcW w:w="1540"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NH3-N</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154"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场区</w:t>
            </w:r>
          </w:p>
        </w:tc>
        <w:tc>
          <w:tcPr>
            <w:tcW w:w="3088"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1.0</w:t>
            </w:r>
          </w:p>
        </w:tc>
        <w:tc>
          <w:tcPr>
            <w:tcW w:w="1201"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0.35</w:t>
            </w:r>
          </w:p>
        </w:tc>
        <w:tc>
          <w:tcPr>
            <w:tcW w:w="1201"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0.25</w:t>
            </w:r>
          </w:p>
        </w:tc>
        <w:tc>
          <w:tcPr>
            <w:tcW w:w="819"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0.3</w:t>
            </w:r>
          </w:p>
        </w:tc>
        <w:tc>
          <w:tcPr>
            <w:tcW w:w="1540"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0.03</w:t>
            </w:r>
          </w:p>
        </w:tc>
      </w:tr>
    </w:tbl>
    <w:p>
      <w:pPr>
        <w:ind w:firstLine="480"/>
        <w:rPr>
          <w:rFonts w:hint="default" w:ascii="Arial" w:hAnsi="Arial" w:eastAsia="宋体" w:cs="Arial"/>
          <w:color w:val="auto"/>
          <w:kern w:val="0"/>
          <w:szCs w:val="24"/>
          <w:highlight w:val="none"/>
        </w:rPr>
      </w:pPr>
      <w:r>
        <w:rPr>
          <w:rFonts w:hint="default" w:ascii="Arial" w:hAnsi="Arial" w:eastAsia="宋体" w:cs="Arial"/>
          <w:color w:val="auto"/>
          <w:highlight w:val="none"/>
        </w:rPr>
        <w:t>施工人员的生活污水中各污染物负荷量较小，</w:t>
      </w:r>
      <w:r>
        <w:rPr>
          <w:rFonts w:hint="default" w:ascii="Arial" w:hAnsi="Arial" w:eastAsia="宋体" w:cs="Arial"/>
          <w:color w:val="auto"/>
          <w:highlight w:val="none"/>
          <w:lang w:val="en-US" w:eastAsia="zh-CN"/>
        </w:rPr>
        <w:t>排入移动厕所，定期清掏，</w:t>
      </w:r>
      <w:r>
        <w:rPr>
          <w:rFonts w:hint="default" w:ascii="Arial" w:hAnsi="Arial" w:eastAsia="宋体" w:cs="Arial"/>
          <w:color w:val="auto"/>
          <w:highlight w:val="none"/>
        </w:rPr>
        <w:t>施工</w:t>
      </w:r>
      <w:r>
        <w:rPr>
          <w:rFonts w:hint="default" w:ascii="Arial" w:hAnsi="Arial" w:eastAsia="宋体" w:cs="Arial"/>
          <w:color w:val="auto"/>
          <w:kern w:val="0"/>
          <w:szCs w:val="24"/>
          <w:highlight w:val="none"/>
        </w:rPr>
        <w:t>结束后其影响也就随之消除，对水环境影响很小。</w:t>
      </w:r>
    </w:p>
    <w:p>
      <w:pPr>
        <w:pStyle w:val="7"/>
        <w:rPr>
          <w:rFonts w:hint="default" w:ascii="Arial" w:hAnsi="Arial" w:eastAsia="宋体" w:cs="Arial"/>
          <w:color w:val="auto"/>
          <w:highlight w:val="none"/>
        </w:rPr>
      </w:pPr>
      <w:r>
        <w:rPr>
          <w:rFonts w:hint="default" w:ascii="Arial" w:hAnsi="Arial" w:eastAsia="宋体" w:cs="Arial"/>
          <w:color w:val="auto"/>
          <w:highlight w:val="none"/>
        </w:rPr>
        <w:t>5.1.2.2施工废水</w:t>
      </w:r>
    </w:p>
    <w:p>
      <w:pPr>
        <w:ind w:firstLine="480"/>
        <w:rPr>
          <w:rFonts w:hint="default" w:ascii="Arial" w:hAnsi="Arial" w:eastAsia="宋体" w:cs="Arial"/>
          <w:color w:val="auto"/>
          <w:highlight w:val="none"/>
        </w:rPr>
      </w:pPr>
      <w:r>
        <w:rPr>
          <w:rFonts w:hint="default" w:ascii="Arial" w:hAnsi="Arial" w:eastAsia="宋体" w:cs="Arial"/>
          <w:color w:val="auto"/>
          <w:highlight w:val="none"/>
        </w:rPr>
        <w:t>施工期生产废水包括砂石料加工</w:t>
      </w:r>
      <w:r>
        <w:rPr>
          <w:rFonts w:hint="default" w:ascii="Arial" w:hAnsi="Arial" w:eastAsia="宋体" w:cs="Arial"/>
          <w:color w:val="auto"/>
          <w:highlight w:val="none"/>
          <w:lang w:eastAsia="zh-CN"/>
        </w:rPr>
        <w:t>冲洗用水</w:t>
      </w:r>
      <w:r>
        <w:rPr>
          <w:rFonts w:hint="default" w:ascii="Arial" w:hAnsi="Arial" w:eastAsia="宋体" w:cs="Arial"/>
          <w:color w:val="auto"/>
          <w:highlight w:val="none"/>
        </w:rPr>
        <w:t>、机械维修养护废水。</w:t>
      </w:r>
    </w:p>
    <w:p>
      <w:pPr>
        <w:ind w:firstLine="480"/>
        <w:rPr>
          <w:rFonts w:hint="default" w:ascii="Arial" w:hAnsi="Arial" w:eastAsia="宋体" w:cs="Arial"/>
          <w:color w:val="auto"/>
          <w:highlight w:val="none"/>
        </w:rPr>
      </w:pPr>
      <w:r>
        <w:rPr>
          <w:rFonts w:hint="default" w:ascii="Arial" w:hAnsi="Arial" w:eastAsia="宋体" w:cs="Arial"/>
          <w:color w:val="auto"/>
          <w:highlight w:val="none"/>
        </w:rPr>
        <w:t>砂石料加工废水污染物以SS为主，浓度预计约10000mg/L，经集中收集并沉淀处理后可重新回用作为砂石料加工</w:t>
      </w:r>
      <w:r>
        <w:rPr>
          <w:rFonts w:hint="default" w:ascii="Arial" w:hAnsi="Arial" w:eastAsia="宋体" w:cs="Arial"/>
          <w:color w:val="auto"/>
          <w:highlight w:val="none"/>
          <w:lang w:eastAsia="zh-CN"/>
        </w:rPr>
        <w:t>冲洗用水</w:t>
      </w:r>
      <w:r>
        <w:rPr>
          <w:rFonts w:hint="default" w:ascii="Arial" w:hAnsi="Arial" w:eastAsia="宋体" w:cs="Arial"/>
          <w:color w:val="auto"/>
          <w:highlight w:val="none"/>
        </w:rPr>
        <w:t>。车辆和设备冲洗废水，经隔油、沉淀处理后回用。</w:t>
      </w:r>
    </w:p>
    <w:p>
      <w:pPr>
        <w:ind w:firstLine="480"/>
        <w:rPr>
          <w:rFonts w:hint="default" w:ascii="Arial" w:hAnsi="Arial" w:eastAsia="宋体" w:cs="Arial"/>
          <w:color w:val="auto"/>
          <w:highlight w:val="none"/>
        </w:rPr>
      </w:pPr>
      <w:r>
        <w:rPr>
          <w:rFonts w:hint="default" w:ascii="Arial" w:hAnsi="Arial" w:eastAsia="宋体" w:cs="Arial"/>
          <w:color w:val="auto"/>
          <w:highlight w:val="none"/>
        </w:rPr>
        <w:t>因此，施工期生产废水均在施工场地循环利用，不外排，对水环境影响较小。</w:t>
      </w:r>
    </w:p>
    <w:p>
      <w:pPr>
        <w:pStyle w:val="6"/>
        <w:rPr>
          <w:rFonts w:hint="default" w:ascii="Arial" w:hAnsi="Arial" w:eastAsia="宋体" w:cs="Arial"/>
          <w:color w:val="auto"/>
          <w:highlight w:val="none"/>
        </w:rPr>
      </w:pPr>
      <w:bookmarkStart w:id="331" w:name="_Toc185683624"/>
      <w:bookmarkStart w:id="332" w:name="_Toc282346951"/>
      <w:bookmarkStart w:id="333" w:name="_Toc93407291"/>
      <w:bookmarkStart w:id="334" w:name="_Toc512871591"/>
      <w:bookmarkStart w:id="335" w:name="_Toc185001177"/>
      <w:bookmarkStart w:id="336" w:name="_Toc295196608"/>
      <w:bookmarkStart w:id="337" w:name="_Toc93407419"/>
      <w:bookmarkStart w:id="338" w:name="_Toc184993738"/>
      <w:bookmarkStart w:id="339" w:name="_Toc494206324"/>
      <w:bookmarkStart w:id="340" w:name="_Toc90083402"/>
      <w:bookmarkStart w:id="341" w:name="_Toc184993590"/>
      <w:bookmarkStart w:id="342" w:name="_Toc93410272"/>
      <w:bookmarkStart w:id="343" w:name="_Toc184999116"/>
      <w:bookmarkStart w:id="344" w:name="_Toc93407651"/>
      <w:bookmarkStart w:id="345" w:name="_Toc260834729"/>
      <w:bookmarkStart w:id="346" w:name="_Toc93407874"/>
      <w:bookmarkStart w:id="347" w:name="_Toc93408001"/>
      <w:bookmarkStart w:id="348" w:name="_Toc7010"/>
      <w:r>
        <w:rPr>
          <w:rFonts w:hint="default" w:ascii="Arial" w:hAnsi="Arial" w:eastAsia="宋体" w:cs="Arial"/>
          <w:color w:val="auto"/>
          <w:highlight w:val="none"/>
        </w:rPr>
        <w:t>5.1.3施工期声环境影响分析</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p>
    <w:p>
      <w:pPr>
        <w:ind w:firstLine="480"/>
        <w:rPr>
          <w:rFonts w:hint="default" w:ascii="Arial" w:hAnsi="Arial" w:eastAsia="宋体" w:cs="Arial"/>
          <w:color w:val="auto"/>
          <w:highlight w:val="none"/>
        </w:rPr>
      </w:pPr>
      <w:r>
        <w:rPr>
          <w:rFonts w:hint="default" w:ascii="Arial" w:hAnsi="Arial" w:eastAsia="宋体" w:cs="Arial"/>
          <w:color w:val="auto"/>
          <w:highlight w:val="none"/>
        </w:rPr>
        <w:t>施工期噪声主要指建筑施工噪声和交通运输噪声两类。</w:t>
      </w:r>
    </w:p>
    <w:p>
      <w:pPr>
        <w:ind w:firstLine="480"/>
        <w:rPr>
          <w:rFonts w:hint="default" w:ascii="Arial" w:hAnsi="Arial" w:eastAsia="宋体" w:cs="Arial"/>
          <w:color w:val="auto"/>
          <w:highlight w:val="none"/>
        </w:rPr>
      </w:pPr>
      <w:r>
        <w:rPr>
          <w:rFonts w:hint="default" w:ascii="Arial" w:hAnsi="Arial" w:eastAsia="宋体" w:cs="Arial"/>
          <w:color w:val="auto"/>
          <w:highlight w:val="none"/>
        </w:rPr>
        <w:t>在施工过程中，各种施工机械设备的运转以及各类车辆的运行将不可避免地产生噪声污染，各种施工机械、运输车辆等均属噪声源。常使用的施工机械有挖掘机、装载机、混凝土搅拌机、振捣棒、吊车、电锯、运输车辆等设备，在正常情况下这些设备产生的声压级在80～95dB(A)的之间，且施工期间噪声源都处于露天状态，按声源距离衰减公式计算，以不利状态95dB(A)施工噪声计算，施工期间噪声影响范围见表5.1-5。</w:t>
      </w:r>
    </w:p>
    <w:p>
      <w:pPr>
        <w:pStyle w:val="8"/>
        <w:rPr>
          <w:rFonts w:hint="default" w:ascii="Arial" w:hAnsi="Arial" w:eastAsia="宋体" w:cs="Arial"/>
          <w:color w:val="auto"/>
          <w:highlight w:val="none"/>
        </w:rPr>
      </w:pPr>
      <w:r>
        <w:rPr>
          <w:rFonts w:hint="default" w:ascii="Arial" w:hAnsi="Arial" w:eastAsia="宋体" w:cs="Arial"/>
          <w:color w:val="auto"/>
          <w:highlight w:val="none"/>
        </w:rPr>
        <w:t>表5.1-5    施工噪声影响范围单位：dB(A)</w:t>
      </w:r>
    </w:p>
    <w:tbl>
      <w:tblPr>
        <w:tblStyle w:val="39"/>
        <w:tblW w:w="9003" w:type="dxa"/>
        <w:tblInd w:w="0" w:type="dxa"/>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1159"/>
        <w:gridCol w:w="808"/>
        <w:gridCol w:w="808"/>
        <w:gridCol w:w="808"/>
        <w:gridCol w:w="808"/>
        <w:gridCol w:w="808"/>
        <w:gridCol w:w="951"/>
        <w:gridCol w:w="951"/>
        <w:gridCol w:w="951"/>
        <w:gridCol w:w="951"/>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159" w:type="dxa"/>
            <w:vAlign w:val="center"/>
          </w:tcPr>
          <w:p>
            <w:pPr>
              <w:pStyle w:val="63"/>
              <w:rPr>
                <w:rFonts w:hint="default" w:ascii="Arial" w:hAnsi="Arial" w:eastAsia="宋体" w:cs="Arial"/>
                <w:color w:val="auto"/>
                <w:szCs w:val="24"/>
                <w:highlight w:val="none"/>
              </w:rPr>
            </w:pPr>
            <w:r>
              <w:rPr>
                <w:rFonts w:hint="default" w:ascii="Arial" w:hAnsi="Arial" w:eastAsia="宋体" w:cs="Arial"/>
                <w:color w:val="auto"/>
                <w:highlight w:val="none"/>
              </w:rPr>
              <w:t>预测点</w:t>
            </w:r>
          </w:p>
        </w:tc>
        <w:tc>
          <w:tcPr>
            <w:tcW w:w="808" w:type="dxa"/>
            <w:vAlign w:val="center"/>
          </w:tcPr>
          <w:p>
            <w:pPr>
              <w:pStyle w:val="63"/>
              <w:rPr>
                <w:rFonts w:hint="default" w:ascii="Arial" w:hAnsi="Arial" w:eastAsia="宋体" w:cs="Arial"/>
                <w:color w:val="auto"/>
                <w:szCs w:val="24"/>
                <w:highlight w:val="none"/>
              </w:rPr>
            </w:pPr>
            <w:r>
              <w:rPr>
                <w:rFonts w:hint="default" w:ascii="Arial" w:hAnsi="Arial" w:eastAsia="宋体" w:cs="Arial"/>
                <w:color w:val="auto"/>
                <w:highlight w:val="none"/>
              </w:rPr>
              <w:t>30m</w:t>
            </w:r>
          </w:p>
        </w:tc>
        <w:tc>
          <w:tcPr>
            <w:tcW w:w="808" w:type="dxa"/>
            <w:vAlign w:val="center"/>
          </w:tcPr>
          <w:p>
            <w:pPr>
              <w:pStyle w:val="63"/>
              <w:rPr>
                <w:rFonts w:hint="default" w:ascii="Arial" w:hAnsi="Arial" w:eastAsia="宋体" w:cs="Arial"/>
                <w:color w:val="auto"/>
                <w:szCs w:val="24"/>
                <w:highlight w:val="none"/>
              </w:rPr>
            </w:pPr>
            <w:r>
              <w:rPr>
                <w:rFonts w:hint="default" w:ascii="Arial" w:hAnsi="Arial" w:eastAsia="宋体" w:cs="Arial"/>
                <w:color w:val="auto"/>
                <w:highlight w:val="none"/>
              </w:rPr>
              <w:t>50m</w:t>
            </w:r>
          </w:p>
        </w:tc>
        <w:tc>
          <w:tcPr>
            <w:tcW w:w="808" w:type="dxa"/>
            <w:vAlign w:val="center"/>
          </w:tcPr>
          <w:p>
            <w:pPr>
              <w:pStyle w:val="63"/>
              <w:rPr>
                <w:rFonts w:hint="default" w:ascii="Arial" w:hAnsi="Arial" w:eastAsia="宋体" w:cs="Arial"/>
                <w:color w:val="auto"/>
                <w:szCs w:val="24"/>
                <w:highlight w:val="none"/>
              </w:rPr>
            </w:pPr>
            <w:r>
              <w:rPr>
                <w:rFonts w:hint="default" w:ascii="Arial" w:hAnsi="Arial" w:eastAsia="宋体" w:cs="Arial"/>
                <w:color w:val="auto"/>
                <w:highlight w:val="none"/>
              </w:rPr>
              <w:t>60m</w:t>
            </w:r>
          </w:p>
        </w:tc>
        <w:tc>
          <w:tcPr>
            <w:tcW w:w="808" w:type="dxa"/>
            <w:vAlign w:val="center"/>
          </w:tcPr>
          <w:p>
            <w:pPr>
              <w:pStyle w:val="63"/>
              <w:rPr>
                <w:rFonts w:hint="default" w:ascii="Arial" w:hAnsi="Arial" w:eastAsia="宋体" w:cs="Arial"/>
                <w:color w:val="auto"/>
                <w:szCs w:val="24"/>
                <w:highlight w:val="none"/>
              </w:rPr>
            </w:pPr>
            <w:r>
              <w:rPr>
                <w:rFonts w:hint="default" w:ascii="Arial" w:hAnsi="Arial" w:eastAsia="宋体" w:cs="Arial"/>
                <w:color w:val="auto"/>
                <w:highlight w:val="none"/>
              </w:rPr>
              <w:t>70m</w:t>
            </w:r>
          </w:p>
        </w:tc>
        <w:tc>
          <w:tcPr>
            <w:tcW w:w="808" w:type="dxa"/>
            <w:vAlign w:val="center"/>
          </w:tcPr>
          <w:p>
            <w:pPr>
              <w:pStyle w:val="63"/>
              <w:rPr>
                <w:rFonts w:hint="default" w:ascii="Arial" w:hAnsi="Arial" w:eastAsia="宋体" w:cs="Arial"/>
                <w:color w:val="auto"/>
                <w:szCs w:val="24"/>
                <w:highlight w:val="none"/>
              </w:rPr>
            </w:pPr>
            <w:r>
              <w:rPr>
                <w:rFonts w:hint="default" w:ascii="Arial" w:hAnsi="Arial" w:eastAsia="宋体" w:cs="Arial"/>
                <w:color w:val="auto"/>
                <w:highlight w:val="none"/>
              </w:rPr>
              <w:t>80m</w:t>
            </w:r>
          </w:p>
        </w:tc>
        <w:tc>
          <w:tcPr>
            <w:tcW w:w="951" w:type="dxa"/>
            <w:vAlign w:val="center"/>
          </w:tcPr>
          <w:p>
            <w:pPr>
              <w:pStyle w:val="63"/>
              <w:rPr>
                <w:rFonts w:hint="default" w:ascii="Arial" w:hAnsi="Arial" w:eastAsia="宋体" w:cs="Arial"/>
                <w:color w:val="auto"/>
                <w:szCs w:val="24"/>
                <w:highlight w:val="none"/>
              </w:rPr>
            </w:pPr>
            <w:r>
              <w:rPr>
                <w:rFonts w:hint="default" w:ascii="Arial" w:hAnsi="Arial" w:eastAsia="宋体" w:cs="Arial"/>
                <w:color w:val="auto"/>
                <w:highlight w:val="none"/>
              </w:rPr>
              <w:t>100m</w:t>
            </w:r>
          </w:p>
        </w:tc>
        <w:tc>
          <w:tcPr>
            <w:tcW w:w="951" w:type="dxa"/>
            <w:vAlign w:val="center"/>
          </w:tcPr>
          <w:p>
            <w:pPr>
              <w:pStyle w:val="63"/>
              <w:rPr>
                <w:rFonts w:hint="default" w:ascii="Arial" w:hAnsi="Arial" w:eastAsia="宋体" w:cs="Arial"/>
                <w:color w:val="auto"/>
                <w:szCs w:val="24"/>
                <w:highlight w:val="none"/>
              </w:rPr>
            </w:pPr>
            <w:r>
              <w:rPr>
                <w:rFonts w:hint="default" w:ascii="Arial" w:hAnsi="Arial" w:eastAsia="宋体" w:cs="Arial"/>
                <w:color w:val="auto"/>
                <w:highlight w:val="none"/>
              </w:rPr>
              <w:t>120m</w:t>
            </w:r>
          </w:p>
        </w:tc>
        <w:tc>
          <w:tcPr>
            <w:tcW w:w="951" w:type="dxa"/>
            <w:vAlign w:val="center"/>
          </w:tcPr>
          <w:p>
            <w:pPr>
              <w:pStyle w:val="63"/>
              <w:rPr>
                <w:rFonts w:hint="default" w:ascii="Arial" w:hAnsi="Arial" w:eastAsia="宋体" w:cs="Arial"/>
                <w:color w:val="auto"/>
                <w:szCs w:val="24"/>
                <w:highlight w:val="none"/>
              </w:rPr>
            </w:pPr>
            <w:r>
              <w:rPr>
                <w:rFonts w:hint="default" w:ascii="Arial" w:hAnsi="Arial" w:eastAsia="宋体" w:cs="Arial"/>
                <w:color w:val="auto"/>
                <w:highlight w:val="none"/>
              </w:rPr>
              <w:t>140m</w:t>
            </w:r>
          </w:p>
        </w:tc>
        <w:tc>
          <w:tcPr>
            <w:tcW w:w="951" w:type="dxa"/>
            <w:vAlign w:val="center"/>
          </w:tcPr>
          <w:p>
            <w:pPr>
              <w:pStyle w:val="63"/>
              <w:rPr>
                <w:rFonts w:hint="default" w:ascii="Arial" w:hAnsi="Arial" w:eastAsia="宋体" w:cs="Arial"/>
                <w:color w:val="auto"/>
                <w:szCs w:val="24"/>
                <w:highlight w:val="none"/>
              </w:rPr>
            </w:pPr>
            <w:r>
              <w:rPr>
                <w:rFonts w:hint="default" w:ascii="Arial" w:hAnsi="Arial" w:eastAsia="宋体" w:cs="Arial"/>
                <w:color w:val="auto"/>
                <w:highlight w:val="none"/>
              </w:rPr>
              <w:t>180m</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159" w:type="dxa"/>
            <w:vAlign w:val="center"/>
          </w:tcPr>
          <w:p>
            <w:pPr>
              <w:pStyle w:val="63"/>
              <w:rPr>
                <w:rFonts w:hint="default" w:ascii="Arial" w:hAnsi="Arial" w:eastAsia="宋体" w:cs="Arial"/>
                <w:color w:val="auto"/>
                <w:szCs w:val="24"/>
                <w:highlight w:val="none"/>
              </w:rPr>
            </w:pPr>
            <w:r>
              <w:rPr>
                <w:rFonts w:hint="default" w:ascii="Arial" w:hAnsi="Arial" w:eastAsia="宋体" w:cs="Arial"/>
                <w:color w:val="auto"/>
                <w:highlight w:val="none"/>
              </w:rPr>
              <w:t>预测值</w:t>
            </w:r>
          </w:p>
        </w:tc>
        <w:tc>
          <w:tcPr>
            <w:tcW w:w="808" w:type="dxa"/>
            <w:vAlign w:val="center"/>
          </w:tcPr>
          <w:p>
            <w:pPr>
              <w:pStyle w:val="63"/>
              <w:rPr>
                <w:rFonts w:hint="default" w:ascii="Arial" w:hAnsi="Arial" w:eastAsia="宋体" w:cs="Arial"/>
                <w:color w:val="auto"/>
                <w:szCs w:val="24"/>
                <w:highlight w:val="none"/>
              </w:rPr>
            </w:pPr>
            <w:r>
              <w:rPr>
                <w:rFonts w:hint="default" w:ascii="Arial" w:hAnsi="Arial" w:eastAsia="宋体" w:cs="Arial"/>
                <w:color w:val="auto"/>
                <w:highlight w:val="none"/>
              </w:rPr>
              <w:t>65.5</w:t>
            </w:r>
          </w:p>
        </w:tc>
        <w:tc>
          <w:tcPr>
            <w:tcW w:w="808" w:type="dxa"/>
            <w:vAlign w:val="center"/>
          </w:tcPr>
          <w:p>
            <w:pPr>
              <w:pStyle w:val="63"/>
              <w:rPr>
                <w:rFonts w:hint="default" w:ascii="Arial" w:hAnsi="Arial" w:eastAsia="宋体" w:cs="Arial"/>
                <w:color w:val="auto"/>
                <w:szCs w:val="24"/>
                <w:highlight w:val="none"/>
              </w:rPr>
            </w:pPr>
            <w:r>
              <w:rPr>
                <w:rFonts w:hint="default" w:ascii="Arial" w:hAnsi="Arial" w:eastAsia="宋体" w:cs="Arial"/>
                <w:color w:val="auto"/>
                <w:highlight w:val="none"/>
              </w:rPr>
              <w:t>61.0</w:t>
            </w:r>
          </w:p>
        </w:tc>
        <w:tc>
          <w:tcPr>
            <w:tcW w:w="808" w:type="dxa"/>
            <w:vAlign w:val="center"/>
          </w:tcPr>
          <w:p>
            <w:pPr>
              <w:pStyle w:val="63"/>
              <w:rPr>
                <w:rFonts w:hint="default" w:ascii="Arial" w:hAnsi="Arial" w:eastAsia="宋体" w:cs="Arial"/>
                <w:color w:val="auto"/>
                <w:szCs w:val="24"/>
                <w:highlight w:val="none"/>
              </w:rPr>
            </w:pPr>
            <w:r>
              <w:rPr>
                <w:rFonts w:hint="default" w:ascii="Arial" w:hAnsi="Arial" w:eastAsia="宋体" w:cs="Arial"/>
                <w:color w:val="auto"/>
                <w:highlight w:val="none"/>
              </w:rPr>
              <w:t>59.4</w:t>
            </w:r>
          </w:p>
        </w:tc>
        <w:tc>
          <w:tcPr>
            <w:tcW w:w="808" w:type="dxa"/>
            <w:vAlign w:val="center"/>
          </w:tcPr>
          <w:p>
            <w:pPr>
              <w:pStyle w:val="63"/>
              <w:rPr>
                <w:rFonts w:hint="default" w:ascii="Arial" w:hAnsi="Arial" w:eastAsia="宋体" w:cs="Arial"/>
                <w:color w:val="auto"/>
                <w:szCs w:val="24"/>
                <w:highlight w:val="none"/>
              </w:rPr>
            </w:pPr>
            <w:r>
              <w:rPr>
                <w:rFonts w:hint="default" w:ascii="Arial" w:hAnsi="Arial" w:eastAsia="宋体" w:cs="Arial"/>
                <w:color w:val="auto"/>
                <w:highlight w:val="none"/>
              </w:rPr>
              <w:t>58.1</w:t>
            </w:r>
          </w:p>
        </w:tc>
        <w:tc>
          <w:tcPr>
            <w:tcW w:w="808" w:type="dxa"/>
            <w:vAlign w:val="center"/>
          </w:tcPr>
          <w:p>
            <w:pPr>
              <w:pStyle w:val="63"/>
              <w:rPr>
                <w:rFonts w:hint="default" w:ascii="Arial" w:hAnsi="Arial" w:eastAsia="宋体" w:cs="Arial"/>
                <w:color w:val="auto"/>
                <w:szCs w:val="24"/>
                <w:highlight w:val="none"/>
              </w:rPr>
            </w:pPr>
            <w:r>
              <w:rPr>
                <w:rFonts w:hint="default" w:ascii="Arial" w:hAnsi="Arial" w:eastAsia="宋体" w:cs="Arial"/>
                <w:color w:val="auto"/>
                <w:highlight w:val="none"/>
              </w:rPr>
              <w:t>56.9</w:t>
            </w:r>
          </w:p>
        </w:tc>
        <w:tc>
          <w:tcPr>
            <w:tcW w:w="951" w:type="dxa"/>
            <w:vAlign w:val="center"/>
          </w:tcPr>
          <w:p>
            <w:pPr>
              <w:pStyle w:val="63"/>
              <w:rPr>
                <w:rFonts w:hint="default" w:ascii="Arial" w:hAnsi="Arial" w:eastAsia="宋体" w:cs="Arial"/>
                <w:color w:val="auto"/>
                <w:szCs w:val="24"/>
                <w:highlight w:val="none"/>
              </w:rPr>
            </w:pPr>
            <w:r>
              <w:rPr>
                <w:rFonts w:hint="default" w:ascii="Arial" w:hAnsi="Arial" w:eastAsia="宋体" w:cs="Arial"/>
                <w:color w:val="auto"/>
                <w:highlight w:val="none"/>
              </w:rPr>
              <w:t>55</w:t>
            </w:r>
          </w:p>
        </w:tc>
        <w:tc>
          <w:tcPr>
            <w:tcW w:w="951" w:type="dxa"/>
            <w:vAlign w:val="center"/>
          </w:tcPr>
          <w:p>
            <w:pPr>
              <w:pStyle w:val="63"/>
              <w:rPr>
                <w:rFonts w:hint="default" w:ascii="Arial" w:hAnsi="Arial" w:eastAsia="宋体" w:cs="Arial"/>
                <w:color w:val="auto"/>
                <w:szCs w:val="24"/>
                <w:highlight w:val="none"/>
              </w:rPr>
            </w:pPr>
            <w:r>
              <w:rPr>
                <w:rFonts w:hint="default" w:ascii="Arial" w:hAnsi="Arial" w:eastAsia="宋体" w:cs="Arial"/>
                <w:color w:val="auto"/>
                <w:highlight w:val="none"/>
              </w:rPr>
              <w:t>53.4</w:t>
            </w:r>
          </w:p>
        </w:tc>
        <w:tc>
          <w:tcPr>
            <w:tcW w:w="951" w:type="dxa"/>
            <w:vAlign w:val="center"/>
          </w:tcPr>
          <w:p>
            <w:pPr>
              <w:pStyle w:val="63"/>
              <w:rPr>
                <w:rFonts w:hint="default" w:ascii="Arial" w:hAnsi="Arial" w:eastAsia="宋体" w:cs="Arial"/>
                <w:color w:val="auto"/>
                <w:szCs w:val="24"/>
                <w:highlight w:val="none"/>
              </w:rPr>
            </w:pPr>
            <w:r>
              <w:rPr>
                <w:rFonts w:hint="default" w:ascii="Arial" w:hAnsi="Arial" w:eastAsia="宋体" w:cs="Arial"/>
                <w:color w:val="auto"/>
                <w:highlight w:val="none"/>
              </w:rPr>
              <w:t>52.1</w:t>
            </w:r>
          </w:p>
        </w:tc>
        <w:tc>
          <w:tcPr>
            <w:tcW w:w="951" w:type="dxa"/>
            <w:vAlign w:val="center"/>
          </w:tcPr>
          <w:p>
            <w:pPr>
              <w:pStyle w:val="63"/>
              <w:rPr>
                <w:rFonts w:hint="default" w:ascii="Arial" w:hAnsi="Arial" w:eastAsia="宋体" w:cs="Arial"/>
                <w:color w:val="auto"/>
                <w:szCs w:val="24"/>
                <w:highlight w:val="none"/>
              </w:rPr>
            </w:pPr>
            <w:r>
              <w:rPr>
                <w:rFonts w:hint="default" w:ascii="Arial" w:hAnsi="Arial" w:eastAsia="宋体" w:cs="Arial"/>
                <w:color w:val="auto"/>
                <w:highlight w:val="none"/>
              </w:rPr>
              <w:t>49.9</w:t>
            </w:r>
          </w:p>
        </w:tc>
      </w:tr>
    </w:tbl>
    <w:p>
      <w:pPr>
        <w:pageBreakBefore w:val="0"/>
        <w:widowControl w:val="0"/>
        <w:kinsoku/>
        <w:wordWrap/>
        <w:overflowPunct/>
        <w:autoSpaceDE w:val="0"/>
        <w:bidi w:val="0"/>
        <w:adjustRightInd/>
        <w:snapToGrid/>
        <w:spacing w:line="480" w:lineRule="exact"/>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由表可见，在距源50m以外即低于昼间65dB(A)的标准限值，距源120m即可低于夜间55dB(A)的标准限值。本工程建设施工过程中噪声的影响主要在厂界内，对外环境造成影响比较小，属于可以接受水平。</w:t>
      </w:r>
    </w:p>
    <w:p>
      <w:pPr>
        <w:pStyle w:val="6"/>
        <w:pageBreakBefore w:val="0"/>
        <w:widowControl w:val="0"/>
        <w:kinsoku/>
        <w:wordWrap/>
        <w:overflowPunct/>
        <w:autoSpaceDE w:val="0"/>
        <w:bidi w:val="0"/>
        <w:adjustRightInd/>
        <w:snapToGrid/>
        <w:spacing w:line="480" w:lineRule="exact"/>
        <w:textAlignment w:val="auto"/>
        <w:rPr>
          <w:rFonts w:hint="default" w:ascii="Arial" w:hAnsi="Arial" w:eastAsia="宋体" w:cs="Arial"/>
          <w:color w:val="auto"/>
          <w:highlight w:val="none"/>
        </w:rPr>
      </w:pPr>
      <w:bookmarkStart w:id="349" w:name="_Toc15714"/>
      <w:r>
        <w:rPr>
          <w:rFonts w:hint="default" w:ascii="Arial" w:hAnsi="Arial" w:eastAsia="宋体" w:cs="Arial"/>
          <w:color w:val="auto"/>
          <w:highlight w:val="none"/>
        </w:rPr>
        <w:t>5.1.4固废环境影响分析</w:t>
      </w:r>
      <w:bookmarkEnd w:id="349"/>
    </w:p>
    <w:p>
      <w:pPr>
        <w:pageBreakBefore w:val="0"/>
        <w:widowControl w:val="0"/>
        <w:kinsoku/>
        <w:wordWrap/>
        <w:overflowPunct/>
        <w:autoSpaceDE w:val="0"/>
        <w:bidi w:val="0"/>
        <w:adjustRightInd/>
        <w:snapToGrid/>
        <w:spacing w:line="480" w:lineRule="exact"/>
        <w:ind w:firstLine="480"/>
        <w:textAlignment w:val="auto"/>
        <w:rPr>
          <w:rFonts w:hint="default" w:ascii="Arial" w:hAnsi="Arial" w:eastAsia="宋体" w:cs="Arial"/>
          <w:color w:val="auto"/>
          <w:spacing w:val="-2"/>
          <w:highlight w:val="none"/>
        </w:rPr>
      </w:pPr>
      <w:r>
        <w:rPr>
          <w:rFonts w:hint="default" w:ascii="Arial" w:hAnsi="Arial" w:eastAsia="宋体" w:cs="Arial"/>
          <w:color w:val="auto"/>
          <w:highlight w:val="none"/>
        </w:rPr>
        <w:t>施工期的固体废物包括开挖弃土、建筑废料以及施工人员生活垃圾。项目开挖弃土部分用于回填，不产生弃土。建筑弃渣尽量回收利用，不可利用的少量建筑垃圾往政府指定的渣场处理；</w:t>
      </w:r>
      <w:r>
        <w:rPr>
          <w:rFonts w:hint="default" w:ascii="Arial" w:hAnsi="Arial" w:eastAsia="宋体" w:cs="Arial"/>
          <w:color w:val="auto"/>
          <w:spacing w:val="-2"/>
          <w:highlight w:val="none"/>
        </w:rPr>
        <w:t>生活垃圾经垃圾桶收集后定期自行运送至垃圾填埋场填埋处置。</w:t>
      </w:r>
    </w:p>
    <w:p>
      <w:pPr>
        <w:pageBreakBefore w:val="0"/>
        <w:widowControl w:val="0"/>
        <w:kinsoku/>
        <w:wordWrap/>
        <w:overflowPunct/>
        <w:autoSpaceDE w:val="0"/>
        <w:bidi w:val="0"/>
        <w:adjustRightInd/>
        <w:snapToGrid/>
        <w:spacing w:line="480" w:lineRule="exact"/>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针对施工期固废，本次评价要求采取如下污染防治措施：</w:t>
      </w:r>
    </w:p>
    <w:p>
      <w:pPr>
        <w:pageBreakBefore w:val="0"/>
        <w:widowControl w:val="0"/>
        <w:kinsoku/>
        <w:wordWrap/>
        <w:overflowPunct/>
        <w:autoSpaceDE w:val="0"/>
        <w:bidi w:val="0"/>
        <w:adjustRightInd/>
        <w:snapToGrid/>
        <w:spacing w:line="480" w:lineRule="exact"/>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①根据施工产生的工程垃圾和渣土的量，分类管理，可利用的渣土尽量在场内周转，就地利用，不可利用的及时清运，以防污染周围水体水质和影响周围环境卫生；</w:t>
      </w:r>
    </w:p>
    <w:p>
      <w:pPr>
        <w:pageBreakBefore w:val="0"/>
        <w:widowControl w:val="0"/>
        <w:kinsoku/>
        <w:wordWrap/>
        <w:overflowPunct/>
        <w:autoSpaceDE w:val="0"/>
        <w:bidi w:val="0"/>
        <w:adjustRightInd/>
        <w:snapToGrid/>
        <w:spacing w:line="480" w:lineRule="exact"/>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②车辆运输散体物料和废物时，必须密闭、包扎、覆盖，不得沿途漏撒；运载土方的车辆必须在规定时间内，按指定路段行驶；</w:t>
      </w:r>
    </w:p>
    <w:p>
      <w:pPr>
        <w:pageBreakBefore w:val="0"/>
        <w:widowControl w:val="0"/>
        <w:kinsoku/>
        <w:wordWrap/>
        <w:overflowPunct/>
        <w:autoSpaceDE w:val="0"/>
        <w:bidi w:val="0"/>
        <w:adjustRightInd/>
        <w:snapToGrid/>
        <w:spacing w:line="480" w:lineRule="exact"/>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③生活垃圾与建筑垃圾分开，将生活垃圾收集后，应及时送至垃圾填埋场填埋处理；</w:t>
      </w:r>
    </w:p>
    <w:p>
      <w:pPr>
        <w:pageBreakBefore w:val="0"/>
        <w:widowControl w:val="0"/>
        <w:kinsoku/>
        <w:wordWrap/>
        <w:overflowPunct/>
        <w:autoSpaceDE w:val="0"/>
        <w:bidi w:val="0"/>
        <w:adjustRightInd/>
        <w:snapToGrid/>
        <w:spacing w:line="480" w:lineRule="exact"/>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④在工程竣工以后，施工单位应立即拆除各种临时施工设施，并负责将工地的剩余建筑垃圾、工程渣土处理干净。</w:t>
      </w:r>
    </w:p>
    <w:p>
      <w:pPr>
        <w:pageBreakBefore w:val="0"/>
        <w:widowControl w:val="0"/>
        <w:kinsoku/>
        <w:wordWrap/>
        <w:overflowPunct/>
        <w:autoSpaceDE w:val="0"/>
        <w:bidi w:val="0"/>
        <w:adjustRightInd/>
        <w:snapToGrid/>
        <w:spacing w:line="480" w:lineRule="exact"/>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⑤生活垃圾按照30人估算，生活垃圾按每人每天1kg计，施工期每天生活垃圾发生量约为0.03t，施工期按120天计，整个施工期生活垃圾发生量约为3.6t。施工现场应设垃圾回收箱，将产生的生活垃圾和施工垃圾分别收集，并委托环卫部门定期清运。</w:t>
      </w:r>
    </w:p>
    <w:p>
      <w:pPr>
        <w:pageBreakBefore w:val="0"/>
        <w:widowControl w:val="0"/>
        <w:kinsoku/>
        <w:wordWrap/>
        <w:overflowPunct/>
        <w:autoSpaceDE w:val="0"/>
        <w:bidi w:val="0"/>
        <w:adjustRightInd/>
        <w:snapToGrid/>
        <w:spacing w:line="480" w:lineRule="exact"/>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采取以上措施后，施工期固废均能得到合理处置，对周围环境的影响较小。</w:t>
      </w:r>
    </w:p>
    <w:p>
      <w:pPr>
        <w:pStyle w:val="6"/>
        <w:pageBreakBefore w:val="0"/>
        <w:widowControl w:val="0"/>
        <w:kinsoku/>
        <w:wordWrap/>
        <w:overflowPunct/>
        <w:autoSpaceDE w:val="0"/>
        <w:bidi w:val="0"/>
        <w:adjustRightInd/>
        <w:snapToGrid/>
        <w:spacing w:line="480" w:lineRule="exact"/>
        <w:textAlignment w:val="auto"/>
        <w:rPr>
          <w:rFonts w:hint="default" w:ascii="Arial" w:hAnsi="Arial" w:eastAsia="宋体" w:cs="Arial"/>
          <w:color w:val="auto"/>
          <w:highlight w:val="none"/>
        </w:rPr>
      </w:pPr>
      <w:bookmarkStart w:id="350" w:name="_Toc414"/>
      <w:r>
        <w:rPr>
          <w:rFonts w:hint="default" w:ascii="Arial" w:hAnsi="Arial" w:eastAsia="宋体" w:cs="Arial"/>
          <w:color w:val="auto"/>
          <w:highlight w:val="none"/>
        </w:rPr>
        <w:t>5.1.5施工期生态影响分析</w:t>
      </w:r>
      <w:bookmarkEnd w:id="350"/>
    </w:p>
    <w:p>
      <w:pPr>
        <w:pageBreakBefore w:val="0"/>
        <w:widowControl w:val="0"/>
        <w:kinsoku/>
        <w:wordWrap/>
        <w:overflowPunct/>
        <w:autoSpaceDE w:val="0"/>
        <w:bidi w:val="0"/>
        <w:adjustRightInd/>
        <w:snapToGrid/>
        <w:spacing w:line="480" w:lineRule="exact"/>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施工期生态影响主要是占地影响，植被破坏影响，现场水土流失影响，景观影响。</w:t>
      </w:r>
    </w:p>
    <w:p>
      <w:pPr>
        <w:pageBreakBefore w:val="0"/>
        <w:widowControl w:val="0"/>
        <w:kinsoku/>
        <w:wordWrap/>
        <w:overflowPunct/>
        <w:autoSpaceDE w:val="0"/>
        <w:bidi w:val="0"/>
        <w:adjustRightInd/>
        <w:snapToGrid/>
        <w:spacing w:line="480" w:lineRule="exact"/>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该区域植被稀疏，群落结构简单，生态环境景观以自然生态为主。项目所在植被以</w:t>
      </w:r>
      <w:r>
        <w:rPr>
          <w:rFonts w:hint="default" w:ascii="Arial" w:hAnsi="Arial" w:eastAsia="宋体" w:cs="Arial"/>
          <w:color w:val="auto"/>
          <w:highlight w:val="none"/>
          <w:lang w:eastAsia="zh-CN"/>
        </w:rPr>
        <w:t>天然牧草地</w:t>
      </w:r>
      <w:r>
        <w:rPr>
          <w:rFonts w:hint="default" w:ascii="Arial" w:hAnsi="Arial" w:eastAsia="宋体" w:cs="Arial"/>
          <w:color w:val="auto"/>
          <w:highlight w:val="none"/>
        </w:rPr>
        <w:t>为主，主要植物有沙蒿、沙柳等，均为乡间土种，无国家保护的珍稀濒危植物，动物有少量哺乳动物主要有黄鼠、野兔等；爬行动物主要为麻蜥、壁虎等；鸟类主要有喜鹊、啄木鸟、麻雀等，还有种类和数量众多的昆虫。</w:t>
      </w:r>
    </w:p>
    <w:p>
      <w:pPr>
        <w:pStyle w:val="7"/>
        <w:pageBreakBefore w:val="0"/>
        <w:widowControl w:val="0"/>
        <w:kinsoku/>
        <w:wordWrap/>
        <w:overflowPunct/>
        <w:autoSpaceDE w:val="0"/>
        <w:bidi w:val="0"/>
        <w:adjustRightInd/>
        <w:snapToGrid/>
        <w:spacing w:line="480" w:lineRule="exact"/>
        <w:textAlignment w:val="auto"/>
        <w:rPr>
          <w:rFonts w:hint="default" w:ascii="Arial" w:hAnsi="Arial" w:eastAsia="宋体" w:cs="Arial"/>
          <w:color w:val="auto"/>
          <w:highlight w:val="none"/>
        </w:rPr>
      </w:pPr>
      <w:r>
        <w:rPr>
          <w:rFonts w:hint="default" w:ascii="Arial" w:hAnsi="Arial" w:eastAsia="宋体" w:cs="Arial"/>
          <w:color w:val="auto"/>
          <w:highlight w:val="none"/>
        </w:rPr>
        <w:t>5.1.5.1占地影响</w:t>
      </w:r>
    </w:p>
    <w:p>
      <w:pPr>
        <w:pageBreakBefore w:val="0"/>
        <w:widowControl w:val="0"/>
        <w:kinsoku/>
        <w:wordWrap/>
        <w:overflowPunct/>
        <w:autoSpaceDE w:val="0"/>
        <w:bidi w:val="0"/>
        <w:adjustRightInd/>
        <w:snapToGrid/>
        <w:spacing w:line="480" w:lineRule="exact"/>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项目建设用地面积</w:t>
      </w:r>
      <w:r>
        <w:rPr>
          <w:rFonts w:hint="default" w:ascii="Arial" w:hAnsi="Arial" w:eastAsia="宋体" w:cs="Arial"/>
          <w:color w:val="auto"/>
          <w:highlight w:val="none"/>
          <w:lang w:val="en-GB" w:eastAsia="zh-CN"/>
        </w:rPr>
        <w:t>21.62</w:t>
      </w:r>
      <w:r>
        <w:rPr>
          <w:rFonts w:hint="default" w:ascii="Arial" w:hAnsi="Arial" w:eastAsia="宋体" w:cs="Arial"/>
          <w:color w:val="auto"/>
          <w:highlight w:val="none"/>
          <w:lang w:val="en-GB"/>
        </w:rPr>
        <w:t>hm</w:t>
      </w:r>
      <w:r>
        <w:rPr>
          <w:rFonts w:hint="default" w:ascii="Arial" w:hAnsi="Arial" w:eastAsia="宋体" w:cs="Arial"/>
          <w:color w:val="auto"/>
          <w:highlight w:val="none"/>
          <w:vertAlign w:val="superscript"/>
          <w:lang w:val="en-GB"/>
        </w:rPr>
        <w:t>2</w:t>
      </w:r>
      <w:r>
        <w:rPr>
          <w:rFonts w:hint="default" w:ascii="Arial" w:hAnsi="Arial" w:eastAsia="宋体" w:cs="Arial"/>
          <w:color w:val="auto"/>
          <w:highlight w:val="none"/>
        </w:rPr>
        <w:t>，占用土地类型为</w:t>
      </w:r>
      <w:r>
        <w:rPr>
          <w:rFonts w:hint="default" w:ascii="Arial" w:hAnsi="Arial" w:eastAsia="宋体" w:cs="Arial"/>
          <w:color w:val="auto"/>
          <w:highlight w:val="none"/>
          <w:lang w:eastAsia="zh-CN"/>
        </w:rPr>
        <w:t>天然牧草地</w:t>
      </w:r>
      <w:r>
        <w:rPr>
          <w:rFonts w:hint="default" w:ascii="Arial" w:hAnsi="Arial" w:eastAsia="宋体" w:cs="Arial"/>
          <w:color w:val="auto"/>
          <w:highlight w:val="none"/>
        </w:rPr>
        <w:t>等，项目建设将会改变土地的利用性质。</w:t>
      </w:r>
    </w:p>
    <w:p>
      <w:pPr>
        <w:pageBreakBefore w:val="0"/>
        <w:widowControl w:val="0"/>
        <w:kinsoku/>
        <w:wordWrap/>
        <w:overflowPunct/>
        <w:autoSpaceDE w:val="0"/>
        <w:bidi w:val="0"/>
        <w:adjustRightInd/>
        <w:snapToGrid/>
        <w:spacing w:line="480" w:lineRule="exact"/>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施工过程中各种机具车辆碾压和施工人员的践踏及土石的堆放，也会对该区域植被造成较为严重的破坏和影响。管沟、道路两侧5m范围外由于车辆和人员活动较少，对植被的破坏程度较轻。</w:t>
      </w:r>
    </w:p>
    <w:p>
      <w:pPr>
        <w:pageBreakBefore w:val="0"/>
        <w:widowControl w:val="0"/>
        <w:kinsoku/>
        <w:wordWrap/>
        <w:overflowPunct/>
        <w:autoSpaceDE w:val="0"/>
        <w:bidi w:val="0"/>
        <w:adjustRightInd/>
        <w:snapToGrid/>
        <w:spacing w:line="480" w:lineRule="exact"/>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保护生态环境降低项目建设对场地产生产干扰影响，本次评价要求建设单位做到如下几点：</w:t>
      </w:r>
    </w:p>
    <w:p>
      <w:pPr>
        <w:pageBreakBefore w:val="0"/>
        <w:widowControl w:val="0"/>
        <w:kinsoku/>
        <w:wordWrap/>
        <w:overflowPunct/>
        <w:autoSpaceDE w:val="0"/>
        <w:bidi w:val="0"/>
        <w:adjustRightInd/>
        <w:snapToGrid/>
        <w:spacing w:line="480" w:lineRule="exact"/>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①避免高填深挖，做到少取土，少弃土，少占地，搞好挖填土方平衡，最大限度的减少临时用地。</w:t>
      </w:r>
    </w:p>
    <w:p>
      <w:pPr>
        <w:pageBreakBefore w:val="0"/>
        <w:widowControl w:val="0"/>
        <w:kinsoku/>
        <w:wordWrap/>
        <w:overflowPunct/>
        <w:autoSpaceDE w:val="0"/>
        <w:bidi w:val="0"/>
        <w:adjustRightInd/>
        <w:snapToGrid/>
        <w:spacing w:line="480" w:lineRule="exact"/>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②在项目建设充分利用地块内原有的地形地貌，依山就势进行规划设计，在尽量少破坏原有生态的基础上营造优美的园区环境。</w:t>
      </w:r>
    </w:p>
    <w:p>
      <w:pPr>
        <w:pStyle w:val="7"/>
        <w:pageBreakBefore w:val="0"/>
        <w:widowControl w:val="0"/>
        <w:kinsoku/>
        <w:wordWrap/>
        <w:overflowPunct/>
        <w:autoSpaceDE w:val="0"/>
        <w:bidi w:val="0"/>
        <w:adjustRightInd/>
        <w:snapToGrid/>
        <w:spacing w:line="480" w:lineRule="exact"/>
        <w:textAlignment w:val="auto"/>
        <w:rPr>
          <w:rFonts w:hint="default" w:ascii="Arial" w:hAnsi="Arial" w:eastAsia="宋体" w:cs="Arial"/>
          <w:color w:val="auto"/>
          <w:highlight w:val="none"/>
        </w:rPr>
      </w:pPr>
      <w:r>
        <w:rPr>
          <w:rFonts w:hint="default" w:ascii="Arial" w:hAnsi="Arial" w:eastAsia="宋体" w:cs="Arial"/>
          <w:color w:val="auto"/>
          <w:highlight w:val="none"/>
        </w:rPr>
        <w:t>5.1.5.2植被破坏影响</w:t>
      </w:r>
    </w:p>
    <w:p>
      <w:pPr>
        <w:pageBreakBefore w:val="0"/>
        <w:widowControl w:val="0"/>
        <w:kinsoku/>
        <w:wordWrap/>
        <w:overflowPunct/>
        <w:autoSpaceDE w:val="0"/>
        <w:bidi w:val="0"/>
        <w:adjustRightInd/>
        <w:snapToGrid/>
        <w:spacing w:line="480" w:lineRule="exact"/>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本工程所在地的植被结构以野生草丛为主，无国家重点保护的野生植物物种及古树名木；施工期对植被的影响主要有占地范围内原有植物的剥离、清理及占压。在施工过程中，土壤开挖区范围内植物的地上部分与根系均被清除，道路施工带两侧的植被由于挖掘土石的堆放、人员的践踏、施工车辆和机具的碾压而受到不同程度的破坏，会造成地上部分破坏甚至死亡。</w:t>
      </w:r>
    </w:p>
    <w:p>
      <w:pPr>
        <w:pageBreakBefore w:val="0"/>
        <w:widowControl w:val="0"/>
        <w:kinsoku/>
        <w:wordWrap/>
        <w:overflowPunct/>
        <w:autoSpaceDE w:val="0"/>
        <w:bidi w:val="0"/>
        <w:adjustRightInd/>
        <w:snapToGrid/>
        <w:spacing w:line="480" w:lineRule="exact"/>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工程填挖方均占压和清除一定数量的地表植物，使填挖区被生土覆盖或出露生土，植物恢复须经过较长时间。此外，石材、水泥的堆放也需占压一定的植物，尤其是水泥的抛撒，可造成附近土壤板结，影响植物生长。</w:t>
      </w:r>
    </w:p>
    <w:p>
      <w:pPr>
        <w:pageBreakBefore w:val="0"/>
        <w:widowControl w:val="0"/>
        <w:kinsoku/>
        <w:wordWrap/>
        <w:overflowPunct/>
        <w:autoSpaceDE w:val="0"/>
        <w:bidi w:val="0"/>
        <w:adjustRightInd/>
        <w:snapToGrid/>
        <w:spacing w:line="480" w:lineRule="exact"/>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由于项目区沿线群落植物种类均为区域常见和广布种，因此工程施工对沿线生物多样性的影响相对较小。</w:t>
      </w:r>
    </w:p>
    <w:p>
      <w:pPr>
        <w:pageBreakBefore w:val="0"/>
        <w:widowControl w:val="0"/>
        <w:kinsoku/>
        <w:wordWrap/>
        <w:overflowPunct/>
        <w:autoSpaceDE w:val="0"/>
        <w:bidi w:val="0"/>
        <w:adjustRightInd/>
        <w:snapToGrid/>
        <w:spacing w:line="480" w:lineRule="exact"/>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项目所在地无自然保护区、风景名胜区等。项目在此建设，会使场地植被覆盖率降低，动物栖息地受到破坏，在被占土地上生长的陆生生物也将受到不可逆影响。由于该区域内受影响的植被中无珍稀濒危种类，受影响的植被为评价区域内常见的植被，因此，本项目工程占地对植被的影响较小。</w:t>
      </w:r>
    </w:p>
    <w:p>
      <w:pPr>
        <w:pStyle w:val="7"/>
        <w:pageBreakBefore w:val="0"/>
        <w:widowControl w:val="0"/>
        <w:kinsoku/>
        <w:wordWrap/>
        <w:overflowPunct/>
        <w:autoSpaceDE w:val="0"/>
        <w:bidi w:val="0"/>
        <w:adjustRightInd/>
        <w:snapToGrid/>
        <w:spacing w:line="480" w:lineRule="exact"/>
        <w:textAlignment w:val="auto"/>
        <w:rPr>
          <w:rFonts w:hint="default" w:ascii="Arial" w:hAnsi="Arial" w:eastAsia="宋体" w:cs="Arial"/>
          <w:color w:val="auto"/>
          <w:highlight w:val="none"/>
        </w:rPr>
      </w:pPr>
      <w:r>
        <w:rPr>
          <w:rFonts w:hint="default" w:ascii="Arial" w:hAnsi="Arial" w:eastAsia="宋体" w:cs="Arial"/>
          <w:color w:val="auto"/>
          <w:highlight w:val="none"/>
        </w:rPr>
        <w:t>5.1.5.3水土流失影响分析</w:t>
      </w:r>
    </w:p>
    <w:p>
      <w:pPr>
        <w:pageBreakBefore w:val="0"/>
        <w:widowControl w:val="0"/>
        <w:kinsoku/>
        <w:wordWrap/>
        <w:overflowPunct/>
        <w:autoSpaceDE w:val="0"/>
        <w:bidi w:val="0"/>
        <w:adjustRightInd/>
        <w:snapToGrid/>
        <w:spacing w:line="480" w:lineRule="exact"/>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本项目施工期土方包括</w:t>
      </w:r>
      <w:r>
        <w:rPr>
          <w:rFonts w:hint="default" w:ascii="Arial" w:hAnsi="Arial" w:eastAsia="宋体" w:cs="Arial"/>
          <w:color w:val="auto"/>
          <w:highlight w:val="none"/>
          <w:lang w:eastAsia="zh-CN"/>
        </w:rPr>
        <w:t>主题</w:t>
      </w:r>
      <w:r>
        <w:rPr>
          <w:rFonts w:hint="default" w:ascii="Arial" w:hAnsi="Arial" w:eastAsia="宋体" w:cs="Arial"/>
          <w:color w:val="auto"/>
          <w:highlight w:val="none"/>
        </w:rPr>
        <w:t>工程表土利离及基础开挖等产生的土方，以及表土剥离时产生的土方，本项目施工期无弃土，不设置弃土场。</w:t>
      </w:r>
    </w:p>
    <w:p>
      <w:pPr>
        <w:pageBreakBefore w:val="0"/>
        <w:widowControl w:val="0"/>
        <w:kinsoku/>
        <w:wordWrap/>
        <w:overflowPunct/>
        <w:autoSpaceDE w:val="0"/>
        <w:bidi w:val="0"/>
        <w:adjustRightInd/>
        <w:snapToGrid/>
        <w:spacing w:line="480" w:lineRule="exact"/>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项目建设土石方工程量较小，施工过程中通过设临时排洪沟等必要的防护措施，可以有效减少水土流失量，并且随着施工后期各类建筑物的竣工，地面硬化，植被的恢复，各类建筑物的竣工，裸露地面将大大减少，水土流失量较建设前将大为减轻。因此，只要在施工过程中切实落实绿化等环保措施，该项目水土流失的影响很轻。</w:t>
      </w:r>
    </w:p>
    <w:p>
      <w:pPr>
        <w:pStyle w:val="7"/>
        <w:pageBreakBefore w:val="0"/>
        <w:widowControl w:val="0"/>
        <w:kinsoku/>
        <w:wordWrap/>
        <w:overflowPunct/>
        <w:autoSpaceDE w:val="0"/>
        <w:bidi w:val="0"/>
        <w:adjustRightInd/>
        <w:snapToGrid/>
        <w:spacing w:line="480" w:lineRule="exact"/>
        <w:textAlignment w:val="auto"/>
        <w:rPr>
          <w:rFonts w:hint="default" w:ascii="Arial" w:hAnsi="Arial" w:eastAsia="宋体" w:cs="Arial"/>
          <w:color w:val="auto"/>
          <w:highlight w:val="none"/>
        </w:rPr>
      </w:pPr>
      <w:r>
        <w:rPr>
          <w:rFonts w:hint="default" w:ascii="Arial" w:hAnsi="Arial" w:eastAsia="宋体" w:cs="Arial"/>
          <w:color w:val="auto"/>
          <w:highlight w:val="none"/>
        </w:rPr>
        <w:t>5.1.5.4对陆生动物的影响</w:t>
      </w:r>
    </w:p>
    <w:p>
      <w:pPr>
        <w:pageBreakBefore w:val="0"/>
        <w:widowControl w:val="0"/>
        <w:kinsoku/>
        <w:wordWrap/>
        <w:overflowPunct/>
        <w:autoSpaceDE w:val="0"/>
        <w:bidi w:val="0"/>
        <w:adjustRightInd/>
        <w:snapToGrid/>
        <w:spacing w:line="480" w:lineRule="exact"/>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施工期间，对两栖动物和爬行动物的活动有一定的影响，但它们会迁移到非施工区，但对其生存不会造成威胁。施工期间，临时征地区域的鸟类和兽类将被迫离开原来的领域，邻近领域的鸟类和兽类，由于受到施工噪声的惊吓，也将远离原来的栖息地，当临时占地的植被恢复后，它们仍可回到原来的领域。</w:t>
      </w:r>
    </w:p>
    <w:p>
      <w:pPr>
        <w:pageBreakBefore w:val="0"/>
        <w:widowControl w:val="0"/>
        <w:kinsoku/>
        <w:wordWrap/>
        <w:overflowPunct/>
        <w:autoSpaceDE w:val="0"/>
        <w:bidi w:val="0"/>
        <w:adjustRightInd/>
        <w:snapToGrid/>
        <w:spacing w:line="480" w:lineRule="exact"/>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本项目施工范围大多选择在永久占地范围内，在周围区域是同一个植被类型，因此，在永久占地范围外上有许多动物的替代生境，动物比较容易找到新的栖息场所。由于项目施工范围小，工程建设对野生动物影响的范围不大且影响时间较短，因此对动物不会造成大的影响。同时可随植被的恢复而缓解、消失。拟建管线经过的区域，当植被恢复后，它们仍可回到原来的领域。</w:t>
      </w:r>
    </w:p>
    <w:p>
      <w:pPr>
        <w:pStyle w:val="7"/>
        <w:pageBreakBefore w:val="0"/>
        <w:widowControl w:val="0"/>
        <w:kinsoku/>
        <w:wordWrap/>
        <w:overflowPunct/>
        <w:autoSpaceDE w:val="0"/>
        <w:bidi w:val="0"/>
        <w:adjustRightInd/>
        <w:snapToGrid/>
        <w:spacing w:line="480" w:lineRule="exact"/>
        <w:textAlignment w:val="auto"/>
        <w:rPr>
          <w:rFonts w:hint="default" w:ascii="Arial" w:hAnsi="Arial" w:eastAsia="宋体" w:cs="Arial"/>
          <w:color w:val="auto"/>
          <w:highlight w:val="none"/>
        </w:rPr>
      </w:pPr>
      <w:r>
        <w:rPr>
          <w:rFonts w:hint="default" w:ascii="Arial" w:hAnsi="Arial" w:eastAsia="宋体" w:cs="Arial"/>
          <w:color w:val="auto"/>
          <w:highlight w:val="none"/>
        </w:rPr>
        <w:t>5.1.5.5景观影响</w:t>
      </w:r>
    </w:p>
    <w:p>
      <w:pPr>
        <w:keepNext w:val="0"/>
        <w:keepLines w:val="0"/>
        <w:pageBreakBefore w:val="0"/>
        <w:widowControl w:val="0"/>
        <w:kinsoku/>
        <w:wordWrap/>
        <w:overflowPunct/>
        <w:topLinePunct/>
        <w:autoSpaceDE w:val="0"/>
        <w:autoSpaceDN/>
        <w:bidi w:val="0"/>
        <w:adjustRightInd/>
        <w:snapToGrid/>
        <w:spacing w:line="480" w:lineRule="exact"/>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施工过程中将有会存在裸露地表，造成原有自然地形破坏、杂乱，造成裸露山坡和凌乱的土堆；施工中尚未竣工部分和工地内运转的建筑机械、无序堆放的建筑材料和建筑垃圾，也将造成杂乱现象，有些还会持续到运营初期；项目在施工期内将增加周围地区的扬尘量，给人空气污浊的感觉，也会严重影响美感。环评要求建设单位尽量规范建筑施工材料的堆放，避开植被密集区，保护好现有环境。</w:t>
      </w:r>
    </w:p>
    <w:p>
      <w:pPr>
        <w:keepNext w:val="0"/>
        <w:keepLines w:val="0"/>
        <w:pageBreakBefore w:val="0"/>
        <w:widowControl w:val="0"/>
        <w:kinsoku/>
        <w:wordWrap/>
        <w:overflowPunct/>
        <w:topLinePunct/>
        <w:autoSpaceDE w:val="0"/>
        <w:autoSpaceDN/>
        <w:bidi w:val="0"/>
        <w:adjustRightInd/>
        <w:snapToGrid/>
        <w:spacing w:line="480" w:lineRule="exact"/>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施工结束后，永久占用土地的植被破坏是不可逆的，使其原自然生态系统的所有功能完全损失，但本项目所在地为低覆盖度的草本植物，因此在施工期导致的生物量损失较少，同时在本项目建成后场区内还要进行绿化，可使生物量有所补偿。而周边受施工影响的区域的植被在自然状态下，2～3年可以恢复，因此本项目在施工期对生态环境的影响是不大的。另外，从植物种类来看，施工破坏和影响的植物中没有国家重点保护珍稀植物，都是广布种和常见种，且分布也均匀，因此，工程施工不会引起某一植物种的消失。</w:t>
      </w:r>
    </w:p>
    <w:p>
      <w:pPr>
        <w:keepNext w:val="0"/>
        <w:keepLines w:val="0"/>
        <w:pageBreakBefore w:val="0"/>
        <w:widowControl w:val="0"/>
        <w:kinsoku/>
        <w:wordWrap/>
        <w:overflowPunct/>
        <w:topLinePunct/>
        <w:autoSpaceDE w:val="0"/>
        <w:autoSpaceDN/>
        <w:bidi w:val="0"/>
        <w:adjustRightInd/>
        <w:snapToGrid/>
        <w:spacing w:line="480" w:lineRule="exact"/>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总体而言，项目建设对其所在的区域生物多样性的影响甚微，本项目对生态环境影响是可以接受的。</w:t>
      </w:r>
    </w:p>
    <w:p>
      <w:pPr>
        <w:pStyle w:val="5"/>
        <w:pageBreakBefore w:val="0"/>
        <w:widowControl w:val="0"/>
        <w:kinsoku/>
        <w:wordWrap/>
        <w:overflowPunct/>
        <w:autoSpaceDE w:val="0"/>
        <w:bidi w:val="0"/>
        <w:adjustRightInd/>
        <w:snapToGrid/>
        <w:spacing w:line="480" w:lineRule="exact"/>
        <w:textAlignment w:val="auto"/>
        <w:rPr>
          <w:rFonts w:hint="default" w:ascii="Arial" w:hAnsi="Arial" w:eastAsia="宋体" w:cs="Arial"/>
          <w:color w:val="auto"/>
          <w:highlight w:val="none"/>
        </w:rPr>
      </w:pPr>
      <w:bookmarkStart w:id="351" w:name="_Toc15140"/>
      <w:r>
        <w:rPr>
          <w:rFonts w:hint="default" w:ascii="Arial" w:hAnsi="Arial" w:eastAsia="宋体" w:cs="Arial"/>
          <w:color w:val="auto"/>
          <w:highlight w:val="none"/>
        </w:rPr>
        <w:t>5.2运营期大气环境影响分析</w:t>
      </w:r>
      <w:bookmarkEnd w:id="351"/>
    </w:p>
    <w:p>
      <w:pPr>
        <w:pStyle w:val="6"/>
        <w:pageBreakBefore w:val="0"/>
        <w:widowControl w:val="0"/>
        <w:kinsoku/>
        <w:wordWrap/>
        <w:overflowPunct/>
        <w:autoSpaceDE w:val="0"/>
        <w:bidi w:val="0"/>
        <w:adjustRightInd/>
        <w:snapToGrid/>
        <w:spacing w:line="480" w:lineRule="exact"/>
        <w:textAlignment w:val="auto"/>
        <w:rPr>
          <w:rFonts w:hint="default" w:ascii="Arial" w:hAnsi="Arial" w:eastAsia="宋体" w:cs="Arial"/>
          <w:color w:val="auto"/>
          <w:highlight w:val="none"/>
        </w:rPr>
      </w:pPr>
      <w:bookmarkStart w:id="352" w:name="_Toc46421131"/>
      <w:bookmarkStart w:id="353" w:name="_Toc11539"/>
      <w:r>
        <w:rPr>
          <w:rFonts w:hint="default" w:ascii="Arial" w:hAnsi="Arial" w:eastAsia="宋体" w:cs="Arial"/>
          <w:color w:val="auto"/>
          <w:highlight w:val="none"/>
        </w:rPr>
        <w:t>5.2.1区域气象资料</w:t>
      </w:r>
      <w:bookmarkEnd w:id="352"/>
      <w:bookmarkEnd w:id="353"/>
    </w:p>
    <w:p>
      <w:pPr>
        <w:pStyle w:val="7"/>
        <w:pageBreakBefore w:val="0"/>
        <w:widowControl w:val="0"/>
        <w:kinsoku/>
        <w:wordWrap/>
        <w:overflowPunct/>
        <w:autoSpaceDE w:val="0"/>
        <w:bidi w:val="0"/>
        <w:adjustRightInd/>
        <w:snapToGrid/>
        <w:spacing w:line="480" w:lineRule="exact"/>
        <w:textAlignment w:val="auto"/>
        <w:rPr>
          <w:rFonts w:hint="default" w:ascii="Arial" w:hAnsi="Arial" w:eastAsia="宋体" w:cs="Arial"/>
          <w:color w:val="auto"/>
          <w:highlight w:val="none"/>
          <w:lang w:eastAsia="zh-CN"/>
        </w:rPr>
      </w:pPr>
      <w:r>
        <w:rPr>
          <w:rFonts w:hint="default" w:ascii="Arial" w:hAnsi="Arial" w:eastAsia="宋体" w:cs="Arial"/>
          <w:color w:val="auto"/>
          <w:highlight w:val="none"/>
        </w:rPr>
        <w:t>5.</w:t>
      </w:r>
      <w:r>
        <w:rPr>
          <w:rFonts w:hint="default" w:ascii="Arial" w:hAnsi="Arial" w:eastAsia="宋体" w:cs="Arial"/>
          <w:color w:val="auto"/>
          <w:highlight w:val="none"/>
          <w:lang w:val="en-US" w:eastAsia="zh-CN"/>
        </w:rPr>
        <w:t>2.1.1</w:t>
      </w:r>
      <w:r>
        <w:rPr>
          <w:rFonts w:hint="default" w:ascii="Arial" w:hAnsi="Arial" w:eastAsia="宋体" w:cs="Arial"/>
          <w:color w:val="auto"/>
          <w:highlight w:val="none"/>
          <w:lang w:eastAsia="zh-CN"/>
        </w:rPr>
        <w:t>常规地面气象资料分析</w:t>
      </w:r>
    </w:p>
    <w:p>
      <w:pPr>
        <w:keepNext w:val="0"/>
        <w:keepLines w:val="0"/>
        <w:pageBreakBefore w:val="0"/>
        <w:widowControl w:val="0"/>
        <w:tabs>
          <w:tab w:val="left" w:pos="1482"/>
        </w:tabs>
        <w:kinsoku/>
        <w:wordWrap/>
        <w:overflowPunct/>
        <w:topLinePunct/>
        <w:autoSpaceDE w:val="0"/>
        <w:autoSpaceDN w:val="0"/>
        <w:bidi w:val="0"/>
        <w:adjustRightInd/>
        <w:snapToGrid/>
        <w:spacing w:line="480" w:lineRule="exact"/>
        <w:jc w:val="left"/>
        <w:textAlignment w:val="auto"/>
        <w:rPr>
          <w:rFonts w:hint="default" w:ascii="Arial" w:hAnsi="Arial" w:eastAsia="宋体" w:cs="Arial"/>
          <w:color w:val="auto"/>
          <w:kern w:val="0"/>
          <w:sz w:val="24"/>
          <w:szCs w:val="24"/>
          <w:highlight w:val="none"/>
          <w:lang w:val="zh-CN" w:bidi="zh-CN"/>
        </w:rPr>
      </w:pPr>
      <w:r>
        <w:rPr>
          <w:rFonts w:hint="default" w:ascii="Arial" w:hAnsi="Arial" w:eastAsia="宋体" w:cs="Arial"/>
          <w:color w:val="auto"/>
          <w:kern w:val="0"/>
          <w:sz w:val="24"/>
          <w:szCs w:val="24"/>
          <w:highlight w:val="none"/>
          <w:lang w:val="zh-CN" w:bidi="zh-CN"/>
        </w:rPr>
        <w:t>（1）资料来源</w:t>
      </w:r>
    </w:p>
    <w:p>
      <w:pPr>
        <w:keepNext w:val="0"/>
        <w:keepLines w:val="0"/>
        <w:pageBreakBefore w:val="0"/>
        <w:widowControl w:val="0"/>
        <w:kinsoku/>
        <w:wordWrap/>
        <w:overflowPunct/>
        <w:topLinePunct w:val="0"/>
        <w:autoSpaceDE w:val="0"/>
        <w:bidi w:val="0"/>
        <w:adjustRightInd/>
        <w:snapToGrid/>
        <w:spacing w:line="480" w:lineRule="exact"/>
        <w:ind w:left="0" w:firstLine="480" w:firstLineChars="200"/>
        <w:textAlignment w:val="auto"/>
        <w:rPr>
          <w:rFonts w:hint="default" w:ascii="Arial" w:hAnsi="Arial" w:eastAsia="宋体" w:cs="Arial"/>
          <w:color w:val="auto"/>
          <w:kern w:val="0"/>
          <w:sz w:val="24"/>
          <w:szCs w:val="24"/>
          <w:lang w:eastAsia="zh-CN"/>
        </w:rPr>
      </w:pPr>
      <w:r>
        <w:rPr>
          <w:rFonts w:hint="default" w:ascii="Arial" w:hAnsi="Arial" w:eastAsia="宋体" w:cs="Arial"/>
          <w:color w:val="auto"/>
          <w:kern w:val="0"/>
          <w:sz w:val="24"/>
          <w:szCs w:val="24"/>
        </w:rPr>
        <w:t>本项目所在地面气象历史资料来源于五原县气象站二十年（1999～2018年）的地面常规气象资料。五原县气象站地理坐标为北纬 108.16°，东经 41.06°，观测场海拔高度1023.7m。该地区属于中温带大陆性气候区。其气候特征主要表现为冬季漫长寒冷、春季干旱多风、夏季短促温凉、秋季气温剧降。具有日照充足，降水量少，干燥多风的特点</w:t>
      </w:r>
      <w:r>
        <w:rPr>
          <w:rFonts w:hint="default" w:ascii="Arial" w:hAnsi="Arial" w:eastAsia="宋体" w:cs="Arial"/>
          <w:color w:val="auto"/>
          <w:kern w:val="0"/>
          <w:sz w:val="24"/>
          <w:szCs w:val="24"/>
          <w:lang w:eastAsia="zh-CN"/>
        </w:rPr>
        <w:t>。</w:t>
      </w:r>
    </w:p>
    <w:p>
      <w:pPr>
        <w:keepNext w:val="0"/>
        <w:keepLines w:val="0"/>
        <w:pageBreakBefore w:val="0"/>
        <w:widowControl w:val="0"/>
        <w:kinsoku/>
        <w:wordWrap/>
        <w:overflowPunct/>
        <w:topLinePunct w:val="0"/>
        <w:autoSpaceDE w:val="0"/>
        <w:bidi w:val="0"/>
        <w:adjustRightInd/>
        <w:snapToGrid/>
        <w:spacing w:line="480" w:lineRule="exact"/>
        <w:ind w:left="0" w:firstLine="480" w:firstLineChars="200"/>
        <w:textAlignment w:val="auto"/>
        <w:rPr>
          <w:rFonts w:hint="default" w:ascii="Arial" w:hAnsi="Arial" w:eastAsia="宋体" w:cs="Arial"/>
          <w:color w:val="auto"/>
          <w:kern w:val="0"/>
          <w:sz w:val="24"/>
          <w:szCs w:val="24"/>
          <w:lang w:eastAsia="zh-CN"/>
        </w:rPr>
      </w:pPr>
      <w:r>
        <w:rPr>
          <w:rFonts w:hint="default" w:ascii="Arial" w:hAnsi="Arial" w:eastAsia="宋体" w:cs="Arial"/>
          <w:color w:val="auto"/>
          <w:kern w:val="0"/>
          <w:sz w:val="24"/>
          <w:szCs w:val="24"/>
          <w:lang w:eastAsia="zh-CN"/>
        </w:rPr>
        <w:t>（</w:t>
      </w:r>
      <w:r>
        <w:rPr>
          <w:rFonts w:hint="default" w:ascii="Arial" w:hAnsi="Arial" w:eastAsia="宋体" w:cs="Arial"/>
          <w:color w:val="auto"/>
          <w:kern w:val="0"/>
          <w:sz w:val="24"/>
          <w:szCs w:val="24"/>
          <w:lang w:val="en-US" w:eastAsia="zh-CN"/>
        </w:rPr>
        <w:t>2</w:t>
      </w:r>
      <w:r>
        <w:rPr>
          <w:rFonts w:hint="default" w:ascii="Arial" w:hAnsi="Arial" w:eastAsia="宋体" w:cs="Arial"/>
          <w:color w:val="auto"/>
          <w:kern w:val="0"/>
          <w:sz w:val="24"/>
          <w:szCs w:val="24"/>
          <w:lang w:eastAsia="zh-CN"/>
        </w:rPr>
        <w:t>）气候特征</w:t>
      </w:r>
    </w:p>
    <w:p>
      <w:pPr>
        <w:keepNext w:val="0"/>
        <w:keepLines w:val="0"/>
        <w:pageBreakBefore w:val="0"/>
        <w:widowControl w:val="0"/>
        <w:kinsoku/>
        <w:wordWrap/>
        <w:overflowPunct/>
        <w:topLinePunct w:val="0"/>
        <w:autoSpaceDE w:val="0"/>
        <w:bidi w:val="0"/>
        <w:adjustRightInd/>
        <w:snapToGrid/>
        <w:spacing w:line="480" w:lineRule="exact"/>
        <w:ind w:left="0" w:firstLine="480" w:firstLineChars="200"/>
        <w:textAlignment w:val="auto"/>
        <w:rPr>
          <w:rFonts w:hint="default" w:ascii="Arial" w:hAnsi="Arial" w:eastAsia="宋体" w:cs="Arial"/>
          <w:color w:val="auto"/>
          <w:kern w:val="0"/>
          <w:sz w:val="24"/>
          <w:szCs w:val="24"/>
          <w:lang w:eastAsia="zh-CN"/>
        </w:rPr>
      </w:pPr>
      <w:r>
        <w:rPr>
          <w:rFonts w:hint="default" w:ascii="Arial" w:hAnsi="Arial" w:eastAsia="宋体" w:cs="Arial"/>
          <w:color w:val="auto"/>
        </w:rPr>
        <w:t>五原县近20年（1999年-2018年）平均气温为8.2℃，1月份气温最低，平均-10.4℃，极端最低气温为-29℃（2008年1月24日），7月份气温最高，平均24.4℃，极端最高气温38.1℃（1999年7月26日）。日照总时数3047.4小时，无霜期短，为163天。年平均降水量177mm，降水多集中于7～9月，占全年总量的86.3%；蒸发量年均为2093.2mm，气候较为干燥。全年平均风速约为1.9m/s，其中4月份风速最大，平均风速2.6m/s；1月份风速最小，平均风速为1.4m/s。年最大风速为28.5m/s。各气象要素统计见下表。</w:t>
      </w:r>
    </w:p>
    <w:p>
      <w:pPr>
        <w:keepNext w:val="0"/>
        <w:keepLines w:val="0"/>
        <w:pageBreakBefore w:val="0"/>
        <w:widowControl w:val="0"/>
        <w:kinsoku/>
        <w:wordWrap/>
        <w:overflowPunct/>
        <w:topLinePunct/>
        <w:autoSpaceDE w:val="0"/>
        <w:autoSpaceDN/>
        <w:bidi w:val="0"/>
        <w:adjustRightInd/>
        <w:snapToGrid/>
        <w:spacing w:line="480" w:lineRule="exact"/>
        <w:ind w:firstLine="0" w:firstLineChars="0"/>
        <w:jc w:val="center"/>
        <w:textAlignment w:val="auto"/>
        <w:rPr>
          <w:rFonts w:hint="default" w:ascii="Arial" w:hAnsi="Arial" w:eastAsia="宋体" w:cs="Arial"/>
          <w:b/>
          <w:bCs/>
          <w:color w:val="auto"/>
        </w:rPr>
      </w:pPr>
      <w:r>
        <w:rPr>
          <w:rFonts w:hint="default" w:ascii="Arial" w:hAnsi="Arial" w:eastAsia="宋体" w:cs="Arial"/>
          <w:b/>
          <w:bCs/>
          <w:color w:val="auto"/>
        </w:rPr>
        <w:t>表5.2-1    五原县近二十年（1999 年-2018 年）气象要素特征表</w:t>
      </w:r>
    </w:p>
    <w:tbl>
      <w:tblPr>
        <w:tblStyle w:val="39"/>
        <w:tblW w:w="9003"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335"/>
        <w:gridCol w:w="1816"/>
        <w:gridCol w:w="2881"/>
        <w:gridCol w:w="1971"/>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296" w:type="pct"/>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r>
              <w:rPr>
                <w:rFonts w:hint="default" w:ascii="Arial" w:hAnsi="Arial" w:eastAsia="宋体" w:cs="Arial"/>
                <w:color w:val="auto"/>
                <w:sz w:val="21"/>
                <w:szCs w:val="21"/>
              </w:rPr>
              <w:t>项目</w:t>
            </w:r>
          </w:p>
        </w:tc>
        <w:tc>
          <w:tcPr>
            <w:tcW w:w="1008" w:type="pct"/>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r>
              <w:rPr>
                <w:rFonts w:hint="default" w:ascii="Arial" w:hAnsi="Arial" w:eastAsia="宋体" w:cs="Arial"/>
                <w:color w:val="auto"/>
                <w:sz w:val="21"/>
                <w:szCs w:val="21"/>
              </w:rPr>
              <w:t>数值</w:t>
            </w:r>
          </w:p>
        </w:tc>
        <w:tc>
          <w:tcPr>
            <w:tcW w:w="1599" w:type="pct"/>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r>
              <w:rPr>
                <w:rFonts w:hint="default" w:ascii="Arial" w:hAnsi="Arial" w:eastAsia="宋体" w:cs="Arial"/>
                <w:color w:val="auto"/>
                <w:sz w:val="21"/>
                <w:szCs w:val="21"/>
              </w:rPr>
              <w:t>项目</w:t>
            </w:r>
          </w:p>
        </w:tc>
        <w:tc>
          <w:tcPr>
            <w:tcW w:w="1094" w:type="pct"/>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r>
              <w:rPr>
                <w:rFonts w:hint="default" w:ascii="Arial" w:hAnsi="Arial" w:eastAsia="宋体" w:cs="Arial"/>
                <w:color w:val="auto"/>
                <w:sz w:val="21"/>
                <w:szCs w:val="21"/>
              </w:rPr>
              <w:t>数值</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296" w:type="pct"/>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r>
              <w:rPr>
                <w:rFonts w:hint="default" w:ascii="Arial" w:hAnsi="Arial" w:eastAsia="宋体" w:cs="Arial"/>
                <w:color w:val="auto"/>
                <w:sz w:val="21"/>
                <w:szCs w:val="21"/>
              </w:rPr>
              <w:t>年平均气温</w:t>
            </w:r>
          </w:p>
        </w:tc>
        <w:tc>
          <w:tcPr>
            <w:tcW w:w="1008" w:type="pct"/>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r>
              <w:rPr>
                <w:rFonts w:hint="default" w:ascii="Arial" w:hAnsi="Arial" w:eastAsia="宋体" w:cs="Arial"/>
                <w:color w:val="auto"/>
                <w:sz w:val="21"/>
                <w:szCs w:val="21"/>
              </w:rPr>
              <w:t>8.2℃</w:t>
            </w:r>
          </w:p>
        </w:tc>
        <w:tc>
          <w:tcPr>
            <w:tcW w:w="1599" w:type="pct"/>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r>
              <w:rPr>
                <w:rFonts w:hint="default" w:ascii="Arial" w:hAnsi="Arial" w:eastAsia="宋体" w:cs="Arial"/>
                <w:color w:val="auto"/>
                <w:sz w:val="21"/>
                <w:szCs w:val="21"/>
              </w:rPr>
              <w:t>年平均降水量</w:t>
            </w:r>
          </w:p>
        </w:tc>
        <w:tc>
          <w:tcPr>
            <w:tcW w:w="1094" w:type="pct"/>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r>
              <w:rPr>
                <w:rFonts w:hint="default" w:ascii="Arial" w:hAnsi="Arial" w:eastAsia="宋体" w:cs="Arial"/>
                <w:color w:val="auto"/>
                <w:sz w:val="21"/>
                <w:szCs w:val="21"/>
              </w:rPr>
              <w:t>177mm</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296" w:type="pct"/>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r>
              <w:rPr>
                <w:rFonts w:hint="default" w:ascii="Arial" w:hAnsi="Arial" w:eastAsia="宋体" w:cs="Arial"/>
                <w:color w:val="auto"/>
                <w:sz w:val="21"/>
                <w:szCs w:val="21"/>
              </w:rPr>
              <w:t>年极端最高气温</w:t>
            </w:r>
          </w:p>
        </w:tc>
        <w:tc>
          <w:tcPr>
            <w:tcW w:w="1008" w:type="pct"/>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r>
              <w:rPr>
                <w:rFonts w:hint="default" w:ascii="Arial" w:hAnsi="Arial" w:eastAsia="宋体" w:cs="Arial"/>
                <w:color w:val="auto"/>
                <w:sz w:val="21"/>
                <w:szCs w:val="21"/>
              </w:rPr>
              <w:t>38.1℃</w:t>
            </w:r>
          </w:p>
        </w:tc>
        <w:tc>
          <w:tcPr>
            <w:tcW w:w="1599" w:type="pct"/>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r>
              <w:rPr>
                <w:rFonts w:hint="default" w:ascii="Arial" w:hAnsi="Arial" w:eastAsia="宋体" w:cs="Arial"/>
                <w:color w:val="auto"/>
                <w:sz w:val="21"/>
                <w:szCs w:val="21"/>
              </w:rPr>
              <w:t>年极端最高降水量</w:t>
            </w:r>
          </w:p>
        </w:tc>
        <w:tc>
          <w:tcPr>
            <w:tcW w:w="1094" w:type="pct"/>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r>
              <w:rPr>
                <w:rFonts w:hint="default" w:ascii="Arial" w:hAnsi="Arial" w:eastAsia="宋体" w:cs="Arial"/>
                <w:color w:val="auto"/>
                <w:sz w:val="21"/>
                <w:szCs w:val="21"/>
              </w:rPr>
              <w:t>503.9mm</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296" w:type="pct"/>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r>
              <w:rPr>
                <w:rFonts w:hint="default" w:ascii="Arial" w:hAnsi="Arial" w:eastAsia="宋体" w:cs="Arial"/>
                <w:color w:val="auto"/>
                <w:sz w:val="21"/>
                <w:szCs w:val="21"/>
              </w:rPr>
              <w:t>年极端最低气温</w:t>
            </w:r>
          </w:p>
        </w:tc>
        <w:tc>
          <w:tcPr>
            <w:tcW w:w="1008" w:type="pct"/>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r>
              <w:rPr>
                <w:rFonts w:hint="default" w:ascii="Arial" w:hAnsi="Arial" w:eastAsia="宋体" w:cs="Arial"/>
                <w:color w:val="auto"/>
                <w:sz w:val="21"/>
                <w:szCs w:val="21"/>
              </w:rPr>
              <w:t>-29℃</w:t>
            </w:r>
          </w:p>
        </w:tc>
        <w:tc>
          <w:tcPr>
            <w:tcW w:w="1599" w:type="pct"/>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r>
              <w:rPr>
                <w:rFonts w:hint="default" w:ascii="Arial" w:hAnsi="Arial" w:eastAsia="宋体" w:cs="Arial"/>
                <w:color w:val="auto"/>
                <w:sz w:val="21"/>
                <w:szCs w:val="21"/>
              </w:rPr>
              <w:t>年最大风速</w:t>
            </w:r>
          </w:p>
        </w:tc>
        <w:tc>
          <w:tcPr>
            <w:tcW w:w="1094" w:type="pct"/>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r>
              <w:rPr>
                <w:rFonts w:hint="default" w:ascii="Arial" w:hAnsi="Arial" w:eastAsia="宋体" w:cs="Arial"/>
                <w:color w:val="auto"/>
                <w:sz w:val="21"/>
                <w:szCs w:val="21"/>
              </w:rPr>
              <w:t>28.5m/s</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296" w:type="pct"/>
            <w:vAlign w:val="center"/>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r>
              <w:rPr>
                <w:rFonts w:hint="default" w:ascii="Arial" w:hAnsi="Arial" w:eastAsia="宋体" w:cs="Arial"/>
                <w:color w:val="auto"/>
                <w:kern w:val="0"/>
                <w:sz w:val="21"/>
                <w:szCs w:val="21"/>
                <w:lang w:bidi="ar"/>
              </w:rPr>
              <w:t>年平均气压</w:t>
            </w:r>
          </w:p>
        </w:tc>
        <w:tc>
          <w:tcPr>
            <w:tcW w:w="1008" w:type="pct"/>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r>
              <w:rPr>
                <w:rFonts w:hint="default" w:ascii="Arial" w:hAnsi="Arial" w:eastAsia="宋体" w:cs="Arial"/>
                <w:color w:val="auto"/>
                <w:sz w:val="21"/>
                <w:szCs w:val="21"/>
              </w:rPr>
              <w:t>899.9hPa</w:t>
            </w:r>
          </w:p>
        </w:tc>
        <w:tc>
          <w:tcPr>
            <w:tcW w:w="1599" w:type="pct"/>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r>
              <w:rPr>
                <w:rFonts w:hint="default" w:ascii="Arial" w:hAnsi="Arial" w:eastAsia="宋体" w:cs="Arial"/>
                <w:color w:val="auto"/>
                <w:kern w:val="0"/>
                <w:sz w:val="21"/>
                <w:szCs w:val="21"/>
                <w:lang w:bidi="ar"/>
              </w:rPr>
              <w:t>年最大冻土深度</w:t>
            </w:r>
          </w:p>
        </w:tc>
        <w:tc>
          <w:tcPr>
            <w:tcW w:w="1094" w:type="pct"/>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r>
              <w:rPr>
                <w:rFonts w:hint="default" w:ascii="Arial" w:hAnsi="Arial" w:eastAsia="宋体" w:cs="Arial"/>
                <w:color w:val="auto"/>
                <w:sz w:val="21"/>
                <w:szCs w:val="21"/>
              </w:rPr>
              <w:t>1274cm</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296" w:type="pct"/>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r>
              <w:rPr>
                <w:rFonts w:hint="default" w:ascii="Arial" w:hAnsi="Arial" w:eastAsia="宋体" w:cs="Arial"/>
                <w:color w:val="auto"/>
                <w:sz w:val="21"/>
                <w:szCs w:val="21"/>
              </w:rPr>
              <w:t>年平均相对湿度</w:t>
            </w:r>
          </w:p>
        </w:tc>
        <w:tc>
          <w:tcPr>
            <w:tcW w:w="1008" w:type="pct"/>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r>
              <w:rPr>
                <w:rFonts w:hint="default" w:ascii="Arial" w:hAnsi="Arial" w:eastAsia="宋体" w:cs="Arial"/>
                <w:color w:val="auto"/>
                <w:sz w:val="21"/>
                <w:szCs w:val="21"/>
              </w:rPr>
              <w:t>50.3%</w:t>
            </w:r>
          </w:p>
        </w:tc>
        <w:tc>
          <w:tcPr>
            <w:tcW w:w="1599" w:type="pct"/>
            <w:vAlign w:val="center"/>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r>
              <w:rPr>
                <w:rFonts w:hint="default" w:ascii="Arial" w:hAnsi="Arial" w:eastAsia="宋体" w:cs="Arial"/>
                <w:color w:val="auto"/>
                <w:sz w:val="21"/>
                <w:szCs w:val="21"/>
              </w:rPr>
              <w:t>年平均蒸发量</w:t>
            </w:r>
          </w:p>
        </w:tc>
        <w:tc>
          <w:tcPr>
            <w:tcW w:w="1094" w:type="pct"/>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r>
              <w:rPr>
                <w:rFonts w:hint="default" w:ascii="Arial" w:hAnsi="Arial" w:eastAsia="宋体" w:cs="Arial"/>
                <w:color w:val="auto"/>
                <w:sz w:val="21"/>
                <w:szCs w:val="21"/>
              </w:rPr>
              <w:t>2093.2mm</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1296" w:type="pct"/>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r>
              <w:rPr>
                <w:rFonts w:hint="default" w:ascii="Arial" w:hAnsi="Arial" w:eastAsia="宋体" w:cs="Arial"/>
                <w:color w:val="auto"/>
                <w:sz w:val="21"/>
                <w:szCs w:val="21"/>
              </w:rPr>
              <w:t>年平均风速</w:t>
            </w:r>
          </w:p>
        </w:tc>
        <w:tc>
          <w:tcPr>
            <w:tcW w:w="1008" w:type="pct"/>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r>
              <w:rPr>
                <w:rFonts w:hint="default" w:ascii="Arial" w:hAnsi="Arial" w:eastAsia="宋体" w:cs="Arial"/>
                <w:color w:val="auto"/>
                <w:sz w:val="21"/>
                <w:szCs w:val="21"/>
              </w:rPr>
              <w:t>1.9m/s</w:t>
            </w:r>
          </w:p>
        </w:tc>
        <w:tc>
          <w:tcPr>
            <w:tcW w:w="1599" w:type="pct"/>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p>
        </w:tc>
        <w:tc>
          <w:tcPr>
            <w:tcW w:w="1094" w:type="pct"/>
            <w:vAlign w:val="center"/>
          </w:tcPr>
          <w:p>
            <w:pPr>
              <w:keepNext w:val="0"/>
              <w:keepLines w:val="0"/>
              <w:pageBreakBefore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rPr>
            </w:pPr>
          </w:p>
        </w:tc>
      </w:tr>
    </w:tbl>
    <w:p>
      <w:pPr>
        <w:pStyle w:val="7"/>
        <w:rPr>
          <w:rFonts w:hint="default" w:ascii="Arial" w:hAnsi="Arial" w:eastAsia="宋体" w:cs="Arial"/>
          <w:color w:val="auto"/>
          <w:highlight w:val="none"/>
          <w:lang w:eastAsia="zh-CN"/>
        </w:rPr>
      </w:pPr>
      <w:r>
        <w:rPr>
          <w:rFonts w:hint="default" w:ascii="Arial" w:hAnsi="Arial" w:eastAsia="宋体" w:cs="Arial"/>
          <w:color w:val="auto"/>
          <w:highlight w:val="none"/>
        </w:rPr>
        <w:t>5.</w:t>
      </w:r>
      <w:r>
        <w:rPr>
          <w:rFonts w:hint="default" w:ascii="Arial" w:hAnsi="Arial" w:eastAsia="宋体" w:cs="Arial"/>
          <w:color w:val="auto"/>
          <w:highlight w:val="none"/>
          <w:lang w:val="en-US" w:eastAsia="zh-CN"/>
        </w:rPr>
        <w:t>2.1.2</w:t>
      </w:r>
      <w:r>
        <w:rPr>
          <w:rFonts w:hint="default" w:ascii="Arial" w:hAnsi="Arial" w:eastAsia="宋体" w:cs="Arial"/>
          <w:color w:val="auto"/>
          <w:highlight w:val="none"/>
          <w:lang w:eastAsia="zh-CN"/>
        </w:rPr>
        <w:t>地面气温的变化特征</w:t>
      </w:r>
    </w:p>
    <w:p>
      <w:pPr>
        <w:keepNext w:val="0"/>
        <w:keepLines w:val="0"/>
        <w:pageBreakBefore w:val="0"/>
        <w:widowControl w:val="0"/>
        <w:kinsoku/>
        <w:wordWrap/>
        <w:overflowPunct/>
        <w:topLinePunct/>
        <w:autoSpaceDE w:val="0"/>
        <w:autoSpaceDN/>
        <w:bidi w:val="0"/>
        <w:adjustRightInd/>
        <w:snapToGrid/>
        <w:textAlignment w:val="auto"/>
        <w:rPr>
          <w:rFonts w:hint="default" w:ascii="Arial" w:hAnsi="Arial" w:eastAsia="宋体" w:cs="Arial"/>
          <w:color w:val="auto"/>
        </w:rPr>
      </w:pPr>
      <w:r>
        <w:rPr>
          <w:rFonts w:hint="default" w:ascii="Arial" w:hAnsi="Arial" w:eastAsia="宋体" w:cs="Arial"/>
          <w:color w:val="auto"/>
        </w:rPr>
        <w:t>五原县近20年（1999年-2018年）的年平均气温为8.2℃，全年最冷月为一月份，平均气温为-10.7℃，最热月出现在七月份，平均气温为24.5℃。地面气温变化情况见下表。</w:t>
      </w:r>
    </w:p>
    <w:p>
      <w:pPr>
        <w:keepNext w:val="0"/>
        <w:keepLines w:val="0"/>
        <w:pageBreakBefore w:val="0"/>
        <w:widowControl w:val="0"/>
        <w:kinsoku/>
        <w:wordWrap/>
        <w:overflowPunct/>
        <w:topLinePunct/>
        <w:autoSpaceDE w:val="0"/>
        <w:autoSpaceDN/>
        <w:bidi w:val="0"/>
        <w:adjustRightInd/>
        <w:snapToGrid/>
        <w:ind w:left="0" w:leftChars="0" w:firstLine="0" w:firstLineChars="0"/>
        <w:jc w:val="center"/>
        <w:textAlignment w:val="auto"/>
        <w:rPr>
          <w:rFonts w:hint="default" w:ascii="Arial" w:hAnsi="Arial" w:eastAsia="宋体" w:cs="Arial"/>
          <w:b/>
          <w:bCs/>
          <w:color w:val="auto"/>
          <w:kern w:val="2"/>
          <w:sz w:val="24"/>
          <w:szCs w:val="22"/>
          <w:lang w:val="en-US" w:eastAsia="zh-CN" w:bidi="ar-SA"/>
        </w:rPr>
      </w:pPr>
      <w:r>
        <w:rPr>
          <w:rFonts w:hint="default" w:ascii="Arial" w:hAnsi="Arial" w:eastAsia="宋体" w:cs="Arial"/>
          <w:b/>
          <w:bCs/>
          <w:color w:val="auto"/>
          <w:kern w:val="2"/>
          <w:sz w:val="24"/>
          <w:szCs w:val="22"/>
          <w:lang w:val="en-US" w:eastAsia="zh-CN" w:bidi="ar-SA"/>
        </w:rPr>
        <w:t>表5.2-2    五原县近20年（1999年-2018年）各月、年平均气温数值（℃）</w:t>
      </w:r>
    </w:p>
    <w:tbl>
      <w:tblPr>
        <w:tblStyle w:val="39"/>
        <w:tblW w:w="9003" w:type="dxa"/>
        <w:jc w:val="center"/>
        <w:tblBorders>
          <w:top w:val="single" w:color="auto" w:sz="12" w:space="0"/>
          <w:left w:val="none" w:color="auto" w:sz="0" w:space="0"/>
          <w:bottom w:val="single" w:color="auto" w:sz="12" w:space="0"/>
          <w:right w:val="none" w:color="auto" w:sz="0" w:space="0"/>
          <w:insideH w:val="none" w:color="auto" w:sz="4" w:space="0"/>
          <w:insideV w:val="none" w:color="auto" w:sz="4" w:space="0"/>
        </w:tblBorders>
        <w:tblLayout w:type="autofit"/>
        <w:tblCellMar>
          <w:top w:w="0" w:type="dxa"/>
          <w:left w:w="108" w:type="dxa"/>
          <w:bottom w:w="0" w:type="dxa"/>
          <w:right w:w="108" w:type="dxa"/>
        </w:tblCellMar>
      </w:tblPr>
      <w:tblGrid>
        <w:gridCol w:w="982"/>
        <w:gridCol w:w="695"/>
        <w:gridCol w:w="578"/>
        <w:gridCol w:w="508"/>
        <w:gridCol w:w="625"/>
        <w:gridCol w:w="625"/>
        <w:gridCol w:w="625"/>
        <w:gridCol w:w="625"/>
        <w:gridCol w:w="625"/>
        <w:gridCol w:w="625"/>
        <w:gridCol w:w="508"/>
        <w:gridCol w:w="578"/>
        <w:gridCol w:w="578"/>
        <w:gridCol w:w="826"/>
      </w:tblGrid>
      <w:tr>
        <w:tblPrEx>
          <w:tblBorders>
            <w:top w:val="single" w:color="auto" w:sz="12" w:space="0"/>
            <w:left w:val="none" w:color="auto" w:sz="0" w:space="0"/>
            <w:bottom w:val="single" w:color="auto" w:sz="12" w:space="0"/>
            <w:right w:val="none" w:color="auto" w:sz="0" w:space="0"/>
            <w:insideH w:val="none" w:color="auto" w:sz="4" w:space="0"/>
            <w:insideV w:val="none" w:color="auto" w:sz="4" w:space="0"/>
          </w:tblBorders>
          <w:tblCellMar>
            <w:top w:w="0" w:type="dxa"/>
            <w:left w:w="108" w:type="dxa"/>
            <w:bottom w:w="0" w:type="dxa"/>
            <w:right w:w="108" w:type="dxa"/>
          </w:tblCellMar>
        </w:tblPrEx>
        <w:trPr>
          <w:trHeight w:val="340" w:hRule="atLeast"/>
          <w:tblHeader/>
          <w:jc w:val="center"/>
        </w:trPr>
        <w:tc>
          <w:tcPr>
            <w:tcW w:w="562" w:type="pct"/>
            <w:tcBorders>
              <w:bottom w:val="single" w:color="auto" w:sz="4" w:space="0"/>
              <w:right w:val="single" w:color="auto" w:sz="4" w:space="0"/>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0"/>
              </w:rPr>
            </w:pPr>
            <w:r>
              <w:rPr>
                <w:rFonts w:hint="default" w:ascii="Arial" w:hAnsi="Arial" w:eastAsia="宋体" w:cs="Arial"/>
                <w:color w:val="auto"/>
                <w:sz w:val="21"/>
                <w:szCs w:val="20"/>
              </w:rPr>
              <w:t>月（年）</w:t>
            </w:r>
          </w:p>
        </w:tc>
        <w:tc>
          <w:tcPr>
            <w:tcW w:w="391" w:type="pct"/>
            <w:tcBorders>
              <w:left w:val="nil"/>
              <w:bottom w:val="single" w:color="auto" w:sz="4" w:space="0"/>
              <w:right w:val="single" w:color="auto" w:sz="4" w:space="0"/>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0"/>
              </w:rPr>
            </w:pPr>
            <w:r>
              <w:rPr>
                <w:rFonts w:hint="default" w:ascii="Arial" w:hAnsi="Arial" w:eastAsia="宋体" w:cs="Arial"/>
                <w:color w:val="auto"/>
                <w:sz w:val="21"/>
                <w:szCs w:val="20"/>
              </w:rPr>
              <w:t>1</w:t>
            </w:r>
          </w:p>
        </w:tc>
        <w:tc>
          <w:tcPr>
            <w:tcW w:w="336" w:type="pct"/>
            <w:tcBorders>
              <w:left w:val="nil"/>
              <w:bottom w:val="single" w:color="auto" w:sz="4" w:space="0"/>
              <w:right w:val="single" w:color="auto" w:sz="4" w:space="0"/>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0"/>
              </w:rPr>
            </w:pPr>
            <w:r>
              <w:rPr>
                <w:rFonts w:hint="default" w:ascii="Arial" w:hAnsi="Arial" w:eastAsia="宋体" w:cs="Arial"/>
                <w:color w:val="auto"/>
                <w:sz w:val="21"/>
                <w:szCs w:val="20"/>
              </w:rPr>
              <w:t>2</w:t>
            </w:r>
          </w:p>
        </w:tc>
        <w:tc>
          <w:tcPr>
            <w:tcW w:w="281" w:type="pct"/>
            <w:tcBorders>
              <w:left w:val="nil"/>
              <w:bottom w:val="single" w:color="auto" w:sz="4" w:space="0"/>
              <w:right w:val="single" w:color="auto" w:sz="4" w:space="0"/>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0"/>
              </w:rPr>
            </w:pPr>
            <w:r>
              <w:rPr>
                <w:rFonts w:hint="default" w:ascii="Arial" w:hAnsi="Arial" w:eastAsia="宋体" w:cs="Arial"/>
                <w:color w:val="auto"/>
                <w:sz w:val="21"/>
                <w:szCs w:val="20"/>
              </w:rPr>
              <w:t>3</w:t>
            </w:r>
          </w:p>
        </w:tc>
        <w:tc>
          <w:tcPr>
            <w:tcW w:w="336" w:type="pct"/>
            <w:tcBorders>
              <w:left w:val="nil"/>
              <w:bottom w:val="single" w:color="auto" w:sz="4" w:space="0"/>
              <w:right w:val="single" w:color="auto" w:sz="4" w:space="0"/>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0"/>
              </w:rPr>
            </w:pPr>
            <w:r>
              <w:rPr>
                <w:rFonts w:hint="default" w:ascii="Arial" w:hAnsi="Arial" w:eastAsia="宋体" w:cs="Arial"/>
                <w:color w:val="auto"/>
                <w:sz w:val="21"/>
                <w:szCs w:val="20"/>
              </w:rPr>
              <w:t>4</w:t>
            </w:r>
          </w:p>
        </w:tc>
        <w:tc>
          <w:tcPr>
            <w:tcW w:w="336" w:type="pct"/>
            <w:tcBorders>
              <w:left w:val="nil"/>
              <w:bottom w:val="single" w:color="auto" w:sz="4" w:space="0"/>
              <w:right w:val="single" w:color="auto" w:sz="4" w:space="0"/>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0"/>
              </w:rPr>
            </w:pPr>
            <w:r>
              <w:rPr>
                <w:rFonts w:hint="default" w:ascii="Arial" w:hAnsi="Arial" w:eastAsia="宋体" w:cs="Arial"/>
                <w:color w:val="auto"/>
                <w:sz w:val="21"/>
                <w:szCs w:val="20"/>
              </w:rPr>
              <w:t>5</w:t>
            </w:r>
          </w:p>
        </w:tc>
        <w:tc>
          <w:tcPr>
            <w:tcW w:w="336" w:type="pct"/>
            <w:tcBorders>
              <w:left w:val="nil"/>
              <w:bottom w:val="single" w:color="auto" w:sz="4" w:space="0"/>
              <w:right w:val="single" w:color="auto" w:sz="4" w:space="0"/>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0"/>
              </w:rPr>
            </w:pPr>
            <w:r>
              <w:rPr>
                <w:rFonts w:hint="default" w:ascii="Arial" w:hAnsi="Arial" w:eastAsia="宋体" w:cs="Arial"/>
                <w:color w:val="auto"/>
                <w:sz w:val="21"/>
                <w:szCs w:val="20"/>
              </w:rPr>
              <w:t>6</w:t>
            </w:r>
          </w:p>
        </w:tc>
        <w:tc>
          <w:tcPr>
            <w:tcW w:w="337" w:type="pct"/>
            <w:tcBorders>
              <w:left w:val="nil"/>
              <w:bottom w:val="single" w:color="auto" w:sz="4" w:space="0"/>
              <w:right w:val="single" w:color="auto" w:sz="4" w:space="0"/>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0"/>
              </w:rPr>
            </w:pPr>
            <w:r>
              <w:rPr>
                <w:rFonts w:hint="default" w:ascii="Arial" w:hAnsi="Arial" w:eastAsia="宋体" w:cs="Arial"/>
                <w:color w:val="auto"/>
                <w:sz w:val="21"/>
                <w:szCs w:val="20"/>
              </w:rPr>
              <w:t>7</w:t>
            </w:r>
          </w:p>
        </w:tc>
        <w:tc>
          <w:tcPr>
            <w:tcW w:w="336" w:type="pct"/>
            <w:tcBorders>
              <w:left w:val="nil"/>
              <w:bottom w:val="single" w:color="auto" w:sz="4" w:space="0"/>
              <w:right w:val="single" w:color="auto" w:sz="4" w:space="0"/>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0"/>
              </w:rPr>
            </w:pPr>
            <w:r>
              <w:rPr>
                <w:rFonts w:hint="default" w:ascii="Arial" w:hAnsi="Arial" w:eastAsia="宋体" w:cs="Arial"/>
                <w:color w:val="auto"/>
                <w:sz w:val="21"/>
                <w:szCs w:val="20"/>
              </w:rPr>
              <w:t>8</w:t>
            </w:r>
          </w:p>
        </w:tc>
        <w:tc>
          <w:tcPr>
            <w:tcW w:w="336" w:type="pct"/>
            <w:tcBorders>
              <w:left w:val="nil"/>
              <w:bottom w:val="single" w:color="auto" w:sz="4" w:space="0"/>
              <w:right w:val="single" w:color="auto" w:sz="4" w:space="0"/>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0"/>
              </w:rPr>
            </w:pPr>
            <w:r>
              <w:rPr>
                <w:rFonts w:hint="default" w:ascii="Arial" w:hAnsi="Arial" w:eastAsia="宋体" w:cs="Arial"/>
                <w:color w:val="auto"/>
                <w:sz w:val="21"/>
                <w:szCs w:val="20"/>
              </w:rPr>
              <w:t>9</w:t>
            </w:r>
          </w:p>
        </w:tc>
        <w:tc>
          <w:tcPr>
            <w:tcW w:w="281" w:type="pct"/>
            <w:tcBorders>
              <w:left w:val="nil"/>
              <w:bottom w:val="single" w:color="auto" w:sz="4" w:space="0"/>
              <w:right w:val="single" w:color="auto" w:sz="4" w:space="0"/>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0"/>
              </w:rPr>
            </w:pPr>
            <w:r>
              <w:rPr>
                <w:rFonts w:hint="default" w:ascii="Arial" w:hAnsi="Arial" w:eastAsia="宋体" w:cs="Arial"/>
                <w:color w:val="auto"/>
                <w:sz w:val="21"/>
                <w:szCs w:val="20"/>
              </w:rPr>
              <w:t>10</w:t>
            </w:r>
          </w:p>
        </w:tc>
        <w:tc>
          <w:tcPr>
            <w:tcW w:w="336" w:type="pct"/>
            <w:tcBorders>
              <w:left w:val="nil"/>
              <w:bottom w:val="single" w:color="auto" w:sz="4" w:space="0"/>
              <w:right w:val="single" w:color="auto" w:sz="4" w:space="0"/>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0"/>
              </w:rPr>
            </w:pPr>
            <w:r>
              <w:rPr>
                <w:rFonts w:hint="default" w:ascii="Arial" w:hAnsi="Arial" w:eastAsia="宋体" w:cs="Arial"/>
                <w:color w:val="auto"/>
                <w:sz w:val="21"/>
                <w:szCs w:val="20"/>
              </w:rPr>
              <w:t>11</w:t>
            </w:r>
          </w:p>
        </w:tc>
        <w:tc>
          <w:tcPr>
            <w:tcW w:w="299" w:type="pct"/>
            <w:tcBorders>
              <w:left w:val="nil"/>
              <w:bottom w:val="single" w:color="auto" w:sz="4" w:space="0"/>
              <w:right w:val="single" w:color="auto" w:sz="4" w:space="0"/>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0"/>
              </w:rPr>
            </w:pPr>
            <w:r>
              <w:rPr>
                <w:rFonts w:hint="default" w:ascii="Arial" w:hAnsi="Arial" w:eastAsia="宋体" w:cs="Arial"/>
                <w:color w:val="auto"/>
                <w:sz w:val="21"/>
                <w:szCs w:val="20"/>
              </w:rPr>
              <w:t>12</w:t>
            </w:r>
          </w:p>
        </w:tc>
        <w:tc>
          <w:tcPr>
            <w:tcW w:w="490" w:type="pct"/>
            <w:tcBorders>
              <w:left w:val="nil"/>
              <w:bottom w:val="single" w:color="auto" w:sz="4" w:space="0"/>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0"/>
              </w:rPr>
            </w:pPr>
            <w:r>
              <w:rPr>
                <w:rFonts w:hint="default" w:ascii="Arial" w:hAnsi="Arial" w:eastAsia="宋体" w:cs="Arial"/>
                <w:color w:val="auto"/>
                <w:sz w:val="21"/>
                <w:szCs w:val="20"/>
              </w:rPr>
              <w:t>年平均</w:t>
            </w:r>
          </w:p>
        </w:tc>
      </w:tr>
      <w:tr>
        <w:tblPrEx>
          <w:tblBorders>
            <w:top w:val="single" w:color="auto" w:sz="12" w:space="0"/>
            <w:left w:val="none" w:color="auto" w:sz="0" w:space="0"/>
            <w:bottom w:val="single" w:color="auto" w:sz="12" w:space="0"/>
            <w:right w:val="none" w:color="auto" w:sz="0" w:space="0"/>
            <w:insideH w:val="none" w:color="auto" w:sz="4" w:space="0"/>
            <w:insideV w:val="none" w:color="auto" w:sz="4" w:space="0"/>
          </w:tblBorders>
          <w:tblCellMar>
            <w:top w:w="0" w:type="dxa"/>
            <w:left w:w="108" w:type="dxa"/>
            <w:bottom w:w="0" w:type="dxa"/>
            <w:right w:w="108" w:type="dxa"/>
          </w:tblCellMar>
        </w:tblPrEx>
        <w:trPr>
          <w:trHeight w:val="340" w:hRule="atLeast"/>
          <w:jc w:val="center"/>
        </w:trPr>
        <w:tc>
          <w:tcPr>
            <w:tcW w:w="562" w:type="pct"/>
            <w:tcBorders>
              <w:top w:val="nil"/>
              <w:right w:val="single" w:color="auto" w:sz="4" w:space="0"/>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0"/>
              </w:rPr>
            </w:pPr>
            <w:r>
              <w:rPr>
                <w:rFonts w:hint="default" w:ascii="Arial" w:hAnsi="Arial" w:eastAsia="宋体" w:cs="Arial"/>
                <w:color w:val="auto"/>
                <w:sz w:val="21"/>
                <w:szCs w:val="20"/>
              </w:rPr>
              <w:t>平均气温</w:t>
            </w:r>
          </w:p>
        </w:tc>
        <w:tc>
          <w:tcPr>
            <w:tcW w:w="391" w:type="pct"/>
            <w:tcBorders>
              <w:top w:val="nil"/>
              <w:left w:val="nil"/>
              <w:right w:val="single" w:color="auto" w:sz="4" w:space="0"/>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0"/>
              </w:rPr>
            </w:pPr>
            <w:r>
              <w:rPr>
                <w:rFonts w:hint="default" w:ascii="Arial" w:hAnsi="Arial" w:eastAsia="宋体" w:cs="Arial"/>
                <w:color w:val="auto"/>
                <w:sz w:val="21"/>
                <w:szCs w:val="20"/>
              </w:rPr>
              <w:t>-10.7</w:t>
            </w:r>
          </w:p>
        </w:tc>
        <w:tc>
          <w:tcPr>
            <w:tcW w:w="336" w:type="pct"/>
            <w:tcBorders>
              <w:top w:val="nil"/>
              <w:left w:val="nil"/>
              <w:right w:val="single" w:color="auto" w:sz="4" w:space="0"/>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0"/>
              </w:rPr>
            </w:pPr>
            <w:r>
              <w:rPr>
                <w:rFonts w:hint="default" w:ascii="Arial" w:hAnsi="Arial" w:eastAsia="宋体" w:cs="Arial"/>
                <w:color w:val="auto"/>
                <w:sz w:val="21"/>
                <w:szCs w:val="20"/>
              </w:rPr>
              <w:t>-5.9</w:t>
            </w:r>
          </w:p>
        </w:tc>
        <w:tc>
          <w:tcPr>
            <w:tcW w:w="281" w:type="pct"/>
            <w:tcBorders>
              <w:top w:val="nil"/>
              <w:left w:val="nil"/>
              <w:right w:val="single" w:color="auto" w:sz="4" w:space="0"/>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0"/>
              </w:rPr>
            </w:pPr>
            <w:r>
              <w:rPr>
                <w:rFonts w:hint="default" w:ascii="Arial" w:hAnsi="Arial" w:eastAsia="宋体" w:cs="Arial"/>
                <w:color w:val="auto"/>
                <w:sz w:val="21"/>
                <w:szCs w:val="20"/>
              </w:rPr>
              <w:t>1.8</w:t>
            </w:r>
          </w:p>
        </w:tc>
        <w:tc>
          <w:tcPr>
            <w:tcW w:w="336" w:type="pct"/>
            <w:tcBorders>
              <w:top w:val="nil"/>
              <w:left w:val="nil"/>
              <w:right w:val="single" w:color="auto" w:sz="4" w:space="0"/>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0"/>
              </w:rPr>
            </w:pPr>
            <w:r>
              <w:rPr>
                <w:rFonts w:hint="default" w:ascii="Arial" w:hAnsi="Arial" w:eastAsia="宋体" w:cs="Arial"/>
                <w:color w:val="auto"/>
                <w:sz w:val="21"/>
                <w:szCs w:val="20"/>
              </w:rPr>
              <w:t>10.6</w:t>
            </w:r>
          </w:p>
        </w:tc>
        <w:tc>
          <w:tcPr>
            <w:tcW w:w="336" w:type="pct"/>
            <w:tcBorders>
              <w:top w:val="nil"/>
              <w:left w:val="nil"/>
              <w:right w:val="single" w:color="auto" w:sz="4" w:space="0"/>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0"/>
              </w:rPr>
            </w:pPr>
            <w:r>
              <w:rPr>
                <w:rFonts w:hint="default" w:ascii="Arial" w:hAnsi="Arial" w:eastAsia="宋体" w:cs="Arial"/>
                <w:color w:val="auto"/>
                <w:sz w:val="21"/>
                <w:szCs w:val="20"/>
              </w:rPr>
              <w:t>17.5</w:t>
            </w:r>
          </w:p>
        </w:tc>
        <w:tc>
          <w:tcPr>
            <w:tcW w:w="336" w:type="pct"/>
            <w:tcBorders>
              <w:top w:val="nil"/>
              <w:left w:val="nil"/>
              <w:right w:val="single" w:color="auto" w:sz="4" w:space="0"/>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0"/>
              </w:rPr>
            </w:pPr>
            <w:r>
              <w:rPr>
                <w:rFonts w:hint="default" w:ascii="Arial" w:hAnsi="Arial" w:eastAsia="宋体" w:cs="Arial"/>
                <w:color w:val="auto"/>
                <w:sz w:val="21"/>
                <w:szCs w:val="20"/>
              </w:rPr>
              <w:t>22.5</w:t>
            </w:r>
          </w:p>
        </w:tc>
        <w:tc>
          <w:tcPr>
            <w:tcW w:w="337" w:type="pct"/>
            <w:tcBorders>
              <w:top w:val="nil"/>
              <w:left w:val="nil"/>
              <w:right w:val="single" w:color="auto" w:sz="4" w:space="0"/>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0"/>
              </w:rPr>
            </w:pPr>
            <w:r>
              <w:rPr>
                <w:rFonts w:hint="default" w:ascii="Arial" w:hAnsi="Arial" w:eastAsia="宋体" w:cs="Arial"/>
                <w:color w:val="auto"/>
                <w:sz w:val="21"/>
                <w:szCs w:val="20"/>
              </w:rPr>
              <w:t>24.5</w:t>
            </w:r>
          </w:p>
        </w:tc>
        <w:tc>
          <w:tcPr>
            <w:tcW w:w="336" w:type="pct"/>
            <w:tcBorders>
              <w:top w:val="nil"/>
              <w:left w:val="nil"/>
              <w:right w:val="single" w:color="auto" w:sz="4" w:space="0"/>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0"/>
              </w:rPr>
            </w:pPr>
            <w:r>
              <w:rPr>
                <w:rFonts w:hint="default" w:ascii="Arial" w:hAnsi="Arial" w:eastAsia="宋体" w:cs="Arial"/>
                <w:color w:val="auto"/>
                <w:sz w:val="21"/>
                <w:szCs w:val="20"/>
              </w:rPr>
              <w:t>22.2</w:t>
            </w:r>
          </w:p>
        </w:tc>
        <w:tc>
          <w:tcPr>
            <w:tcW w:w="336" w:type="pct"/>
            <w:tcBorders>
              <w:top w:val="nil"/>
              <w:left w:val="nil"/>
              <w:right w:val="single" w:color="auto" w:sz="4" w:space="0"/>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0"/>
              </w:rPr>
            </w:pPr>
            <w:r>
              <w:rPr>
                <w:rFonts w:hint="default" w:ascii="Arial" w:hAnsi="Arial" w:eastAsia="宋体" w:cs="Arial"/>
                <w:color w:val="auto"/>
                <w:sz w:val="21"/>
                <w:szCs w:val="20"/>
              </w:rPr>
              <w:t>16.5</w:t>
            </w:r>
          </w:p>
        </w:tc>
        <w:tc>
          <w:tcPr>
            <w:tcW w:w="281" w:type="pct"/>
            <w:tcBorders>
              <w:top w:val="nil"/>
              <w:left w:val="nil"/>
              <w:right w:val="single" w:color="auto" w:sz="4" w:space="0"/>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0"/>
              </w:rPr>
            </w:pPr>
            <w:r>
              <w:rPr>
                <w:rFonts w:hint="default" w:ascii="Arial" w:hAnsi="Arial" w:eastAsia="宋体" w:cs="Arial"/>
                <w:color w:val="auto"/>
                <w:sz w:val="21"/>
                <w:szCs w:val="20"/>
              </w:rPr>
              <w:t>8.6</w:t>
            </w:r>
          </w:p>
        </w:tc>
        <w:tc>
          <w:tcPr>
            <w:tcW w:w="336" w:type="pct"/>
            <w:tcBorders>
              <w:top w:val="nil"/>
              <w:left w:val="nil"/>
              <w:right w:val="single" w:color="auto" w:sz="4" w:space="0"/>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0"/>
              </w:rPr>
            </w:pPr>
            <w:r>
              <w:rPr>
                <w:rFonts w:hint="default" w:ascii="Arial" w:hAnsi="Arial" w:eastAsia="宋体" w:cs="Arial"/>
                <w:color w:val="auto"/>
                <w:sz w:val="21"/>
                <w:szCs w:val="20"/>
              </w:rPr>
              <w:t>-0.9</w:t>
            </w:r>
          </w:p>
        </w:tc>
        <w:tc>
          <w:tcPr>
            <w:tcW w:w="299" w:type="pct"/>
            <w:tcBorders>
              <w:top w:val="nil"/>
              <w:left w:val="nil"/>
              <w:right w:val="single" w:color="auto" w:sz="4" w:space="0"/>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0"/>
              </w:rPr>
            </w:pPr>
            <w:r>
              <w:rPr>
                <w:rFonts w:hint="default" w:ascii="Arial" w:hAnsi="Arial" w:eastAsia="宋体" w:cs="Arial"/>
                <w:color w:val="auto"/>
                <w:sz w:val="21"/>
                <w:szCs w:val="20"/>
              </w:rPr>
              <w:t>-8.4</w:t>
            </w:r>
          </w:p>
        </w:tc>
        <w:tc>
          <w:tcPr>
            <w:tcW w:w="490" w:type="pct"/>
            <w:tcBorders>
              <w:top w:val="nil"/>
              <w:left w:val="nil"/>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0"/>
              </w:rPr>
            </w:pPr>
            <w:r>
              <w:rPr>
                <w:rFonts w:hint="default" w:ascii="Arial" w:hAnsi="Arial" w:eastAsia="宋体" w:cs="Arial"/>
                <w:color w:val="auto"/>
                <w:sz w:val="21"/>
                <w:szCs w:val="20"/>
              </w:rPr>
              <w:t>8.2</w:t>
            </w:r>
          </w:p>
        </w:tc>
      </w:tr>
    </w:tbl>
    <w:p>
      <w:pPr>
        <w:ind w:firstLine="0" w:firstLineChars="0"/>
        <w:rPr>
          <w:rFonts w:hint="default" w:ascii="Arial" w:hAnsi="Arial" w:eastAsia="宋体" w:cs="Arial"/>
          <w:color w:val="auto"/>
        </w:rPr>
      </w:pPr>
      <w:r>
        <w:rPr>
          <w:rFonts w:hint="default" w:ascii="Arial" w:hAnsi="Arial" w:eastAsia="宋体" w:cs="Arial"/>
          <w:color w:val="auto"/>
        </w:rPr>
        <w:drawing>
          <wp:anchor distT="0" distB="0" distL="114300" distR="114300" simplePos="0" relativeHeight="251679744" behindDoc="0" locked="0" layoutInCell="1" allowOverlap="1">
            <wp:simplePos x="0" y="0"/>
            <wp:positionH relativeFrom="column">
              <wp:posOffset>-55245</wp:posOffset>
            </wp:positionH>
            <wp:positionV relativeFrom="paragraph">
              <wp:posOffset>188595</wp:posOffset>
            </wp:positionV>
            <wp:extent cx="5681980" cy="1802765"/>
            <wp:effectExtent l="0" t="0" r="13970" b="6985"/>
            <wp:wrapNone/>
            <wp:docPr id="98"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13"/>
                    <pic:cNvPicPr>
                      <a:picLocks noChangeAspect="1"/>
                    </pic:cNvPicPr>
                  </pic:nvPicPr>
                  <pic:blipFill>
                    <a:blip r:embed="rId34"/>
                    <a:stretch>
                      <a:fillRect/>
                    </a:stretch>
                  </pic:blipFill>
                  <pic:spPr>
                    <a:xfrm>
                      <a:off x="0" y="0"/>
                      <a:ext cx="5681980" cy="1802765"/>
                    </a:xfrm>
                    <a:prstGeom prst="rect">
                      <a:avLst/>
                    </a:prstGeom>
                    <a:noFill/>
                    <a:ln>
                      <a:noFill/>
                    </a:ln>
                  </pic:spPr>
                </pic:pic>
              </a:graphicData>
            </a:graphic>
          </wp:anchor>
        </w:drawing>
      </w:r>
    </w:p>
    <w:p>
      <w:pPr>
        <w:ind w:firstLine="0" w:firstLineChars="0"/>
        <w:rPr>
          <w:rFonts w:hint="default" w:ascii="Arial" w:hAnsi="Arial" w:eastAsia="宋体" w:cs="Arial"/>
          <w:color w:val="auto"/>
        </w:rPr>
      </w:pPr>
    </w:p>
    <w:p>
      <w:pPr>
        <w:ind w:firstLine="0" w:firstLineChars="0"/>
        <w:rPr>
          <w:rFonts w:hint="default" w:ascii="Arial" w:hAnsi="Arial" w:eastAsia="宋体" w:cs="Arial"/>
          <w:color w:val="auto"/>
        </w:rPr>
      </w:pPr>
    </w:p>
    <w:p>
      <w:pPr>
        <w:ind w:firstLine="0" w:firstLineChars="0"/>
        <w:rPr>
          <w:rFonts w:hint="default" w:ascii="Arial" w:hAnsi="Arial" w:eastAsia="宋体" w:cs="Arial"/>
          <w:color w:val="auto"/>
        </w:rPr>
      </w:pPr>
    </w:p>
    <w:p>
      <w:pPr>
        <w:ind w:firstLine="0" w:firstLineChars="0"/>
        <w:rPr>
          <w:rFonts w:hint="default" w:ascii="Arial" w:hAnsi="Arial" w:eastAsia="宋体" w:cs="Arial"/>
          <w:color w:val="auto"/>
        </w:rPr>
      </w:pPr>
    </w:p>
    <w:p>
      <w:pPr>
        <w:ind w:firstLine="0" w:firstLineChars="0"/>
        <w:rPr>
          <w:rFonts w:hint="default" w:ascii="Arial" w:hAnsi="Arial" w:eastAsia="宋体" w:cs="Arial"/>
          <w:color w:val="auto"/>
          <w:szCs w:val="24"/>
          <w:lang w:bidi="ar"/>
        </w:rPr>
      </w:pPr>
    </w:p>
    <w:p>
      <w:pPr>
        <w:ind w:firstLine="482"/>
        <w:rPr>
          <w:rFonts w:hint="default" w:ascii="Arial" w:hAnsi="Arial" w:eastAsia="宋体" w:cs="Arial"/>
          <w:color w:val="auto"/>
        </w:rPr>
      </w:pPr>
    </w:p>
    <w:p>
      <w:pPr>
        <w:keepNext w:val="0"/>
        <w:keepLines w:val="0"/>
        <w:pageBreakBefore w:val="0"/>
        <w:widowControl w:val="0"/>
        <w:kinsoku/>
        <w:wordWrap/>
        <w:overflowPunct/>
        <w:topLinePunct/>
        <w:autoSpaceDE w:val="0"/>
        <w:autoSpaceDN/>
        <w:bidi w:val="0"/>
        <w:adjustRightInd/>
        <w:snapToGrid/>
        <w:ind w:firstLine="482"/>
        <w:textAlignment w:val="auto"/>
        <w:rPr>
          <w:rFonts w:hint="default" w:ascii="Arial" w:hAnsi="Arial" w:eastAsia="宋体" w:cs="Arial"/>
          <w:b/>
          <w:bCs/>
          <w:color w:val="auto"/>
        </w:rPr>
      </w:pPr>
      <w:r>
        <w:rPr>
          <w:rFonts w:hint="default" w:ascii="Arial" w:hAnsi="Arial" w:eastAsia="宋体" w:cs="Arial"/>
          <w:b/>
          <w:bCs/>
          <w:color w:val="auto"/>
        </w:rPr>
        <w:t>图5.2-1    五原县近20年（1999年-2018年）逐月平均气温变化曲线</w:t>
      </w:r>
    </w:p>
    <w:p>
      <w:pPr>
        <w:pStyle w:val="7"/>
        <w:rPr>
          <w:rFonts w:hint="default" w:ascii="Arial" w:hAnsi="Arial" w:eastAsia="宋体" w:cs="Arial"/>
          <w:color w:val="auto"/>
          <w:highlight w:val="none"/>
          <w:lang w:eastAsia="zh-CN"/>
        </w:rPr>
      </w:pPr>
      <w:r>
        <w:rPr>
          <w:rFonts w:hint="default" w:ascii="Arial" w:hAnsi="Arial" w:eastAsia="宋体" w:cs="Arial"/>
          <w:color w:val="auto"/>
          <w:highlight w:val="none"/>
        </w:rPr>
        <w:t>5.</w:t>
      </w:r>
      <w:r>
        <w:rPr>
          <w:rFonts w:hint="default" w:ascii="Arial" w:hAnsi="Arial" w:eastAsia="宋体" w:cs="Arial"/>
          <w:color w:val="auto"/>
          <w:highlight w:val="none"/>
          <w:lang w:val="en-US" w:eastAsia="zh-CN"/>
        </w:rPr>
        <w:t>2.1.3</w:t>
      </w:r>
      <w:r>
        <w:rPr>
          <w:rFonts w:hint="default" w:ascii="Arial" w:hAnsi="Arial" w:eastAsia="宋体" w:cs="Arial"/>
          <w:color w:val="auto"/>
          <w:highlight w:val="none"/>
          <w:lang w:eastAsia="zh-CN"/>
        </w:rPr>
        <w:t>地面风向、风速的统计特征</w:t>
      </w:r>
    </w:p>
    <w:p>
      <w:pPr>
        <w:bidi w:val="0"/>
        <w:rPr>
          <w:rFonts w:hint="default" w:ascii="Arial" w:hAnsi="Arial" w:eastAsia="宋体" w:cs="Arial"/>
          <w:color w:val="auto"/>
        </w:rPr>
      </w:pPr>
      <w:r>
        <w:rPr>
          <w:rFonts w:hint="default" w:ascii="Arial" w:hAnsi="Arial" w:eastAsia="宋体" w:cs="Arial"/>
          <w:color w:val="auto"/>
        </w:rPr>
        <w:t>地面风向、风速的统计分析是污染气象中最基本的方面，其风况不但受季节变化的制约，而且还明显地受地形及地表状况的影响。</w:t>
      </w:r>
    </w:p>
    <w:p>
      <w:pPr>
        <w:bidi w:val="0"/>
        <w:rPr>
          <w:rFonts w:hint="default" w:ascii="Arial" w:hAnsi="Arial" w:eastAsia="宋体" w:cs="Arial"/>
          <w:color w:val="auto"/>
        </w:rPr>
      </w:pPr>
      <w:r>
        <w:rPr>
          <w:rFonts w:hint="default" w:ascii="Arial" w:hAnsi="Arial" w:eastAsia="宋体" w:cs="Arial"/>
          <w:color w:val="auto"/>
        </w:rPr>
        <w:t>（1）地面风速变化</w:t>
      </w:r>
    </w:p>
    <w:p>
      <w:pPr>
        <w:bidi w:val="0"/>
        <w:rPr>
          <w:rFonts w:hint="default" w:ascii="Arial" w:hAnsi="Arial" w:eastAsia="宋体" w:cs="Arial"/>
          <w:color w:val="auto"/>
        </w:rPr>
      </w:pPr>
      <w:r>
        <w:rPr>
          <w:rFonts w:hint="default" w:ascii="Arial" w:hAnsi="Arial" w:eastAsia="宋体" w:cs="Arial"/>
          <w:color w:val="auto"/>
        </w:rPr>
        <w:t>巴彦淖尔市五原县气象站近20年（1999年-2018年）平均风速的统计见下表，可以看出：该地区年平均风速为1.9m/s。全年以春季风速最大（如四月份风速为2.6m/s），平均风速最小出现在冬季（如一月份风速为1.4m/s），平均风速的年较差为1.2m/s。逐月平均风速变化曲线见下图。</w:t>
      </w:r>
    </w:p>
    <w:p>
      <w:pPr>
        <w:bidi w:val="0"/>
        <w:ind w:left="0" w:leftChars="0" w:firstLine="0" w:firstLineChars="0"/>
        <w:jc w:val="center"/>
        <w:rPr>
          <w:rFonts w:hint="default" w:ascii="Arial" w:hAnsi="Arial" w:eastAsia="宋体" w:cs="Arial"/>
          <w:b/>
          <w:bCs/>
          <w:color w:val="auto"/>
        </w:rPr>
      </w:pPr>
      <w:r>
        <w:rPr>
          <w:rFonts w:hint="default" w:ascii="Arial" w:hAnsi="Arial" w:eastAsia="宋体" w:cs="Arial"/>
          <w:b/>
          <w:bCs/>
          <w:color w:val="auto"/>
        </w:rPr>
        <w:t>表5.2-3    近20年（1999年-2018年）各月、年平均风速数值（m/s）</w:t>
      </w:r>
    </w:p>
    <w:tbl>
      <w:tblPr>
        <w:tblStyle w:val="39"/>
        <w:tblW w:w="4996"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244"/>
        <w:gridCol w:w="562"/>
        <w:gridCol w:w="562"/>
        <w:gridCol w:w="562"/>
        <w:gridCol w:w="562"/>
        <w:gridCol w:w="562"/>
        <w:gridCol w:w="562"/>
        <w:gridCol w:w="562"/>
        <w:gridCol w:w="562"/>
        <w:gridCol w:w="564"/>
        <w:gridCol w:w="564"/>
        <w:gridCol w:w="565"/>
        <w:gridCol w:w="565"/>
        <w:gridCol w:w="998"/>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6" w:hRule="atLeast"/>
          <w:tblHeader/>
          <w:jc w:val="center"/>
        </w:trPr>
        <w:tc>
          <w:tcPr>
            <w:tcW w:w="690" w:type="pct"/>
            <w:tcBorders>
              <w:tl2br w:val="nil"/>
              <w:tr2bl w:val="nil"/>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0"/>
              </w:rPr>
            </w:pPr>
            <w:r>
              <w:rPr>
                <w:rFonts w:hint="default" w:ascii="Arial" w:hAnsi="Arial" w:eastAsia="宋体" w:cs="Arial"/>
                <w:color w:val="auto"/>
                <w:sz w:val="21"/>
                <w:szCs w:val="20"/>
              </w:rPr>
              <w:t>月（年）</w:t>
            </w:r>
          </w:p>
        </w:tc>
        <w:tc>
          <w:tcPr>
            <w:tcW w:w="312" w:type="pct"/>
            <w:tcBorders>
              <w:tl2br w:val="nil"/>
              <w:tr2bl w:val="nil"/>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0"/>
              </w:rPr>
            </w:pPr>
            <w:r>
              <w:rPr>
                <w:rFonts w:hint="default" w:ascii="Arial" w:hAnsi="Arial" w:eastAsia="宋体" w:cs="Arial"/>
                <w:color w:val="auto"/>
                <w:sz w:val="21"/>
                <w:szCs w:val="20"/>
              </w:rPr>
              <w:t>1</w:t>
            </w:r>
          </w:p>
        </w:tc>
        <w:tc>
          <w:tcPr>
            <w:tcW w:w="312" w:type="pct"/>
            <w:tcBorders>
              <w:tl2br w:val="nil"/>
              <w:tr2bl w:val="nil"/>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0"/>
              </w:rPr>
            </w:pPr>
            <w:r>
              <w:rPr>
                <w:rFonts w:hint="default" w:ascii="Arial" w:hAnsi="Arial" w:eastAsia="宋体" w:cs="Arial"/>
                <w:color w:val="auto"/>
                <w:sz w:val="21"/>
                <w:szCs w:val="20"/>
              </w:rPr>
              <w:t>2</w:t>
            </w:r>
          </w:p>
        </w:tc>
        <w:tc>
          <w:tcPr>
            <w:tcW w:w="312" w:type="pct"/>
            <w:tcBorders>
              <w:tl2br w:val="nil"/>
              <w:tr2bl w:val="nil"/>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0"/>
              </w:rPr>
            </w:pPr>
            <w:r>
              <w:rPr>
                <w:rFonts w:hint="default" w:ascii="Arial" w:hAnsi="Arial" w:eastAsia="宋体" w:cs="Arial"/>
                <w:color w:val="auto"/>
                <w:sz w:val="21"/>
                <w:szCs w:val="20"/>
              </w:rPr>
              <w:t>3</w:t>
            </w:r>
          </w:p>
        </w:tc>
        <w:tc>
          <w:tcPr>
            <w:tcW w:w="312" w:type="pct"/>
            <w:tcBorders>
              <w:tl2br w:val="nil"/>
              <w:tr2bl w:val="nil"/>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0"/>
              </w:rPr>
            </w:pPr>
            <w:r>
              <w:rPr>
                <w:rFonts w:hint="default" w:ascii="Arial" w:hAnsi="Arial" w:eastAsia="宋体" w:cs="Arial"/>
                <w:color w:val="auto"/>
                <w:sz w:val="21"/>
                <w:szCs w:val="20"/>
              </w:rPr>
              <w:t>4</w:t>
            </w:r>
          </w:p>
        </w:tc>
        <w:tc>
          <w:tcPr>
            <w:tcW w:w="312" w:type="pct"/>
            <w:tcBorders>
              <w:tl2br w:val="nil"/>
              <w:tr2bl w:val="nil"/>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0"/>
              </w:rPr>
            </w:pPr>
            <w:r>
              <w:rPr>
                <w:rFonts w:hint="default" w:ascii="Arial" w:hAnsi="Arial" w:eastAsia="宋体" w:cs="Arial"/>
                <w:color w:val="auto"/>
                <w:sz w:val="21"/>
                <w:szCs w:val="20"/>
              </w:rPr>
              <w:t>5</w:t>
            </w:r>
          </w:p>
        </w:tc>
        <w:tc>
          <w:tcPr>
            <w:tcW w:w="312" w:type="pct"/>
            <w:tcBorders>
              <w:tl2br w:val="nil"/>
              <w:tr2bl w:val="nil"/>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0"/>
              </w:rPr>
            </w:pPr>
            <w:r>
              <w:rPr>
                <w:rFonts w:hint="default" w:ascii="Arial" w:hAnsi="Arial" w:eastAsia="宋体" w:cs="Arial"/>
                <w:color w:val="auto"/>
                <w:sz w:val="21"/>
                <w:szCs w:val="20"/>
              </w:rPr>
              <w:t>6</w:t>
            </w:r>
          </w:p>
        </w:tc>
        <w:tc>
          <w:tcPr>
            <w:tcW w:w="312" w:type="pct"/>
            <w:tcBorders>
              <w:tl2br w:val="nil"/>
              <w:tr2bl w:val="nil"/>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0"/>
              </w:rPr>
            </w:pPr>
            <w:r>
              <w:rPr>
                <w:rFonts w:hint="default" w:ascii="Arial" w:hAnsi="Arial" w:eastAsia="宋体" w:cs="Arial"/>
                <w:color w:val="auto"/>
                <w:sz w:val="21"/>
                <w:szCs w:val="20"/>
              </w:rPr>
              <w:t>7</w:t>
            </w:r>
          </w:p>
        </w:tc>
        <w:tc>
          <w:tcPr>
            <w:tcW w:w="312" w:type="pct"/>
            <w:tcBorders>
              <w:tl2br w:val="nil"/>
              <w:tr2bl w:val="nil"/>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0"/>
              </w:rPr>
            </w:pPr>
            <w:r>
              <w:rPr>
                <w:rFonts w:hint="default" w:ascii="Arial" w:hAnsi="Arial" w:eastAsia="宋体" w:cs="Arial"/>
                <w:color w:val="auto"/>
                <w:sz w:val="21"/>
                <w:szCs w:val="20"/>
              </w:rPr>
              <w:t>8</w:t>
            </w:r>
          </w:p>
        </w:tc>
        <w:tc>
          <w:tcPr>
            <w:tcW w:w="313" w:type="pct"/>
            <w:tcBorders>
              <w:tl2br w:val="nil"/>
              <w:tr2bl w:val="nil"/>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0"/>
              </w:rPr>
            </w:pPr>
            <w:r>
              <w:rPr>
                <w:rFonts w:hint="default" w:ascii="Arial" w:hAnsi="Arial" w:eastAsia="宋体" w:cs="Arial"/>
                <w:color w:val="auto"/>
                <w:sz w:val="21"/>
                <w:szCs w:val="20"/>
              </w:rPr>
              <w:t>9</w:t>
            </w:r>
          </w:p>
        </w:tc>
        <w:tc>
          <w:tcPr>
            <w:tcW w:w="313" w:type="pct"/>
            <w:tcBorders>
              <w:tl2br w:val="nil"/>
              <w:tr2bl w:val="nil"/>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0"/>
              </w:rPr>
            </w:pPr>
            <w:r>
              <w:rPr>
                <w:rFonts w:hint="default" w:ascii="Arial" w:hAnsi="Arial" w:eastAsia="宋体" w:cs="Arial"/>
                <w:color w:val="auto"/>
                <w:sz w:val="21"/>
                <w:szCs w:val="20"/>
              </w:rPr>
              <w:t>10</w:t>
            </w:r>
          </w:p>
        </w:tc>
        <w:tc>
          <w:tcPr>
            <w:tcW w:w="313" w:type="pct"/>
            <w:tcBorders>
              <w:tl2br w:val="nil"/>
              <w:tr2bl w:val="nil"/>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0"/>
              </w:rPr>
            </w:pPr>
            <w:r>
              <w:rPr>
                <w:rFonts w:hint="default" w:ascii="Arial" w:hAnsi="Arial" w:eastAsia="宋体" w:cs="Arial"/>
                <w:color w:val="auto"/>
                <w:sz w:val="21"/>
                <w:szCs w:val="20"/>
              </w:rPr>
              <w:t>11</w:t>
            </w:r>
          </w:p>
        </w:tc>
        <w:tc>
          <w:tcPr>
            <w:tcW w:w="313" w:type="pct"/>
            <w:tcBorders>
              <w:tl2br w:val="nil"/>
              <w:tr2bl w:val="nil"/>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0"/>
              </w:rPr>
            </w:pPr>
            <w:r>
              <w:rPr>
                <w:rFonts w:hint="default" w:ascii="Arial" w:hAnsi="Arial" w:eastAsia="宋体" w:cs="Arial"/>
                <w:color w:val="auto"/>
                <w:sz w:val="21"/>
                <w:szCs w:val="20"/>
              </w:rPr>
              <w:t>12</w:t>
            </w:r>
          </w:p>
        </w:tc>
        <w:tc>
          <w:tcPr>
            <w:tcW w:w="553" w:type="pct"/>
            <w:tcBorders>
              <w:tl2br w:val="nil"/>
              <w:tr2bl w:val="nil"/>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0"/>
              </w:rPr>
            </w:pPr>
            <w:r>
              <w:rPr>
                <w:rFonts w:hint="default" w:ascii="Arial" w:hAnsi="Arial" w:eastAsia="宋体" w:cs="Arial"/>
                <w:color w:val="auto"/>
                <w:sz w:val="21"/>
                <w:szCs w:val="20"/>
              </w:rPr>
              <w:t>年平均</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690" w:type="pct"/>
            <w:tcBorders>
              <w:tl2br w:val="nil"/>
              <w:tr2bl w:val="nil"/>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0"/>
              </w:rPr>
            </w:pPr>
            <w:r>
              <w:rPr>
                <w:rFonts w:hint="default" w:ascii="Arial" w:hAnsi="Arial" w:eastAsia="宋体" w:cs="Arial"/>
                <w:color w:val="auto"/>
                <w:sz w:val="21"/>
                <w:szCs w:val="20"/>
              </w:rPr>
              <w:t>平均风速</w:t>
            </w:r>
          </w:p>
        </w:tc>
        <w:tc>
          <w:tcPr>
            <w:tcW w:w="312" w:type="pct"/>
            <w:tcBorders>
              <w:tl2br w:val="nil"/>
              <w:tr2bl w:val="nil"/>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0"/>
              </w:rPr>
            </w:pPr>
            <w:r>
              <w:rPr>
                <w:rFonts w:hint="default" w:ascii="Arial" w:hAnsi="Arial" w:eastAsia="宋体" w:cs="Arial"/>
                <w:color w:val="auto"/>
                <w:sz w:val="21"/>
                <w:szCs w:val="20"/>
              </w:rPr>
              <w:t>1.4</w:t>
            </w:r>
          </w:p>
        </w:tc>
        <w:tc>
          <w:tcPr>
            <w:tcW w:w="312" w:type="pct"/>
            <w:tcBorders>
              <w:tl2br w:val="nil"/>
              <w:tr2bl w:val="nil"/>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0"/>
              </w:rPr>
            </w:pPr>
            <w:r>
              <w:rPr>
                <w:rFonts w:hint="default" w:ascii="Arial" w:hAnsi="Arial" w:eastAsia="宋体" w:cs="Arial"/>
                <w:color w:val="auto"/>
                <w:sz w:val="21"/>
                <w:szCs w:val="20"/>
              </w:rPr>
              <w:t>1.8</w:t>
            </w:r>
          </w:p>
        </w:tc>
        <w:tc>
          <w:tcPr>
            <w:tcW w:w="312" w:type="pct"/>
            <w:tcBorders>
              <w:tl2br w:val="nil"/>
              <w:tr2bl w:val="nil"/>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0"/>
              </w:rPr>
            </w:pPr>
            <w:r>
              <w:rPr>
                <w:rFonts w:hint="default" w:ascii="Arial" w:hAnsi="Arial" w:eastAsia="宋体" w:cs="Arial"/>
                <w:color w:val="auto"/>
                <w:sz w:val="21"/>
                <w:szCs w:val="20"/>
              </w:rPr>
              <w:t>2.3</w:t>
            </w:r>
          </w:p>
        </w:tc>
        <w:tc>
          <w:tcPr>
            <w:tcW w:w="312" w:type="pct"/>
            <w:tcBorders>
              <w:tl2br w:val="nil"/>
              <w:tr2bl w:val="nil"/>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0"/>
              </w:rPr>
            </w:pPr>
            <w:r>
              <w:rPr>
                <w:rFonts w:hint="default" w:ascii="Arial" w:hAnsi="Arial" w:eastAsia="宋体" w:cs="Arial"/>
                <w:color w:val="auto"/>
                <w:sz w:val="21"/>
                <w:szCs w:val="20"/>
              </w:rPr>
              <w:t>2.6</w:t>
            </w:r>
          </w:p>
        </w:tc>
        <w:tc>
          <w:tcPr>
            <w:tcW w:w="312" w:type="pct"/>
            <w:tcBorders>
              <w:tl2br w:val="nil"/>
              <w:tr2bl w:val="nil"/>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0"/>
              </w:rPr>
            </w:pPr>
            <w:r>
              <w:rPr>
                <w:rFonts w:hint="default" w:ascii="Arial" w:hAnsi="Arial" w:eastAsia="宋体" w:cs="Arial"/>
                <w:color w:val="auto"/>
                <w:sz w:val="21"/>
                <w:szCs w:val="20"/>
              </w:rPr>
              <w:t>2.5</w:t>
            </w:r>
          </w:p>
        </w:tc>
        <w:tc>
          <w:tcPr>
            <w:tcW w:w="312" w:type="pct"/>
            <w:tcBorders>
              <w:tl2br w:val="nil"/>
              <w:tr2bl w:val="nil"/>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0"/>
              </w:rPr>
            </w:pPr>
            <w:r>
              <w:rPr>
                <w:rFonts w:hint="default" w:ascii="Arial" w:hAnsi="Arial" w:eastAsia="宋体" w:cs="Arial"/>
                <w:color w:val="auto"/>
                <w:sz w:val="21"/>
                <w:szCs w:val="20"/>
              </w:rPr>
              <w:t>2.2</w:t>
            </w:r>
          </w:p>
        </w:tc>
        <w:tc>
          <w:tcPr>
            <w:tcW w:w="312" w:type="pct"/>
            <w:tcBorders>
              <w:tl2br w:val="nil"/>
              <w:tr2bl w:val="nil"/>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0"/>
              </w:rPr>
            </w:pPr>
            <w:r>
              <w:rPr>
                <w:rFonts w:hint="default" w:ascii="Arial" w:hAnsi="Arial" w:eastAsia="宋体" w:cs="Arial"/>
                <w:color w:val="auto"/>
                <w:sz w:val="21"/>
                <w:szCs w:val="20"/>
              </w:rPr>
              <w:t>1.9</w:t>
            </w:r>
          </w:p>
        </w:tc>
        <w:tc>
          <w:tcPr>
            <w:tcW w:w="312" w:type="pct"/>
            <w:tcBorders>
              <w:tl2br w:val="nil"/>
              <w:tr2bl w:val="nil"/>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0"/>
              </w:rPr>
            </w:pPr>
            <w:r>
              <w:rPr>
                <w:rFonts w:hint="default" w:ascii="Arial" w:hAnsi="Arial" w:eastAsia="宋体" w:cs="Arial"/>
                <w:color w:val="auto"/>
                <w:sz w:val="21"/>
                <w:szCs w:val="20"/>
              </w:rPr>
              <w:t>1.8</w:t>
            </w:r>
          </w:p>
        </w:tc>
        <w:tc>
          <w:tcPr>
            <w:tcW w:w="313" w:type="pct"/>
            <w:tcBorders>
              <w:tl2br w:val="nil"/>
              <w:tr2bl w:val="nil"/>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0"/>
              </w:rPr>
            </w:pPr>
            <w:r>
              <w:rPr>
                <w:rFonts w:hint="default" w:ascii="Arial" w:hAnsi="Arial" w:eastAsia="宋体" w:cs="Arial"/>
                <w:color w:val="auto"/>
                <w:sz w:val="21"/>
                <w:szCs w:val="20"/>
              </w:rPr>
              <w:t>1.8</w:t>
            </w:r>
          </w:p>
        </w:tc>
        <w:tc>
          <w:tcPr>
            <w:tcW w:w="313" w:type="pct"/>
            <w:tcBorders>
              <w:tl2br w:val="nil"/>
              <w:tr2bl w:val="nil"/>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0"/>
              </w:rPr>
            </w:pPr>
            <w:r>
              <w:rPr>
                <w:rFonts w:hint="default" w:ascii="Arial" w:hAnsi="Arial" w:eastAsia="宋体" w:cs="Arial"/>
                <w:color w:val="auto"/>
                <w:sz w:val="21"/>
                <w:szCs w:val="20"/>
              </w:rPr>
              <w:t>1.6</w:t>
            </w:r>
          </w:p>
        </w:tc>
        <w:tc>
          <w:tcPr>
            <w:tcW w:w="313" w:type="pct"/>
            <w:tcBorders>
              <w:tl2br w:val="nil"/>
              <w:tr2bl w:val="nil"/>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0"/>
              </w:rPr>
            </w:pPr>
            <w:r>
              <w:rPr>
                <w:rFonts w:hint="default" w:ascii="Arial" w:hAnsi="Arial" w:eastAsia="宋体" w:cs="Arial"/>
                <w:color w:val="auto"/>
                <w:sz w:val="21"/>
                <w:szCs w:val="20"/>
              </w:rPr>
              <w:t>1.7</w:t>
            </w:r>
          </w:p>
        </w:tc>
        <w:tc>
          <w:tcPr>
            <w:tcW w:w="313" w:type="pct"/>
            <w:tcBorders>
              <w:tl2br w:val="nil"/>
              <w:tr2bl w:val="nil"/>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0"/>
              </w:rPr>
            </w:pPr>
            <w:r>
              <w:rPr>
                <w:rFonts w:hint="default" w:ascii="Arial" w:hAnsi="Arial" w:eastAsia="宋体" w:cs="Arial"/>
                <w:color w:val="auto"/>
                <w:sz w:val="21"/>
                <w:szCs w:val="20"/>
              </w:rPr>
              <w:t>1.5</w:t>
            </w:r>
          </w:p>
        </w:tc>
        <w:tc>
          <w:tcPr>
            <w:tcW w:w="553" w:type="pct"/>
            <w:tcBorders>
              <w:tl2br w:val="nil"/>
              <w:tr2bl w:val="nil"/>
            </w:tcBorders>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0"/>
              </w:rPr>
            </w:pPr>
            <w:r>
              <w:rPr>
                <w:rFonts w:hint="default" w:ascii="Arial" w:hAnsi="Arial" w:eastAsia="宋体" w:cs="Arial"/>
                <w:color w:val="auto"/>
                <w:sz w:val="21"/>
                <w:szCs w:val="20"/>
              </w:rPr>
              <w:t>1.9</w:t>
            </w:r>
          </w:p>
        </w:tc>
      </w:tr>
    </w:tbl>
    <w:p>
      <w:pPr>
        <w:bidi w:val="0"/>
        <w:rPr>
          <w:rFonts w:hint="default" w:ascii="Arial" w:hAnsi="Arial" w:eastAsia="宋体" w:cs="Arial"/>
          <w:color w:val="auto"/>
        </w:rPr>
      </w:pPr>
      <w:r>
        <w:rPr>
          <w:rFonts w:hint="default" w:ascii="Arial" w:hAnsi="Arial" w:eastAsia="宋体" w:cs="Arial"/>
          <w:color w:val="auto"/>
        </w:rPr>
        <w:drawing>
          <wp:anchor distT="0" distB="0" distL="114300" distR="114300" simplePos="0" relativeHeight="251680768" behindDoc="0" locked="0" layoutInCell="1" allowOverlap="1">
            <wp:simplePos x="0" y="0"/>
            <wp:positionH relativeFrom="column">
              <wp:posOffset>-67945</wp:posOffset>
            </wp:positionH>
            <wp:positionV relativeFrom="paragraph">
              <wp:posOffset>104140</wp:posOffset>
            </wp:positionV>
            <wp:extent cx="5681980" cy="1913255"/>
            <wp:effectExtent l="0" t="0" r="13970" b="10795"/>
            <wp:wrapNone/>
            <wp:docPr id="107"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14"/>
                    <pic:cNvPicPr>
                      <a:picLocks noChangeAspect="1"/>
                    </pic:cNvPicPr>
                  </pic:nvPicPr>
                  <pic:blipFill>
                    <a:blip r:embed="rId35"/>
                    <a:stretch>
                      <a:fillRect/>
                    </a:stretch>
                  </pic:blipFill>
                  <pic:spPr>
                    <a:xfrm>
                      <a:off x="0" y="0"/>
                      <a:ext cx="5681980" cy="1913255"/>
                    </a:xfrm>
                    <a:prstGeom prst="rect">
                      <a:avLst/>
                    </a:prstGeom>
                    <a:noFill/>
                    <a:ln>
                      <a:noFill/>
                    </a:ln>
                  </pic:spPr>
                </pic:pic>
              </a:graphicData>
            </a:graphic>
          </wp:anchor>
        </w:drawing>
      </w:r>
    </w:p>
    <w:p>
      <w:pPr>
        <w:bidi w:val="0"/>
        <w:rPr>
          <w:rFonts w:hint="default" w:ascii="Arial" w:hAnsi="Arial" w:eastAsia="宋体" w:cs="Arial"/>
          <w:color w:val="auto"/>
        </w:rPr>
      </w:pPr>
    </w:p>
    <w:p>
      <w:pPr>
        <w:bidi w:val="0"/>
        <w:ind w:left="0" w:leftChars="0" w:firstLine="0" w:firstLineChars="0"/>
        <w:rPr>
          <w:rFonts w:hint="default" w:ascii="Arial" w:hAnsi="Arial" w:eastAsia="宋体" w:cs="Arial"/>
          <w:color w:val="auto"/>
        </w:rPr>
      </w:pPr>
    </w:p>
    <w:p>
      <w:pPr>
        <w:bidi w:val="0"/>
        <w:rPr>
          <w:rFonts w:hint="default" w:ascii="Arial" w:hAnsi="Arial" w:eastAsia="宋体" w:cs="Arial"/>
          <w:color w:val="auto"/>
        </w:rPr>
      </w:pPr>
    </w:p>
    <w:p>
      <w:pPr>
        <w:bidi w:val="0"/>
        <w:rPr>
          <w:rFonts w:hint="default" w:ascii="Arial" w:hAnsi="Arial" w:eastAsia="宋体" w:cs="Arial"/>
          <w:color w:val="auto"/>
        </w:rPr>
      </w:pPr>
    </w:p>
    <w:p>
      <w:pPr>
        <w:bidi w:val="0"/>
        <w:rPr>
          <w:rFonts w:hint="default" w:ascii="Arial" w:hAnsi="Arial" w:eastAsia="宋体" w:cs="Arial"/>
          <w:color w:val="auto"/>
        </w:rPr>
      </w:pPr>
    </w:p>
    <w:p>
      <w:pPr>
        <w:bidi w:val="0"/>
        <w:rPr>
          <w:rFonts w:hint="default" w:ascii="Arial" w:hAnsi="Arial" w:eastAsia="宋体" w:cs="Arial"/>
          <w:color w:val="auto"/>
        </w:rPr>
      </w:pPr>
    </w:p>
    <w:p>
      <w:pPr>
        <w:keepNext w:val="0"/>
        <w:keepLines w:val="0"/>
        <w:pageBreakBefore w:val="0"/>
        <w:widowControl w:val="0"/>
        <w:kinsoku/>
        <w:wordWrap/>
        <w:overflowPunct/>
        <w:topLinePunct/>
        <w:autoSpaceDE w:val="0"/>
        <w:autoSpaceDN/>
        <w:bidi w:val="0"/>
        <w:adjustRightInd/>
        <w:snapToGrid/>
        <w:spacing w:line="480" w:lineRule="exact"/>
        <w:ind w:left="0" w:leftChars="0" w:firstLine="0" w:firstLineChars="0"/>
        <w:jc w:val="center"/>
        <w:textAlignment w:val="auto"/>
        <w:rPr>
          <w:rFonts w:hint="default" w:ascii="Arial" w:hAnsi="Arial" w:eastAsia="宋体" w:cs="Arial"/>
          <w:color w:val="auto"/>
        </w:rPr>
      </w:pPr>
      <w:r>
        <w:rPr>
          <w:rFonts w:hint="default" w:ascii="Arial" w:hAnsi="Arial" w:eastAsia="宋体" w:cs="Arial"/>
          <w:b/>
          <w:bCs/>
          <w:color w:val="auto"/>
        </w:rPr>
        <w:t>图5.2-2    五原县近20年（1999年-2018年）逐月平均风速变化曲线</w:t>
      </w:r>
    </w:p>
    <w:p>
      <w:pPr>
        <w:keepNext w:val="0"/>
        <w:keepLines w:val="0"/>
        <w:pageBreakBefore w:val="0"/>
        <w:widowControl w:val="0"/>
        <w:kinsoku/>
        <w:wordWrap/>
        <w:overflowPunct/>
        <w:topLinePunct/>
        <w:autoSpaceDE w:val="0"/>
        <w:autoSpaceDN/>
        <w:bidi w:val="0"/>
        <w:adjustRightInd/>
        <w:snapToGrid/>
        <w:spacing w:line="480" w:lineRule="exact"/>
        <w:ind w:firstLine="480" w:firstLineChars="200"/>
        <w:textAlignment w:val="auto"/>
        <w:rPr>
          <w:rFonts w:hint="default" w:ascii="Arial" w:hAnsi="Arial" w:eastAsia="宋体" w:cs="Arial"/>
          <w:color w:val="auto"/>
        </w:rPr>
      </w:pPr>
      <w:r>
        <w:rPr>
          <w:rFonts w:hint="default" w:ascii="Arial" w:hAnsi="Arial" w:eastAsia="宋体" w:cs="Arial"/>
          <w:color w:val="auto"/>
        </w:rPr>
        <w:t>（2）地面风频的月变化</w:t>
      </w:r>
    </w:p>
    <w:p>
      <w:pPr>
        <w:keepNext w:val="0"/>
        <w:keepLines w:val="0"/>
        <w:pageBreakBefore w:val="0"/>
        <w:widowControl w:val="0"/>
        <w:kinsoku/>
        <w:wordWrap/>
        <w:overflowPunct/>
        <w:topLinePunct/>
        <w:autoSpaceDE w:val="0"/>
        <w:autoSpaceDN/>
        <w:bidi w:val="0"/>
        <w:adjustRightInd/>
        <w:snapToGrid/>
        <w:spacing w:line="480" w:lineRule="exact"/>
        <w:ind w:firstLine="480" w:firstLineChars="200"/>
        <w:textAlignment w:val="auto"/>
        <w:rPr>
          <w:rFonts w:hint="default" w:ascii="Arial" w:hAnsi="Arial" w:eastAsia="宋体" w:cs="Arial"/>
          <w:color w:val="auto"/>
        </w:rPr>
      </w:pPr>
      <w:r>
        <w:rPr>
          <w:rFonts w:hint="default" w:ascii="Arial" w:hAnsi="Arial" w:eastAsia="宋体" w:cs="Arial"/>
          <w:color w:val="auto"/>
        </w:rPr>
        <w:t>巴彦淖尔市五原县近20年（1999年-2018年）各月风向频率统计见下表，五原县近20年各月风向频率玫瑰图见下图。</w:t>
      </w:r>
    </w:p>
    <w:p>
      <w:pPr>
        <w:keepNext w:val="0"/>
        <w:keepLines w:val="0"/>
        <w:pageBreakBefore w:val="0"/>
        <w:widowControl w:val="0"/>
        <w:kinsoku/>
        <w:wordWrap/>
        <w:overflowPunct/>
        <w:topLinePunct/>
        <w:autoSpaceDE w:val="0"/>
        <w:autoSpaceDN/>
        <w:bidi w:val="0"/>
        <w:adjustRightInd/>
        <w:snapToGrid/>
        <w:spacing w:line="480" w:lineRule="exact"/>
        <w:ind w:firstLine="480" w:firstLineChars="200"/>
        <w:textAlignment w:val="auto"/>
        <w:rPr>
          <w:rFonts w:hint="default" w:ascii="Arial" w:hAnsi="Arial" w:eastAsia="宋体" w:cs="Arial"/>
          <w:color w:val="auto"/>
        </w:rPr>
      </w:pPr>
      <w:r>
        <w:rPr>
          <w:rFonts w:hint="default" w:ascii="Arial" w:hAnsi="Arial" w:eastAsia="宋体" w:cs="Arial"/>
          <w:color w:val="auto"/>
        </w:rPr>
        <w:t>由图、表可知，五原县一月份主导风向为ENE风，出现频率为11.5%；二月份主导风向为ENE风，出现频率为12.5%；三月份主导风向为WSW风，出现频率为10.7%；四月份主导方向为WSW风，出现频率为11.0%，五月份主导风向为WSW风，出现频率为10.4%，六月份主导风向为NE风，出现频率为10.4%，七月份主导风向为ENE风，出现频率为9.2%，八月份主导风向为ENE风，出现频率为10.8%，九月份主导风向为ENE风，出现频率为10.5%，十月份主导风向为ENE风，出现频率为9.8%，十一月份主导风向为ENE风，出现频率为10.1%，十二月份主导方向为ENE风，出现频率为11.2%。</w:t>
      </w:r>
    </w:p>
    <w:p>
      <w:pPr>
        <w:ind w:left="0" w:leftChars="0" w:firstLine="0" w:firstLineChars="0"/>
        <w:jc w:val="center"/>
        <w:rPr>
          <w:rFonts w:hint="default" w:ascii="Arial" w:hAnsi="Arial" w:eastAsia="宋体" w:cs="Arial"/>
          <w:b/>
          <w:bCs w:val="0"/>
          <w:color w:val="auto"/>
          <w:lang w:val="zh-CN"/>
        </w:rPr>
      </w:pPr>
      <w:r>
        <w:rPr>
          <w:rFonts w:hint="default" w:ascii="Arial" w:hAnsi="Arial" w:eastAsia="宋体" w:cs="Arial"/>
          <w:b/>
          <w:bCs w:val="0"/>
          <w:color w:val="auto"/>
          <w:lang w:val="zh-CN"/>
        </w:rPr>
        <w:t>表</w:t>
      </w:r>
      <w:r>
        <w:rPr>
          <w:rFonts w:hint="default" w:ascii="Arial" w:hAnsi="Arial" w:eastAsia="宋体" w:cs="Arial"/>
          <w:b/>
          <w:bCs w:val="0"/>
          <w:color w:val="auto"/>
        </w:rPr>
        <w:t>5.2</w:t>
      </w:r>
      <w:r>
        <w:rPr>
          <w:rFonts w:hint="default" w:ascii="Arial" w:hAnsi="Arial" w:eastAsia="宋体" w:cs="Arial"/>
          <w:b/>
          <w:bCs w:val="0"/>
          <w:color w:val="auto"/>
          <w:lang w:val="zh-CN"/>
        </w:rPr>
        <w:t>-</w:t>
      </w:r>
      <w:r>
        <w:rPr>
          <w:rFonts w:hint="default" w:ascii="Arial" w:hAnsi="Arial" w:eastAsia="宋体" w:cs="Arial"/>
          <w:b/>
          <w:bCs w:val="0"/>
          <w:color w:val="auto"/>
        </w:rPr>
        <w:t>4</w:t>
      </w:r>
      <w:r>
        <w:rPr>
          <w:rFonts w:hint="default" w:ascii="Arial" w:hAnsi="Arial" w:eastAsia="宋体" w:cs="Arial"/>
          <w:b/>
          <w:bCs w:val="0"/>
          <w:color w:val="auto"/>
          <w:lang w:val="zh-CN"/>
        </w:rPr>
        <w:t xml:space="preserve"> </w:t>
      </w:r>
      <w:r>
        <w:rPr>
          <w:rFonts w:hint="default" w:ascii="Arial" w:hAnsi="Arial" w:eastAsia="宋体" w:cs="Arial"/>
          <w:b/>
          <w:bCs w:val="0"/>
          <w:color w:val="auto"/>
        </w:rPr>
        <w:t xml:space="preserve">  </w:t>
      </w:r>
      <w:r>
        <w:rPr>
          <w:rFonts w:hint="default" w:ascii="Arial" w:hAnsi="Arial" w:eastAsia="宋体" w:cs="Arial"/>
          <w:b/>
          <w:bCs w:val="0"/>
          <w:color w:val="auto"/>
          <w:lang w:val="zh-CN"/>
        </w:rPr>
        <w:t xml:space="preserve"> 五原县20年（199</w:t>
      </w:r>
      <w:r>
        <w:rPr>
          <w:rFonts w:hint="default" w:ascii="Arial" w:hAnsi="Arial" w:eastAsia="宋体" w:cs="Arial"/>
          <w:b/>
          <w:bCs w:val="0"/>
          <w:color w:val="auto"/>
        </w:rPr>
        <w:t>9</w:t>
      </w:r>
      <w:r>
        <w:rPr>
          <w:rFonts w:hint="default" w:ascii="Arial" w:hAnsi="Arial" w:eastAsia="宋体" w:cs="Arial"/>
          <w:b/>
          <w:bCs w:val="0"/>
          <w:color w:val="auto"/>
          <w:lang w:val="zh-CN"/>
        </w:rPr>
        <w:t>～201</w:t>
      </w:r>
      <w:r>
        <w:rPr>
          <w:rFonts w:hint="default" w:ascii="Arial" w:hAnsi="Arial" w:eastAsia="宋体" w:cs="Arial"/>
          <w:b/>
          <w:bCs w:val="0"/>
          <w:color w:val="auto"/>
        </w:rPr>
        <w:t>8</w:t>
      </w:r>
      <w:r>
        <w:rPr>
          <w:rFonts w:hint="default" w:ascii="Arial" w:hAnsi="Arial" w:eastAsia="宋体" w:cs="Arial"/>
          <w:b/>
          <w:bCs w:val="0"/>
          <w:color w:val="auto"/>
          <w:lang w:val="zh-CN"/>
        </w:rPr>
        <w:t>年）各月各风向频率统计表</w:t>
      </w:r>
    </w:p>
    <w:tbl>
      <w:tblPr>
        <w:tblStyle w:val="39"/>
        <w:tblW w:w="9003"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565"/>
        <w:gridCol w:w="419"/>
        <w:gridCol w:w="524"/>
        <w:gridCol w:w="500"/>
        <w:gridCol w:w="516"/>
        <w:gridCol w:w="500"/>
        <w:gridCol w:w="508"/>
        <w:gridCol w:w="419"/>
        <w:gridCol w:w="508"/>
        <w:gridCol w:w="419"/>
        <w:gridCol w:w="548"/>
        <w:gridCol w:w="451"/>
        <w:gridCol w:w="588"/>
        <w:gridCol w:w="419"/>
        <w:gridCol w:w="596"/>
        <w:gridCol w:w="459"/>
        <w:gridCol w:w="564"/>
        <w:gridCol w:w="500"/>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 w:type="pct"/>
            <w:tcBorders>
              <w:tl2br w:val="single" w:color="auto" w:sz="4" w:space="0"/>
            </w:tcBorders>
            <w:vAlign w:val="center"/>
          </w:tcPr>
          <w:p>
            <w:pPr>
              <w:keepNext w:val="0"/>
              <w:keepLines w:val="0"/>
              <w:pageBreakBefore w:val="0"/>
              <w:kinsoku/>
              <w:wordWrap/>
              <w:overflowPunct/>
              <w:topLinePunct/>
              <w:autoSpaceDE w:val="0"/>
              <w:autoSpaceDN/>
              <w:bidi w:val="0"/>
              <w:adjustRightInd/>
              <w:snapToGrid/>
              <w:spacing w:line="360" w:lineRule="exact"/>
              <w:ind w:firstLine="0" w:firstLineChars="0"/>
              <w:textAlignment w:val="auto"/>
              <w:rPr>
                <w:rFonts w:hint="default" w:ascii="Arial" w:hAnsi="Arial" w:eastAsia="宋体" w:cs="Arial"/>
                <w:color w:val="auto"/>
                <w:sz w:val="18"/>
                <w:szCs w:val="18"/>
              </w:rPr>
            </w:pPr>
            <w:r>
              <w:rPr>
                <w:rFonts w:hint="default" w:ascii="Arial" w:hAnsi="Arial" w:eastAsia="宋体" w:cs="Arial"/>
                <w:color w:val="auto"/>
                <w:sz w:val="18"/>
                <w:szCs w:val="18"/>
              </w:rPr>
              <w:t>风向</w:t>
            </w:r>
          </w:p>
          <w:p>
            <w:pPr>
              <w:keepNext w:val="0"/>
              <w:keepLines w:val="0"/>
              <w:pageBreakBefore w:val="0"/>
              <w:kinsoku/>
              <w:wordWrap/>
              <w:overflowPunct/>
              <w:topLinePunct/>
              <w:autoSpaceDE w:val="0"/>
              <w:autoSpaceDN/>
              <w:bidi w:val="0"/>
              <w:adjustRightInd/>
              <w:snapToGrid/>
              <w:spacing w:line="360" w:lineRule="exact"/>
              <w:ind w:firstLine="0" w:firstLineChars="0"/>
              <w:textAlignment w:val="auto"/>
              <w:rPr>
                <w:rFonts w:hint="default" w:ascii="Arial" w:hAnsi="Arial" w:eastAsia="宋体" w:cs="Arial"/>
                <w:color w:val="auto"/>
                <w:sz w:val="18"/>
                <w:szCs w:val="18"/>
              </w:rPr>
            </w:pPr>
            <w:r>
              <w:rPr>
                <w:rFonts w:hint="default" w:ascii="Arial" w:hAnsi="Arial" w:eastAsia="宋体" w:cs="Arial"/>
                <w:color w:val="auto"/>
                <w:sz w:val="18"/>
                <w:szCs w:val="18"/>
              </w:rPr>
              <w:t>风频（%）</w:t>
            </w:r>
          </w:p>
        </w:tc>
        <w:tc>
          <w:tcPr>
            <w:tcW w:w="50" w:type="pct"/>
            <w:vAlign w:val="center"/>
          </w:tcPr>
          <w:p>
            <w:pPr>
              <w:keepNext w:val="0"/>
              <w:keepLines w:val="0"/>
              <w:pageBreakBefore w:val="0"/>
              <w:kinsoku/>
              <w:wordWrap/>
              <w:overflowPunct/>
              <w:topLinePunct/>
              <w:autoSpaceDE w:val="0"/>
              <w:autoSpaceDN/>
              <w:bidi w:val="0"/>
              <w:adjustRightInd/>
              <w:snapToGrid/>
              <w:spacing w:line="360" w:lineRule="exact"/>
              <w:ind w:firstLine="0" w:firstLineChars="0"/>
              <w:textAlignment w:val="auto"/>
              <w:rPr>
                <w:rFonts w:hint="default" w:ascii="Arial" w:hAnsi="Arial" w:eastAsia="宋体" w:cs="Arial"/>
                <w:color w:val="auto"/>
                <w:sz w:val="18"/>
                <w:szCs w:val="18"/>
              </w:rPr>
            </w:pPr>
            <w:r>
              <w:rPr>
                <w:rFonts w:hint="default" w:ascii="Arial" w:hAnsi="Arial" w:eastAsia="宋体" w:cs="Arial"/>
                <w:color w:val="auto"/>
                <w:sz w:val="18"/>
                <w:szCs w:val="18"/>
              </w:rPr>
              <w:t>N</w:t>
            </w:r>
          </w:p>
        </w:tc>
        <w:tc>
          <w:tcPr>
            <w:tcW w:w="50" w:type="pct"/>
            <w:vAlign w:val="center"/>
          </w:tcPr>
          <w:p>
            <w:pPr>
              <w:keepNext w:val="0"/>
              <w:keepLines w:val="0"/>
              <w:pageBreakBefore w:val="0"/>
              <w:kinsoku/>
              <w:wordWrap/>
              <w:overflowPunct/>
              <w:topLinePunct/>
              <w:autoSpaceDE w:val="0"/>
              <w:autoSpaceDN/>
              <w:bidi w:val="0"/>
              <w:adjustRightInd/>
              <w:snapToGrid/>
              <w:spacing w:line="360" w:lineRule="exact"/>
              <w:ind w:firstLine="0" w:firstLineChars="0"/>
              <w:textAlignment w:val="auto"/>
              <w:rPr>
                <w:rFonts w:hint="default" w:ascii="Arial" w:hAnsi="Arial" w:eastAsia="宋体" w:cs="Arial"/>
                <w:color w:val="auto"/>
                <w:sz w:val="18"/>
                <w:szCs w:val="18"/>
              </w:rPr>
            </w:pPr>
            <w:r>
              <w:rPr>
                <w:rFonts w:hint="default" w:ascii="Arial" w:hAnsi="Arial" w:eastAsia="宋体" w:cs="Arial"/>
                <w:color w:val="auto"/>
                <w:sz w:val="18"/>
                <w:szCs w:val="18"/>
              </w:rPr>
              <w:t>NNE</w:t>
            </w:r>
          </w:p>
        </w:tc>
        <w:tc>
          <w:tcPr>
            <w:tcW w:w="50" w:type="pct"/>
            <w:vAlign w:val="center"/>
          </w:tcPr>
          <w:p>
            <w:pPr>
              <w:keepNext w:val="0"/>
              <w:keepLines w:val="0"/>
              <w:pageBreakBefore w:val="0"/>
              <w:kinsoku/>
              <w:wordWrap/>
              <w:overflowPunct/>
              <w:topLinePunct/>
              <w:autoSpaceDE w:val="0"/>
              <w:autoSpaceDN/>
              <w:bidi w:val="0"/>
              <w:adjustRightInd/>
              <w:snapToGrid/>
              <w:spacing w:line="360" w:lineRule="exact"/>
              <w:ind w:firstLine="0" w:firstLineChars="0"/>
              <w:textAlignment w:val="auto"/>
              <w:rPr>
                <w:rFonts w:hint="default" w:ascii="Arial" w:hAnsi="Arial" w:eastAsia="宋体" w:cs="Arial"/>
                <w:color w:val="auto"/>
                <w:sz w:val="18"/>
                <w:szCs w:val="18"/>
              </w:rPr>
            </w:pPr>
            <w:bookmarkStart w:id="354" w:name="_Toc243362174"/>
            <w:bookmarkStart w:id="355" w:name="_Toc244579771"/>
            <w:r>
              <w:rPr>
                <w:rFonts w:hint="default" w:ascii="Arial" w:hAnsi="Arial" w:eastAsia="宋体" w:cs="Arial"/>
                <w:color w:val="auto"/>
                <w:sz w:val="18"/>
                <w:szCs w:val="18"/>
              </w:rPr>
              <w:t>NE</w:t>
            </w:r>
            <w:bookmarkEnd w:id="354"/>
            <w:bookmarkEnd w:id="355"/>
          </w:p>
        </w:tc>
        <w:tc>
          <w:tcPr>
            <w:tcW w:w="50" w:type="pct"/>
            <w:vAlign w:val="center"/>
          </w:tcPr>
          <w:p>
            <w:pPr>
              <w:keepNext w:val="0"/>
              <w:keepLines w:val="0"/>
              <w:pageBreakBefore w:val="0"/>
              <w:kinsoku/>
              <w:wordWrap/>
              <w:overflowPunct/>
              <w:topLinePunct/>
              <w:autoSpaceDE w:val="0"/>
              <w:autoSpaceDN/>
              <w:bidi w:val="0"/>
              <w:adjustRightInd/>
              <w:snapToGrid/>
              <w:spacing w:line="360" w:lineRule="exact"/>
              <w:ind w:firstLine="0" w:firstLineChars="0"/>
              <w:textAlignment w:val="auto"/>
              <w:rPr>
                <w:rFonts w:hint="default" w:ascii="Arial" w:hAnsi="Arial" w:eastAsia="宋体" w:cs="Arial"/>
                <w:color w:val="auto"/>
                <w:sz w:val="18"/>
                <w:szCs w:val="18"/>
              </w:rPr>
            </w:pPr>
            <w:r>
              <w:rPr>
                <w:rFonts w:hint="default" w:ascii="Arial" w:hAnsi="Arial" w:eastAsia="宋体" w:cs="Arial"/>
                <w:color w:val="auto"/>
                <w:sz w:val="18"/>
                <w:szCs w:val="18"/>
              </w:rPr>
              <w:t>ENE</w:t>
            </w:r>
          </w:p>
        </w:tc>
        <w:tc>
          <w:tcPr>
            <w:tcW w:w="50" w:type="pct"/>
            <w:vAlign w:val="center"/>
          </w:tcPr>
          <w:p>
            <w:pPr>
              <w:keepNext w:val="0"/>
              <w:keepLines w:val="0"/>
              <w:pageBreakBefore w:val="0"/>
              <w:kinsoku/>
              <w:wordWrap/>
              <w:overflowPunct/>
              <w:topLinePunct/>
              <w:autoSpaceDE w:val="0"/>
              <w:autoSpaceDN/>
              <w:bidi w:val="0"/>
              <w:adjustRightInd/>
              <w:snapToGrid/>
              <w:spacing w:line="360" w:lineRule="exact"/>
              <w:ind w:firstLine="0" w:firstLineChars="0"/>
              <w:textAlignment w:val="auto"/>
              <w:rPr>
                <w:rFonts w:hint="default" w:ascii="Arial" w:hAnsi="Arial" w:eastAsia="宋体" w:cs="Arial"/>
                <w:color w:val="auto"/>
                <w:sz w:val="18"/>
                <w:szCs w:val="18"/>
              </w:rPr>
            </w:pPr>
            <w:r>
              <w:rPr>
                <w:rFonts w:hint="default" w:ascii="Arial" w:hAnsi="Arial" w:eastAsia="宋体" w:cs="Arial"/>
                <w:color w:val="auto"/>
                <w:sz w:val="18"/>
                <w:szCs w:val="18"/>
              </w:rPr>
              <w:t>E</w:t>
            </w:r>
          </w:p>
        </w:tc>
        <w:tc>
          <w:tcPr>
            <w:tcW w:w="50" w:type="pct"/>
            <w:vAlign w:val="center"/>
          </w:tcPr>
          <w:p>
            <w:pPr>
              <w:keepNext w:val="0"/>
              <w:keepLines w:val="0"/>
              <w:pageBreakBefore w:val="0"/>
              <w:kinsoku/>
              <w:wordWrap/>
              <w:overflowPunct/>
              <w:topLinePunct/>
              <w:autoSpaceDE w:val="0"/>
              <w:autoSpaceDN/>
              <w:bidi w:val="0"/>
              <w:adjustRightInd/>
              <w:snapToGrid/>
              <w:spacing w:line="360" w:lineRule="exact"/>
              <w:ind w:firstLine="0" w:firstLineChars="0"/>
              <w:textAlignment w:val="auto"/>
              <w:rPr>
                <w:rFonts w:hint="default" w:ascii="Arial" w:hAnsi="Arial" w:eastAsia="宋体" w:cs="Arial"/>
                <w:color w:val="auto"/>
                <w:sz w:val="18"/>
                <w:szCs w:val="18"/>
              </w:rPr>
            </w:pPr>
            <w:r>
              <w:rPr>
                <w:rFonts w:hint="default" w:ascii="Arial" w:hAnsi="Arial" w:eastAsia="宋体" w:cs="Arial"/>
                <w:color w:val="auto"/>
                <w:sz w:val="18"/>
                <w:szCs w:val="18"/>
              </w:rPr>
              <w:t>ESE</w:t>
            </w:r>
          </w:p>
        </w:tc>
        <w:tc>
          <w:tcPr>
            <w:tcW w:w="50" w:type="pct"/>
            <w:vAlign w:val="center"/>
          </w:tcPr>
          <w:p>
            <w:pPr>
              <w:keepNext w:val="0"/>
              <w:keepLines w:val="0"/>
              <w:pageBreakBefore w:val="0"/>
              <w:kinsoku/>
              <w:wordWrap/>
              <w:overflowPunct/>
              <w:topLinePunct/>
              <w:autoSpaceDE w:val="0"/>
              <w:autoSpaceDN/>
              <w:bidi w:val="0"/>
              <w:adjustRightInd/>
              <w:snapToGrid/>
              <w:spacing w:line="360" w:lineRule="exact"/>
              <w:ind w:firstLine="0" w:firstLineChars="0"/>
              <w:textAlignment w:val="auto"/>
              <w:rPr>
                <w:rFonts w:hint="default" w:ascii="Arial" w:hAnsi="Arial" w:eastAsia="宋体" w:cs="Arial"/>
                <w:color w:val="auto"/>
                <w:sz w:val="18"/>
                <w:szCs w:val="18"/>
              </w:rPr>
            </w:pPr>
            <w:r>
              <w:rPr>
                <w:rFonts w:hint="default" w:ascii="Arial" w:hAnsi="Arial" w:eastAsia="宋体" w:cs="Arial"/>
                <w:color w:val="auto"/>
                <w:sz w:val="18"/>
                <w:szCs w:val="18"/>
              </w:rPr>
              <w:t>SE</w:t>
            </w:r>
          </w:p>
        </w:tc>
        <w:tc>
          <w:tcPr>
            <w:tcW w:w="50" w:type="pct"/>
            <w:vAlign w:val="center"/>
          </w:tcPr>
          <w:p>
            <w:pPr>
              <w:keepNext w:val="0"/>
              <w:keepLines w:val="0"/>
              <w:pageBreakBefore w:val="0"/>
              <w:kinsoku/>
              <w:wordWrap/>
              <w:overflowPunct/>
              <w:topLinePunct/>
              <w:autoSpaceDE w:val="0"/>
              <w:autoSpaceDN/>
              <w:bidi w:val="0"/>
              <w:adjustRightInd/>
              <w:snapToGrid/>
              <w:spacing w:line="360" w:lineRule="exact"/>
              <w:ind w:firstLine="0" w:firstLineChars="0"/>
              <w:textAlignment w:val="auto"/>
              <w:rPr>
                <w:rFonts w:hint="default" w:ascii="Arial" w:hAnsi="Arial" w:eastAsia="宋体" w:cs="Arial"/>
                <w:color w:val="auto"/>
                <w:sz w:val="18"/>
                <w:szCs w:val="18"/>
              </w:rPr>
            </w:pPr>
            <w:r>
              <w:rPr>
                <w:rFonts w:hint="default" w:ascii="Arial" w:hAnsi="Arial" w:eastAsia="宋体" w:cs="Arial"/>
                <w:color w:val="auto"/>
                <w:sz w:val="18"/>
                <w:szCs w:val="18"/>
              </w:rPr>
              <w:t>SSE</w:t>
            </w:r>
          </w:p>
        </w:tc>
        <w:tc>
          <w:tcPr>
            <w:tcW w:w="50" w:type="pct"/>
            <w:vAlign w:val="center"/>
          </w:tcPr>
          <w:p>
            <w:pPr>
              <w:keepNext w:val="0"/>
              <w:keepLines w:val="0"/>
              <w:pageBreakBefore w:val="0"/>
              <w:kinsoku/>
              <w:wordWrap/>
              <w:overflowPunct/>
              <w:topLinePunct/>
              <w:autoSpaceDE w:val="0"/>
              <w:autoSpaceDN/>
              <w:bidi w:val="0"/>
              <w:adjustRightInd/>
              <w:snapToGrid/>
              <w:spacing w:line="360" w:lineRule="exact"/>
              <w:ind w:firstLine="0" w:firstLineChars="0"/>
              <w:textAlignment w:val="auto"/>
              <w:rPr>
                <w:rFonts w:hint="default" w:ascii="Arial" w:hAnsi="Arial" w:eastAsia="宋体" w:cs="Arial"/>
                <w:color w:val="auto"/>
                <w:sz w:val="18"/>
                <w:szCs w:val="18"/>
              </w:rPr>
            </w:pPr>
            <w:r>
              <w:rPr>
                <w:rFonts w:hint="default" w:ascii="Arial" w:hAnsi="Arial" w:eastAsia="宋体" w:cs="Arial"/>
                <w:color w:val="auto"/>
                <w:sz w:val="18"/>
                <w:szCs w:val="18"/>
              </w:rPr>
              <w:t>S</w:t>
            </w:r>
          </w:p>
        </w:tc>
        <w:tc>
          <w:tcPr>
            <w:tcW w:w="50" w:type="pct"/>
            <w:vAlign w:val="center"/>
          </w:tcPr>
          <w:p>
            <w:pPr>
              <w:keepNext w:val="0"/>
              <w:keepLines w:val="0"/>
              <w:pageBreakBefore w:val="0"/>
              <w:kinsoku/>
              <w:wordWrap/>
              <w:overflowPunct/>
              <w:topLinePunct/>
              <w:autoSpaceDE w:val="0"/>
              <w:autoSpaceDN/>
              <w:bidi w:val="0"/>
              <w:adjustRightInd/>
              <w:snapToGrid/>
              <w:spacing w:line="360" w:lineRule="exact"/>
              <w:ind w:firstLine="0" w:firstLineChars="0"/>
              <w:textAlignment w:val="auto"/>
              <w:rPr>
                <w:rFonts w:hint="default" w:ascii="Arial" w:hAnsi="Arial" w:eastAsia="宋体" w:cs="Arial"/>
                <w:color w:val="auto"/>
                <w:sz w:val="18"/>
                <w:szCs w:val="18"/>
              </w:rPr>
            </w:pPr>
            <w:r>
              <w:rPr>
                <w:rFonts w:hint="default" w:ascii="Arial" w:hAnsi="Arial" w:eastAsia="宋体" w:cs="Arial"/>
                <w:color w:val="auto"/>
                <w:sz w:val="18"/>
                <w:szCs w:val="18"/>
              </w:rPr>
              <w:t>SSW</w:t>
            </w:r>
          </w:p>
        </w:tc>
        <w:tc>
          <w:tcPr>
            <w:tcW w:w="50" w:type="pct"/>
            <w:vAlign w:val="center"/>
          </w:tcPr>
          <w:p>
            <w:pPr>
              <w:keepNext w:val="0"/>
              <w:keepLines w:val="0"/>
              <w:pageBreakBefore w:val="0"/>
              <w:kinsoku/>
              <w:wordWrap/>
              <w:overflowPunct/>
              <w:topLinePunct/>
              <w:autoSpaceDE w:val="0"/>
              <w:autoSpaceDN/>
              <w:bidi w:val="0"/>
              <w:adjustRightInd/>
              <w:snapToGrid/>
              <w:spacing w:line="360" w:lineRule="exact"/>
              <w:ind w:firstLine="0" w:firstLineChars="0"/>
              <w:textAlignment w:val="auto"/>
              <w:rPr>
                <w:rFonts w:hint="default" w:ascii="Arial" w:hAnsi="Arial" w:eastAsia="宋体" w:cs="Arial"/>
                <w:color w:val="auto"/>
                <w:sz w:val="18"/>
                <w:szCs w:val="18"/>
              </w:rPr>
            </w:pPr>
            <w:r>
              <w:rPr>
                <w:rFonts w:hint="default" w:ascii="Arial" w:hAnsi="Arial" w:eastAsia="宋体" w:cs="Arial"/>
                <w:color w:val="auto"/>
                <w:sz w:val="18"/>
                <w:szCs w:val="18"/>
              </w:rPr>
              <w:t>SW</w:t>
            </w:r>
          </w:p>
        </w:tc>
        <w:tc>
          <w:tcPr>
            <w:tcW w:w="50" w:type="pct"/>
            <w:vAlign w:val="center"/>
          </w:tcPr>
          <w:p>
            <w:pPr>
              <w:keepNext w:val="0"/>
              <w:keepLines w:val="0"/>
              <w:pageBreakBefore w:val="0"/>
              <w:kinsoku/>
              <w:wordWrap/>
              <w:overflowPunct/>
              <w:topLinePunct/>
              <w:autoSpaceDE w:val="0"/>
              <w:autoSpaceDN/>
              <w:bidi w:val="0"/>
              <w:adjustRightInd/>
              <w:snapToGrid/>
              <w:spacing w:line="360" w:lineRule="exact"/>
              <w:ind w:firstLine="0" w:firstLineChars="0"/>
              <w:textAlignment w:val="auto"/>
              <w:rPr>
                <w:rFonts w:hint="default" w:ascii="Arial" w:hAnsi="Arial" w:eastAsia="宋体" w:cs="Arial"/>
                <w:color w:val="auto"/>
                <w:sz w:val="18"/>
                <w:szCs w:val="18"/>
              </w:rPr>
            </w:pPr>
            <w:r>
              <w:rPr>
                <w:rFonts w:hint="default" w:ascii="Arial" w:hAnsi="Arial" w:eastAsia="宋体" w:cs="Arial"/>
                <w:color w:val="auto"/>
                <w:sz w:val="18"/>
                <w:szCs w:val="18"/>
              </w:rPr>
              <w:t>WSW</w:t>
            </w:r>
          </w:p>
        </w:tc>
        <w:tc>
          <w:tcPr>
            <w:tcW w:w="50" w:type="pct"/>
            <w:vAlign w:val="center"/>
          </w:tcPr>
          <w:p>
            <w:pPr>
              <w:keepNext w:val="0"/>
              <w:keepLines w:val="0"/>
              <w:pageBreakBefore w:val="0"/>
              <w:kinsoku/>
              <w:wordWrap/>
              <w:overflowPunct/>
              <w:topLinePunct/>
              <w:autoSpaceDE w:val="0"/>
              <w:autoSpaceDN/>
              <w:bidi w:val="0"/>
              <w:adjustRightInd/>
              <w:snapToGrid/>
              <w:spacing w:line="360" w:lineRule="exact"/>
              <w:ind w:firstLine="0" w:firstLineChars="0"/>
              <w:textAlignment w:val="auto"/>
              <w:rPr>
                <w:rFonts w:hint="default" w:ascii="Arial" w:hAnsi="Arial" w:eastAsia="宋体" w:cs="Arial"/>
                <w:color w:val="auto"/>
                <w:sz w:val="18"/>
                <w:szCs w:val="18"/>
              </w:rPr>
            </w:pPr>
            <w:r>
              <w:rPr>
                <w:rFonts w:hint="default" w:ascii="Arial" w:hAnsi="Arial" w:eastAsia="宋体" w:cs="Arial"/>
                <w:color w:val="auto"/>
                <w:sz w:val="18"/>
                <w:szCs w:val="18"/>
              </w:rPr>
              <w:t>W</w:t>
            </w:r>
          </w:p>
        </w:tc>
        <w:tc>
          <w:tcPr>
            <w:tcW w:w="50" w:type="pct"/>
            <w:vAlign w:val="center"/>
          </w:tcPr>
          <w:p>
            <w:pPr>
              <w:keepNext w:val="0"/>
              <w:keepLines w:val="0"/>
              <w:pageBreakBefore w:val="0"/>
              <w:kinsoku/>
              <w:wordWrap/>
              <w:overflowPunct/>
              <w:topLinePunct/>
              <w:autoSpaceDE w:val="0"/>
              <w:autoSpaceDN/>
              <w:bidi w:val="0"/>
              <w:adjustRightInd/>
              <w:snapToGrid/>
              <w:spacing w:line="360" w:lineRule="exact"/>
              <w:ind w:firstLine="0" w:firstLineChars="0"/>
              <w:textAlignment w:val="auto"/>
              <w:rPr>
                <w:rFonts w:hint="default" w:ascii="Arial" w:hAnsi="Arial" w:eastAsia="宋体" w:cs="Arial"/>
                <w:color w:val="auto"/>
                <w:sz w:val="18"/>
                <w:szCs w:val="18"/>
              </w:rPr>
            </w:pPr>
            <w:r>
              <w:rPr>
                <w:rFonts w:hint="default" w:ascii="Arial" w:hAnsi="Arial" w:eastAsia="宋体" w:cs="Arial"/>
                <w:color w:val="auto"/>
                <w:sz w:val="18"/>
                <w:szCs w:val="18"/>
              </w:rPr>
              <w:t>WNW</w:t>
            </w:r>
          </w:p>
        </w:tc>
        <w:tc>
          <w:tcPr>
            <w:tcW w:w="50" w:type="pct"/>
            <w:vAlign w:val="center"/>
          </w:tcPr>
          <w:p>
            <w:pPr>
              <w:keepNext w:val="0"/>
              <w:keepLines w:val="0"/>
              <w:pageBreakBefore w:val="0"/>
              <w:kinsoku/>
              <w:wordWrap/>
              <w:overflowPunct/>
              <w:topLinePunct/>
              <w:autoSpaceDE w:val="0"/>
              <w:autoSpaceDN/>
              <w:bidi w:val="0"/>
              <w:adjustRightInd/>
              <w:snapToGrid/>
              <w:spacing w:line="360" w:lineRule="exact"/>
              <w:ind w:firstLine="0" w:firstLineChars="0"/>
              <w:textAlignment w:val="auto"/>
              <w:rPr>
                <w:rFonts w:hint="default" w:ascii="Arial" w:hAnsi="Arial" w:eastAsia="宋体" w:cs="Arial"/>
                <w:color w:val="auto"/>
                <w:sz w:val="18"/>
                <w:szCs w:val="18"/>
              </w:rPr>
            </w:pPr>
            <w:r>
              <w:rPr>
                <w:rFonts w:hint="default" w:ascii="Arial" w:hAnsi="Arial" w:eastAsia="宋体" w:cs="Arial"/>
                <w:color w:val="auto"/>
                <w:sz w:val="18"/>
                <w:szCs w:val="18"/>
              </w:rPr>
              <w:t>NW</w:t>
            </w:r>
          </w:p>
        </w:tc>
        <w:tc>
          <w:tcPr>
            <w:tcW w:w="50" w:type="pct"/>
            <w:vAlign w:val="center"/>
          </w:tcPr>
          <w:p>
            <w:pPr>
              <w:keepNext w:val="0"/>
              <w:keepLines w:val="0"/>
              <w:pageBreakBefore w:val="0"/>
              <w:kinsoku/>
              <w:wordWrap/>
              <w:overflowPunct/>
              <w:topLinePunct/>
              <w:autoSpaceDE w:val="0"/>
              <w:autoSpaceDN/>
              <w:bidi w:val="0"/>
              <w:adjustRightInd/>
              <w:snapToGrid/>
              <w:spacing w:line="360" w:lineRule="exact"/>
              <w:ind w:firstLine="0" w:firstLineChars="0"/>
              <w:textAlignment w:val="auto"/>
              <w:rPr>
                <w:rFonts w:hint="default" w:ascii="Arial" w:hAnsi="Arial" w:eastAsia="宋体" w:cs="Arial"/>
                <w:color w:val="auto"/>
                <w:sz w:val="18"/>
                <w:szCs w:val="18"/>
              </w:rPr>
            </w:pPr>
            <w:r>
              <w:rPr>
                <w:rFonts w:hint="default" w:ascii="Arial" w:hAnsi="Arial" w:eastAsia="宋体" w:cs="Arial"/>
                <w:color w:val="auto"/>
                <w:sz w:val="18"/>
                <w:szCs w:val="18"/>
              </w:rPr>
              <w:t>NNW</w:t>
            </w:r>
          </w:p>
        </w:tc>
        <w:tc>
          <w:tcPr>
            <w:tcW w:w="50" w:type="pct"/>
            <w:vAlign w:val="center"/>
          </w:tcPr>
          <w:p>
            <w:pPr>
              <w:keepNext w:val="0"/>
              <w:keepLines w:val="0"/>
              <w:pageBreakBefore w:val="0"/>
              <w:kinsoku/>
              <w:wordWrap/>
              <w:overflowPunct/>
              <w:topLinePunct/>
              <w:autoSpaceDE w:val="0"/>
              <w:autoSpaceDN/>
              <w:bidi w:val="0"/>
              <w:adjustRightInd/>
              <w:snapToGrid/>
              <w:spacing w:line="360" w:lineRule="exact"/>
              <w:ind w:firstLine="0" w:firstLineChars="0"/>
              <w:textAlignment w:val="auto"/>
              <w:rPr>
                <w:rFonts w:hint="default" w:ascii="Arial" w:hAnsi="Arial" w:eastAsia="宋体" w:cs="Arial"/>
                <w:color w:val="auto"/>
                <w:sz w:val="18"/>
                <w:szCs w:val="18"/>
              </w:rPr>
            </w:pPr>
            <w:r>
              <w:rPr>
                <w:rFonts w:hint="default" w:ascii="Arial" w:hAnsi="Arial" w:eastAsia="宋体" w:cs="Arial"/>
                <w:color w:val="auto"/>
                <w:sz w:val="18"/>
                <w:szCs w:val="18"/>
              </w:rPr>
              <w:t>C</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 w:type="pct"/>
            <w:vAlign w:val="center"/>
          </w:tcPr>
          <w:p>
            <w:pPr>
              <w:keepNext w:val="0"/>
              <w:keepLines w:val="0"/>
              <w:pageBreakBefore w:val="0"/>
              <w:kinsoku/>
              <w:wordWrap/>
              <w:overflowPunct/>
              <w:topLinePunct/>
              <w:autoSpaceDE w:val="0"/>
              <w:autoSpaceDN/>
              <w:bidi w:val="0"/>
              <w:adjustRightInd/>
              <w:snapToGrid/>
              <w:spacing w:line="360" w:lineRule="exact"/>
              <w:ind w:firstLine="0" w:firstLineChars="0"/>
              <w:textAlignment w:val="auto"/>
              <w:rPr>
                <w:rFonts w:hint="default" w:ascii="Arial" w:hAnsi="Arial" w:eastAsia="宋体" w:cs="Arial"/>
                <w:color w:val="auto"/>
                <w:sz w:val="18"/>
                <w:szCs w:val="18"/>
              </w:rPr>
            </w:pPr>
            <w:r>
              <w:rPr>
                <w:rFonts w:hint="default" w:ascii="Arial" w:hAnsi="Arial" w:eastAsia="宋体" w:cs="Arial"/>
                <w:color w:val="auto"/>
                <w:sz w:val="18"/>
                <w:szCs w:val="18"/>
              </w:rPr>
              <w:t>一月</w:t>
            </w:r>
          </w:p>
        </w:tc>
        <w:tc>
          <w:tcPr>
            <w:tcW w:w="50" w:type="pct"/>
            <w:vAlign w:val="center"/>
          </w:tcPr>
          <w:p>
            <w:pPr>
              <w:keepNext w:val="0"/>
              <w:keepLines w:val="0"/>
              <w:pageBreakBefore w:val="0"/>
              <w:kinsoku/>
              <w:wordWrap/>
              <w:overflowPunct/>
              <w:topLinePunct/>
              <w:autoSpaceDE w:val="0"/>
              <w:autoSpaceDN/>
              <w:bidi w:val="0"/>
              <w:adjustRightInd/>
              <w:snapToGrid/>
              <w:spacing w:line="360" w:lineRule="exact"/>
              <w:ind w:firstLine="0" w:firstLineChars="0"/>
              <w:textAlignment w:val="auto"/>
              <w:rPr>
                <w:rFonts w:hint="default" w:ascii="Arial" w:hAnsi="Arial" w:eastAsia="宋体" w:cs="Arial"/>
                <w:color w:val="auto"/>
                <w:sz w:val="18"/>
                <w:szCs w:val="18"/>
              </w:rPr>
            </w:pPr>
            <w:r>
              <w:rPr>
                <w:rFonts w:hint="default" w:ascii="Arial" w:hAnsi="Arial" w:eastAsia="宋体" w:cs="Arial"/>
                <w:color w:val="auto"/>
                <w:sz w:val="18"/>
                <w:szCs w:val="18"/>
              </w:rPr>
              <w:t>2.2</w:t>
            </w:r>
          </w:p>
        </w:tc>
        <w:tc>
          <w:tcPr>
            <w:tcW w:w="50" w:type="pct"/>
            <w:vAlign w:val="center"/>
          </w:tcPr>
          <w:p>
            <w:pPr>
              <w:keepNext w:val="0"/>
              <w:keepLines w:val="0"/>
              <w:pageBreakBefore w:val="0"/>
              <w:kinsoku/>
              <w:wordWrap/>
              <w:overflowPunct/>
              <w:topLinePunct/>
              <w:autoSpaceDE w:val="0"/>
              <w:autoSpaceDN/>
              <w:bidi w:val="0"/>
              <w:adjustRightInd/>
              <w:snapToGrid/>
              <w:spacing w:line="360" w:lineRule="exact"/>
              <w:ind w:firstLine="0" w:firstLineChars="0"/>
              <w:textAlignment w:val="auto"/>
              <w:rPr>
                <w:rFonts w:hint="default" w:ascii="Arial" w:hAnsi="Arial" w:eastAsia="宋体" w:cs="Arial"/>
                <w:color w:val="auto"/>
                <w:sz w:val="18"/>
                <w:szCs w:val="18"/>
              </w:rPr>
            </w:pPr>
            <w:r>
              <w:rPr>
                <w:rFonts w:hint="default" w:ascii="Arial" w:hAnsi="Arial" w:eastAsia="宋体" w:cs="Arial"/>
                <w:color w:val="auto"/>
                <w:sz w:val="18"/>
                <w:szCs w:val="18"/>
              </w:rPr>
              <w:t>4.8</w:t>
            </w:r>
          </w:p>
        </w:tc>
        <w:tc>
          <w:tcPr>
            <w:tcW w:w="50" w:type="pct"/>
            <w:vAlign w:val="center"/>
          </w:tcPr>
          <w:p>
            <w:pPr>
              <w:keepNext w:val="0"/>
              <w:keepLines w:val="0"/>
              <w:pageBreakBefore w:val="0"/>
              <w:kinsoku/>
              <w:wordWrap/>
              <w:overflowPunct/>
              <w:topLinePunct/>
              <w:autoSpaceDE w:val="0"/>
              <w:autoSpaceDN/>
              <w:bidi w:val="0"/>
              <w:adjustRightInd/>
              <w:snapToGrid/>
              <w:spacing w:line="360" w:lineRule="exact"/>
              <w:ind w:firstLine="0" w:firstLineChars="0"/>
              <w:textAlignment w:val="auto"/>
              <w:rPr>
                <w:rFonts w:hint="default" w:ascii="Arial" w:hAnsi="Arial" w:eastAsia="宋体" w:cs="Arial"/>
                <w:color w:val="auto"/>
                <w:sz w:val="18"/>
                <w:szCs w:val="18"/>
              </w:rPr>
            </w:pPr>
            <w:r>
              <w:rPr>
                <w:rFonts w:hint="default" w:ascii="Arial" w:hAnsi="Arial" w:eastAsia="宋体" w:cs="Arial"/>
                <w:color w:val="auto"/>
                <w:sz w:val="18"/>
                <w:szCs w:val="18"/>
              </w:rPr>
              <w:t>7.9</w:t>
            </w:r>
          </w:p>
        </w:tc>
        <w:tc>
          <w:tcPr>
            <w:tcW w:w="50" w:type="pct"/>
            <w:vAlign w:val="center"/>
          </w:tcPr>
          <w:p>
            <w:pPr>
              <w:keepNext w:val="0"/>
              <w:keepLines w:val="0"/>
              <w:pageBreakBefore w:val="0"/>
              <w:kinsoku/>
              <w:wordWrap/>
              <w:overflowPunct/>
              <w:topLinePunct/>
              <w:autoSpaceDE w:val="0"/>
              <w:autoSpaceDN/>
              <w:bidi w:val="0"/>
              <w:adjustRightInd/>
              <w:snapToGrid/>
              <w:spacing w:line="360" w:lineRule="exact"/>
              <w:ind w:firstLine="0" w:firstLineChars="0"/>
              <w:textAlignment w:val="auto"/>
              <w:rPr>
                <w:rFonts w:hint="default" w:ascii="Arial" w:hAnsi="Arial" w:eastAsia="宋体" w:cs="Arial"/>
                <w:color w:val="auto"/>
                <w:sz w:val="18"/>
                <w:szCs w:val="18"/>
              </w:rPr>
            </w:pPr>
            <w:r>
              <w:rPr>
                <w:rFonts w:hint="default" w:ascii="Arial" w:hAnsi="Arial" w:eastAsia="宋体" w:cs="Arial"/>
                <w:color w:val="auto"/>
                <w:sz w:val="18"/>
                <w:szCs w:val="18"/>
              </w:rPr>
              <w:t>11.5</w:t>
            </w:r>
          </w:p>
        </w:tc>
        <w:tc>
          <w:tcPr>
            <w:tcW w:w="50" w:type="pct"/>
            <w:vAlign w:val="center"/>
          </w:tcPr>
          <w:p>
            <w:pPr>
              <w:keepNext w:val="0"/>
              <w:keepLines w:val="0"/>
              <w:pageBreakBefore w:val="0"/>
              <w:kinsoku/>
              <w:wordWrap/>
              <w:overflowPunct/>
              <w:topLinePunct/>
              <w:autoSpaceDE w:val="0"/>
              <w:autoSpaceDN/>
              <w:bidi w:val="0"/>
              <w:adjustRightInd/>
              <w:snapToGrid/>
              <w:spacing w:line="360" w:lineRule="exact"/>
              <w:ind w:firstLine="0" w:firstLineChars="0"/>
              <w:textAlignment w:val="auto"/>
              <w:rPr>
                <w:rFonts w:hint="default" w:ascii="Arial" w:hAnsi="Arial" w:eastAsia="宋体" w:cs="Arial"/>
                <w:color w:val="auto"/>
                <w:sz w:val="18"/>
                <w:szCs w:val="18"/>
              </w:rPr>
            </w:pPr>
            <w:r>
              <w:rPr>
                <w:rFonts w:hint="default" w:ascii="Arial" w:hAnsi="Arial" w:eastAsia="宋体" w:cs="Arial"/>
                <w:color w:val="auto"/>
                <w:sz w:val="18"/>
                <w:szCs w:val="18"/>
              </w:rPr>
              <w:t>10.1</w:t>
            </w:r>
          </w:p>
        </w:tc>
        <w:tc>
          <w:tcPr>
            <w:tcW w:w="50" w:type="pct"/>
            <w:vAlign w:val="center"/>
          </w:tcPr>
          <w:p>
            <w:pPr>
              <w:keepNext w:val="0"/>
              <w:keepLines w:val="0"/>
              <w:pageBreakBefore w:val="0"/>
              <w:kinsoku/>
              <w:wordWrap/>
              <w:overflowPunct/>
              <w:topLinePunct/>
              <w:autoSpaceDE w:val="0"/>
              <w:autoSpaceDN/>
              <w:bidi w:val="0"/>
              <w:adjustRightInd/>
              <w:snapToGrid/>
              <w:spacing w:line="360" w:lineRule="exact"/>
              <w:ind w:firstLine="0" w:firstLineChars="0"/>
              <w:textAlignment w:val="auto"/>
              <w:rPr>
                <w:rFonts w:hint="default" w:ascii="Arial" w:hAnsi="Arial" w:eastAsia="宋体" w:cs="Arial"/>
                <w:color w:val="auto"/>
                <w:sz w:val="18"/>
                <w:szCs w:val="18"/>
              </w:rPr>
            </w:pPr>
            <w:r>
              <w:rPr>
                <w:rFonts w:hint="default" w:ascii="Arial" w:hAnsi="Arial" w:eastAsia="宋体" w:cs="Arial"/>
                <w:color w:val="auto"/>
                <w:sz w:val="18"/>
                <w:szCs w:val="18"/>
              </w:rPr>
              <w:t>4.6</w:t>
            </w:r>
          </w:p>
        </w:tc>
        <w:tc>
          <w:tcPr>
            <w:tcW w:w="50" w:type="pct"/>
            <w:vAlign w:val="center"/>
          </w:tcPr>
          <w:p>
            <w:pPr>
              <w:keepNext w:val="0"/>
              <w:keepLines w:val="0"/>
              <w:pageBreakBefore w:val="0"/>
              <w:kinsoku/>
              <w:wordWrap/>
              <w:overflowPunct/>
              <w:topLinePunct/>
              <w:autoSpaceDE w:val="0"/>
              <w:autoSpaceDN/>
              <w:bidi w:val="0"/>
              <w:adjustRightInd/>
              <w:snapToGrid/>
              <w:spacing w:line="360" w:lineRule="exact"/>
              <w:ind w:firstLine="0" w:firstLineChars="0"/>
              <w:textAlignment w:val="auto"/>
              <w:rPr>
                <w:rFonts w:hint="default" w:ascii="Arial" w:hAnsi="Arial" w:eastAsia="宋体" w:cs="Arial"/>
                <w:color w:val="auto"/>
                <w:sz w:val="18"/>
                <w:szCs w:val="18"/>
              </w:rPr>
            </w:pPr>
            <w:r>
              <w:rPr>
                <w:rFonts w:hint="default" w:ascii="Arial" w:hAnsi="Arial" w:eastAsia="宋体" w:cs="Arial"/>
                <w:color w:val="auto"/>
                <w:sz w:val="18"/>
                <w:szCs w:val="18"/>
              </w:rPr>
              <w:t>4.2</w:t>
            </w:r>
          </w:p>
        </w:tc>
        <w:tc>
          <w:tcPr>
            <w:tcW w:w="50" w:type="pct"/>
            <w:vAlign w:val="center"/>
          </w:tcPr>
          <w:p>
            <w:pPr>
              <w:keepNext w:val="0"/>
              <w:keepLines w:val="0"/>
              <w:pageBreakBefore w:val="0"/>
              <w:kinsoku/>
              <w:wordWrap/>
              <w:overflowPunct/>
              <w:topLinePunct/>
              <w:autoSpaceDE w:val="0"/>
              <w:autoSpaceDN/>
              <w:bidi w:val="0"/>
              <w:adjustRightInd/>
              <w:snapToGrid/>
              <w:spacing w:line="360" w:lineRule="exact"/>
              <w:ind w:firstLine="0" w:firstLineChars="0"/>
              <w:textAlignment w:val="auto"/>
              <w:rPr>
                <w:rFonts w:hint="default" w:ascii="Arial" w:hAnsi="Arial" w:eastAsia="宋体" w:cs="Arial"/>
                <w:color w:val="auto"/>
                <w:sz w:val="18"/>
                <w:szCs w:val="18"/>
              </w:rPr>
            </w:pPr>
            <w:r>
              <w:rPr>
                <w:rFonts w:hint="default" w:ascii="Arial" w:hAnsi="Arial" w:eastAsia="宋体" w:cs="Arial"/>
                <w:color w:val="auto"/>
                <w:sz w:val="18"/>
                <w:szCs w:val="18"/>
              </w:rPr>
              <w:t>3.1</w:t>
            </w:r>
          </w:p>
        </w:tc>
        <w:tc>
          <w:tcPr>
            <w:tcW w:w="50" w:type="pct"/>
            <w:vAlign w:val="center"/>
          </w:tcPr>
          <w:p>
            <w:pPr>
              <w:keepNext w:val="0"/>
              <w:keepLines w:val="0"/>
              <w:pageBreakBefore w:val="0"/>
              <w:kinsoku/>
              <w:wordWrap/>
              <w:overflowPunct/>
              <w:topLinePunct/>
              <w:autoSpaceDE w:val="0"/>
              <w:autoSpaceDN/>
              <w:bidi w:val="0"/>
              <w:adjustRightInd/>
              <w:snapToGrid/>
              <w:spacing w:line="360" w:lineRule="exact"/>
              <w:ind w:firstLine="0" w:firstLineChars="0"/>
              <w:textAlignment w:val="auto"/>
              <w:rPr>
                <w:rFonts w:hint="default" w:ascii="Arial" w:hAnsi="Arial" w:eastAsia="宋体" w:cs="Arial"/>
                <w:color w:val="auto"/>
                <w:sz w:val="18"/>
                <w:szCs w:val="18"/>
              </w:rPr>
            </w:pPr>
            <w:r>
              <w:rPr>
                <w:rFonts w:hint="default" w:ascii="Arial" w:hAnsi="Arial" w:eastAsia="宋体" w:cs="Arial"/>
                <w:color w:val="auto"/>
                <w:sz w:val="18"/>
                <w:szCs w:val="18"/>
              </w:rPr>
              <w:t>2.8</w:t>
            </w:r>
          </w:p>
        </w:tc>
        <w:tc>
          <w:tcPr>
            <w:tcW w:w="50" w:type="pct"/>
            <w:vAlign w:val="center"/>
          </w:tcPr>
          <w:p>
            <w:pPr>
              <w:keepNext w:val="0"/>
              <w:keepLines w:val="0"/>
              <w:pageBreakBefore w:val="0"/>
              <w:kinsoku/>
              <w:wordWrap/>
              <w:overflowPunct/>
              <w:topLinePunct/>
              <w:autoSpaceDE w:val="0"/>
              <w:autoSpaceDN/>
              <w:bidi w:val="0"/>
              <w:adjustRightInd/>
              <w:snapToGrid/>
              <w:spacing w:line="360" w:lineRule="exact"/>
              <w:ind w:firstLine="0" w:firstLineChars="0"/>
              <w:textAlignment w:val="auto"/>
              <w:rPr>
                <w:rFonts w:hint="default" w:ascii="Arial" w:hAnsi="Arial" w:eastAsia="宋体" w:cs="Arial"/>
                <w:color w:val="auto"/>
                <w:sz w:val="18"/>
                <w:szCs w:val="18"/>
              </w:rPr>
            </w:pPr>
            <w:r>
              <w:rPr>
                <w:rFonts w:hint="default" w:ascii="Arial" w:hAnsi="Arial" w:eastAsia="宋体" w:cs="Arial"/>
                <w:color w:val="auto"/>
                <w:sz w:val="18"/>
                <w:szCs w:val="18"/>
              </w:rPr>
              <w:t>4.8</w:t>
            </w:r>
          </w:p>
        </w:tc>
        <w:tc>
          <w:tcPr>
            <w:tcW w:w="50" w:type="pct"/>
            <w:vAlign w:val="center"/>
          </w:tcPr>
          <w:p>
            <w:pPr>
              <w:keepNext w:val="0"/>
              <w:keepLines w:val="0"/>
              <w:pageBreakBefore w:val="0"/>
              <w:kinsoku/>
              <w:wordWrap/>
              <w:overflowPunct/>
              <w:topLinePunct/>
              <w:autoSpaceDE w:val="0"/>
              <w:autoSpaceDN/>
              <w:bidi w:val="0"/>
              <w:adjustRightInd/>
              <w:snapToGrid/>
              <w:spacing w:line="360" w:lineRule="exact"/>
              <w:ind w:firstLine="0" w:firstLineChars="0"/>
              <w:textAlignment w:val="auto"/>
              <w:rPr>
                <w:rFonts w:hint="default" w:ascii="Arial" w:hAnsi="Arial" w:eastAsia="宋体" w:cs="Arial"/>
                <w:color w:val="auto"/>
                <w:sz w:val="18"/>
                <w:szCs w:val="18"/>
              </w:rPr>
            </w:pPr>
            <w:r>
              <w:rPr>
                <w:rFonts w:hint="default" w:ascii="Arial" w:hAnsi="Arial" w:eastAsia="宋体" w:cs="Arial"/>
                <w:color w:val="auto"/>
                <w:sz w:val="18"/>
                <w:szCs w:val="18"/>
              </w:rPr>
              <w:t>5.0</w:t>
            </w:r>
          </w:p>
        </w:tc>
        <w:tc>
          <w:tcPr>
            <w:tcW w:w="50" w:type="pct"/>
            <w:vAlign w:val="center"/>
          </w:tcPr>
          <w:p>
            <w:pPr>
              <w:keepNext w:val="0"/>
              <w:keepLines w:val="0"/>
              <w:pageBreakBefore w:val="0"/>
              <w:kinsoku/>
              <w:wordWrap/>
              <w:overflowPunct/>
              <w:topLinePunct/>
              <w:autoSpaceDE w:val="0"/>
              <w:autoSpaceDN/>
              <w:bidi w:val="0"/>
              <w:adjustRightInd/>
              <w:snapToGrid/>
              <w:spacing w:line="360" w:lineRule="exact"/>
              <w:ind w:firstLine="0" w:firstLineChars="0"/>
              <w:textAlignment w:val="auto"/>
              <w:rPr>
                <w:rFonts w:hint="default" w:ascii="Arial" w:hAnsi="Arial" w:eastAsia="宋体" w:cs="Arial"/>
                <w:color w:val="auto"/>
                <w:sz w:val="18"/>
                <w:szCs w:val="18"/>
              </w:rPr>
            </w:pPr>
            <w:r>
              <w:rPr>
                <w:rFonts w:hint="default" w:ascii="Arial" w:hAnsi="Arial" w:eastAsia="宋体" w:cs="Arial"/>
                <w:color w:val="auto"/>
                <w:sz w:val="18"/>
                <w:szCs w:val="18"/>
              </w:rPr>
              <w:t>5.6</w:t>
            </w:r>
          </w:p>
        </w:tc>
        <w:tc>
          <w:tcPr>
            <w:tcW w:w="50" w:type="pct"/>
            <w:vAlign w:val="center"/>
          </w:tcPr>
          <w:p>
            <w:pPr>
              <w:keepNext w:val="0"/>
              <w:keepLines w:val="0"/>
              <w:pageBreakBefore w:val="0"/>
              <w:kinsoku/>
              <w:wordWrap/>
              <w:overflowPunct/>
              <w:topLinePunct/>
              <w:autoSpaceDE w:val="0"/>
              <w:autoSpaceDN/>
              <w:bidi w:val="0"/>
              <w:adjustRightInd/>
              <w:snapToGrid/>
              <w:spacing w:line="360" w:lineRule="exact"/>
              <w:ind w:firstLine="0" w:firstLineChars="0"/>
              <w:textAlignment w:val="auto"/>
              <w:rPr>
                <w:rFonts w:hint="default" w:ascii="Arial" w:hAnsi="Arial" w:eastAsia="宋体" w:cs="Arial"/>
                <w:color w:val="auto"/>
                <w:sz w:val="18"/>
                <w:szCs w:val="18"/>
              </w:rPr>
            </w:pPr>
            <w:r>
              <w:rPr>
                <w:rFonts w:hint="default" w:ascii="Arial" w:hAnsi="Arial" w:eastAsia="宋体" w:cs="Arial"/>
                <w:color w:val="auto"/>
                <w:sz w:val="18"/>
                <w:szCs w:val="18"/>
              </w:rPr>
              <w:t>4.8</w:t>
            </w:r>
          </w:p>
        </w:tc>
        <w:tc>
          <w:tcPr>
            <w:tcW w:w="50" w:type="pct"/>
            <w:vAlign w:val="center"/>
          </w:tcPr>
          <w:p>
            <w:pPr>
              <w:keepNext w:val="0"/>
              <w:keepLines w:val="0"/>
              <w:pageBreakBefore w:val="0"/>
              <w:kinsoku/>
              <w:wordWrap/>
              <w:overflowPunct/>
              <w:topLinePunct/>
              <w:autoSpaceDE w:val="0"/>
              <w:autoSpaceDN/>
              <w:bidi w:val="0"/>
              <w:adjustRightInd/>
              <w:snapToGrid/>
              <w:spacing w:line="360" w:lineRule="exact"/>
              <w:ind w:firstLine="0" w:firstLineChars="0"/>
              <w:textAlignment w:val="auto"/>
              <w:rPr>
                <w:rFonts w:hint="default" w:ascii="Arial" w:hAnsi="Arial" w:eastAsia="宋体" w:cs="Arial"/>
                <w:color w:val="auto"/>
                <w:sz w:val="18"/>
                <w:szCs w:val="18"/>
              </w:rPr>
            </w:pPr>
            <w:r>
              <w:rPr>
                <w:rFonts w:hint="default" w:ascii="Arial" w:hAnsi="Arial" w:eastAsia="宋体" w:cs="Arial"/>
                <w:color w:val="auto"/>
                <w:sz w:val="18"/>
                <w:szCs w:val="18"/>
              </w:rPr>
              <w:t>3.8</w:t>
            </w:r>
          </w:p>
        </w:tc>
        <w:tc>
          <w:tcPr>
            <w:tcW w:w="50" w:type="pct"/>
            <w:vAlign w:val="center"/>
          </w:tcPr>
          <w:p>
            <w:pPr>
              <w:keepNext w:val="0"/>
              <w:keepLines w:val="0"/>
              <w:pageBreakBefore w:val="0"/>
              <w:kinsoku/>
              <w:wordWrap/>
              <w:overflowPunct/>
              <w:topLinePunct/>
              <w:autoSpaceDE w:val="0"/>
              <w:autoSpaceDN/>
              <w:bidi w:val="0"/>
              <w:adjustRightInd/>
              <w:snapToGrid/>
              <w:spacing w:line="360" w:lineRule="exact"/>
              <w:ind w:firstLine="0" w:firstLineChars="0"/>
              <w:textAlignment w:val="auto"/>
              <w:rPr>
                <w:rFonts w:hint="default" w:ascii="Arial" w:hAnsi="Arial" w:eastAsia="宋体" w:cs="Arial"/>
                <w:color w:val="auto"/>
                <w:sz w:val="18"/>
                <w:szCs w:val="18"/>
              </w:rPr>
            </w:pPr>
            <w:r>
              <w:rPr>
                <w:rFonts w:hint="default" w:ascii="Arial" w:hAnsi="Arial" w:eastAsia="宋体" w:cs="Arial"/>
                <w:color w:val="auto"/>
                <w:sz w:val="18"/>
                <w:szCs w:val="18"/>
              </w:rPr>
              <w:t>2.2</w:t>
            </w:r>
          </w:p>
        </w:tc>
        <w:tc>
          <w:tcPr>
            <w:tcW w:w="50" w:type="pct"/>
            <w:vAlign w:val="center"/>
          </w:tcPr>
          <w:p>
            <w:pPr>
              <w:keepNext w:val="0"/>
              <w:keepLines w:val="0"/>
              <w:pageBreakBefore w:val="0"/>
              <w:kinsoku/>
              <w:wordWrap/>
              <w:overflowPunct/>
              <w:topLinePunct/>
              <w:autoSpaceDE w:val="0"/>
              <w:autoSpaceDN/>
              <w:bidi w:val="0"/>
              <w:adjustRightInd/>
              <w:snapToGrid/>
              <w:spacing w:line="360" w:lineRule="exact"/>
              <w:ind w:firstLine="0" w:firstLineChars="0"/>
              <w:textAlignment w:val="auto"/>
              <w:rPr>
                <w:rFonts w:hint="default" w:ascii="Arial" w:hAnsi="Arial" w:eastAsia="宋体" w:cs="Arial"/>
                <w:color w:val="auto"/>
                <w:sz w:val="18"/>
                <w:szCs w:val="18"/>
              </w:rPr>
            </w:pPr>
            <w:r>
              <w:rPr>
                <w:rFonts w:hint="default" w:ascii="Arial" w:hAnsi="Arial" w:eastAsia="宋体" w:cs="Arial"/>
                <w:color w:val="auto"/>
                <w:sz w:val="18"/>
                <w:szCs w:val="18"/>
              </w:rPr>
              <w:t>2.4</w:t>
            </w:r>
          </w:p>
        </w:tc>
        <w:tc>
          <w:tcPr>
            <w:tcW w:w="50" w:type="pct"/>
            <w:vAlign w:val="center"/>
          </w:tcPr>
          <w:p>
            <w:pPr>
              <w:keepNext w:val="0"/>
              <w:keepLines w:val="0"/>
              <w:pageBreakBefore w:val="0"/>
              <w:kinsoku/>
              <w:wordWrap/>
              <w:overflowPunct/>
              <w:topLinePunct/>
              <w:autoSpaceDE w:val="0"/>
              <w:autoSpaceDN/>
              <w:bidi w:val="0"/>
              <w:adjustRightInd/>
              <w:snapToGrid/>
              <w:spacing w:line="360" w:lineRule="exact"/>
              <w:ind w:firstLine="0" w:firstLineChars="0"/>
              <w:textAlignment w:val="auto"/>
              <w:rPr>
                <w:rFonts w:hint="default" w:ascii="Arial" w:hAnsi="Arial" w:eastAsia="宋体" w:cs="Arial"/>
                <w:color w:val="auto"/>
                <w:sz w:val="18"/>
                <w:szCs w:val="18"/>
              </w:rPr>
            </w:pPr>
            <w:r>
              <w:rPr>
                <w:rFonts w:hint="default" w:ascii="Arial" w:hAnsi="Arial" w:eastAsia="宋体" w:cs="Arial"/>
                <w:color w:val="auto"/>
                <w:sz w:val="18"/>
                <w:szCs w:val="18"/>
              </w:rPr>
              <w:t>20.2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 w:type="pct"/>
            <w:vAlign w:val="center"/>
          </w:tcPr>
          <w:p>
            <w:pPr>
              <w:keepNext w:val="0"/>
              <w:keepLines w:val="0"/>
              <w:pageBreakBefore w:val="0"/>
              <w:kinsoku/>
              <w:wordWrap/>
              <w:overflowPunct/>
              <w:topLinePunct/>
              <w:autoSpaceDE w:val="0"/>
              <w:autoSpaceDN/>
              <w:bidi w:val="0"/>
              <w:adjustRightInd/>
              <w:snapToGrid/>
              <w:spacing w:line="360" w:lineRule="exact"/>
              <w:ind w:firstLine="0" w:firstLineChars="0"/>
              <w:textAlignment w:val="auto"/>
              <w:rPr>
                <w:rFonts w:hint="default" w:ascii="Arial" w:hAnsi="Arial" w:eastAsia="宋体" w:cs="Arial"/>
                <w:color w:val="auto"/>
                <w:sz w:val="18"/>
                <w:szCs w:val="18"/>
              </w:rPr>
            </w:pPr>
            <w:r>
              <w:rPr>
                <w:rFonts w:hint="default" w:ascii="Arial" w:hAnsi="Arial" w:eastAsia="宋体" w:cs="Arial"/>
                <w:color w:val="auto"/>
                <w:sz w:val="18"/>
                <w:szCs w:val="18"/>
              </w:rPr>
              <w:t>二月</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2.9</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4.8</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9.8</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12.8</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7.9</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4.4</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3.5</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2.5</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2.7</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5.0</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6.2</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7.2</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4.6</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5.1</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2.9</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2.3</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15.5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 w:type="pct"/>
            <w:vAlign w:val="center"/>
          </w:tcPr>
          <w:p>
            <w:pPr>
              <w:keepNext w:val="0"/>
              <w:keepLines w:val="0"/>
              <w:pageBreakBefore w:val="0"/>
              <w:kinsoku/>
              <w:wordWrap/>
              <w:overflowPunct/>
              <w:topLinePunct/>
              <w:autoSpaceDE w:val="0"/>
              <w:autoSpaceDN/>
              <w:bidi w:val="0"/>
              <w:adjustRightInd/>
              <w:snapToGrid/>
              <w:spacing w:line="360" w:lineRule="exact"/>
              <w:ind w:firstLine="0" w:firstLineChars="0"/>
              <w:textAlignment w:val="auto"/>
              <w:rPr>
                <w:rFonts w:hint="default" w:ascii="Arial" w:hAnsi="Arial" w:eastAsia="宋体" w:cs="Arial"/>
                <w:color w:val="auto"/>
                <w:sz w:val="18"/>
                <w:szCs w:val="18"/>
              </w:rPr>
            </w:pPr>
            <w:r>
              <w:rPr>
                <w:rFonts w:hint="default" w:ascii="Arial" w:hAnsi="Arial" w:eastAsia="宋体" w:cs="Arial"/>
                <w:color w:val="auto"/>
                <w:sz w:val="18"/>
                <w:szCs w:val="18"/>
              </w:rPr>
              <w:t>三月</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3.7</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7.3</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9.3</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8.4</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6.4</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3.7</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3.4</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3.3</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3.0</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6.5</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7.0</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10.7</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6.7</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5.1</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3.1</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2.7</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9.7</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 w:type="pct"/>
            <w:vAlign w:val="center"/>
          </w:tcPr>
          <w:p>
            <w:pPr>
              <w:keepNext w:val="0"/>
              <w:keepLines w:val="0"/>
              <w:pageBreakBefore w:val="0"/>
              <w:kinsoku/>
              <w:wordWrap/>
              <w:overflowPunct/>
              <w:topLinePunct/>
              <w:autoSpaceDE w:val="0"/>
              <w:autoSpaceDN/>
              <w:bidi w:val="0"/>
              <w:adjustRightInd/>
              <w:snapToGrid/>
              <w:spacing w:line="360" w:lineRule="exact"/>
              <w:ind w:firstLine="0" w:firstLineChars="0"/>
              <w:textAlignment w:val="auto"/>
              <w:rPr>
                <w:rFonts w:hint="default" w:ascii="Arial" w:hAnsi="Arial" w:eastAsia="宋体" w:cs="Arial"/>
                <w:color w:val="auto"/>
                <w:sz w:val="18"/>
                <w:szCs w:val="18"/>
              </w:rPr>
            </w:pPr>
            <w:r>
              <w:rPr>
                <w:rFonts w:hint="default" w:ascii="Arial" w:hAnsi="Arial" w:eastAsia="宋体" w:cs="Arial"/>
                <w:color w:val="auto"/>
                <w:sz w:val="18"/>
                <w:szCs w:val="18"/>
              </w:rPr>
              <w:t>四月</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4.3</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7.6</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8.6</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7.3</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5.2</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3.8</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2.9</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4.0</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3.6</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7.0</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7.0</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11.0</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7.7</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5.8</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3.9</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4.2</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6.3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 w:type="pct"/>
            <w:vAlign w:val="center"/>
          </w:tcPr>
          <w:p>
            <w:pPr>
              <w:keepNext w:val="0"/>
              <w:keepLines w:val="0"/>
              <w:pageBreakBefore w:val="0"/>
              <w:kinsoku/>
              <w:wordWrap/>
              <w:overflowPunct/>
              <w:topLinePunct/>
              <w:autoSpaceDE w:val="0"/>
              <w:autoSpaceDN/>
              <w:bidi w:val="0"/>
              <w:adjustRightInd/>
              <w:snapToGrid/>
              <w:spacing w:line="360" w:lineRule="exact"/>
              <w:ind w:firstLine="0" w:firstLineChars="0"/>
              <w:textAlignment w:val="auto"/>
              <w:rPr>
                <w:rFonts w:hint="default" w:ascii="Arial" w:hAnsi="Arial" w:eastAsia="宋体" w:cs="Arial"/>
                <w:color w:val="auto"/>
                <w:sz w:val="18"/>
                <w:szCs w:val="18"/>
              </w:rPr>
            </w:pPr>
            <w:r>
              <w:rPr>
                <w:rFonts w:hint="default" w:ascii="Arial" w:hAnsi="Arial" w:eastAsia="宋体" w:cs="Arial"/>
                <w:color w:val="auto"/>
                <w:sz w:val="18"/>
                <w:szCs w:val="18"/>
              </w:rPr>
              <w:t>五月</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4.3</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9.1</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7.1</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6.5</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4.2</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4.5</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5.6</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4.0</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4.6</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6.9</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7.7</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10.4</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6.1</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5.1</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3.6</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4.2</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6.1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 w:type="pct"/>
            <w:vAlign w:val="center"/>
          </w:tcPr>
          <w:p>
            <w:pPr>
              <w:keepNext w:val="0"/>
              <w:keepLines w:val="0"/>
              <w:pageBreakBefore w:val="0"/>
              <w:kinsoku/>
              <w:wordWrap/>
              <w:overflowPunct/>
              <w:topLinePunct/>
              <w:autoSpaceDE w:val="0"/>
              <w:autoSpaceDN/>
              <w:bidi w:val="0"/>
              <w:adjustRightInd/>
              <w:snapToGrid/>
              <w:spacing w:line="360" w:lineRule="exact"/>
              <w:ind w:firstLine="0" w:firstLineChars="0"/>
              <w:textAlignment w:val="auto"/>
              <w:rPr>
                <w:rFonts w:hint="default" w:ascii="Arial" w:hAnsi="Arial" w:eastAsia="宋体" w:cs="Arial"/>
                <w:color w:val="auto"/>
                <w:sz w:val="18"/>
                <w:szCs w:val="18"/>
              </w:rPr>
            </w:pPr>
            <w:r>
              <w:rPr>
                <w:rFonts w:hint="default" w:ascii="Arial" w:hAnsi="Arial" w:eastAsia="宋体" w:cs="Arial"/>
                <w:color w:val="auto"/>
                <w:sz w:val="18"/>
                <w:szCs w:val="18"/>
              </w:rPr>
              <w:t xml:space="preserve">六月 </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2.9</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7.4</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10.4</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6.6</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6.1</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7.3</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6.7</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6.4</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4.8</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5.9</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6.7</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7.2</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4.9</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3.6</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2.8</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3.4</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7.1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 w:type="pct"/>
            <w:vAlign w:val="center"/>
          </w:tcPr>
          <w:p>
            <w:pPr>
              <w:keepNext w:val="0"/>
              <w:keepLines w:val="0"/>
              <w:pageBreakBefore w:val="0"/>
              <w:kinsoku/>
              <w:wordWrap/>
              <w:overflowPunct/>
              <w:topLinePunct/>
              <w:autoSpaceDE w:val="0"/>
              <w:autoSpaceDN/>
              <w:bidi w:val="0"/>
              <w:adjustRightInd/>
              <w:snapToGrid/>
              <w:spacing w:line="360" w:lineRule="exact"/>
              <w:ind w:firstLine="0" w:firstLineChars="0"/>
              <w:textAlignment w:val="auto"/>
              <w:rPr>
                <w:rFonts w:hint="default" w:ascii="Arial" w:hAnsi="Arial" w:eastAsia="宋体" w:cs="Arial"/>
                <w:color w:val="auto"/>
                <w:sz w:val="18"/>
                <w:szCs w:val="18"/>
              </w:rPr>
            </w:pPr>
            <w:r>
              <w:rPr>
                <w:rFonts w:hint="default" w:ascii="Arial" w:hAnsi="Arial" w:eastAsia="宋体" w:cs="Arial"/>
                <w:color w:val="auto"/>
                <w:sz w:val="18"/>
                <w:szCs w:val="18"/>
              </w:rPr>
              <w:t>七月</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2.3</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7.4</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9.1</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9.2</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6.8</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8.2</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8.3</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8.0</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5.2</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4.8</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5.4</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5.9</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4.3</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3.1</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2.3</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2.4</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7.3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 w:type="pct"/>
            <w:vAlign w:val="center"/>
          </w:tcPr>
          <w:p>
            <w:pPr>
              <w:keepNext w:val="0"/>
              <w:keepLines w:val="0"/>
              <w:pageBreakBefore w:val="0"/>
              <w:kinsoku/>
              <w:wordWrap/>
              <w:overflowPunct/>
              <w:topLinePunct/>
              <w:autoSpaceDE w:val="0"/>
              <w:autoSpaceDN/>
              <w:bidi w:val="0"/>
              <w:adjustRightInd/>
              <w:snapToGrid/>
              <w:spacing w:line="360" w:lineRule="exact"/>
              <w:ind w:firstLine="0" w:firstLineChars="0"/>
              <w:textAlignment w:val="auto"/>
              <w:rPr>
                <w:rFonts w:hint="default" w:ascii="Arial" w:hAnsi="Arial" w:eastAsia="宋体" w:cs="Arial"/>
                <w:color w:val="auto"/>
                <w:sz w:val="18"/>
                <w:szCs w:val="18"/>
              </w:rPr>
            </w:pPr>
            <w:r>
              <w:rPr>
                <w:rFonts w:hint="default" w:ascii="Arial" w:hAnsi="Arial" w:eastAsia="宋体" w:cs="Arial"/>
                <w:color w:val="auto"/>
                <w:sz w:val="18"/>
                <w:szCs w:val="18"/>
              </w:rPr>
              <w:t>八月</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2.3</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6.2</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10.4</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10.8</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7.6</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9.6</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7.5</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6.8</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5.4</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5.4</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4.9</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5.3</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3.2</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2.3</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1.3</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2.6</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8.2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 w:type="pct"/>
            <w:vAlign w:val="center"/>
          </w:tcPr>
          <w:p>
            <w:pPr>
              <w:keepNext w:val="0"/>
              <w:keepLines w:val="0"/>
              <w:pageBreakBefore w:val="0"/>
              <w:kinsoku/>
              <w:wordWrap/>
              <w:overflowPunct/>
              <w:topLinePunct/>
              <w:autoSpaceDE w:val="0"/>
              <w:autoSpaceDN/>
              <w:bidi w:val="0"/>
              <w:adjustRightInd/>
              <w:snapToGrid/>
              <w:spacing w:line="360" w:lineRule="exact"/>
              <w:ind w:firstLine="0" w:firstLineChars="0"/>
              <w:textAlignment w:val="auto"/>
              <w:rPr>
                <w:rFonts w:hint="default" w:ascii="Arial" w:hAnsi="Arial" w:eastAsia="宋体" w:cs="Arial"/>
                <w:color w:val="auto"/>
                <w:sz w:val="18"/>
                <w:szCs w:val="18"/>
              </w:rPr>
            </w:pPr>
            <w:r>
              <w:rPr>
                <w:rFonts w:hint="default" w:ascii="Arial" w:hAnsi="Arial" w:eastAsia="宋体" w:cs="Arial"/>
                <w:color w:val="auto"/>
                <w:sz w:val="18"/>
                <w:szCs w:val="18"/>
              </w:rPr>
              <w:t>九月</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2.7</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7.8</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10.0</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10.5</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7.8</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7.7</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6.8</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5.3</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5.4</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5.5</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5.1</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4.3</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3.3</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2.2</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1.8</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2.2</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11.6</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 w:type="pct"/>
            <w:vAlign w:val="center"/>
          </w:tcPr>
          <w:p>
            <w:pPr>
              <w:keepNext w:val="0"/>
              <w:keepLines w:val="0"/>
              <w:pageBreakBefore w:val="0"/>
              <w:kinsoku/>
              <w:wordWrap/>
              <w:overflowPunct/>
              <w:topLinePunct/>
              <w:autoSpaceDE w:val="0"/>
              <w:autoSpaceDN/>
              <w:bidi w:val="0"/>
              <w:adjustRightInd/>
              <w:snapToGrid/>
              <w:spacing w:line="360" w:lineRule="exact"/>
              <w:ind w:firstLine="0" w:firstLineChars="0"/>
              <w:textAlignment w:val="auto"/>
              <w:rPr>
                <w:rFonts w:hint="default" w:ascii="Arial" w:hAnsi="Arial" w:eastAsia="宋体" w:cs="Arial"/>
                <w:color w:val="auto"/>
                <w:sz w:val="18"/>
                <w:szCs w:val="18"/>
              </w:rPr>
            </w:pPr>
            <w:r>
              <w:rPr>
                <w:rFonts w:hint="default" w:ascii="Arial" w:hAnsi="Arial" w:eastAsia="宋体" w:cs="Arial"/>
                <w:color w:val="auto"/>
                <w:sz w:val="18"/>
                <w:szCs w:val="18"/>
              </w:rPr>
              <w:t>十月</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2.2</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5.6</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8.2</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9.8</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5.5</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4.2</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4.2</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4.8</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4.5</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6.3</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5.1</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7.4</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5.7</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3.4</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2.6</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2.8</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17.6</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 w:type="pct"/>
            <w:vAlign w:val="center"/>
          </w:tcPr>
          <w:p>
            <w:pPr>
              <w:keepNext w:val="0"/>
              <w:keepLines w:val="0"/>
              <w:pageBreakBefore w:val="0"/>
              <w:kinsoku/>
              <w:wordWrap/>
              <w:overflowPunct/>
              <w:topLinePunct/>
              <w:autoSpaceDE w:val="0"/>
              <w:autoSpaceDN/>
              <w:bidi w:val="0"/>
              <w:adjustRightInd/>
              <w:snapToGrid/>
              <w:spacing w:line="360" w:lineRule="exact"/>
              <w:ind w:firstLine="0" w:firstLineChars="0"/>
              <w:textAlignment w:val="auto"/>
              <w:rPr>
                <w:rFonts w:hint="default" w:ascii="Arial" w:hAnsi="Arial" w:eastAsia="宋体" w:cs="Arial"/>
                <w:color w:val="auto"/>
                <w:sz w:val="18"/>
                <w:szCs w:val="18"/>
              </w:rPr>
            </w:pPr>
            <w:r>
              <w:rPr>
                <w:rFonts w:hint="default" w:ascii="Arial" w:hAnsi="Arial" w:eastAsia="宋体" w:cs="Arial"/>
                <w:color w:val="auto"/>
                <w:sz w:val="18"/>
                <w:szCs w:val="18"/>
              </w:rPr>
              <w:t>十一月</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1.9</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4.8</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7.5</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10.1</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6.4</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3.7</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3.6</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3.6</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3.5</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5.5</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7.0</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8.3</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6.0</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5.0</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2.9</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2.8</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17.2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 w:type="pct"/>
            <w:vAlign w:val="center"/>
          </w:tcPr>
          <w:p>
            <w:pPr>
              <w:keepNext w:val="0"/>
              <w:keepLines w:val="0"/>
              <w:pageBreakBefore w:val="0"/>
              <w:kinsoku/>
              <w:wordWrap/>
              <w:overflowPunct/>
              <w:topLinePunct/>
              <w:autoSpaceDE w:val="0"/>
              <w:autoSpaceDN/>
              <w:bidi w:val="0"/>
              <w:adjustRightInd/>
              <w:snapToGrid/>
              <w:spacing w:line="360" w:lineRule="exact"/>
              <w:ind w:firstLine="0" w:firstLineChars="0"/>
              <w:textAlignment w:val="auto"/>
              <w:rPr>
                <w:rFonts w:hint="default" w:ascii="Arial" w:hAnsi="Arial" w:eastAsia="宋体" w:cs="Arial"/>
                <w:color w:val="auto"/>
                <w:sz w:val="18"/>
                <w:szCs w:val="18"/>
              </w:rPr>
            </w:pPr>
            <w:r>
              <w:rPr>
                <w:rFonts w:hint="default" w:ascii="Arial" w:hAnsi="Arial" w:eastAsia="宋体" w:cs="Arial"/>
                <w:color w:val="auto"/>
                <w:sz w:val="18"/>
                <w:szCs w:val="18"/>
              </w:rPr>
              <w:t>十二月</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2.1</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2.9</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7.3</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11.2</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8.2</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4.0</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2.9</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2.0</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2.8</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4.5</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6.2</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8.0</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7.3</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4.6</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3.6</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2.5</w:t>
            </w:r>
          </w:p>
        </w:tc>
        <w:tc>
          <w:tcPr>
            <w:tcW w:w="50" w:type="pct"/>
          </w:tcPr>
          <w:p>
            <w:pPr>
              <w:keepNext w:val="0"/>
              <w:keepLines w:val="0"/>
              <w:pageBreakBefore w:val="0"/>
              <w:widowControl/>
              <w:kinsoku/>
              <w:wordWrap/>
              <w:overflowPunct/>
              <w:topLinePunct/>
              <w:autoSpaceDE w:val="0"/>
              <w:autoSpaceDN/>
              <w:bidi w:val="0"/>
              <w:adjustRightInd/>
              <w:snapToGrid/>
              <w:spacing w:line="360" w:lineRule="exact"/>
              <w:ind w:firstLine="0" w:firstLineChars="0"/>
              <w:jc w:val="left"/>
              <w:textAlignment w:val="auto"/>
              <w:rPr>
                <w:rFonts w:hint="default" w:ascii="Arial" w:hAnsi="Arial" w:eastAsia="宋体" w:cs="Arial"/>
                <w:color w:val="auto"/>
                <w:sz w:val="18"/>
                <w:szCs w:val="18"/>
              </w:rPr>
            </w:pPr>
            <w:r>
              <w:rPr>
                <w:rFonts w:hint="default" w:ascii="Arial" w:hAnsi="Arial" w:eastAsia="宋体" w:cs="Arial"/>
                <w:color w:val="auto"/>
                <w:kern w:val="0"/>
                <w:sz w:val="18"/>
                <w:szCs w:val="18"/>
                <w:lang w:bidi="ar"/>
              </w:rPr>
              <w:t>20.0</w:t>
            </w:r>
          </w:p>
        </w:tc>
      </w:tr>
    </w:tbl>
    <w:p>
      <w:pPr>
        <w:ind w:firstLine="482"/>
        <w:rPr>
          <w:rFonts w:hint="default" w:ascii="Arial" w:hAnsi="Arial" w:eastAsia="宋体" w:cs="Arial"/>
          <w:color w:val="auto"/>
        </w:rPr>
      </w:pPr>
    </w:p>
    <w:tbl>
      <w:tblPr>
        <w:tblStyle w:val="39"/>
        <w:tblW w:w="9003"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901"/>
        <w:gridCol w:w="3104"/>
        <w:gridCol w:w="2998"/>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735" w:hRule="atLeast"/>
          <w:jc w:val="center"/>
        </w:trPr>
        <w:tc>
          <w:tcPr>
            <w:tcW w:w="2956" w:type="dxa"/>
            <w:tcBorders>
              <w:top w:val="single" w:color="auto" w:sz="4" w:space="0"/>
              <w:left w:val="single" w:color="auto" w:sz="4" w:space="0"/>
              <w:bottom w:val="single" w:color="auto" w:sz="4" w:space="0"/>
              <w:right w:val="single" w:color="auto" w:sz="4" w:space="0"/>
            </w:tcBorders>
            <w:vAlign w:val="center"/>
          </w:tcPr>
          <w:p>
            <w:pPr>
              <w:rPr>
                <w:rFonts w:hint="default" w:ascii="Arial" w:hAnsi="Arial" w:eastAsia="宋体" w:cs="Arial"/>
                <w:color w:val="auto"/>
                <w:sz w:val="24"/>
              </w:rPr>
            </w:pPr>
            <w:r>
              <w:rPr>
                <w:rFonts w:hint="default" w:ascii="Arial" w:hAnsi="Arial" w:eastAsia="宋体" w:cs="Arial"/>
                <w:color w:val="auto"/>
                <w:sz w:val="24"/>
              </w:rPr>
              <w:drawing>
                <wp:anchor distT="0" distB="0" distL="114300" distR="114300" simplePos="0" relativeHeight="251681792" behindDoc="0" locked="0" layoutInCell="1" allowOverlap="1">
                  <wp:simplePos x="0" y="0"/>
                  <wp:positionH relativeFrom="column">
                    <wp:posOffset>-76200</wp:posOffset>
                  </wp:positionH>
                  <wp:positionV relativeFrom="paragraph">
                    <wp:posOffset>118745</wp:posOffset>
                  </wp:positionV>
                  <wp:extent cx="1906270" cy="2162175"/>
                  <wp:effectExtent l="0" t="0" r="17780" b="9525"/>
                  <wp:wrapNone/>
                  <wp:docPr id="120" name="图片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图片 433"/>
                          <pic:cNvPicPr>
                            <a:picLocks noChangeAspect="1"/>
                          </pic:cNvPicPr>
                        </pic:nvPicPr>
                        <pic:blipFill>
                          <a:blip r:embed="rId36"/>
                          <a:stretch>
                            <a:fillRect/>
                          </a:stretch>
                        </pic:blipFill>
                        <pic:spPr>
                          <a:xfrm>
                            <a:off x="0" y="0"/>
                            <a:ext cx="1906270" cy="2162175"/>
                          </a:xfrm>
                          <a:prstGeom prst="rect">
                            <a:avLst/>
                          </a:prstGeom>
                          <a:noFill/>
                          <a:ln>
                            <a:noFill/>
                          </a:ln>
                        </pic:spPr>
                      </pic:pic>
                    </a:graphicData>
                  </a:graphic>
                </wp:anchor>
              </w:drawing>
            </w:r>
          </w:p>
        </w:tc>
        <w:tc>
          <w:tcPr>
            <w:tcW w:w="3163" w:type="dxa"/>
            <w:tcBorders>
              <w:top w:val="single" w:color="auto" w:sz="4" w:space="0"/>
              <w:left w:val="single" w:color="auto" w:sz="4" w:space="0"/>
              <w:bottom w:val="single" w:color="auto" w:sz="4" w:space="0"/>
              <w:right w:val="single" w:color="auto" w:sz="4" w:space="0"/>
            </w:tcBorders>
            <w:vAlign w:val="center"/>
          </w:tcPr>
          <w:p>
            <w:pPr>
              <w:jc w:val="center"/>
              <w:rPr>
                <w:rFonts w:hint="default" w:ascii="Arial" w:hAnsi="Arial" w:eastAsia="宋体" w:cs="Arial"/>
                <w:color w:val="auto"/>
                <w:szCs w:val="28"/>
              </w:rPr>
            </w:pPr>
            <w:r>
              <w:rPr>
                <w:rFonts w:hint="default" w:ascii="Arial" w:hAnsi="Arial" w:eastAsia="宋体" w:cs="Arial"/>
                <w:color w:val="auto"/>
                <w:szCs w:val="28"/>
              </w:rPr>
              <w:drawing>
                <wp:anchor distT="0" distB="0" distL="114300" distR="114300" simplePos="0" relativeHeight="251682816" behindDoc="1" locked="0" layoutInCell="1" allowOverlap="1">
                  <wp:simplePos x="0" y="0"/>
                  <wp:positionH relativeFrom="column">
                    <wp:posOffset>-52070</wp:posOffset>
                  </wp:positionH>
                  <wp:positionV relativeFrom="paragraph">
                    <wp:posOffset>132080</wp:posOffset>
                  </wp:positionV>
                  <wp:extent cx="1932305" cy="2136140"/>
                  <wp:effectExtent l="0" t="0" r="10795" b="16510"/>
                  <wp:wrapNone/>
                  <wp:docPr id="127"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图片 15"/>
                          <pic:cNvPicPr>
                            <a:picLocks noChangeAspect="1"/>
                          </pic:cNvPicPr>
                        </pic:nvPicPr>
                        <pic:blipFill>
                          <a:blip r:embed="rId37"/>
                          <a:stretch>
                            <a:fillRect/>
                          </a:stretch>
                        </pic:blipFill>
                        <pic:spPr>
                          <a:xfrm>
                            <a:off x="0" y="0"/>
                            <a:ext cx="1932305" cy="2136140"/>
                          </a:xfrm>
                          <a:prstGeom prst="rect">
                            <a:avLst/>
                          </a:prstGeom>
                          <a:noFill/>
                          <a:ln>
                            <a:noFill/>
                          </a:ln>
                        </pic:spPr>
                      </pic:pic>
                    </a:graphicData>
                  </a:graphic>
                </wp:anchor>
              </w:drawing>
            </w:r>
          </w:p>
        </w:tc>
        <w:tc>
          <w:tcPr>
            <w:tcW w:w="3054" w:type="dxa"/>
            <w:tcBorders>
              <w:top w:val="single" w:color="auto" w:sz="4" w:space="0"/>
              <w:left w:val="single" w:color="auto" w:sz="4" w:space="0"/>
              <w:bottom w:val="single" w:color="auto" w:sz="4" w:space="0"/>
              <w:right w:val="single" w:color="auto" w:sz="4" w:space="0"/>
            </w:tcBorders>
            <w:vAlign w:val="center"/>
          </w:tcPr>
          <w:p>
            <w:pPr>
              <w:jc w:val="center"/>
              <w:rPr>
                <w:rFonts w:hint="default" w:ascii="Arial" w:hAnsi="Arial" w:eastAsia="宋体" w:cs="Arial"/>
                <w:color w:val="auto"/>
                <w:szCs w:val="28"/>
              </w:rPr>
            </w:pPr>
            <w:r>
              <w:rPr>
                <w:rFonts w:hint="default" w:ascii="Arial" w:hAnsi="Arial" w:eastAsia="宋体" w:cs="Arial"/>
                <w:color w:val="auto"/>
                <w:szCs w:val="28"/>
              </w:rPr>
              <w:drawing>
                <wp:anchor distT="0" distB="0" distL="114300" distR="114300" simplePos="0" relativeHeight="251682816" behindDoc="1" locked="0" layoutInCell="1" allowOverlap="1">
                  <wp:simplePos x="0" y="0"/>
                  <wp:positionH relativeFrom="column">
                    <wp:posOffset>-20955</wp:posOffset>
                  </wp:positionH>
                  <wp:positionV relativeFrom="paragraph">
                    <wp:posOffset>162560</wp:posOffset>
                  </wp:positionV>
                  <wp:extent cx="1860550" cy="2113280"/>
                  <wp:effectExtent l="0" t="0" r="6350" b="1270"/>
                  <wp:wrapNone/>
                  <wp:docPr id="128"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图片 16"/>
                          <pic:cNvPicPr>
                            <a:picLocks noChangeAspect="1"/>
                          </pic:cNvPicPr>
                        </pic:nvPicPr>
                        <pic:blipFill>
                          <a:blip r:embed="rId38"/>
                          <a:stretch>
                            <a:fillRect/>
                          </a:stretch>
                        </pic:blipFill>
                        <pic:spPr>
                          <a:xfrm>
                            <a:off x="0" y="0"/>
                            <a:ext cx="1860550" cy="2113280"/>
                          </a:xfrm>
                          <a:prstGeom prst="rect">
                            <a:avLst/>
                          </a:prstGeom>
                          <a:noFill/>
                          <a:ln>
                            <a:noFill/>
                          </a:ln>
                        </pic:spPr>
                      </pic:pic>
                    </a:graphicData>
                  </a:graphic>
                </wp:anchor>
              </w:drawing>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16" w:hRule="atLeast"/>
          <w:jc w:val="center"/>
        </w:trPr>
        <w:tc>
          <w:tcPr>
            <w:tcW w:w="2956" w:type="dxa"/>
            <w:tcBorders>
              <w:top w:val="single" w:color="auto" w:sz="4" w:space="0"/>
              <w:left w:val="single" w:color="auto" w:sz="4" w:space="0"/>
              <w:bottom w:val="single" w:color="auto" w:sz="4" w:space="0"/>
              <w:right w:val="single" w:color="auto" w:sz="4" w:space="0"/>
            </w:tcBorders>
            <w:vAlign w:val="center"/>
          </w:tcPr>
          <w:p>
            <w:pPr>
              <w:jc w:val="center"/>
              <w:rPr>
                <w:rFonts w:hint="default" w:ascii="Arial" w:hAnsi="Arial" w:eastAsia="宋体" w:cs="Arial"/>
                <w:color w:val="auto"/>
                <w:szCs w:val="28"/>
              </w:rPr>
            </w:pPr>
            <w:r>
              <w:rPr>
                <w:rFonts w:hint="default" w:ascii="Arial" w:hAnsi="Arial" w:eastAsia="宋体" w:cs="Arial"/>
                <w:color w:val="auto"/>
                <w:szCs w:val="28"/>
              </w:rPr>
              <w:drawing>
                <wp:anchor distT="0" distB="0" distL="114300" distR="114300" simplePos="0" relativeHeight="251682816" behindDoc="1" locked="0" layoutInCell="1" allowOverlap="1">
                  <wp:simplePos x="0" y="0"/>
                  <wp:positionH relativeFrom="column">
                    <wp:posOffset>-36830</wp:posOffset>
                  </wp:positionH>
                  <wp:positionV relativeFrom="paragraph">
                    <wp:posOffset>59055</wp:posOffset>
                  </wp:positionV>
                  <wp:extent cx="1796415" cy="2091690"/>
                  <wp:effectExtent l="0" t="0" r="13335" b="3810"/>
                  <wp:wrapNone/>
                  <wp:docPr id="131"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图片 17"/>
                          <pic:cNvPicPr>
                            <a:picLocks noChangeAspect="1"/>
                          </pic:cNvPicPr>
                        </pic:nvPicPr>
                        <pic:blipFill>
                          <a:blip r:embed="rId39"/>
                          <a:stretch>
                            <a:fillRect/>
                          </a:stretch>
                        </pic:blipFill>
                        <pic:spPr>
                          <a:xfrm>
                            <a:off x="0" y="0"/>
                            <a:ext cx="1796415" cy="2091690"/>
                          </a:xfrm>
                          <a:prstGeom prst="rect">
                            <a:avLst/>
                          </a:prstGeom>
                          <a:noFill/>
                          <a:ln>
                            <a:noFill/>
                          </a:ln>
                        </pic:spPr>
                      </pic:pic>
                    </a:graphicData>
                  </a:graphic>
                </wp:anchor>
              </w:drawing>
            </w:r>
          </w:p>
        </w:tc>
        <w:tc>
          <w:tcPr>
            <w:tcW w:w="3163" w:type="dxa"/>
            <w:tcBorders>
              <w:top w:val="single" w:color="auto" w:sz="4" w:space="0"/>
              <w:left w:val="single" w:color="auto" w:sz="4" w:space="0"/>
              <w:bottom w:val="single" w:color="auto" w:sz="4" w:space="0"/>
              <w:right w:val="single" w:color="auto" w:sz="4" w:space="0"/>
            </w:tcBorders>
            <w:vAlign w:val="center"/>
          </w:tcPr>
          <w:p>
            <w:pPr>
              <w:jc w:val="center"/>
              <w:rPr>
                <w:rFonts w:hint="default" w:ascii="Arial" w:hAnsi="Arial" w:eastAsia="宋体" w:cs="Arial"/>
                <w:color w:val="auto"/>
                <w:sz w:val="16"/>
                <w:szCs w:val="28"/>
              </w:rPr>
            </w:pPr>
            <w:r>
              <w:rPr>
                <w:rFonts w:hint="default" w:ascii="Arial" w:hAnsi="Arial" w:eastAsia="宋体" w:cs="Arial"/>
                <w:color w:val="auto"/>
                <w:sz w:val="16"/>
                <w:szCs w:val="28"/>
              </w:rPr>
              <w:drawing>
                <wp:anchor distT="0" distB="0" distL="114300" distR="114300" simplePos="0" relativeHeight="251682816" behindDoc="1" locked="0" layoutInCell="1" allowOverlap="1">
                  <wp:simplePos x="0" y="0"/>
                  <wp:positionH relativeFrom="column">
                    <wp:posOffset>-27305</wp:posOffset>
                  </wp:positionH>
                  <wp:positionV relativeFrom="paragraph">
                    <wp:posOffset>39370</wp:posOffset>
                  </wp:positionV>
                  <wp:extent cx="1887855" cy="2148205"/>
                  <wp:effectExtent l="0" t="0" r="17145" b="4445"/>
                  <wp:wrapNone/>
                  <wp:docPr id="159"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图片 18"/>
                          <pic:cNvPicPr>
                            <a:picLocks noChangeAspect="1"/>
                          </pic:cNvPicPr>
                        </pic:nvPicPr>
                        <pic:blipFill>
                          <a:blip r:embed="rId40"/>
                          <a:stretch>
                            <a:fillRect/>
                          </a:stretch>
                        </pic:blipFill>
                        <pic:spPr>
                          <a:xfrm>
                            <a:off x="0" y="0"/>
                            <a:ext cx="1887855" cy="2148205"/>
                          </a:xfrm>
                          <a:prstGeom prst="rect">
                            <a:avLst/>
                          </a:prstGeom>
                          <a:noFill/>
                          <a:ln>
                            <a:noFill/>
                          </a:ln>
                        </pic:spPr>
                      </pic:pic>
                    </a:graphicData>
                  </a:graphic>
                </wp:anchor>
              </w:drawing>
            </w:r>
          </w:p>
        </w:tc>
        <w:tc>
          <w:tcPr>
            <w:tcW w:w="3054" w:type="dxa"/>
            <w:tcBorders>
              <w:top w:val="single" w:color="auto" w:sz="4" w:space="0"/>
              <w:left w:val="single" w:color="auto" w:sz="4" w:space="0"/>
              <w:bottom w:val="single" w:color="auto" w:sz="4" w:space="0"/>
              <w:right w:val="single" w:color="auto" w:sz="4" w:space="0"/>
            </w:tcBorders>
            <w:vAlign w:val="center"/>
          </w:tcPr>
          <w:p>
            <w:pPr>
              <w:jc w:val="center"/>
              <w:rPr>
                <w:rFonts w:hint="default" w:ascii="Arial" w:hAnsi="Arial" w:eastAsia="宋体" w:cs="Arial"/>
                <w:color w:val="auto"/>
                <w:szCs w:val="28"/>
              </w:rPr>
            </w:pPr>
            <w:r>
              <w:rPr>
                <w:rFonts w:hint="default" w:ascii="Arial" w:hAnsi="Arial" w:eastAsia="宋体" w:cs="Arial"/>
                <w:color w:val="auto"/>
                <w:szCs w:val="28"/>
              </w:rPr>
              <w:drawing>
                <wp:anchor distT="0" distB="0" distL="114300" distR="114300" simplePos="0" relativeHeight="251682816" behindDoc="1" locked="0" layoutInCell="1" allowOverlap="1">
                  <wp:simplePos x="0" y="0"/>
                  <wp:positionH relativeFrom="column">
                    <wp:posOffset>3175</wp:posOffset>
                  </wp:positionH>
                  <wp:positionV relativeFrom="paragraph">
                    <wp:posOffset>85090</wp:posOffset>
                  </wp:positionV>
                  <wp:extent cx="1757045" cy="2060575"/>
                  <wp:effectExtent l="0" t="0" r="14605" b="15875"/>
                  <wp:wrapNone/>
                  <wp:docPr id="161"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图片 19"/>
                          <pic:cNvPicPr>
                            <a:picLocks noChangeAspect="1"/>
                          </pic:cNvPicPr>
                        </pic:nvPicPr>
                        <pic:blipFill>
                          <a:blip r:embed="rId41"/>
                          <a:stretch>
                            <a:fillRect/>
                          </a:stretch>
                        </pic:blipFill>
                        <pic:spPr>
                          <a:xfrm>
                            <a:off x="0" y="0"/>
                            <a:ext cx="1757045" cy="2060575"/>
                          </a:xfrm>
                          <a:prstGeom prst="rect">
                            <a:avLst/>
                          </a:prstGeom>
                          <a:noFill/>
                          <a:ln>
                            <a:noFill/>
                          </a:ln>
                        </pic:spPr>
                      </pic:pic>
                    </a:graphicData>
                  </a:graphic>
                </wp:anchor>
              </w:drawing>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75" w:hRule="atLeast"/>
          <w:jc w:val="center"/>
        </w:trPr>
        <w:tc>
          <w:tcPr>
            <w:tcW w:w="2956" w:type="dxa"/>
            <w:tcBorders>
              <w:top w:val="single" w:color="auto" w:sz="4" w:space="0"/>
              <w:left w:val="single" w:color="auto" w:sz="4" w:space="0"/>
              <w:bottom w:val="single" w:color="auto" w:sz="4" w:space="0"/>
              <w:right w:val="single" w:color="auto" w:sz="4" w:space="0"/>
            </w:tcBorders>
            <w:vAlign w:val="center"/>
          </w:tcPr>
          <w:p>
            <w:pPr>
              <w:jc w:val="center"/>
              <w:rPr>
                <w:rFonts w:hint="default" w:ascii="Arial" w:hAnsi="Arial" w:eastAsia="宋体" w:cs="Arial"/>
                <w:color w:val="auto"/>
                <w:szCs w:val="28"/>
              </w:rPr>
            </w:pPr>
            <w:r>
              <w:rPr>
                <w:rFonts w:hint="default" w:ascii="Arial" w:hAnsi="Arial" w:eastAsia="宋体" w:cs="Arial"/>
                <w:color w:val="auto"/>
                <w:szCs w:val="28"/>
              </w:rPr>
              <w:drawing>
                <wp:anchor distT="0" distB="0" distL="114300" distR="114300" simplePos="0" relativeHeight="251682816" behindDoc="1" locked="0" layoutInCell="1" allowOverlap="1">
                  <wp:simplePos x="0" y="0"/>
                  <wp:positionH relativeFrom="column">
                    <wp:posOffset>-12700</wp:posOffset>
                  </wp:positionH>
                  <wp:positionV relativeFrom="paragraph">
                    <wp:posOffset>2101850</wp:posOffset>
                  </wp:positionV>
                  <wp:extent cx="1720215" cy="2009775"/>
                  <wp:effectExtent l="0" t="0" r="13335" b="9525"/>
                  <wp:wrapNone/>
                  <wp:docPr id="171"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图片 23"/>
                          <pic:cNvPicPr>
                            <a:picLocks noChangeAspect="1"/>
                          </pic:cNvPicPr>
                        </pic:nvPicPr>
                        <pic:blipFill>
                          <a:blip r:embed="rId42"/>
                          <a:stretch>
                            <a:fillRect/>
                          </a:stretch>
                        </pic:blipFill>
                        <pic:spPr>
                          <a:xfrm>
                            <a:off x="0" y="0"/>
                            <a:ext cx="1720215" cy="2009775"/>
                          </a:xfrm>
                          <a:prstGeom prst="rect">
                            <a:avLst/>
                          </a:prstGeom>
                          <a:noFill/>
                          <a:ln>
                            <a:noFill/>
                          </a:ln>
                        </pic:spPr>
                      </pic:pic>
                    </a:graphicData>
                  </a:graphic>
                </wp:anchor>
              </w:drawing>
            </w:r>
            <w:r>
              <w:rPr>
                <w:rFonts w:hint="default" w:ascii="Arial" w:hAnsi="Arial" w:eastAsia="宋体" w:cs="Arial"/>
                <w:color w:val="auto"/>
                <w:szCs w:val="28"/>
              </w:rPr>
              <w:drawing>
                <wp:anchor distT="0" distB="0" distL="114300" distR="114300" simplePos="0" relativeHeight="251682816" behindDoc="1" locked="0" layoutInCell="1" allowOverlap="1">
                  <wp:simplePos x="0" y="0"/>
                  <wp:positionH relativeFrom="column">
                    <wp:posOffset>-36830</wp:posOffset>
                  </wp:positionH>
                  <wp:positionV relativeFrom="paragraph">
                    <wp:posOffset>94615</wp:posOffset>
                  </wp:positionV>
                  <wp:extent cx="1739265" cy="1972310"/>
                  <wp:effectExtent l="0" t="0" r="13335" b="8890"/>
                  <wp:wrapNone/>
                  <wp:docPr id="162"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图片 20"/>
                          <pic:cNvPicPr>
                            <a:picLocks noChangeAspect="1"/>
                          </pic:cNvPicPr>
                        </pic:nvPicPr>
                        <pic:blipFill>
                          <a:blip r:embed="rId43"/>
                          <a:stretch>
                            <a:fillRect/>
                          </a:stretch>
                        </pic:blipFill>
                        <pic:spPr>
                          <a:xfrm>
                            <a:off x="0" y="0"/>
                            <a:ext cx="1739265" cy="1972310"/>
                          </a:xfrm>
                          <a:prstGeom prst="rect">
                            <a:avLst/>
                          </a:prstGeom>
                          <a:noFill/>
                          <a:ln>
                            <a:noFill/>
                          </a:ln>
                        </pic:spPr>
                      </pic:pic>
                    </a:graphicData>
                  </a:graphic>
                </wp:anchor>
              </w:drawing>
            </w:r>
          </w:p>
        </w:tc>
        <w:tc>
          <w:tcPr>
            <w:tcW w:w="3163" w:type="dxa"/>
            <w:tcBorders>
              <w:top w:val="single" w:color="auto" w:sz="4" w:space="0"/>
              <w:left w:val="single" w:color="auto" w:sz="4" w:space="0"/>
              <w:bottom w:val="single" w:color="auto" w:sz="4" w:space="0"/>
              <w:right w:val="single" w:color="auto" w:sz="4" w:space="0"/>
            </w:tcBorders>
            <w:vAlign w:val="center"/>
          </w:tcPr>
          <w:p>
            <w:pPr>
              <w:jc w:val="center"/>
              <w:rPr>
                <w:rFonts w:hint="default" w:ascii="Arial" w:hAnsi="Arial" w:eastAsia="宋体" w:cs="Arial"/>
                <w:color w:val="auto"/>
                <w:szCs w:val="28"/>
              </w:rPr>
            </w:pPr>
            <w:r>
              <w:rPr>
                <w:rFonts w:hint="default" w:ascii="Arial" w:hAnsi="Arial" w:eastAsia="宋体" w:cs="Arial"/>
                <w:color w:val="auto"/>
                <w:szCs w:val="28"/>
              </w:rPr>
              <w:drawing>
                <wp:anchor distT="0" distB="0" distL="114300" distR="114300" simplePos="0" relativeHeight="251682816" behindDoc="1" locked="0" layoutInCell="1" allowOverlap="1">
                  <wp:simplePos x="0" y="0"/>
                  <wp:positionH relativeFrom="column">
                    <wp:posOffset>-44450</wp:posOffset>
                  </wp:positionH>
                  <wp:positionV relativeFrom="paragraph">
                    <wp:posOffset>2043430</wp:posOffset>
                  </wp:positionV>
                  <wp:extent cx="1882140" cy="2028825"/>
                  <wp:effectExtent l="0" t="0" r="3810" b="9525"/>
                  <wp:wrapNone/>
                  <wp:docPr id="175"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图片 24"/>
                          <pic:cNvPicPr>
                            <a:picLocks noChangeAspect="1"/>
                          </pic:cNvPicPr>
                        </pic:nvPicPr>
                        <pic:blipFill>
                          <a:blip r:embed="rId44"/>
                          <a:stretch>
                            <a:fillRect/>
                          </a:stretch>
                        </pic:blipFill>
                        <pic:spPr>
                          <a:xfrm>
                            <a:off x="0" y="0"/>
                            <a:ext cx="1882140" cy="2028825"/>
                          </a:xfrm>
                          <a:prstGeom prst="rect">
                            <a:avLst/>
                          </a:prstGeom>
                          <a:noFill/>
                          <a:ln>
                            <a:noFill/>
                          </a:ln>
                        </pic:spPr>
                      </pic:pic>
                    </a:graphicData>
                  </a:graphic>
                </wp:anchor>
              </w:drawing>
            </w:r>
            <w:r>
              <w:rPr>
                <w:rFonts w:hint="default" w:ascii="Arial" w:hAnsi="Arial" w:eastAsia="宋体" w:cs="Arial"/>
                <w:color w:val="auto"/>
                <w:szCs w:val="28"/>
              </w:rPr>
              <w:drawing>
                <wp:anchor distT="0" distB="0" distL="114300" distR="114300" simplePos="0" relativeHeight="251682816" behindDoc="1" locked="0" layoutInCell="1" allowOverlap="1">
                  <wp:simplePos x="0" y="0"/>
                  <wp:positionH relativeFrom="column">
                    <wp:posOffset>58420</wp:posOffset>
                  </wp:positionH>
                  <wp:positionV relativeFrom="paragraph">
                    <wp:posOffset>78105</wp:posOffset>
                  </wp:positionV>
                  <wp:extent cx="1721485" cy="1975485"/>
                  <wp:effectExtent l="0" t="0" r="12065" b="5715"/>
                  <wp:wrapNone/>
                  <wp:docPr id="166"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图片 21"/>
                          <pic:cNvPicPr>
                            <a:picLocks noChangeAspect="1"/>
                          </pic:cNvPicPr>
                        </pic:nvPicPr>
                        <pic:blipFill>
                          <a:blip r:embed="rId45"/>
                          <a:stretch>
                            <a:fillRect/>
                          </a:stretch>
                        </pic:blipFill>
                        <pic:spPr>
                          <a:xfrm>
                            <a:off x="0" y="0"/>
                            <a:ext cx="1721485" cy="1975485"/>
                          </a:xfrm>
                          <a:prstGeom prst="rect">
                            <a:avLst/>
                          </a:prstGeom>
                          <a:noFill/>
                          <a:ln>
                            <a:noFill/>
                          </a:ln>
                        </pic:spPr>
                      </pic:pic>
                    </a:graphicData>
                  </a:graphic>
                </wp:anchor>
              </w:drawing>
            </w:r>
          </w:p>
        </w:tc>
        <w:tc>
          <w:tcPr>
            <w:tcW w:w="3054" w:type="dxa"/>
            <w:tcBorders>
              <w:top w:val="single" w:color="auto" w:sz="4" w:space="0"/>
              <w:left w:val="single" w:color="auto" w:sz="4" w:space="0"/>
              <w:bottom w:val="single" w:color="auto" w:sz="4" w:space="0"/>
              <w:right w:val="single" w:color="auto" w:sz="4" w:space="0"/>
            </w:tcBorders>
            <w:vAlign w:val="center"/>
          </w:tcPr>
          <w:p>
            <w:pPr>
              <w:jc w:val="center"/>
              <w:rPr>
                <w:rFonts w:hint="default" w:ascii="Arial" w:hAnsi="Arial" w:eastAsia="宋体" w:cs="Arial"/>
                <w:color w:val="auto"/>
                <w:szCs w:val="28"/>
              </w:rPr>
            </w:pPr>
            <w:r>
              <w:rPr>
                <w:rFonts w:hint="default" w:ascii="Arial" w:hAnsi="Arial" w:eastAsia="宋体" w:cs="Arial"/>
                <w:color w:val="auto"/>
                <w:szCs w:val="28"/>
              </w:rPr>
              <w:drawing>
                <wp:anchor distT="0" distB="0" distL="114300" distR="114300" simplePos="0" relativeHeight="251682816" behindDoc="1" locked="0" layoutInCell="1" allowOverlap="1">
                  <wp:simplePos x="0" y="0"/>
                  <wp:positionH relativeFrom="column">
                    <wp:posOffset>-52070</wp:posOffset>
                  </wp:positionH>
                  <wp:positionV relativeFrom="paragraph">
                    <wp:posOffset>2099945</wp:posOffset>
                  </wp:positionV>
                  <wp:extent cx="1835150" cy="1978660"/>
                  <wp:effectExtent l="0" t="0" r="12700" b="2540"/>
                  <wp:wrapNone/>
                  <wp:docPr id="176"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图片 25"/>
                          <pic:cNvPicPr>
                            <a:picLocks noChangeAspect="1"/>
                          </pic:cNvPicPr>
                        </pic:nvPicPr>
                        <pic:blipFill>
                          <a:blip r:embed="rId46"/>
                          <a:stretch>
                            <a:fillRect/>
                          </a:stretch>
                        </pic:blipFill>
                        <pic:spPr>
                          <a:xfrm>
                            <a:off x="0" y="0"/>
                            <a:ext cx="1835150" cy="1978660"/>
                          </a:xfrm>
                          <a:prstGeom prst="rect">
                            <a:avLst/>
                          </a:prstGeom>
                          <a:noFill/>
                          <a:ln>
                            <a:noFill/>
                          </a:ln>
                        </pic:spPr>
                      </pic:pic>
                    </a:graphicData>
                  </a:graphic>
                </wp:anchor>
              </w:drawing>
            </w:r>
            <w:r>
              <w:rPr>
                <w:rFonts w:hint="default" w:ascii="Arial" w:hAnsi="Arial" w:eastAsia="宋体" w:cs="Arial"/>
                <w:color w:val="auto"/>
                <w:sz w:val="24"/>
              </w:rPr>
              <w:drawing>
                <wp:anchor distT="0" distB="0" distL="114300" distR="114300" simplePos="0" relativeHeight="251682816" behindDoc="1" locked="0" layoutInCell="1" allowOverlap="1">
                  <wp:simplePos x="0" y="0"/>
                  <wp:positionH relativeFrom="column">
                    <wp:posOffset>-4445</wp:posOffset>
                  </wp:positionH>
                  <wp:positionV relativeFrom="paragraph">
                    <wp:posOffset>45085</wp:posOffset>
                  </wp:positionV>
                  <wp:extent cx="1766570" cy="2022475"/>
                  <wp:effectExtent l="0" t="0" r="5080" b="15875"/>
                  <wp:wrapNone/>
                  <wp:docPr id="167"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图片 22"/>
                          <pic:cNvPicPr>
                            <a:picLocks noChangeAspect="1"/>
                          </pic:cNvPicPr>
                        </pic:nvPicPr>
                        <pic:blipFill>
                          <a:blip r:embed="rId47"/>
                          <a:stretch>
                            <a:fillRect/>
                          </a:stretch>
                        </pic:blipFill>
                        <pic:spPr>
                          <a:xfrm>
                            <a:off x="0" y="0"/>
                            <a:ext cx="1766570" cy="2022475"/>
                          </a:xfrm>
                          <a:prstGeom prst="rect">
                            <a:avLst/>
                          </a:prstGeom>
                          <a:noFill/>
                          <a:ln>
                            <a:noFill/>
                          </a:ln>
                        </pic:spPr>
                      </pic:pic>
                    </a:graphicData>
                  </a:graphic>
                </wp:anchor>
              </w:drawing>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973" w:hRule="atLeast"/>
          <w:jc w:val="center"/>
        </w:trPr>
        <w:tc>
          <w:tcPr>
            <w:tcW w:w="2956" w:type="dxa"/>
            <w:tcBorders>
              <w:top w:val="single" w:color="auto" w:sz="4" w:space="0"/>
              <w:left w:val="single" w:color="auto" w:sz="4" w:space="0"/>
              <w:bottom w:val="single" w:color="auto" w:sz="4" w:space="0"/>
              <w:right w:val="single" w:color="auto" w:sz="4" w:space="0"/>
            </w:tcBorders>
            <w:vAlign w:val="center"/>
          </w:tcPr>
          <w:p>
            <w:pPr>
              <w:jc w:val="center"/>
              <w:rPr>
                <w:rFonts w:hint="default" w:ascii="Arial" w:hAnsi="Arial" w:eastAsia="宋体" w:cs="Arial"/>
                <w:color w:val="auto"/>
                <w:szCs w:val="28"/>
              </w:rPr>
            </w:pPr>
          </w:p>
        </w:tc>
        <w:tc>
          <w:tcPr>
            <w:tcW w:w="3163" w:type="dxa"/>
            <w:tcBorders>
              <w:top w:val="single" w:color="auto" w:sz="4" w:space="0"/>
              <w:left w:val="single" w:color="auto" w:sz="4" w:space="0"/>
              <w:bottom w:val="single" w:color="auto" w:sz="4" w:space="0"/>
              <w:right w:val="single" w:color="auto" w:sz="4" w:space="0"/>
            </w:tcBorders>
            <w:vAlign w:val="center"/>
          </w:tcPr>
          <w:p>
            <w:pPr>
              <w:jc w:val="center"/>
              <w:rPr>
                <w:rFonts w:hint="default" w:ascii="Arial" w:hAnsi="Arial" w:eastAsia="宋体" w:cs="Arial"/>
                <w:color w:val="auto"/>
                <w:szCs w:val="28"/>
              </w:rPr>
            </w:pPr>
          </w:p>
        </w:tc>
        <w:tc>
          <w:tcPr>
            <w:tcW w:w="3054" w:type="dxa"/>
            <w:tcBorders>
              <w:top w:val="single" w:color="auto" w:sz="4" w:space="0"/>
              <w:left w:val="single" w:color="auto" w:sz="4" w:space="0"/>
              <w:bottom w:val="single" w:color="auto" w:sz="4" w:space="0"/>
              <w:right w:val="single" w:color="auto" w:sz="4" w:space="0"/>
            </w:tcBorders>
            <w:vAlign w:val="center"/>
          </w:tcPr>
          <w:p>
            <w:pPr>
              <w:jc w:val="center"/>
              <w:rPr>
                <w:rFonts w:hint="default" w:ascii="Arial" w:hAnsi="Arial" w:eastAsia="宋体" w:cs="Arial"/>
                <w:color w:val="auto"/>
                <w:szCs w:val="28"/>
              </w:rPr>
            </w:pPr>
          </w:p>
        </w:tc>
      </w:tr>
    </w:tbl>
    <w:p>
      <w:pPr>
        <w:keepNext w:val="0"/>
        <w:keepLines w:val="0"/>
        <w:pageBreakBefore w:val="0"/>
        <w:widowControl w:val="0"/>
        <w:kinsoku/>
        <w:wordWrap/>
        <w:overflowPunct/>
        <w:topLinePunct/>
        <w:autoSpaceDE w:val="0"/>
        <w:autoSpaceDN/>
        <w:bidi w:val="0"/>
        <w:adjustRightInd/>
        <w:snapToGrid/>
        <w:ind w:left="0" w:leftChars="0" w:firstLine="0" w:firstLineChars="0"/>
        <w:jc w:val="center"/>
        <w:textAlignment w:val="auto"/>
        <w:rPr>
          <w:rFonts w:hint="default" w:ascii="Arial" w:hAnsi="Arial" w:eastAsia="宋体" w:cs="Arial"/>
          <w:b/>
          <w:bCs/>
          <w:color w:val="auto"/>
        </w:rPr>
      </w:pPr>
      <w:r>
        <w:rPr>
          <w:rFonts w:hint="default" w:ascii="Arial" w:hAnsi="Arial" w:eastAsia="宋体" w:cs="Arial"/>
          <w:b/>
          <w:bCs/>
          <w:color w:val="auto"/>
        </w:rPr>
        <w:t>图5.2-3    五原县20年（1999～2018年）各月风向频率玫瑰图</w:t>
      </w:r>
    </w:p>
    <w:p>
      <w:pPr>
        <w:keepNext w:val="0"/>
        <w:keepLines w:val="0"/>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rPr>
      </w:pPr>
      <w:r>
        <w:rPr>
          <w:rFonts w:hint="default" w:ascii="Arial" w:hAnsi="Arial" w:eastAsia="宋体" w:cs="Arial"/>
          <w:color w:val="auto"/>
          <w:szCs w:val="24"/>
          <w:lang w:bidi="ar"/>
        </w:rPr>
        <w:t>（4）地面风频的季变化</w:t>
      </w:r>
    </w:p>
    <w:p>
      <w:pPr>
        <w:keepNext w:val="0"/>
        <w:keepLines w:val="0"/>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rPr>
      </w:pPr>
      <w:r>
        <w:rPr>
          <w:rFonts w:hint="default" w:ascii="Arial" w:hAnsi="Arial" w:eastAsia="宋体" w:cs="Arial"/>
          <w:color w:val="auto"/>
          <w:szCs w:val="24"/>
          <w:lang w:bidi="ar"/>
        </w:rPr>
        <w:t>巴彦淖尔市五原县近20年（1999年-2018年）各季的风向频率统计见下表，五原县近20年各季及全年风向频率玫瑰图见下图。</w:t>
      </w:r>
    </w:p>
    <w:p>
      <w:pPr>
        <w:keepNext w:val="0"/>
        <w:keepLines w:val="0"/>
        <w:pageBreakBefore w:val="0"/>
        <w:widowControl w:val="0"/>
        <w:kinsoku/>
        <w:wordWrap/>
        <w:overflowPunct/>
        <w:topLinePunct/>
        <w:autoSpaceDE w:val="0"/>
        <w:autoSpaceDN/>
        <w:bidi w:val="0"/>
        <w:adjustRightInd/>
        <w:snapToGrid/>
        <w:ind w:firstLine="0" w:firstLineChars="0"/>
        <w:jc w:val="center"/>
        <w:textAlignment w:val="auto"/>
        <w:rPr>
          <w:rFonts w:hint="default" w:ascii="Arial" w:hAnsi="Arial" w:eastAsia="宋体" w:cs="Arial"/>
          <w:b/>
          <w:bCs/>
          <w:color w:val="auto"/>
        </w:rPr>
      </w:pPr>
      <w:r>
        <w:rPr>
          <w:rFonts w:hint="default" w:ascii="Arial" w:hAnsi="Arial" w:eastAsia="宋体" w:cs="Arial"/>
          <w:b/>
          <w:bCs/>
          <w:color w:val="auto"/>
        </w:rPr>
        <w:t>表5.2-5    五原县近20年（1999年-2018年）各季风向频率统计表</w:t>
      </w:r>
    </w:p>
    <w:tbl>
      <w:tblPr>
        <w:tblStyle w:val="39"/>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575"/>
        <w:gridCol w:w="425"/>
        <w:gridCol w:w="534"/>
        <w:gridCol w:w="426"/>
        <w:gridCol w:w="526"/>
        <w:gridCol w:w="426"/>
        <w:gridCol w:w="518"/>
        <w:gridCol w:w="426"/>
        <w:gridCol w:w="518"/>
        <w:gridCol w:w="426"/>
        <w:gridCol w:w="559"/>
        <w:gridCol w:w="458"/>
        <w:gridCol w:w="600"/>
        <w:gridCol w:w="426"/>
        <w:gridCol w:w="609"/>
        <w:gridCol w:w="467"/>
        <w:gridCol w:w="575"/>
        <w:gridCol w:w="509"/>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1" w:type="pct"/>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18"/>
                <w:szCs w:val="18"/>
              </w:rPr>
            </w:pPr>
            <w:r>
              <w:rPr>
                <w:rFonts w:hint="default" w:ascii="Arial" w:hAnsi="Arial" w:eastAsia="宋体" w:cs="Arial"/>
                <w:color w:val="auto"/>
                <w:sz w:val="18"/>
                <w:szCs w:val="18"/>
              </w:rPr>
              <w:t>风向</w:t>
            </w:r>
          </w:p>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18"/>
                <w:szCs w:val="18"/>
              </w:rPr>
            </w:pPr>
            <w:r>
              <w:rPr>
                <w:rFonts w:hint="default" w:ascii="Arial" w:hAnsi="Arial" w:eastAsia="宋体" w:cs="Arial"/>
                <w:color w:val="auto"/>
                <w:sz w:val="18"/>
                <w:szCs w:val="18"/>
              </w:rPr>
              <w:t>风频（%）</w:t>
            </w:r>
          </w:p>
        </w:tc>
        <w:tc>
          <w:tcPr>
            <w:tcW w:w="236" w:type="pct"/>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18"/>
                <w:szCs w:val="18"/>
              </w:rPr>
            </w:pPr>
            <w:r>
              <w:rPr>
                <w:rFonts w:hint="default" w:ascii="Arial" w:hAnsi="Arial" w:eastAsia="宋体" w:cs="Arial"/>
                <w:color w:val="auto"/>
                <w:sz w:val="18"/>
                <w:szCs w:val="18"/>
              </w:rPr>
              <w:t>N</w:t>
            </w:r>
          </w:p>
        </w:tc>
        <w:tc>
          <w:tcPr>
            <w:tcW w:w="311" w:type="pct"/>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18"/>
                <w:szCs w:val="18"/>
              </w:rPr>
            </w:pPr>
            <w:r>
              <w:rPr>
                <w:rFonts w:hint="default" w:ascii="Arial" w:hAnsi="Arial" w:eastAsia="宋体" w:cs="Arial"/>
                <w:color w:val="auto"/>
                <w:sz w:val="18"/>
                <w:szCs w:val="18"/>
              </w:rPr>
              <w:t>NNE</w:t>
            </w:r>
          </w:p>
        </w:tc>
        <w:tc>
          <w:tcPr>
            <w:tcW w:w="243" w:type="pct"/>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18"/>
                <w:szCs w:val="18"/>
              </w:rPr>
            </w:pPr>
            <w:r>
              <w:rPr>
                <w:rFonts w:hint="default" w:ascii="Arial" w:hAnsi="Arial" w:eastAsia="宋体" w:cs="Arial"/>
                <w:color w:val="auto"/>
                <w:sz w:val="18"/>
                <w:szCs w:val="18"/>
              </w:rPr>
              <w:t>NE</w:t>
            </w:r>
          </w:p>
        </w:tc>
        <w:tc>
          <w:tcPr>
            <w:tcW w:w="301" w:type="pct"/>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18"/>
                <w:szCs w:val="18"/>
              </w:rPr>
            </w:pPr>
            <w:r>
              <w:rPr>
                <w:rFonts w:hint="default" w:ascii="Arial" w:hAnsi="Arial" w:eastAsia="宋体" w:cs="Arial"/>
                <w:color w:val="auto"/>
                <w:sz w:val="18"/>
                <w:szCs w:val="18"/>
              </w:rPr>
              <w:t>ENE</w:t>
            </w:r>
          </w:p>
        </w:tc>
        <w:tc>
          <w:tcPr>
            <w:tcW w:w="236" w:type="pct"/>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18"/>
                <w:szCs w:val="18"/>
              </w:rPr>
            </w:pPr>
            <w:r>
              <w:rPr>
                <w:rFonts w:hint="default" w:ascii="Arial" w:hAnsi="Arial" w:eastAsia="宋体" w:cs="Arial"/>
                <w:color w:val="auto"/>
                <w:sz w:val="18"/>
                <w:szCs w:val="18"/>
              </w:rPr>
              <w:t>E</w:t>
            </w:r>
          </w:p>
        </w:tc>
        <w:tc>
          <w:tcPr>
            <w:tcW w:w="285" w:type="pct"/>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18"/>
                <w:szCs w:val="18"/>
              </w:rPr>
            </w:pPr>
            <w:r>
              <w:rPr>
                <w:rFonts w:hint="default" w:ascii="Arial" w:hAnsi="Arial" w:eastAsia="宋体" w:cs="Arial"/>
                <w:color w:val="auto"/>
                <w:sz w:val="18"/>
                <w:szCs w:val="18"/>
              </w:rPr>
              <w:t>ESE</w:t>
            </w:r>
          </w:p>
        </w:tc>
        <w:tc>
          <w:tcPr>
            <w:tcW w:w="236" w:type="pct"/>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18"/>
                <w:szCs w:val="18"/>
              </w:rPr>
            </w:pPr>
            <w:r>
              <w:rPr>
                <w:rFonts w:hint="default" w:ascii="Arial" w:hAnsi="Arial" w:eastAsia="宋体" w:cs="Arial"/>
                <w:color w:val="auto"/>
                <w:sz w:val="18"/>
                <w:szCs w:val="18"/>
              </w:rPr>
              <w:t>SE</w:t>
            </w:r>
          </w:p>
        </w:tc>
        <w:tc>
          <w:tcPr>
            <w:tcW w:w="280" w:type="pct"/>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18"/>
                <w:szCs w:val="18"/>
              </w:rPr>
            </w:pPr>
            <w:r>
              <w:rPr>
                <w:rFonts w:hint="default" w:ascii="Arial" w:hAnsi="Arial" w:eastAsia="宋体" w:cs="Arial"/>
                <w:color w:val="auto"/>
                <w:sz w:val="18"/>
                <w:szCs w:val="18"/>
              </w:rPr>
              <w:t>SSE</w:t>
            </w:r>
          </w:p>
        </w:tc>
        <w:tc>
          <w:tcPr>
            <w:tcW w:w="236" w:type="pct"/>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18"/>
                <w:szCs w:val="18"/>
              </w:rPr>
            </w:pPr>
            <w:r>
              <w:rPr>
                <w:rFonts w:hint="default" w:ascii="Arial" w:hAnsi="Arial" w:eastAsia="宋体" w:cs="Arial"/>
                <w:color w:val="auto"/>
                <w:sz w:val="18"/>
                <w:szCs w:val="18"/>
              </w:rPr>
              <w:t>S</w:t>
            </w:r>
          </w:p>
        </w:tc>
        <w:tc>
          <w:tcPr>
            <w:tcW w:w="311" w:type="pct"/>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18"/>
                <w:szCs w:val="18"/>
              </w:rPr>
            </w:pPr>
            <w:r>
              <w:rPr>
                <w:rFonts w:hint="default" w:ascii="Arial" w:hAnsi="Arial" w:eastAsia="宋体" w:cs="Arial"/>
                <w:color w:val="auto"/>
                <w:sz w:val="18"/>
                <w:szCs w:val="18"/>
              </w:rPr>
              <w:t>SSW</w:t>
            </w:r>
          </w:p>
        </w:tc>
        <w:tc>
          <w:tcPr>
            <w:tcW w:w="259" w:type="pct"/>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18"/>
                <w:szCs w:val="18"/>
              </w:rPr>
            </w:pPr>
            <w:r>
              <w:rPr>
                <w:rFonts w:hint="default" w:ascii="Arial" w:hAnsi="Arial" w:eastAsia="宋体" w:cs="Arial"/>
                <w:color w:val="auto"/>
                <w:sz w:val="18"/>
                <w:szCs w:val="18"/>
              </w:rPr>
              <w:t>SW</w:t>
            </w:r>
          </w:p>
        </w:tc>
        <w:tc>
          <w:tcPr>
            <w:tcW w:w="348" w:type="pct"/>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18"/>
                <w:szCs w:val="18"/>
              </w:rPr>
            </w:pPr>
            <w:r>
              <w:rPr>
                <w:rFonts w:hint="default" w:ascii="Arial" w:hAnsi="Arial" w:eastAsia="宋体" w:cs="Arial"/>
                <w:color w:val="auto"/>
                <w:sz w:val="18"/>
                <w:szCs w:val="18"/>
              </w:rPr>
              <w:t>WSW</w:t>
            </w:r>
          </w:p>
        </w:tc>
        <w:tc>
          <w:tcPr>
            <w:tcW w:w="236" w:type="pct"/>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18"/>
                <w:szCs w:val="18"/>
              </w:rPr>
            </w:pPr>
            <w:r>
              <w:rPr>
                <w:rFonts w:hint="default" w:ascii="Arial" w:hAnsi="Arial" w:eastAsia="宋体" w:cs="Arial"/>
                <w:color w:val="auto"/>
                <w:sz w:val="18"/>
                <w:szCs w:val="18"/>
              </w:rPr>
              <w:t>W</w:t>
            </w:r>
          </w:p>
        </w:tc>
        <w:tc>
          <w:tcPr>
            <w:tcW w:w="364" w:type="pct"/>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18"/>
                <w:szCs w:val="18"/>
              </w:rPr>
            </w:pPr>
            <w:r>
              <w:rPr>
                <w:rFonts w:hint="default" w:ascii="Arial" w:hAnsi="Arial" w:eastAsia="宋体" w:cs="Arial"/>
                <w:color w:val="auto"/>
                <w:sz w:val="18"/>
                <w:szCs w:val="18"/>
              </w:rPr>
              <w:t>WNW</w:t>
            </w:r>
          </w:p>
        </w:tc>
        <w:tc>
          <w:tcPr>
            <w:tcW w:w="274" w:type="pct"/>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18"/>
                <w:szCs w:val="18"/>
              </w:rPr>
            </w:pPr>
            <w:r>
              <w:rPr>
                <w:rFonts w:hint="default" w:ascii="Arial" w:hAnsi="Arial" w:eastAsia="宋体" w:cs="Arial"/>
                <w:color w:val="auto"/>
                <w:sz w:val="18"/>
                <w:szCs w:val="18"/>
              </w:rPr>
              <w:t>NW</w:t>
            </w:r>
          </w:p>
        </w:tc>
        <w:tc>
          <w:tcPr>
            <w:tcW w:w="343" w:type="pct"/>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18"/>
                <w:szCs w:val="18"/>
              </w:rPr>
            </w:pPr>
            <w:r>
              <w:rPr>
                <w:rFonts w:hint="default" w:ascii="Arial" w:hAnsi="Arial" w:eastAsia="宋体" w:cs="Arial"/>
                <w:color w:val="auto"/>
                <w:sz w:val="18"/>
                <w:szCs w:val="18"/>
              </w:rPr>
              <w:t>NNW</w:t>
            </w:r>
          </w:p>
        </w:tc>
        <w:tc>
          <w:tcPr>
            <w:tcW w:w="282" w:type="pct"/>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18"/>
                <w:szCs w:val="18"/>
              </w:rPr>
            </w:pPr>
            <w:r>
              <w:rPr>
                <w:rFonts w:hint="default" w:ascii="Arial" w:hAnsi="Arial" w:eastAsia="宋体" w:cs="Arial"/>
                <w:color w:val="auto"/>
                <w:sz w:val="18"/>
                <w:szCs w:val="18"/>
              </w:rPr>
              <w:t>C</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1" w:type="pct"/>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18"/>
                <w:szCs w:val="18"/>
              </w:rPr>
            </w:pPr>
            <w:r>
              <w:rPr>
                <w:rFonts w:hint="default" w:ascii="Arial" w:hAnsi="Arial" w:eastAsia="宋体" w:cs="Arial"/>
                <w:color w:val="auto"/>
                <w:sz w:val="18"/>
                <w:szCs w:val="18"/>
              </w:rPr>
              <w:t>春季</w:t>
            </w:r>
          </w:p>
        </w:tc>
        <w:tc>
          <w:tcPr>
            <w:tcW w:w="236" w:type="pct"/>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18"/>
                <w:szCs w:val="18"/>
              </w:rPr>
            </w:pPr>
            <w:r>
              <w:rPr>
                <w:rFonts w:hint="default" w:ascii="Arial" w:hAnsi="Arial" w:eastAsia="宋体" w:cs="Arial"/>
                <w:color w:val="auto"/>
                <w:sz w:val="18"/>
                <w:szCs w:val="18"/>
              </w:rPr>
              <w:t>3.6</w:t>
            </w:r>
          </w:p>
        </w:tc>
        <w:tc>
          <w:tcPr>
            <w:tcW w:w="311" w:type="pct"/>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18"/>
                <w:szCs w:val="18"/>
              </w:rPr>
            </w:pPr>
            <w:r>
              <w:rPr>
                <w:rFonts w:hint="default" w:ascii="Arial" w:hAnsi="Arial" w:eastAsia="宋体" w:cs="Arial"/>
                <w:color w:val="auto"/>
                <w:sz w:val="18"/>
                <w:szCs w:val="18"/>
              </w:rPr>
              <w:t>6.6</w:t>
            </w:r>
          </w:p>
        </w:tc>
        <w:tc>
          <w:tcPr>
            <w:tcW w:w="243" w:type="pct"/>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18"/>
                <w:szCs w:val="18"/>
              </w:rPr>
            </w:pPr>
            <w:r>
              <w:rPr>
                <w:rFonts w:hint="default" w:ascii="Arial" w:hAnsi="Arial" w:eastAsia="宋体" w:cs="Arial"/>
                <w:color w:val="auto"/>
                <w:sz w:val="18"/>
                <w:szCs w:val="18"/>
              </w:rPr>
              <w:t>9.2</w:t>
            </w:r>
          </w:p>
        </w:tc>
        <w:tc>
          <w:tcPr>
            <w:tcW w:w="301" w:type="pct"/>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18"/>
                <w:szCs w:val="18"/>
              </w:rPr>
            </w:pPr>
            <w:r>
              <w:rPr>
                <w:rFonts w:hint="default" w:ascii="Arial" w:hAnsi="Arial" w:eastAsia="宋体" w:cs="Arial"/>
                <w:color w:val="auto"/>
                <w:sz w:val="18"/>
                <w:szCs w:val="18"/>
              </w:rPr>
              <w:t>9.5</w:t>
            </w:r>
          </w:p>
        </w:tc>
        <w:tc>
          <w:tcPr>
            <w:tcW w:w="236" w:type="pct"/>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18"/>
                <w:szCs w:val="18"/>
              </w:rPr>
            </w:pPr>
            <w:r>
              <w:rPr>
                <w:rFonts w:hint="default" w:ascii="Arial" w:hAnsi="Arial" w:eastAsia="宋体" w:cs="Arial"/>
                <w:color w:val="auto"/>
                <w:sz w:val="18"/>
                <w:szCs w:val="18"/>
              </w:rPr>
              <w:t>6.5</w:t>
            </w:r>
          </w:p>
        </w:tc>
        <w:tc>
          <w:tcPr>
            <w:tcW w:w="285" w:type="pct"/>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18"/>
                <w:szCs w:val="18"/>
              </w:rPr>
            </w:pPr>
            <w:r>
              <w:rPr>
                <w:rFonts w:hint="default" w:ascii="Arial" w:hAnsi="Arial" w:eastAsia="宋体" w:cs="Arial"/>
                <w:color w:val="auto"/>
                <w:sz w:val="18"/>
                <w:szCs w:val="18"/>
              </w:rPr>
              <w:t>4</w:t>
            </w:r>
          </w:p>
        </w:tc>
        <w:tc>
          <w:tcPr>
            <w:tcW w:w="236" w:type="pct"/>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18"/>
                <w:szCs w:val="18"/>
              </w:rPr>
            </w:pPr>
            <w:r>
              <w:rPr>
                <w:rFonts w:hint="default" w:ascii="Arial" w:hAnsi="Arial" w:eastAsia="宋体" w:cs="Arial"/>
                <w:color w:val="auto"/>
                <w:sz w:val="18"/>
                <w:szCs w:val="18"/>
              </w:rPr>
              <w:t>3.3</w:t>
            </w:r>
          </w:p>
        </w:tc>
        <w:tc>
          <w:tcPr>
            <w:tcW w:w="280" w:type="pct"/>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18"/>
                <w:szCs w:val="18"/>
              </w:rPr>
            </w:pPr>
            <w:r>
              <w:rPr>
                <w:rFonts w:hint="default" w:ascii="Arial" w:hAnsi="Arial" w:eastAsia="宋体" w:cs="Arial"/>
                <w:color w:val="auto"/>
                <w:sz w:val="18"/>
                <w:szCs w:val="18"/>
              </w:rPr>
              <w:t>3.3</w:t>
            </w:r>
          </w:p>
        </w:tc>
        <w:tc>
          <w:tcPr>
            <w:tcW w:w="236" w:type="pct"/>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18"/>
                <w:szCs w:val="18"/>
              </w:rPr>
            </w:pPr>
            <w:r>
              <w:rPr>
                <w:rFonts w:hint="default" w:ascii="Arial" w:hAnsi="Arial" w:eastAsia="宋体" w:cs="Arial"/>
                <w:color w:val="auto"/>
                <w:sz w:val="18"/>
                <w:szCs w:val="18"/>
              </w:rPr>
              <w:t>3.1</w:t>
            </w:r>
          </w:p>
        </w:tc>
        <w:tc>
          <w:tcPr>
            <w:tcW w:w="311" w:type="pct"/>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18"/>
                <w:szCs w:val="18"/>
              </w:rPr>
            </w:pPr>
            <w:r>
              <w:rPr>
                <w:rFonts w:hint="default" w:ascii="Arial" w:hAnsi="Arial" w:eastAsia="宋体" w:cs="Arial"/>
                <w:color w:val="auto"/>
                <w:sz w:val="18"/>
                <w:szCs w:val="18"/>
              </w:rPr>
              <w:t>6.2</w:t>
            </w:r>
          </w:p>
        </w:tc>
        <w:tc>
          <w:tcPr>
            <w:tcW w:w="259" w:type="pct"/>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18"/>
                <w:szCs w:val="18"/>
              </w:rPr>
            </w:pPr>
            <w:r>
              <w:rPr>
                <w:rFonts w:hint="default" w:ascii="Arial" w:hAnsi="Arial" w:eastAsia="宋体" w:cs="Arial"/>
                <w:color w:val="auto"/>
                <w:sz w:val="18"/>
                <w:szCs w:val="18"/>
              </w:rPr>
              <w:t>6.7</w:t>
            </w:r>
          </w:p>
        </w:tc>
        <w:tc>
          <w:tcPr>
            <w:tcW w:w="348" w:type="pct"/>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18"/>
                <w:szCs w:val="18"/>
              </w:rPr>
            </w:pPr>
            <w:r>
              <w:rPr>
                <w:rFonts w:hint="default" w:ascii="Arial" w:hAnsi="Arial" w:eastAsia="宋体" w:cs="Arial"/>
                <w:color w:val="auto"/>
                <w:sz w:val="18"/>
                <w:szCs w:val="18"/>
              </w:rPr>
              <w:t>9.6</w:t>
            </w:r>
          </w:p>
        </w:tc>
        <w:tc>
          <w:tcPr>
            <w:tcW w:w="236" w:type="pct"/>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18"/>
                <w:szCs w:val="18"/>
              </w:rPr>
            </w:pPr>
            <w:r>
              <w:rPr>
                <w:rFonts w:hint="default" w:ascii="Arial" w:hAnsi="Arial" w:eastAsia="宋体" w:cs="Arial"/>
                <w:color w:val="auto"/>
                <w:sz w:val="18"/>
                <w:szCs w:val="18"/>
              </w:rPr>
              <w:t>6.3</w:t>
            </w:r>
          </w:p>
        </w:tc>
        <w:tc>
          <w:tcPr>
            <w:tcW w:w="364" w:type="pct"/>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18"/>
                <w:szCs w:val="18"/>
              </w:rPr>
            </w:pPr>
            <w:r>
              <w:rPr>
                <w:rFonts w:hint="default" w:ascii="Arial" w:hAnsi="Arial" w:eastAsia="宋体" w:cs="Arial"/>
                <w:color w:val="auto"/>
                <w:sz w:val="18"/>
                <w:szCs w:val="18"/>
              </w:rPr>
              <w:t>5.3</w:t>
            </w:r>
          </w:p>
        </w:tc>
        <w:tc>
          <w:tcPr>
            <w:tcW w:w="274" w:type="pct"/>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18"/>
                <w:szCs w:val="18"/>
              </w:rPr>
            </w:pPr>
            <w:r>
              <w:rPr>
                <w:rFonts w:hint="default" w:ascii="Arial" w:hAnsi="Arial" w:eastAsia="宋体" w:cs="Arial"/>
                <w:color w:val="auto"/>
                <w:sz w:val="18"/>
                <w:szCs w:val="18"/>
              </w:rPr>
              <w:t>3.3</w:t>
            </w:r>
          </w:p>
        </w:tc>
        <w:tc>
          <w:tcPr>
            <w:tcW w:w="343" w:type="pct"/>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18"/>
                <w:szCs w:val="18"/>
              </w:rPr>
            </w:pPr>
            <w:r>
              <w:rPr>
                <w:rFonts w:hint="default" w:ascii="Arial" w:hAnsi="Arial" w:eastAsia="宋体" w:cs="Arial"/>
                <w:color w:val="auto"/>
                <w:sz w:val="18"/>
                <w:szCs w:val="18"/>
              </w:rPr>
              <w:t>3.1</w:t>
            </w:r>
          </w:p>
        </w:tc>
        <w:tc>
          <w:tcPr>
            <w:tcW w:w="282" w:type="pct"/>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18"/>
                <w:szCs w:val="18"/>
              </w:rPr>
            </w:pPr>
            <w:r>
              <w:rPr>
                <w:rFonts w:hint="default" w:ascii="Arial" w:hAnsi="Arial" w:eastAsia="宋体" w:cs="Arial"/>
                <w:color w:val="auto"/>
                <w:sz w:val="18"/>
                <w:szCs w:val="18"/>
              </w:rPr>
              <w:t>10.5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1" w:type="pct"/>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18"/>
                <w:szCs w:val="18"/>
              </w:rPr>
            </w:pPr>
            <w:r>
              <w:rPr>
                <w:rFonts w:hint="default" w:ascii="Arial" w:hAnsi="Arial" w:eastAsia="宋体" w:cs="Arial"/>
                <w:color w:val="auto"/>
                <w:sz w:val="18"/>
                <w:szCs w:val="18"/>
              </w:rPr>
              <w:t>夏季</w:t>
            </w:r>
          </w:p>
        </w:tc>
        <w:tc>
          <w:tcPr>
            <w:tcW w:w="236" w:type="pct"/>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18"/>
                <w:szCs w:val="18"/>
              </w:rPr>
            </w:pPr>
            <w:r>
              <w:rPr>
                <w:rFonts w:hint="default" w:ascii="Arial" w:hAnsi="Arial" w:eastAsia="宋体" w:cs="Arial"/>
                <w:color w:val="auto"/>
                <w:sz w:val="18"/>
                <w:szCs w:val="18"/>
              </w:rPr>
              <w:t>3.2</w:t>
            </w:r>
          </w:p>
        </w:tc>
        <w:tc>
          <w:tcPr>
            <w:tcW w:w="311" w:type="pct"/>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18"/>
                <w:szCs w:val="18"/>
              </w:rPr>
            </w:pPr>
            <w:r>
              <w:rPr>
                <w:rFonts w:hint="default" w:ascii="Arial" w:hAnsi="Arial" w:eastAsia="宋体" w:cs="Arial"/>
                <w:color w:val="auto"/>
                <w:sz w:val="18"/>
                <w:szCs w:val="18"/>
              </w:rPr>
              <w:t>8</w:t>
            </w:r>
          </w:p>
        </w:tc>
        <w:tc>
          <w:tcPr>
            <w:tcW w:w="243" w:type="pct"/>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18"/>
                <w:szCs w:val="18"/>
              </w:rPr>
            </w:pPr>
            <w:r>
              <w:rPr>
                <w:rFonts w:hint="default" w:ascii="Arial" w:hAnsi="Arial" w:eastAsia="宋体" w:cs="Arial"/>
                <w:color w:val="auto"/>
                <w:sz w:val="18"/>
                <w:szCs w:val="18"/>
              </w:rPr>
              <w:t>8.9</w:t>
            </w:r>
          </w:p>
        </w:tc>
        <w:tc>
          <w:tcPr>
            <w:tcW w:w="301" w:type="pct"/>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18"/>
                <w:szCs w:val="18"/>
              </w:rPr>
            </w:pPr>
            <w:r>
              <w:rPr>
                <w:rFonts w:hint="default" w:ascii="Arial" w:hAnsi="Arial" w:eastAsia="宋体" w:cs="Arial"/>
                <w:color w:val="auto"/>
                <w:sz w:val="18"/>
                <w:szCs w:val="18"/>
              </w:rPr>
              <w:t>7.4</w:t>
            </w:r>
          </w:p>
        </w:tc>
        <w:tc>
          <w:tcPr>
            <w:tcW w:w="236" w:type="pct"/>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18"/>
                <w:szCs w:val="18"/>
              </w:rPr>
            </w:pPr>
            <w:r>
              <w:rPr>
                <w:rFonts w:hint="default" w:ascii="Arial" w:hAnsi="Arial" w:eastAsia="宋体" w:cs="Arial"/>
                <w:color w:val="auto"/>
                <w:sz w:val="18"/>
                <w:szCs w:val="18"/>
              </w:rPr>
              <w:t>5.7</w:t>
            </w:r>
          </w:p>
        </w:tc>
        <w:tc>
          <w:tcPr>
            <w:tcW w:w="285" w:type="pct"/>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18"/>
                <w:szCs w:val="18"/>
              </w:rPr>
            </w:pPr>
            <w:r>
              <w:rPr>
                <w:rFonts w:hint="default" w:ascii="Arial" w:hAnsi="Arial" w:eastAsia="宋体" w:cs="Arial"/>
                <w:color w:val="auto"/>
                <w:sz w:val="18"/>
                <w:szCs w:val="18"/>
              </w:rPr>
              <w:t>6.7</w:t>
            </w:r>
          </w:p>
        </w:tc>
        <w:tc>
          <w:tcPr>
            <w:tcW w:w="236" w:type="pct"/>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18"/>
                <w:szCs w:val="18"/>
              </w:rPr>
            </w:pPr>
            <w:r>
              <w:rPr>
                <w:rFonts w:hint="default" w:ascii="Arial" w:hAnsi="Arial" w:eastAsia="宋体" w:cs="Arial"/>
                <w:color w:val="auto"/>
                <w:sz w:val="18"/>
                <w:szCs w:val="18"/>
              </w:rPr>
              <w:t>6.9</w:t>
            </w:r>
          </w:p>
        </w:tc>
        <w:tc>
          <w:tcPr>
            <w:tcW w:w="280" w:type="pct"/>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18"/>
                <w:szCs w:val="18"/>
              </w:rPr>
            </w:pPr>
            <w:r>
              <w:rPr>
                <w:rFonts w:hint="default" w:ascii="Arial" w:hAnsi="Arial" w:eastAsia="宋体" w:cs="Arial"/>
                <w:color w:val="auto"/>
                <w:sz w:val="18"/>
                <w:szCs w:val="18"/>
              </w:rPr>
              <w:t>6.1</w:t>
            </w:r>
          </w:p>
        </w:tc>
        <w:tc>
          <w:tcPr>
            <w:tcW w:w="236" w:type="pct"/>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18"/>
                <w:szCs w:val="18"/>
              </w:rPr>
            </w:pPr>
            <w:r>
              <w:rPr>
                <w:rFonts w:hint="default" w:ascii="Arial" w:hAnsi="Arial" w:eastAsia="宋体" w:cs="Arial"/>
                <w:color w:val="auto"/>
                <w:sz w:val="18"/>
                <w:szCs w:val="18"/>
              </w:rPr>
              <w:t>4.9</w:t>
            </w:r>
          </w:p>
        </w:tc>
        <w:tc>
          <w:tcPr>
            <w:tcW w:w="311" w:type="pct"/>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18"/>
                <w:szCs w:val="18"/>
              </w:rPr>
            </w:pPr>
            <w:r>
              <w:rPr>
                <w:rFonts w:hint="default" w:ascii="Arial" w:hAnsi="Arial" w:eastAsia="宋体" w:cs="Arial"/>
                <w:color w:val="auto"/>
                <w:sz w:val="18"/>
                <w:szCs w:val="18"/>
              </w:rPr>
              <w:t>5.9</w:t>
            </w:r>
          </w:p>
        </w:tc>
        <w:tc>
          <w:tcPr>
            <w:tcW w:w="259" w:type="pct"/>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18"/>
                <w:szCs w:val="18"/>
              </w:rPr>
            </w:pPr>
            <w:r>
              <w:rPr>
                <w:rFonts w:hint="default" w:ascii="Arial" w:hAnsi="Arial" w:eastAsia="宋体" w:cs="Arial"/>
                <w:color w:val="auto"/>
                <w:sz w:val="18"/>
                <w:szCs w:val="18"/>
              </w:rPr>
              <w:t>6.6</w:t>
            </w:r>
          </w:p>
        </w:tc>
        <w:tc>
          <w:tcPr>
            <w:tcW w:w="348" w:type="pct"/>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18"/>
                <w:szCs w:val="18"/>
              </w:rPr>
            </w:pPr>
            <w:r>
              <w:rPr>
                <w:rFonts w:hint="default" w:ascii="Arial" w:hAnsi="Arial" w:eastAsia="宋体" w:cs="Arial"/>
                <w:color w:val="auto"/>
                <w:sz w:val="18"/>
                <w:szCs w:val="18"/>
              </w:rPr>
              <w:t>7.8</w:t>
            </w:r>
          </w:p>
        </w:tc>
        <w:tc>
          <w:tcPr>
            <w:tcW w:w="236" w:type="pct"/>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18"/>
                <w:szCs w:val="18"/>
              </w:rPr>
            </w:pPr>
            <w:r>
              <w:rPr>
                <w:rFonts w:hint="default" w:ascii="Arial" w:hAnsi="Arial" w:eastAsia="宋体" w:cs="Arial"/>
                <w:color w:val="auto"/>
                <w:sz w:val="18"/>
                <w:szCs w:val="18"/>
              </w:rPr>
              <w:t>5.1</w:t>
            </w:r>
          </w:p>
        </w:tc>
        <w:tc>
          <w:tcPr>
            <w:tcW w:w="364" w:type="pct"/>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18"/>
                <w:szCs w:val="18"/>
              </w:rPr>
            </w:pPr>
            <w:r>
              <w:rPr>
                <w:rFonts w:hint="default" w:ascii="Arial" w:hAnsi="Arial" w:eastAsia="宋体" w:cs="Arial"/>
                <w:color w:val="auto"/>
                <w:sz w:val="18"/>
                <w:szCs w:val="18"/>
              </w:rPr>
              <w:t>3.9</w:t>
            </w:r>
          </w:p>
        </w:tc>
        <w:tc>
          <w:tcPr>
            <w:tcW w:w="274" w:type="pct"/>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18"/>
                <w:szCs w:val="18"/>
              </w:rPr>
            </w:pPr>
            <w:r>
              <w:rPr>
                <w:rFonts w:hint="default" w:ascii="Arial" w:hAnsi="Arial" w:eastAsia="宋体" w:cs="Arial"/>
                <w:color w:val="auto"/>
                <w:sz w:val="18"/>
                <w:szCs w:val="18"/>
              </w:rPr>
              <w:t>2.9</w:t>
            </w:r>
          </w:p>
        </w:tc>
        <w:tc>
          <w:tcPr>
            <w:tcW w:w="343" w:type="pct"/>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18"/>
                <w:szCs w:val="18"/>
              </w:rPr>
            </w:pPr>
            <w:r>
              <w:rPr>
                <w:rFonts w:hint="default" w:ascii="Arial" w:hAnsi="Arial" w:eastAsia="宋体" w:cs="Arial"/>
                <w:color w:val="auto"/>
                <w:sz w:val="18"/>
                <w:szCs w:val="18"/>
              </w:rPr>
              <w:t>3.3</w:t>
            </w:r>
          </w:p>
        </w:tc>
        <w:tc>
          <w:tcPr>
            <w:tcW w:w="282" w:type="pct"/>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18"/>
                <w:szCs w:val="18"/>
              </w:rPr>
            </w:pPr>
            <w:r>
              <w:rPr>
                <w:rFonts w:hint="default" w:ascii="Arial" w:hAnsi="Arial" w:eastAsia="宋体" w:cs="Arial"/>
                <w:color w:val="auto"/>
                <w:sz w:val="18"/>
                <w:szCs w:val="18"/>
              </w:rPr>
              <w:t>6.8</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1" w:type="pct"/>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18"/>
                <w:szCs w:val="18"/>
              </w:rPr>
            </w:pPr>
            <w:r>
              <w:rPr>
                <w:rFonts w:hint="default" w:ascii="Arial" w:hAnsi="Arial" w:eastAsia="宋体" w:cs="Arial"/>
                <w:color w:val="auto"/>
                <w:sz w:val="18"/>
                <w:szCs w:val="18"/>
              </w:rPr>
              <w:t>秋季</w:t>
            </w:r>
          </w:p>
        </w:tc>
        <w:tc>
          <w:tcPr>
            <w:tcW w:w="236" w:type="pct"/>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18"/>
                <w:szCs w:val="18"/>
              </w:rPr>
            </w:pPr>
            <w:r>
              <w:rPr>
                <w:rFonts w:hint="default" w:ascii="Arial" w:hAnsi="Arial" w:eastAsia="宋体" w:cs="Arial"/>
                <w:color w:val="auto"/>
                <w:sz w:val="18"/>
                <w:szCs w:val="18"/>
              </w:rPr>
              <w:t>2.4</w:t>
            </w:r>
          </w:p>
        </w:tc>
        <w:tc>
          <w:tcPr>
            <w:tcW w:w="311" w:type="pct"/>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18"/>
                <w:szCs w:val="18"/>
              </w:rPr>
            </w:pPr>
            <w:r>
              <w:rPr>
                <w:rFonts w:hint="default" w:ascii="Arial" w:hAnsi="Arial" w:eastAsia="宋体" w:cs="Arial"/>
                <w:color w:val="auto"/>
                <w:sz w:val="18"/>
                <w:szCs w:val="18"/>
              </w:rPr>
              <w:t>6.5</w:t>
            </w:r>
          </w:p>
        </w:tc>
        <w:tc>
          <w:tcPr>
            <w:tcW w:w="243" w:type="pct"/>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18"/>
                <w:szCs w:val="18"/>
              </w:rPr>
            </w:pPr>
            <w:r>
              <w:rPr>
                <w:rFonts w:hint="default" w:ascii="Arial" w:hAnsi="Arial" w:eastAsia="宋体" w:cs="Arial"/>
                <w:color w:val="auto"/>
                <w:sz w:val="18"/>
                <w:szCs w:val="18"/>
              </w:rPr>
              <w:t>9.5</w:t>
            </w:r>
          </w:p>
        </w:tc>
        <w:tc>
          <w:tcPr>
            <w:tcW w:w="301" w:type="pct"/>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18"/>
                <w:szCs w:val="18"/>
              </w:rPr>
            </w:pPr>
            <w:r>
              <w:rPr>
                <w:rFonts w:hint="default" w:ascii="Arial" w:hAnsi="Arial" w:eastAsia="宋体" w:cs="Arial"/>
                <w:color w:val="auto"/>
                <w:sz w:val="18"/>
                <w:szCs w:val="18"/>
              </w:rPr>
              <w:t>10.4</w:t>
            </w:r>
          </w:p>
        </w:tc>
        <w:tc>
          <w:tcPr>
            <w:tcW w:w="236" w:type="pct"/>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18"/>
                <w:szCs w:val="18"/>
              </w:rPr>
            </w:pPr>
            <w:r>
              <w:rPr>
                <w:rFonts w:hint="default" w:ascii="Arial" w:hAnsi="Arial" w:eastAsia="宋体" w:cs="Arial"/>
                <w:color w:val="auto"/>
                <w:sz w:val="18"/>
                <w:szCs w:val="18"/>
              </w:rPr>
              <w:t>7</w:t>
            </w:r>
          </w:p>
        </w:tc>
        <w:tc>
          <w:tcPr>
            <w:tcW w:w="285" w:type="pct"/>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18"/>
                <w:szCs w:val="18"/>
              </w:rPr>
            </w:pPr>
            <w:r>
              <w:rPr>
                <w:rFonts w:hint="default" w:ascii="Arial" w:hAnsi="Arial" w:eastAsia="宋体" w:cs="Arial"/>
                <w:color w:val="auto"/>
                <w:sz w:val="18"/>
                <w:szCs w:val="18"/>
              </w:rPr>
              <w:t>7.2</w:t>
            </w:r>
          </w:p>
        </w:tc>
        <w:tc>
          <w:tcPr>
            <w:tcW w:w="236" w:type="pct"/>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18"/>
                <w:szCs w:val="18"/>
              </w:rPr>
            </w:pPr>
            <w:r>
              <w:rPr>
                <w:rFonts w:hint="default" w:ascii="Arial" w:hAnsi="Arial" w:eastAsia="宋体" w:cs="Arial"/>
                <w:color w:val="auto"/>
                <w:sz w:val="18"/>
                <w:szCs w:val="18"/>
              </w:rPr>
              <w:t>6.2</w:t>
            </w:r>
          </w:p>
        </w:tc>
        <w:tc>
          <w:tcPr>
            <w:tcW w:w="280" w:type="pct"/>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18"/>
                <w:szCs w:val="18"/>
              </w:rPr>
            </w:pPr>
            <w:r>
              <w:rPr>
                <w:rFonts w:hint="default" w:ascii="Arial" w:hAnsi="Arial" w:eastAsia="宋体" w:cs="Arial"/>
                <w:color w:val="auto"/>
                <w:sz w:val="18"/>
                <w:szCs w:val="18"/>
              </w:rPr>
              <w:t>5.6</w:t>
            </w:r>
          </w:p>
        </w:tc>
        <w:tc>
          <w:tcPr>
            <w:tcW w:w="236" w:type="pct"/>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18"/>
                <w:szCs w:val="18"/>
              </w:rPr>
            </w:pPr>
            <w:r>
              <w:rPr>
                <w:rFonts w:hint="default" w:ascii="Arial" w:hAnsi="Arial" w:eastAsia="宋体" w:cs="Arial"/>
                <w:color w:val="auto"/>
                <w:sz w:val="18"/>
                <w:szCs w:val="18"/>
              </w:rPr>
              <w:t>5.1</w:t>
            </w:r>
          </w:p>
        </w:tc>
        <w:tc>
          <w:tcPr>
            <w:tcW w:w="311" w:type="pct"/>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18"/>
                <w:szCs w:val="18"/>
              </w:rPr>
            </w:pPr>
            <w:r>
              <w:rPr>
                <w:rFonts w:hint="default" w:ascii="Arial" w:hAnsi="Arial" w:eastAsia="宋体" w:cs="Arial"/>
                <w:color w:val="auto"/>
                <w:sz w:val="18"/>
                <w:szCs w:val="18"/>
              </w:rPr>
              <w:t>5.7</w:t>
            </w:r>
          </w:p>
        </w:tc>
        <w:tc>
          <w:tcPr>
            <w:tcW w:w="259" w:type="pct"/>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18"/>
                <w:szCs w:val="18"/>
              </w:rPr>
            </w:pPr>
            <w:r>
              <w:rPr>
                <w:rFonts w:hint="default" w:ascii="Arial" w:hAnsi="Arial" w:eastAsia="宋体" w:cs="Arial"/>
                <w:color w:val="auto"/>
                <w:sz w:val="18"/>
                <w:szCs w:val="18"/>
              </w:rPr>
              <w:t>5</w:t>
            </w:r>
          </w:p>
        </w:tc>
        <w:tc>
          <w:tcPr>
            <w:tcW w:w="348" w:type="pct"/>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18"/>
                <w:szCs w:val="18"/>
              </w:rPr>
            </w:pPr>
            <w:r>
              <w:rPr>
                <w:rFonts w:hint="default" w:ascii="Arial" w:hAnsi="Arial" w:eastAsia="宋体" w:cs="Arial"/>
                <w:color w:val="auto"/>
                <w:sz w:val="18"/>
                <w:szCs w:val="18"/>
              </w:rPr>
              <w:t>5.7</w:t>
            </w:r>
          </w:p>
        </w:tc>
        <w:tc>
          <w:tcPr>
            <w:tcW w:w="236" w:type="pct"/>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18"/>
                <w:szCs w:val="18"/>
              </w:rPr>
            </w:pPr>
            <w:r>
              <w:rPr>
                <w:rFonts w:hint="default" w:ascii="Arial" w:hAnsi="Arial" w:eastAsia="宋体" w:cs="Arial"/>
                <w:color w:val="auto"/>
                <w:sz w:val="18"/>
                <w:szCs w:val="18"/>
              </w:rPr>
              <w:t>4.1</w:t>
            </w:r>
          </w:p>
        </w:tc>
        <w:tc>
          <w:tcPr>
            <w:tcW w:w="364" w:type="pct"/>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18"/>
                <w:szCs w:val="18"/>
              </w:rPr>
            </w:pPr>
            <w:r>
              <w:rPr>
                <w:rFonts w:hint="default" w:ascii="Arial" w:hAnsi="Arial" w:eastAsia="宋体" w:cs="Arial"/>
                <w:color w:val="auto"/>
                <w:sz w:val="18"/>
                <w:szCs w:val="18"/>
              </w:rPr>
              <w:t>2.6</w:t>
            </w:r>
          </w:p>
        </w:tc>
        <w:tc>
          <w:tcPr>
            <w:tcW w:w="274" w:type="pct"/>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18"/>
                <w:szCs w:val="18"/>
              </w:rPr>
            </w:pPr>
            <w:r>
              <w:rPr>
                <w:rFonts w:hint="default" w:ascii="Arial" w:hAnsi="Arial" w:eastAsia="宋体" w:cs="Arial"/>
                <w:color w:val="auto"/>
                <w:sz w:val="18"/>
                <w:szCs w:val="18"/>
              </w:rPr>
              <w:t>1.9</w:t>
            </w:r>
          </w:p>
        </w:tc>
        <w:tc>
          <w:tcPr>
            <w:tcW w:w="343" w:type="pct"/>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18"/>
                <w:szCs w:val="18"/>
              </w:rPr>
            </w:pPr>
            <w:r>
              <w:rPr>
                <w:rFonts w:hint="default" w:ascii="Arial" w:hAnsi="Arial" w:eastAsia="宋体" w:cs="Arial"/>
                <w:color w:val="auto"/>
                <w:sz w:val="18"/>
                <w:szCs w:val="18"/>
              </w:rPr>
              <w:t>2.5</w:t>
            </w:r>
          </w:p>
        </w:tc>
        <w:tc>
          <w:tcPr>
            <w:tcW w:w="282" w:type="pct"/>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18"/>
                <w:szCs w:val="18"/>
              </w:rPr>
            </w:pPr>
            <w:r>
              <w:rPr>
                <w:rFonts w:hint="default" w:ascii="Arial" w:hAnsi="Arial" w:eastAsia="宋体" w:cs="Arial"/>
                <w:color w:val="auto"/>
                <w:sz w:val="18"/>
                <w:szCs w:val="18"/>
              </w:rPr>
              <w:t>12.5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1" w:type="pct"/>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18"/>
                <w:szCs w:val="18"/>
              </w:rPr>
            </w:pPr>
            <w:r>
              <w:rPr>
                <w:rFonts w:hint="default" w:ascii="Arial" w:hAnsi="Arial" w:eastAsia="宋体" w:cs="Arial"/>
                <w:color w:val="auto"/>
                <w:sz w:val="18"/>
                <w:szCs w:val="18"/>
              </w:rPr>
              <w:t>冬季</w:t>
            </w:r>
          </w:p>
        </w:tc>
        <w:tc>
          <w:tcPr>
            <w:tcW w:w="236" w:type="pct"/>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18"/>
                <w:szCs w:val="18"/>
              </w:rPr>
            </w:pPr>
            <w:r>
              <w:rPr>
                <w:rFonts w:hint="default" w:ascii="Arial" w:hAnsi="Arial" w:eastAsia="宋体" w:cs="Arial"/>
                <w:color w:val="auto"/>
                <w:sz w:val="18"/>
                <w:szCs w:val="18"/>
              </w:rPr>
              <w:t>2.1</w:t>
            </w:r>
          </w:p>
        </w:tc>
        <w:tc>
          <w:tcPr>
            <w:tcW w:w="311" w:type="pct"/>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18"/>
                <w:szCs w:val="18"/>
              </w:rPr>
            </w:pPr>
            <w:r>
              <w:rPr>
                <w:rFonts w:hint="default" w:ascii="Arial" w:hAnsi="Arial" w:eastAsia="宋体" w:cs="Arial"/>
                <w:color w:val="auto"/>
                <w:sz w:val="18"/>
                <w:szCs w:val="18"/>
              </w:rPr>
              <w:t>4.2</w:t>
            </w:r>
          </w:p>
        </w:tc>
        <w:tc>
          <w:tcPr>
            <w:tcW w:w="243" w:type="pct"/>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18"/>
                <w:szCs w:val="18"/>
              </w:rPr>
            </w:pPr>
            <w:r>
              <w:rPr>
                <w:rFonts w:hint="default" w:ascii="Arial" w:hAnsi="Arial" w:eastAsia="宋体" w:cs="Arial"/>
                <w:color w:val="auto"/>
                <w:sz w:val="18"/>
                <w:szCs w:val="18"/>
              </w:rPr>
              <w:t>7.6</w:t>
            </w:r>
          </w:p>
        </w:tc>
        <w:tc>
          <w:tcPr>
            <w:tcW w:w="301" w:type="pct"/>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18"/>
                <w:szCs w:val="18"/>
              </w:rPr>
            </w:pPr>
            <w:r>
              <w:rPr>
                <w:rFonts w:hint="default" w:ascii="Arial" w:hAnsi="Arial" w:eastAsia="宋体" w:cs="Arial"/>
                <w:color w:val="auto"/>
                <w:sz w:val="18"/>
                <w:szCs w:val="18"/>
              </w:rPr>
              <w:t>10.9</w:t>
            </w:r>
          </w:p>
        </w:tc>
        <w:tc>
          <w:tcPr>
            <w:tcW w:w="236" w:type="pct"/>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18"/>
                <w:szCs w:val="18"/>
              </w:rPr>
            </w:pPr>
            <w:r>
              <w:rPr>
                <w:rFonts w:hint="default" w:ascii="Arial" w:hAnsi="Arial" w:eastAsia="宋体" w:cs="Arial"/>
                <w:color w:val="auto"/>
                <w:sz w:val="18"/>
                <w:szCs w:val="18"/>
              </w:rPr>
              <w:t>8.2</w:t>
            </w:r>
          </w:p>
        </w:tc>
        <w:tc>
          <w:tcPr>
            <w:tcW w:w="285" w:type="pct"/>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18"/>
                <w:szCs w:val="18"/>
              </w:rPr>
            </w:pPr>
            <w:r>
              <w:rPr>
                <w:rFonts w:hint="default" w:ascii="Arial" w:hAnsi="Arial" w:eastAsia="宋体" w:cs="Arial"/>
                <w:color w:val="auto"/>
                <w:sz w:val="18"/>
                <w:szCs w:val="18"/>
              </w:rPr>
              <w:t>4.1</w:t>
            </w:r>
          </w:p>
        </w:tc>
        <w:tc>
          <w:tcPr>
            <w:tcW w:w="236" w:type="pct"/>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18"/>
                <w:szCs w:val="18"/>
              </w:rPr>
            </w:pPr>
            <w:r>
              <w:rPr>
                <w:rFonts w:hint="default" w:ascii="Arial" w:hAnsi="Arial" w:eastAsia="宋体" w:cs="Arial"/>
                <w:color w:val="auto"/>
                <w:sz w:val="18"/>
                <w:szCs w:val="18"/>
              </w:rPr>
              <w:t>3.6</w:t>
            </w:r>
          </w:p>
        </w:tc>
        <w:tc>
          <w:tcPr>
            <w:tcW w:w="280" w:type="pct"/>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18"/>
                <w:szCs w:val="18"/>
              </w:rPr>
            </w:pPr>
            <w:r>
              <w:rPr>
                <w:rFonts w:hint="default" w:ascii="Arial" w:hAnsi="Arial" w:eastAsia="宋体" w:cs="Arial"/>
                <w:color w:val="auto"/>
                <w:sz w:val="18"/>
                <w:szCs w:val="18"/>
              </w:rPr>
              <w:t>2.9</w:t>
            </w:r>
          </w:p>
        </w:tc>
        <w:tc>
          <w:tcPr>
            <w:tcW w:w="236" w:type="pct"/>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18"/>
                <w:szCs w:val="18"/>
              </w:rPr>
            </w:pPr>
            <w:r>
              <w:rPr>
                <w:rFonts w:hint="default" w:ascii="Arial" w:hAnsi="Arial" w:eastAsia="宋体" w:cs="Arial"/>
                <w:color w:val="auto"/>
                <w:sz w:val="18"/>
                <w:szCs w:val="18"/>
              </w:rPr>
              <w:t>3</w:t>
            </w:r>
          </w:p>
        </w:tc>
        <w:tc>
          <w:tcPr>
            <w:tcW w:w="311" w:type="pct"/>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18"/>
                <w:szCs w:val="18"/>
              </w:rPr>
            </w:pPr>
            <w:r>
              <w:rPr>
                <w:rFonts w:hint="default" w:ascii="Arial" w:hAnsi="Arial" w:eastAsia="宋体" w:cs="Arial"/>
                <w:color w:val="auto"/>
                <w:sz w:val="18"/>
                <w:szCs w:val="18"/>
              </w:rPr>
              <w:t>4.9</w:t>
            </w:r>
          </w:p>
        </w:tc>
        <w:tc>
          <w:tcPr>
            <w:tcW w:w="259" w:type="pct"/>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18"/>
                <w:szCs w:val="18"/>
              </w:rPr>
            </w:pPr>
            <w:r>
              <w:rPr>
                <w:rFonts w:hint="default" w:ascii="Arial" w:hAnsi="Arial" w:eastAsia="宋体" w:cs="Arial"/>
                <w:color w:val="auto"/>
                <w:sz w:val="18"/>
                <w:szCs w:val="18"/>
              </w:rPr>
              <w:t>6.1</w:t>
            </w:r>
          </w:p>
        </w:tc>
        <w:tc>
          <w:tcPr>
            <w:tcW w:w="348" w:type="pct"/>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18"/>
                <w:szCs w:val="18"/>
              </w:rPr>
            </w:pPr>
            <w:r>
              <w:rPr>
                <w:rFonts w:hint="default" w:ascii="Arial" w:hAnsi="Arial" w:eastAsia="宋体" w:cs="Arial"/>
                <w:color w:val="auto"/>
                <w:sz w:val="18"/>
                <w:szCs w:val="18"/>
              </w:rPr>
              <w:t>7.3</w:t>
            </w:r>
          </w:p>
        </w:tc>
        <w:tc>
          <w:tcPr>
            <w:tcW w:w="236" w:type="pct"/>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18"/>
                <w:szCs w:val="18"/>
              </w:rPr>
            </w:pPr>
            <w:r>
              <w:rPr>
                <w:rFonts w:hint="default" w:ascii="Arial" w:hAnsi="Arial" w:eastAsia="宋体" w:cs="Arial"/>
                <w:color w:val="auto"/>
                <w:sz w:val="18"/>
                <w:szCs w:val="18"/>
              </w:rPr>
              <w:t>6</w:t>
            </w:r>
          </w:p>
        </w:tc>
        <w:tc>
          <w:tcPr>
            <w:tcW w:w="364" w:type="pct"/>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18"/>
                <w:szCs w:val="18"/>
              </w:rPr>
            </w:pPr>
            <w:r>
              <w:rPr>
                <w:rFonts w:hint="default" w:ascii="Arial" w:hAnsi="Arial" w:eastAsia="宋体" w:cs="Arial"/>
                <w:color w:val="auto"/>
                <w:sz w:val="18"/>
                <w:szCs w:val="18"/>
              </w:rPr>
              <w:t>4.5</w:t>
            </w:r>
          </w:p>
        </w:tc>
        <w:tc>
          <w:tcPr>
            <w:tcW w:w="274" w:type="pct"/>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18"/>
                <w:szCs w:val="18"/>
              </w:rPr>
            </w:pPr>
            <w:r>
              <w:rPr>
                <w:rFonts w:hint="default" w:ascii="Arial" w:hAnsi="Arial" w:eastAsia="宋体" w:cs="Arial"/>
                <w:color w:val="auto"/>
                <w:sz w:val="18"/>
                <w:szCs w:val="18"/>
              </w:rPr>
              <w:t>2.9</w:t>
            </w:r>
          </w:p>
        </w:tc>
        <w:tc>
          <w:tcPr>
            <w:tcW w:w="343" w:type="pct"/>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18"/>
                <w:szCs w:val="18"/>
              </w:rPr>
            </w:pPr>
            <w:r>
              <w:rPr>
                <w:rFonts w:hint="default" w:ascii="Arial" w:hAnsi="Arial" w:eastAsia="宋体" w:cs="Arial"/>
                <w:color w:val="auto"/>
                <w:sz w:val="18"/>
                <w:szCs w:val="18"/>
              </w:rPr>
              <w:t>2.6</w:t>
            </w:r>
          </w:p>
        </w:tc>
        <w:tc>
          <w:tcPr>
            <w:tcW w:w="282" w:type="pct"/>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18"/>
                <w:szCs w:val="18"/>
              </w:rPr>
            </w:pPr>
            <w:r>
              <w:rPr>
                <w:rFonts w:hint="default" w:ascii="Arial" w:hAnsi="Arial" w:eastAsia="宋体" w:cs="Arial"/>
                <w:color w:val="auto"/>
                <w:sz w:val="18"/>
                <w:szCs w:val="18"/>
              </w:rPr>
              <w:t>19.1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11" w:type="pct"/>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18"/>
                <w:szCs w:val="18"/>
              </w:rPr>
            </w:pPr>
            <w:r>
              <w:rPr>
                <w:rFonts w:hint="default" w:ascii="Arial" w:hAnsi="Arial" w:eastAsia="宋体" w:cs="Arial"/>
                <w:color w:val="auto"/>
                <w:sz w:val="18"/>
                <w:szCs w:val="18"/>
              </w:rPr>
              <w:t>全年</w:t>
            </w:r>
          </w:p>
        </w:tc>
        <w:tc>
          <w:tcPr>
            <w:tcW w:w="236" w:type="pct"/>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18"/>
                <w:szCs w:val="18"/>
              </w:rPr>
            </w:pPr>
            <w:r>
              <w:rPr>
                <w:rFonts w:hint="default" w:ascii="Arial" w:hAnsi="Arial" w:eastAsia="宋体" w:cs="Arial"/>
                <w:color w:val="auto"/>
                <w:sz w:val="18"/>
                <w:szCs w:val="18"/>
              </w:rPr>
              <w:t>2.8</w:t>
            </w:r>
          </w:p>
        </w:tc>
        <w:tc>
          <w:tcPr>
            <w:tcW w:w="311" w:type="pct"/>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18"/>
                <w:szCs w:val="18"/>
              </w:rPr>
            </w:pPr>
            <w:r>
              <w:rPr>
                <w:rFonts w:hint="default" w:ascii="Arial" w:hAnsi="Arial" w:eastAsia="宋体" w:cs="Arial"/>
                <w:color w:val="auto"/>
                <w:sz w:val="18"/>
                <w:szCs w:val="18"/>
              </w:rPr>
              <w:t>6.3</w:t>
            </w:r>
          </w:p>
        </w:tc>
        <w:tc>
          <w:tcPr>
            <w:tcW w:w="243" w:type="pct"/>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18"/>
                <w:szCs w:val="18"/>
              </w:rPr>
            </w:pPr>
            <w:r>
              <w:rPr>
                <w:rFonts w:hint="default" w:ascii="Arial" w:hAnsi="Arial" w:eastAsia="宋体" w:cs="Arial"/>
                <w:color w:val="auto"/>
                <w:sz w:val="18"/>
                <w:szCs w:val="18"/>
              </w:rPr>
              <w:t>8.8</w:t>
            </w:r>
          </w:p>
        </w:tc>
        <w:tc>
          <w:tcPr>
            <w:tcW w:w="301" w:type="pct"/>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18"/>
                <w:szCs w:val="18"/>
              </w:rPr>
            </w:pPr>
            <w:r>
              <w:rPr>
                <w:rFonts w:hint="default" w:ascii="Arial" w:hAnsi="Arial" w:eastAsia="宋体" w:cs="Arial"/>
                <w:color w:val="auto"/>
                <w:sz w:val="18"/>
                <w:szCs w:val="18"/>
              </w:rPr>
              <w:t>9.6</w:t>
            </w:r>
          </w:p>
        </w:tc>
        <w:tc>
          <w:tcPr>
            <w:tcW w:w="236" w:type="pct"/>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18"/>
                <w:szCs w:val="18"/>
              </w:rPr>
            </w:pPr>
            <w:r>
              <w:rPr>
                <w:rFonts w:hint="default" w:ascii="Arial" w:hAnsi="Arial" w:eastAsia="宋体" w:cs="Arial"/>
                <w:color w:val="auto"/>
                <w:sz w:val="18"/>
                <w:szCs w:val="18"/>
              </w:rPr>
              <w:t>6.9</w:t>
            </w:r>
          </w:p>
        </w:tc>
        <w:tc>
          <w:tcPr>
            <w:tcW w:w="285" w:type="pct"/>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18"/>
                <w:szCs w:val="18"/>
              </w:rPr>
            </w:pPr>
            <w:r>
              <w:rPr>
                <w:rFonts w:hint="default" w:ascii="Arial" w:hAnsi="Arial" w:eastAsia="宋体" w:cs="Arial"/>
                <w:color w:val="auto"/>
                <w:sz w:val="18"/>
                <w:szCs w:val="18"/>
              </w:rPr>
              <w:t>5.5</w:t>
            </w:r>
          </w:p>
        </w:tc>
        <w:tc>
          <w:tcPr>
            <w:tcW w:w="236" w:type="pct"/>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18"/>
                <w:szCs w:val="18"/>
              </w:rPr>
            </w:pPr>
            <w:r>
              <w:rPr>
                <w:rFonts w:hint="default" w:ascii="Arial" w:hAnsi="Arial" w:eastAsia="宋体" w:cs="Arial"/>
                <w:color w:val="auto"/>
                <w:sz w:val="18"/>
                <w:szCs w:val="18"/>
              </w:rPr>
              <w:t>5</w:t>
            </w:r>
          </w:p>
        </w:tc>
        <w:tc>
          <w:tcPr>
            <w:tcW w:w="280" w:type="pct"/>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18"/>
                <w:szCs w:val="18"/>
              </w:rPr>
            </w:pPr>
            <w:r>
              <w:rPr>
                <w:rFonts w:hint="default" w:ascii="Arial" w:hAnsi="Arial" w:eastAsia="宋体" w:cs="Arial"/>
                <w:color w:val="auto"/>
                <w:sz w:val="18"/>
                <w:szCs w:val="18"/>
              </w:rPr>
              <w:t>4.5</w:t>
            </w:r>
          </w:p>
        </w:tc>
        <w:tc>
          <w:tcPr>
            <w:tcW w:w="236" w:type="pct"/>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18"/>
                <w:szCs w:val="18"/>
              </w:rPr>
            </w:pPr>
            <w:r>
              <w:rPr>
                <w:rFonts w:hint="default" w:ascii="Arial" w:hAnsi="Arial" w:eastAsia="宋体" w:cs="Arial"/>
                <w:color w:val="auto"/>
                <w:sz w:val="18"/>
                <w:szCs w:val="18"/>
              </w:rPr>
              <w:t>4</w:t>
            </w:r>
          </w:p>
        </w:tc>
        <w:tc>
          <w:tcPr>
            <w:tcW w:w="311" w:type="pct"/>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18"/>
                <w:szCs w:val="18"/>
              </w:rPr>
            </w:pPr>
            <w:r>
              <w:rPr>
                <w:rFonts w:hint="default" w:ascii="Arial" w:hAnsi="Arial" w:eastAsia="宋体" w:cs="Arial"/>
                <w:color w:val="auto"/>
                <w:sz w:val="18"/>
                <w:szCs w:val="18"/>
              </w:rPr>
              <w:t>5.7</w:t>
            </w:r>
          </w:p>
        </w:tc>
        <w:tc>
          <w:tcPr>
            <w:tcW w:w="259" w:type="pct"/>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18"/>
                <w:szCs w:val="18"/>
              </w:rPr>
            </w:pPr>
            <w:r>
              <w:rPr>
                <w:rFonts w:hint="default" w:ascii="Arial" w:hAnsi="Arial" w:eastAsia="宋体" w:cs="Arial"/>
                <w:color w:val="auto"/>
                <w:sz w:val="18"/>
                <w:szCs w:val="18"/>
              </w:rPr>
              <w:t>6.1</w:t>
            </w:r>
          </w:p>
        </w:tc>
        <w:tc>
          <w:tcPr>
            <w:tcW w:w="348" w:type="pct"/>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18"/>
                <w:szCs w:val="18"/>
              </w:rPr>
            </w:pPr>
            <w:r>
              <w:rPr>
                <w:rFonts w:hint="default" w:ascii="Arial" w:hAnsi="Arial" w:eastAsia="宋体" w:cs="Arial"/>
                <w:color w:val="auto"/>
                <w:sz w:val="18"/>
                <w:szCs w:val="18"/>
              </w:rPr>
              <w:t>7.6</w:t>
            </w:r>
          </w:p>
        </w:tc>
        <w:tc>
          <w:tcPr>
            <w:tcW w:w="236" w:type="pct"/>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18"/>
                <w:szCs w:val="18"/>
              </w:rPr>
            </w:pPr>
            <w:r>
              <w:rPr>
                <w:rFonts w:hint="default" w:ascii="Arial" w:hAnsi="Arial" w:eastAsia="宋体" w:cs="Arial"/>
                <w:color w:val="auto"/>
                <w:sz w:val="18"/>
                <w:szCs w:val="18"/>
              </w:rPr>
              <w:t>5.4</w:t>
            </w:r>
          </w:p>
        </w:tc>
        <w:tc>
          <w:tcPr>
            <w:tcW w:w="364" w:type="pct"/>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18"/>
                <w:szCs w:val="18"/>
              </w:rPr>
            </w:pPr>
            <w:r>
              <w:rPr>
                <w:rFonts w:hint="default" w:ascii="Arial" w:hAnsi="Arial" w:eastAsia="宋体" w:cs="Arial"/>
                <w:color w:val="auto"/>
                <w:sz w:val="18"/>
                <w:szCs w:val="18"/>
              </w:rPr>
              <w:t>4.1</w:t>
            </w:r>
          </w:p>
        </w:tc>
        <w:tc>
          <w:tcPr>
            <w:tcW w:w="274" w:type="pct"/>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18"/>
                <w:szCs w:val="18"/>
              </w:rPr>
            </w:pPr>
            <w:r>
              <w:rPr>
                <w:rFonts w:hint="default" w:ascii="Arial" w:hAnsi="Arial" w:eastAsia="宋体" w:cs="Arial"/>
                <w:color w:val="auto"/>
                <w:sz w:val="18"/>
                <w:szCs w:val="18"/>
              </w:rPr>
              <w:t>2.8</w:t>
            </w:r>
          </w:p>
        </w:tc>
        <w:tc>
          <w:tcPr>
            <w:tcW w:w="343" w:type="pct"/>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18"/>
                <w:szCs w:val="18"/>
              </w:rPr>
            </w:pPr>
            <w:r>
              <w:rPr>
                <w:rFonts w:hint="default" w:ascii="Arial" w:hAnsi="Arial" w:eastAsia="宋体" w:cs="Arial"/>
                <w:color w:val="auto"/>
                <w:sz w:val="18"/>
                <w:szCs w:val="18"/>
              </w:rPr>
              <w:t>2.9</w:t>
            </w:r>
          </w:p>
        </w:tc>
        <w:tc>
          <w:tcPr>
            <w:tcW w:w="282" w:type="pct"/>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18"/>
                <w:szCs w:val="18"/>
              </w:rPr>
            </w:pPr>
            <w:r>
              <w:rPr>
                <w:rFonts w:hint="default" w:ascii="Arial" w:hAnsi="Arial" w:eastAsia="宋体" w:cs="Arial"/>
                <w:color w:val="auto"/>
                <w:sz w:val="18"/>
                <w:szCs w:val="18"/>
              </w:rPr>
              <w:t>12.2</w:t>
            </w:r>
          </w:p>
        </w:tc>
      </w:tr>
    </w:tbl>
    <w:p>
      <w:pPr>
        <w:ind w:firstLine="0" w:firstLineChars="0"/>
        <w:rPr>
          <w:rFonts w:hint="default" w:ascii="Arial" w:hAnsi="Arial" w:eastAsia="宋体" w:cs="Arial"/>
          <w:color w:val="auto"/>
        </w:rPr>
      </w:pPr>
      <w:r>
        <w:rPr>
          <w:rFonts w:hint="default" w:ascii="Arial" w:hAnsi="Arial" w:eastAsia="宋体" w:cs="Arial"/>
          <w:color w:val="auto"/>
        </w:rPr>
        <w:drawing>
          <wp:anchor distT="0" distB="0" distL="114300" distR="114300" simplePos="0" relativeHeight="251682816" behindDoc="1" locked="0" layoutInCell="1" allowOverlap="1">
            <wp:simplePos x="0" y="0"/>
            <wp:positionH relativeFrom="column">
              <wp:posOffset>-38735</wp:posOffset>
            </wp:positionH>
            <wp:positionV relativeFrom="paragraph">
              <wp:posOffset>39370</wp:posOffset>
            </wp:positionV>
            <wp:extent cx="5716905" cy="6006465"/>
            <wp:effectExtent l="0" t="0" r="17145" b="13335"/>
            <wp:wrapNone/>
            <wp:docPr id="178" name="图片 26" descr="16116275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图片 26" descr="1611627591(1)"/>
                    <pic:cNvPicPr>
                      <a:picLocks noChangeAspect="1"/>
                    </pic:cNvPicPr>
                  </pic:nvPicPr>
                  <pic:blipFill>
                    <a:blip r:embed="rId48"/>
                    <a:srcRect r="892"/>
                    <a:stretch>
                      <a:fillRect/>
                    </a:stretch>
                  </pic:blipFill>
                  <pic:spPr>
                    <a:xfrm>
                      <a:off x="0" y="0"/>
                      <a:ext cx="5716905" cy="6006465"/>
                    </a:xfrm>
                    <a:prstGeom prst="rect">
                      <a:avLst/>
                    </a:prstGeom>
                    <a:noFill/>
                    <a:ln>
                      <a:noFill/>
                    </a:ln>
                  </pic:spPr>
                </pic:pic>
              </a:graphicData>
            </a:graphic>
          </wp:anchor>
        </w:drawing>
      </w:r>
    </w:p>
    <w:p>
      <w:pPr>
        <w:ind w:firstLine="482"/>
        <w:rPr>
          <w:rFonts w:hint="default" w:ascii="Arial" w:hAnsi="Arial" w:eastAsia="宋体" w:cs="Arial"/>
          <w:color w:val="auto"/>
        </w:rPr>
      </w:pPr>
    </w:p>
    <w:p>
      <w:pPr>
        <w:ind w:firstLine="482"/>
        <w:rPr>
          <w:rFonts w:hint="default" w:ascii="Arial" w:hAnsi="Arial" w:eastAsia="宋体" w:cs="Arial"/>
          <w:color w:val="auto"/>
        </w:rPr>
      </w:pPr>
    </w:p>
    <w:p>
      <w:pPr>
        <w:ind w:firstLine="482"/>
        <w:rPr>
          <w:rFonts w:hint="default" w:ascii="Arial" w:hAnsi="Arial" w:eastAsia="宋体" w:cs="Arial"/>
          <w:color w:val="auto"/>
        </w:rPr>
      </w:pPr>
    </w:p>
    <w:p>
      <w:pPr>
        <w:ind w:firstLine="482"/>
        <w:rPr>
          <w:rFonts w:hint="default" w:ascii="Arial" w:hAnsi="Arial" w:eastAsia="宋体" w:cs="Arial"/>
          <w:color w:val="auto"/>
        </w:rPr>
      </w:pPr>
    </w:p>
    <w:p>
      <w:pPr>
        <w:ind w:firstLine="482"/>
        <w:rPr>
          <w:rFonts w:hint="default" w:ascii="Arial" w:hAnsi="Arial" w:eastAsia="宋体" w:cs="Arial"/>
          <w:color w:val="auto"/>
        </w:rPr>
      </w:pPr>
    </w:p>
    <w:p>
      <w:pPr>
        <w:ind w:firstLine="482"/>
        <w:rPr>
          <w:rFonts w:hint="default" w:ascii="Arial" w:hAnsi="Arial" w:eastAsia="宋体" w:cs="Arial"/>
          <w:color w:val="auto"/>
        </w:rPr>
      </w:pPr>
    </w:p>
    <w:p>
      <w:pPr>
        <w:ind w:firstLine="482"/>
        <w:rPr>
          <w:rFonts w:hint="default" w:ascii="Arial" w:hAnsi="Arial" w:eastAsia="宋体" w:cs="Arial"/>
          <w:color w:val="auto"/>
        </w:rPr>
      </w:pPr>
    </w:p>
    <w:p>
      <w:pPr>
        <w:ind w:firstLine="482"/>
        <w:rPr>
          <w:rFonts w:hint="default" w:ascii="Arial" w:hAnsi="Arial" w:eastAsia="宋体" w:cs="Arial"/>
          <w:color w:val="auto"/>
        </w:rPr>
      </w:pPr>
    </w:p>
    <w:p>
      <w:pPr>
        <w:ind w:firstLine="482"/>
        <w:rPr>
          <w:rFonts w:hint="default" w:ascii="Arial" w:hAnsi="Arial" w:eastAsia="宋体" w:cs="Arial"/>
          <w:color w:val="auto"/>
        </w:rPr>
      </w:pPr>
    </w:p>
    <w:p>
      <w:pPr>
        <w:ind w:firstLine="482"/>
        <w:rPr>
          <w:rFonts w:hint="default" w:ascii="Arial" w:hAnsi="Arial" w:eastAsia="宋体" w:cs="Arial"/>
          <w:color w:val="auto"/>
        </w:rPr>
      </w:pPr>
    </w:p>
    <w:p>
      <w:pPr>
        <w:ind w:firstLine="482"/>
        <w:rPr>
          <w:rFonts w:hint="default" w:ascii="Arial" w:hAnsi="Arial" w:eastAsia="宋体" w:cs="Arial"/>
          <w:color w:val="auto"/>
        </w:rPr>
      </w:pPr>
    </w:p>
    <w:p>
      <w:pPr>
        <w:ind w:firstLine="482"/>
        <w:rPr>
          <w:rFonts w:hint="default" w:ascii="Arial" w:hAnsi="Arial" w:eastAsia="宋体" w:cs="Arial"/>
          <w:color w:val="auto"/>
        </w:rPr>
      </w:pPr>
    </w:p>
    <w:p>
      <w:pPr>
        <w:ind w:firstLine="482"/>
        <w:rPr>
          <w:rFonts w:hint="default" w:ascii="Arial" w:hAnsi="Arial" w:eastAsia="宋体" w:cs="Arial"/>
          <w:color w:val="auto"/>
        </w:rPr>
      </w:pPr>
    </w:p>
    <w:p>
      <w:pPr>
        <w:ind w:firstLine="482"/>
        <w:rPr>
          <w:rFonts w:hint="default" w:ascii="Arial" w:hAnsi="Arial" w:eastAsia="宋体" w:cs="Arial"/>
          <w:color w:val="auto"/>
        </w:rPr>
      </w:pPr>
    </w:p>
    <w:p>
      <w:pPr>
        <w:ind w:firstLine="482"/>
        <w:rPr>
          <w:rFonts w:hint="default" w:ascii="Arial" w:hAnsi="Arial" w:eastAsia="宋体" w:cs="Arial"/>
          <w:color w:val="auto"/>
        </w:rPr>
      </w:pPr>
    </w:p>
    <w:p>
      <w:pPr>
        <w:ind w:firstLine="482"/>
        <w:rPr>
          <w:rFonts w:hint="default" w:ascii="Arial" w:hAnsi="Arial" w:eastAsia="宋体" w:cs="Arial"/>
          <w:color w:val="auto"/>
        </w:rPr>
      </w:pPr>
    </w:p>
    <w:p>
      <w:pPr>
        <w:ind w:firstLine="482"/>
        <w:rPr>
          <w:rFonts w:hint="default" w:ascii="Arial" w:hAnsi="Arial" w:eastAsia="宋体" w:cs="Arial"/>
          <w:color w:val="auto"/>
        </w:rPr>
      </w:pPr>
    </w:p>
    <w:p>
      <w:pPr>
        <w:ind w:firstLine="482"/>
        <w:rPr>
          <w:rFonts w:hint="default" w:ascii="Arial" w:hAnsi="Arial" w:eastAsia="宋体" w:cs="Arial"/>
          <w:color w:val="auto"/>
        </w:rPr>
      </w:pPr>
    </w:p>
    <w:p>
      <w:pPr>
        <w:ind w:firstLine="482"/>
        <w:rPr>
          <w:rFonts w:hint="default" w:ascii="Arial" w:hAnsi="Arial" w:eastAsia="宋体" w:cs="Arial"/>
          <w:color w:val="auto"/>
        </w:rPr>
      </w:pPr>
    </w:p>
    <w:p>
      <w:pPr>
        <w:pageBreakBefore w:val="0"/>
        <w:widowControl w:val="0"/>
        <w:kinsoku/>
        <w:wordWrap/>
        <w:overflowPunct/>
        <w:topLinePunct/>
        <w:autoSpaceDE w:val="0"/>
        <w:autoSpaceDN/>
        <w:bidi w:val="0"/>
        <w:adjustRightInd/>
        <w:snapToGrid/>
        <w:ind w:firstLine="482"/>
        <w:textAlignment w:val="auto"/>
        <w:rPr>
          <w:rFonts w:hint="default" w:ascii="Arial" w:hAnsi="Arial" w:eastAsia="宋体" w:cs="Arial"/>
          <w:b/>
          <w:bCs/>
          <w:color w:val="auto"/>
        </w:rPr>
      </w:pPr>
      <w:r>
        <w:rPr>
          <w:rFonts w:hint="default" w:ascii="Arial" w:hAnsi="Arial" w:eastAsia="宋体" w:cs="Arial"/>
          <w:b/>
          <w:bCs/>
          <w:color w:val="auto"/>
        </w:rPr>
        <w:t>图5.2-4    五原县近20年（1999年-2018年）各季及全年风向频率玫瑰图</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rPr>
      </w:pPr>
      <w:r>
        <w:rPr>
          <w:rFonts w:hint="default" w:ascii="Arial" w:hAnsi="Arial" w:eastAsia="宋体" w:cs="Arial"/>
          <w:color w:val="auto"/>
        </w:rPr>
        <w:t>由图表可知，五原县春季主导风向为WSW风，出现频率为9.6%，次主导风向为ENE风，出现频率为9.5%，静风在春季的出现频率为10.5%；该地区夏季主导风向为NE风，出现频率为8.9%，次主导风向为NNE风，出现频率为8%，静风在夏季的出现频率为6.8%；该地区秋季主导风向为ENE风，出现频率为10.4%，次主导风向为NE风，出现频率为9.5%，静风在秋季的出现频率为12.5%；该地区冬季主导风向为ENE风，出现频率为10.9%，次主导风向为E风，出现频率为8.2%，静风在冬季的出现频率为19.1%；该地区全年主导风向为ENE风，出现频率为9.6%，次主导风向为NE风，出现频率为8.8%，静风在全年的出现频率为12.2%。</w:t>
      </w:r>
    </w:p>
    <w:p>
      <w:pPr>
        <w:pStyle w:val="6"/>
        <w:keepNext/>
        <w:keepLines/>
        <w:pageBreakBefore w:val="0"/>
        <w:widowControl w:val="0"/>
        <w:kinsoku/>
        <w:wordWrap/>
        <w:overflowPunct/>
        <w:topLinePunct/>
        <w:autoSpaceDE w:val="0"/>
        <w:autoSpaceDN/>
        <w:bidi w:val="0"/>
        <w:adjustRightInd/>
        <w:snapToGrid/>
        <w:spacing w:before="120"/>
        <w:textAlignment w:val="auto"/>
        <w:rPr>
          <w:rFonts w:hint="default" w:ascii="Arial" w:hAnsi="Arial" w:eastAsia="宋体" w:cs="Arial"/>
          <w:color w:val="auto"/>
          <w:highlight w:val="none"/>
        </w:rPr>
      </w:pPr>
      <w:bookmarkStart w:id="356" w:name="_Toc10291"/>
      <w:r>
        <w:rPr>
          <w:rFonts w:hint="default" w:ascii="Arial" w:hAnsi="Arial" w:eastAsia="宋体" w:cs="Arial"/>
          <w:color w:val="auto"/>
          <w:highlight w:val="none"/>
        </w:rPr>
        <w:t>5.2.2大气环境影响预测</w:t>
      </w:r>
      <w:bookmarkEnd w:id="356"/>
    </w:p>
    <w:p>
      <w:pPr>
        <w:pStyle w:val="7"/>
        <w:pageBreakBefore w:val="0"/>
        <w:widowControl w:val="0"/>
        <w:kinsoku/>
        <w:wordWrap/>
        <w:overflowPunct/>
        <w:topLinePunct/>
        <w:autoSpaceDE w:val="0"/>
        <w:autoSpaceDN/>
        <w:bidi w:val="0"/>
        <w:adjustRightInd/>
        <w:snapToGrid/>
        <w:spacing w:before="0"/>
        <w:textAlignment w:val="auto"/>
        <w:rPr>
          <w:rFonts w:hint="default" w:ascii="Arial" w:hAnsi="Arial" w:eastAsia="宋体" w:cs="Arial"/>
          <w:color w:val="auto"/>
          <w:highlight w:val="none"/>
        </w:rPr>
      </w:pPr>
      <w:r>
        <w:rPr>
          <w:rFonts w:hint="default" w:ascii="Arial" w:hAnsi="Arial" w:eastAsia="宋体" w:cs="Arial"/>
          <w:color w:val="auto"/>
          <w:highlight w:val="none"/>
        </w:rPr>
        <w:t>5.2.2.1评价等级及评价范围</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sectPr>
          <w:pgSz w:w="11906" w:h="16838"/>
          <w:pgMar w:top="1304" w:right="1418" w:bottom="1134" w:left="1701" w:header="851" w:footer="680" w:gutter="0"/>
          <w:pgBorders>
            <w:top w:val="none" w:sz="0" w:space="0"/>
            <w:left w:val="none" w:sz="0" w:space="0"/>
            <w:bottom w:val="none" w:sz="0" w:space="0"/>
            <w:right w:val="none" w:sz="0" w:space="0"/>
          </w:pgBorders>
          <w:pgNumType w:fmt="numberInDash"/>
          <w:cols w:space="720" w:num="1"/>
          <w:docGrid w:linePitch="326" w:charSpace="0"/>
        </w:sectPr>
      </w:pPr>
      <w:r>
        <w:rPr>
          <w:rFonts w:hint="default" w:ascii="Arial" w:hAnsi="Arial" w:eastAsia="宋体" w:cs="Arial"/>
          <w:color w:val="auto"/>
          <w:highlight w:val="none"/>
        </w:rPr>
        <w:t>本项目大气环境影响评价等级为二级，评价范围为以项目区为中心，边长5km的矩形为大气环境评价范围。项目各污染物最大落地浓度及最大占标率见表</w:t>
      </w:r>
      <w:r>
        <w:rPr>
          <w:rFonts w:hint="default" w:ascii="Arial" w:hAnsi="Arial" w:eastAsia="宋体" w:cs="Arial"/>
          <w:color w:val="auto"/>
          <w:highlight w:val="none"/>
          <w:lang w:val="en-US" w:eastAsia="zh-CN"/>
        </w:rPr>
        <w:t>5.2</w:t>
      </w:r>
      <w:r>
        <w:rPr>
          <w:rFonts w:hint="default" w:ascii="Arial" w:hAnsi="Arial" w:eastAsia="宋体" w:cs="Arial"/>
          <w:color w:val="auto"/>
          <w:highlight w:val="none"/>
        </w:rPr>
        <w:t>-</w:t>
      </w:r>
      <w:r>
        <w:rPr>
          <w:rFonts w:hint="default" w:ascii="Arial" w:hAnsi="Arial" w:eastAsia="宋体" w:cs="Arial"/>
          <w:color w:val="auto"/>
          <w:highlight w:val="none"/>
          <w:lang w:val="en-US" w:eastAsia="zh-CN"/>
        </w:rPr>
        <w:t>6</w:t>
      </w:r>
      <w:r>
        <w:rPr>
          <w:rFonts w:hint="default" w:ascii="Arial" w:hAnsi="Arial" w:eastAsia="宋体" w:cs="Arial"/>
          <w:color w:val="auto"/>
          <w:highlight w:val="none"/>
        </w:rPr>
        <w:t>。</w:t>
      </w:r>
    </w:p>
    <w:p>
      <w:pPr>
        <w:pStyle w:val="8"/>
        <w:rPr>
          <w:rFonts w:hint="default" w:ascii="Arial" w:hAnsi="Arial" w:eastAsia="宋体" w:cs="Arial"/>
          <w:color w:val="auto"/>
          <w:highlight w:val="none"/>
        </w:rPr>
      </w:pPr>
      <w:r>
        <w:rPr>
          <w:rFonts w:hint="default" w:ascii="Arial" w:hAnsi="Arial" w:eastAsia="宋体" w:cs="Arial"/>
          <w:color w:val="auto"/>
          <w:highlight w:val="none"/>
        </w:rPr>
        <w:t>表5.2</w:t>
      </w:r>
      <w:r>
        <w:rPr>
          <w:rFonts w:hint="default" w:ascii="Arial" w:hAnsi="Arial" w:eastAsia="宋体" w:cs="Arial"/>
          <w:color w:val="auto"/>
          <w:highlight w:val="none"/>
          <w:lang w:val="en-US" w:eastAsia="zh-CN"/>
        </w:rPr>
        <w:t>-6</w:t>
      </w:r>
      <w:r>
        <w:rPr>
          <w:rFonts w:hint="default" w:ascii="Arial" w:hAnsi="Arial" w:eastAsia="宋体" w:cs="Arial"/>
          <w:color w:val="auto"/>
          <w:highlight w:val="none"/>
        </w:rPr>
        <w:t xml:space="preserve">   污染源估算模型计算结果列表</w:t>
      </w:r>
    </w:p>
    <w:tbl>
      <w:tblPr>
        <w:tblStyle w:val="39"/>
        <w:tblW w:w="14389" w:type="dxa"/>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601"/>
        <w:gridCol w:w="1030"/>
        <w:gridCol w:w="1274"/>
        <w:gridCol w:w="1275"/>
        <w:gridCol w:w="1275"/>
        <w:gridCol w:w="1275"/>
        <w:gridCol w:w="1276"/>
        <w:gridCol w:w="1276"/>
        <w:gridCol w:w="1276"/>
        <w:gridCol w:w="1277"/>
        <w:gridCol w:w="1277"/>
        <w:gridCol w:w="1277"/>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37" w:type="dxa"/>
            <w:vMerge w:val="restart"/>
            <w:shd w:val="clear" w:color="auto" w:fill="auto"/>
            <w:noWrap/>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序号</w:t>
            </w:r>
          </w:p>
        </w:tc>
        <w:tc>
          <w:tcPr>
            <w:tcW w:w="749" w:type="dxa"/>
            <w:vMerge w:val="restart"/>
            <w:shd w:val="clear" w:color="auto" w:fill="auto"/>
            <w:noWrap/>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离源</w:t>
            </w:r>
          </w:p>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距离</w:t>
            </w:r>
          </w:p>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(m)</w:t>
            </w:r>
          </w:p>
        </w:tc>
        <w:tc>
          <w:tcPr>
            <w:tcW w:w="3707" w:type="dxa"/>
            <w:gridSpan w:val="4"/>
            <w:shd w:val="clear" w:color="auto" w:fill="auto"/>
            <w:noWrap/>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牛舍及运动场</w:t>
            </w:r>
          </w:p>
        </w:tc>
        <w:tc>
          <w:tcPr>
            <w:tcW w:w="3712" w:type="dxa"/>
            <w:gridSpan w:val="4"/>
            <w:shd w:val="clear" w:color="auto" w:fill="auto"/>
            <w:noWrap/>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highlight w:val="none"/>
                <w:lang w:eastAsia="zh-CN"/>
              </w:rPr>
            </w:pPr>
            <w:r>
              <w:rPr>
                <w:rFonts w:hint="default" w:ascii="Arial" w:hAnsi="Arial" w:eastAsia="宋体" w:cs="Arial"/>
                <w:color w:val="auto"/>
                <w:sz w:val="21"/>
                <w:szCs w:val="21"/>
                <w:highlight w:val="none"/>
                <w:lang w:eastAsia="zh-CN"/>
              </w:rPr>
              <w:t>堆肥场</w:t>
            </w:r>
          </w:p>
        </w:tc>
        <w:tc>
          <w:tcPr>
            <w:tcW w:w="1856" w:type="dxa"/>
            <w:gridSpan w:val="2"/>
            <w:shd w:val="clear" w:color="auto" w:fill="auto"/>
            <w:noWrap/>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highlight w:val="none"/>
                <w:lang w:eastAsia="zh-CN"/>
              </w:rPr>
            </w:pPr>
            <w:r>
              <w:rPr>
                <w:rFonts w:hint="default" w:ascii="Arial" w:hAnsi="Arial" w:eastAsia="宋体" w:cs="Arial"/>
                <w:color w:val="auto"/>
                <w:sz w:val="21"/>
                <w:szCs w:val="21"/>
                <w:highlight w:val="none"/>
                <w:lang w:eastAsia="zh-CN"/>
              </w:rPr>
              <w:t>饲草料库房</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37" w:type="dxa"/>
            <w:vMerge w:val="continue"/>
            <w:shd w:val="clear" w:color="auto" w:fill="auto"/>
            <w:noWrap/>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highlight w:val="none"/>
              </w:rPr>
            </w:pPr>
          </w:p>
        </w:tc>
        <w:tc>
          <w:tcPr>
            <w:tcW w:w="749" w:type="dxa"/>
            <w:vMerge w:val="continue"/>
            <w:shd w:val="clear" w:color="auto" w:fill="auto"/>
            <w:noWrap/>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highlight w:val="none"/>
              </w:rPr>
            </w:pPr>
          </w:p>
        </w:tc>
        <w:tc>
          <w:tcPr>
            <w:tcW w:w="1853" w:type="dxa"/>
            <w:gridSpan w:val="2"/>
            <w:shd w:val="clear" w:color="auto" w:fill="auto"/>
            <w:noWrap/>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NH</w:t>
            </w:r>
            <w:r>
              <w:rPr>
                <w:rFonts w:hint="default" w:ascii="Arial" w:hAnsi="Arial" w:eastAsia="宋体" w:cs="Arial"/>
                <w:color w:val="auto"/>
                <w:sz w:val="21"/>
                <w:szCs w:val="21"/>
                <w:highlight w:val="none"/>
                <w:vertAlign w:val="subscript"/>
              </w:rPr>
              <w:t>3</w:t>
            </w:r>
          </w:p>
        </w:tc>
        <w:tc>
          <w:tcPr>
            <w:tcW w:w="1854" w:type="dxa"/>
            <w:gridSpan w:val="2"/>
            <w:shd w:val="clear" w:color="auto" w:fill="auto"/>
            <w:noWrap/>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H</w:t>
            </w:r>
            <w:r>
              <w:rPr>
                <w:rFonts w:hint="default" w:ascii="Arial" w:hAnsi="Arial" w:eastAsia="宋体" w:cs="Arial"/>
                <w:color w:val="auto"/>
                <w:sz w:val="21"/>
                <w:szCs w:val="21"/>
                <w:highlight w:val="none"/>
                <w:vertAlign w:val="subscript"/>
              </w:rPr>
              <w:t>2</w:t>
            </w:r>
            <w:r>
              <w:rPr>
                <w:rFonts w:hint="default" w:ascii="Arial" w:hAnsi="Arial" w:eastAsia="宋体" w:cs="Arial"/>
                <w:color w:val="auto"/>
                <w:sz w:val="21"/>
                <w:szCs w:val="21"/>
                <w:highlight w:val="none"/>
              </w:rPr>
              <w:t>S</w:t>
            </w:r>
          </w:p>
        </w:tc>
        <w:tc>
          <w:tcPr>
            <w:tcW w:w="1856" w:type="dxa"/>
            <w:gridSpan w:val="2"/>
            <w:shd w:val="clear" w:color="auto" w:fill="auto"/>
            <w:noWrap/>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NH</w:t>
            </w:r>
            <w:r>
              <w:rPr>
                <w:rFonts w:hint="default" w:ascii="Arial" w:hAnsi="Arial" w:eastAsia="宋体" w:cs="Arial"/>
                <w:color w:val="auto"/>
                <w:sz w:val="21"/>
                <w:szCs w:val="21"/>
                <w:highlight w:val="none"/>
                <w:vertAlign w:val="subscript"/>
              </w:rPr>
              <w:t>3</w:t>
            </w:r>
          </w:p>
        </w:tc>
        <w:tc>
          <w:tcPr>
            <w:tcW w:w="1856" w:type="dxa"/>
            <w:gridSpan w:val="2"/>
            <w:shd w:val="clear" w:color="auto" w:fill="auto"/>
            <w:noWrap/>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H</w:t>
            </w:r>
            <w:r>
              <w:rPr>
                <w:rFonts w:hint="default" w:ascii="Arial" w:hAnsi="Arial" w:eastAsia="宋体" w:cs="Arial"/>
                <w:color w:val="auto"/>
                <w:sz w:val="21"/>
                <w:szCs w:val="21"/>
                <w:highlight w:val="none"/>
                <w:vertAlign w:val="subscript"/>
              </w:rPr>
              <w:t>2</w:t>
            </w:r>
            <w:r>
              <w:rPr>
                <w:rFonts w:hint="default" w:ascii="Arial" w:hAnsi="Arial" w:eastAsia="宋体" w:cs="Arial"/>
                <w:color w:val="auto"/>
                <w:sz w:val="21"/>
                <w:szCs w:val="21"/>
                <w:highlight w:val="none"/>
              </w:rPr>
              <w:t>S</w:t>
            </w:r>
          </w:p>
        </w:tc>
        <w:tc>
          <w:tcPr>
            <w:tcW w:w="1856" w:type="dxa"/>
            <w:gridSpan w:val="2"/>
            <w:shd w:val="clear" w:color="auto" w:fill="auto"/>
            <w:noWrap/>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TSP</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37" w:type="dxa"/>
            <w:vMerge w:val="continue"/>
            <w:shd w:val="clear" w:color="auto" w:fill="auto"/>
            <w:noWrap/>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p>
        </w:tc>
        <w:tc>
          <w:tcPr>
            <w:tcW w:w="749" w:type="dxa"/>
            <w:vMerge w:val="continue"/>
            <w:shd w:val="clear" w:color="auto" w:fill="auto"/>
            <w:noWrap/>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p>
        </w:tc>
        <w:tc>
          <w:tcPr>
            <w:tcW w:w="926" w:type="dxa"/>
            <w:shd w:val="clear" w:color="auto" w:fill="auto"/>
            <w:noWrap/>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浓度</w:t>
            </w:r>
          </w:p>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（ug/m</w:t>
            </w:r>
            <w:r>
              <w:rPr>
                <w:rFonts w:hint="default" w:ascii="Arial" w:hAnsi="Arial" w:eastAsia="宋体" w:cs="Arial"/>
                <w:color w:val="auto"/>
                <w:sz w:val="21"/>
                <w:szCs w:val="21"/>
                <w:highlight w:val="none"/>
                <w:vertAlign w:val="superscript"/>
              </w:rPr>
              <w:t>3</w:t>
            </w:r>
            <w:r>
              <w:rPr>
                <w:rFonts w:hint="default" w:ascii="Arial" w:hAnsi="Arial" w:eastAsia="宋体" w:cs="Arial"/>
                <w:color w:val="auto"/>
                <w:sz w:val="21"/>
                <w:szCs w:val="21"/>
                <w:highlight w:val="none"/>
              </w:rPr>
              <w:t>）</w:t>
            </w:r>
          </w:p>
        </w:tc>
        <w:tc>
          <w:tcPr>
            <w:tcW w:w="927" w:type="dxa"/>
            <w:shd w:val="clear" w:color="auto" w:fill="auto"/>
            <w:noWrap/>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占标率</w:t>
            </w:r>
          </w:p>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w:t>
            </w:r>
          </w:p>
        </w:tc>
        <w:tc>
          <w:tcPr>
            <w:tcW w:w="927" w:type="dxa"/>
            <w:shd w:val="clear" w:color="auto" w:fill="auto"/>
            <w:noWrap/>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浓度</w:t>
            </w:r>
          </w:p>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（ug/m</w:t>
            </w:r>
            <w:r>
              <w:rPr>
                <w:rFonts w:hint="default" w:ascii="Arial" w:hAnsi="Arial" w:eastAsia="宋体" w:cs="Arial"/>
                <w:color w:val="auto"/>
                <w:sz w:val="21"/>
                <w:szCs w:val="21"/>
                <w:highlight w:val="none"/>
                <w:vertAlign w:val="superscript"/>
              </w:rPr>
              <w:t>3</w:t>
            </w:r>
            <w:r>
              <w:rPr>
                <w:rFonts w:hint="default" w:ascii="Arial" w:hAnsi="Arial" w:eastAsia="宋体" w:cs="Arial"/>
                <w:color w:val="auto"/>
                <w:sz w:val="21"/>
                <w:szCs w:val="21"/>
                <w:highlight w:val="none"/>
              </w:rPr>
              <w:t>）</w:t>
            </w:r>
          </w:p>
        </w:tc>
        <w:tc>
          <w:tcPr>
            <w:tcW w:w="927" w:type="dxa"/>
            <w:shd w:val="clear" w:color="auto" w:fill="auto"/>
            <w:noWrap/>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占标率</w:t>
            </w:r>
          </w:p>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w:t>
            </w:r>
          </w:p>
        </w:tc>
        <w:tc>
          <w:tcPr>
            <w:tcW w:w="928" w:type="dxa"/>
            <w:shd w:val="clear" w:color="auto" w:fill="auto"/>
            <w:noWrap/>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浓度</w:t>
            </w:r>
          </w:p>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（ug/m</w:t>
            </w:r>
            <w:r>
              <w:rPr>
                <w:rFonts w:hint="default" w:ascii="Arial" w:hAnsi="Arial" w:eastAsia="宋体" w:cs="Arial"/>
                <w:color w:val="auto"/>
                <w:sz w:val="21"/>
                <w:szCs w:val="21"/>
                <w:highlight w:val="none"/>
                <w:vertAlign w:val="superscript"/>
              </w:rPr>
              <w:t>3</w:t>
            </w:r>
            <w:r>
              <w:rPr>
                <w:rFonts w:hint="default" w:ascii="Arial" w:hAnsi="Arial" w:eastAsia="宋体" w:cs="Arial"/>
                <w:color w:val="auto"/>
                <w:sz w:val="21"/>
                <w:szCs w:val="21"/>
                <w:highlight w:val="none"/>
              </w:rPr>
              <w:t>）</w:t>
            </w:r>
          </w:p>
        </w:tc>
        <w:tc>
          <w:tcPr>
            <w:tcW w:w="928" w:type="dxa"/>
            <w:shd w:val="clear" w:color="auto" w:fill="auto"/>
            <w:noWrap/>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占标率</w:t>
            </w:r>
          </w:p>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w:t>
            </w:r>
          </w:p>
        </w:tc>
        <w:tc>
          <w:tcPr>
            <w:tcW w:w="928" w:type="dxa"/>
            <w:shd w:val="clear" w:color="auto" w:fill="auto"/>
            <w:noWrap/>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浓度</w:t>
            </w:r>
          </w:p>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（ug/m</w:t>
            </w:r>
            <w:r>
              <w:rPr>
                <w:rFonts w:hint="default" w:ascii="Arial" w:hAnsi="Arial" w:eastAsia="宋体" w:cs="Arial"/>
                <w:color w:val="auto"/>
                <w:sz w:val="21"/>
                <w:szCs w:val="21"/>
                <w:highlight w:val="none"/>
                <w:vertAlign w:val="superscript"/>
              </w:rPr>
              <w:t>3</w:t>
            </w:r>
            <w:r>
              <w:rPr>
                <w:rFonts w:hint="default" w:ascii="Arial" w:hAnsi="Arial" w:eastAsia="宋体" w:cs="Arial"/>
                <w:color w:val="auto"/>
                <w:sz w:val="21"/>
                <w:szCs w:val="21"/>
                <w:highlight w:val="none"/>
              </w:rPr>
              <w:t>）</w:t>
            </w:r>
          </w:p>
        </w:tc>
        <w:tc>
          <w:tcPr>
            <w:tcW w:w="928" w:type="dxa"/>
            <w:shd w:val="clear" w:color="auto" w:fill="auto"/>
            <w:noWrap/>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占标率</w:t>
            </w:r>
          </w:p>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w:t>
            </w:r>
          </w:p>
        </w:tc>
        <w:tc>
          <w:tcPr>
            <w:tcW w:w="928" w:type="dxa"/>
            <w:shd w:val="clear" w:color="auto" w:fill="auto"/>
            <w:noWrap/>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浓度</w:t>
            </w:r>
          </w:p>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（ug/m</w:t>
            </w:r>
            <w:r>
              <w:rPr>
                <w:rFonts w:hint="default" w:ascii="Arial" w:hAnsi="Arial" w:eastAsia="宋体" w:cs="Arial"/>
                <w:color w:val="auto"/>
                <w:sz w:val="21"/>
                <w:szCs w:val="21"/>
                <w:highlight w:val="none"/>
                <w:vertAlign w:val="superscript"/>
              </w:rPr>
              <w:t>3</w:t>
            </w:r>
            <w:r>
              <w:rPr>
                <w:rFonts w:hint="default" w:ascii="Arial" w:hAnsi="Arial" w:eastAsia="宋体" w:cs="Arial"/>
                <w:color w:val="auto"/>
                <w:sz w:val="21"/>
                <w:szCs w:val="21"/>
                <w:highlight w:val="none"/>
              </w:rPr>
              <w:t>）</w:t>
            </w:r>
          </w:p>
        </w:tc>
        <w:tc>
          <w:tcPr>
            <w:tcW w:w="928" w:type="dxa"/>
            <w:shd w:val="clear" w:color="auto" w:fill="auto"/>
            <w:noWrap/>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占标率</w:t>
            </w:r>
          </w:p>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37" w:type="dxa"/>
            <w:shd w:val="clear" w:color="auto" w:fill="auto"/>
            <w:noWrap/>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1</w:t>
            </w:r>
          </w:p>
        </w:tc>
        <w:tc>
          <w:tcPr>
            <w:tcW w:w="749" w:type="dxa"/>
            <w:shd w:val="clear" w:color="auto" w:fill="auto"/>
            <w:noWrap/>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10</w:t>
            </w:r>
          </w:p>
        </w:tc>
        <w:tc>
          <w:tcPr>
            <w:tcW w:w="926"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2.59315</w:t>
            </w:r>
          </w:p>
        </w:tc>
        <w:tc>
          <w:tcPr>
            <w:tcW w:w="927"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1.30</w:t>
            </w:r>
          </w:p>
        </w:tc>
        <w:tc>
          <w:tcPr>
            <w:tcW w:w="927"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0.045447</w:t>
            </w:r>
          </w:p>
        </w:tc>
        <w:tc>
          <w:tcPr>
            <w:tcW w:w="927"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0.50</w:t>
            </w:r>
          </w:p>
        </w:tc>
        <w:tc>
          <w:tcPr>
            <w:tcW w:w="9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7.48109</w:t>
            </w:r>
          </w:p>
        </w:tc>
        <w:tc>
          <w:tcPr>
            <w:tcW w:w="9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3.70</w:t>
            </w:r>
          </w:p>
        </w:tc>
        <w:tc>
          <w:tcPr>
            <w:tcW w:w="9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0.4062</w:t>
            </w:r>
          </w:p>
        </w:tc>
        <w:tc>
          <w:tcPr>
            <w:tcW w:w="9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4.10</w:t>
            </w:r>
          </w:p>
        </w:tc>
        <w:tc>
          <w:tcPr>
            <w:tcW w:w="9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3.2792</w:t>
            </w:r>
          </w:p>
        </w:tc>
        <w:tc>
          <w:tcPr>
            <w:tcW w:w="9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0.40</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37" w:type="dxa"/>
            <w:shd w:val="clear" w:color="auto" w:fill="auto"/>
            <w:noWrap/>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2</w:t>
            </w:r>
          </w:p>
        </w:tc>
        <w:tc>
          <w:tcPr>
            <w:tcW w:w="749" w:type="dxa"/>
            <w:shd w:val="clear" w:color="auto" w:fill="auto"/>
            <w:noWrap/>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highlight w:val="none"/>
                <w:lang w:eastAsia="zh-CN"/>
              </w:rPr>
            </w:pPr>
            <w:r>
              <w:rPr>
                <w:rFonts w:hint="default" w:ascii="Arial" w:hAnsi="Arial" w:eastAsia="宋体" w:cs="Arial"/>
                <w:color w:val="auto"/>
                <w:sz w:val="21"/>
                <w:szCs w:val="21"/>
                <w:highlight w:val="none"/>
                <w:lang w:val="en-US" w:eastAsia="zh-CN"/>
              </w:rPr>
              <w:t>1</w:t>
            </w:r>
            <w:r>
              <w:rPr>
                <w:rFonts w:hint="default" w:ascii="Arial" w:hAnsi="Arial" w:eastAsia="宋体" w:cs="Arial"/>
                <w:color w:val="auto"/>
                <w:sz w:val="21"/>
                <w:szCs w:val="21"/>
                <w:highlight w:val="none"/>
              </w:rPr>
              <w:t>00</w:t>
            </w:r>
          </w:p>
        </w:tc>
        <w:tc>
          <w:tcPr>
            <w:tcW w:w="926"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5.06095</w:t>
            </w:r>
          </w:p>
        </w:tc>
        <w:tc>
          <w:tcPr>
            <w:tcW w:w="927"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2.50</w:t>
            </w:r>
          </w:p>
        </w:tc>
        <w:tc>
          <w:tcPr>
            <w:tcW w:w="927"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0.088697</w:t>
            </w:r>
          </w:p>
        </w:tc>
        <w:tc>
          <w:tcPr>
            <w:tcW w:w="927"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0.90</w:t>
            </w:r>
          </w:p>
        </w:tc>
        <w:tc>
          <w:tcPr>
            <w:tcW w:w="9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5.90918</w:t>
            </w:r>
          </w:p>
        </w:tc>
        <w:tc>
          <w:tcPr>
            <w:tcW w:w="9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3.00</w:t>
            </w:r>
          </w:p>
        </w:tc>
        <w:tc>
          <w:tcPr>
            <w:tcW w:w="9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0.32085</w:t>
            </w:r>
          </w:p>
        </w:tc>
        <w:tc>
          <w:tcPr>
            <w:tcW w:w="9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3.20</w:t>
            </w:r>
          </w:p>
        </w:tc>
        <w:tc>
          <w:tcPr>
            <w:tcW w:w="9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5.7689</w:t>
            </w:r>
          </w:p>
        </w:tc>
        <w:tc>
          <w:tcPr>
            <w:tcW w:w="9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0.60</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37" w:type="dxa"/>
            <w:shd w:val="clear" w:color="auto" w:fill="auto"/>
            <w:noWrap/>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highlight w:val="none"/>
                <w:lang w:val="en-US" w:eastAsia="zh-CN"/>
              </w:rPr>
              <w:t>3</w:t>
            </w:r>
          </w:p>
        </w:tc>
        <w:tc>
          <w:tcPr>
            <w:tcW w:w="749" w:type="dxa"/>
            <w:shd w:val="clear" w:color="auto" w:fill="auto"/>
            <w:noWrap/>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highlight w:val="none"/>
                <w:lang w:val="en-US" w:eastAsia="zh-CN"/>
              </w:rPr>
              <w:t>140</w:t>
            </w:r>
          </w:p>
        </w:tc>
        <w:tc>
          <w:tcPr>
            <w:tcW w:w="926"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lang w:val="en-US" w:eastAsia="zh-CN"/>
              </w:rPr>
              <w:t>/</w:t>
            </w:r>
          </w:p>
        </w:tc>
        <w:tc>
          <w:tcPr>
            <w:tcW w:w="927"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lang w:val="en-US" w:eastAsia="zh-CN"/>
              </w:rPr>
              <w:t>/</w:t>
            </w:r>
          </w:p>
        </w:tc>
        <w:tc>
          <w:tcPr>
            <w:tcW w:w="927"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lang w:val="en-US" w:eastAsia="zh-CN"/>
              </w:rPr>
              <w:t>/</w:t>
            </w:r>
          </w:p>
        </w:tc>
        <w:tc>
          <w:tcPr>
            <w:tcW w:w="927"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lang w:val="en-US" w:eastAsia="zh-CN"/>
              </w:rPr>
              <w:t>/</w:t>
            </w:r>
          </w:p>
        </w:tc>
        <w:tc>
          <w:tcPr>
            <w:tcW w:w="9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lang w:val="en-US" w:eastAsia="zh-CN"/>
              </w:rPr>
              <w:t>/</w:t>
            </w:r>
          </w:p>
        </w:tc>
        <w:tc>
          <w:tcPr>
            <w:tcW w:w="9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lang w:val="en-US" w:eastAsia="zh-CN"/>
              </w:rPr>
              <w:t>/</w:t>
            </w:r>
          </w:p>
        </w:tc>
        <w:tc>
          <w:tcPr>
            <w:tcW w:w="9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lang w:val="en-US" w:eastAsia="zh-CN"/>
              </w:rPr>
              <w:t>/</w:t>
            </w:r>
          </w:p>
        </w:tc>
        <w:tc>
          <w:tcPr>
            <w:tcW w:w="9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lang w:val="en-US" w:eastAsia="zh-CN"/>
              </w:rPr>
              <w:t>/</w:t>
            </w:r>
          </w:p>
        </w:tc>
        <w:tc>
          <w:tcPr>
            <w:tcW w:w="9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6.5982</w:t>
            </w:r>
          </w:p>
        </w:tc>
        <w:tc>
          <w:tcPr>
            <w:tcW w:w="9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0.70</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37" w:type="dxa"/>
            <w:shd w:val="clear" w:color="auto" w:fill="auto"/>
            <w:noWrap/>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highlight w:val="none"/>
                <w:lang w:val="en-US" w:eastAsia="zh-CN"/>
              </w:rPr>
              <w:t>4</w:t>
            </w:r>
          </w:p>
        </w:tc>
        <w:tc>
          <w:tcPr>
            <w:tcW w:w="749" w:type="dxa"/>
            <w:shd w:val="clear" w:color="auto" w:fill="auto"/>
            <w:noWrap/>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highlight w:val="none"/>
                <w:lang w:val="en-US" w:eastAsia="zh-CN"/>
              </w:rPr>
              <w:t>157</w:t>
            </w:r>
          </w:p>
        </w:tc>
        <w:tc>
          <w:tcPr>
            <w:tcW w:w="926"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lang w:val="en-US" w:eastAsia="zh-CN"/>
              </w:rPr>
              <w:t>/</w:t>
            </w:r>
          </w:p>
        </w:tc>
        <w:tc>
          <w:tcPr>
            <w:tcW w:w="927"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lang w:val="en-US" w:eastAsia="zh-CN"/>
              </w:rPr>
              <w:t>/</w:t>
            </w:r>
          </w:p>
        </w:tc>
        <w:tc>
          <w:tcPr>
            <w:tcW w:w="927"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lang w:val="en-US" w:eastAsia="zh-CN"/>
              </w:rPr>
              <w:t>/</w:t>
            </w:r>
          </w:p>
        </w:tc>
        <w:tc>
          <w:tcPr>
            <w:tcW w:w="927"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lang w:val="en-US" w:eastAsia="zh-CN"/>
              </w:rPr>
              <w:t>/</w:t>
            </w:r>
          </w:p>
        </w:tc>
        <w:tc>
          <w:tcPr>
            <w:tcW w:w="9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lang w:val="en-US" w:eastAsia="zh-CN"/>
              </w:rPr>
              <w:t>/</w:t>
            </w:r>
          </w:p>
        </w:tc>
        <w:tc>
          <w:tcPr>
            <w:tcW w:w="9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lang w:val="en-US" w:eastAsia="zh-CN"/>
              </w:rPr>
              <w:t>/</w:t>
            </w:r>
          </w:p>
        </w:tc>
        <w:tc>
          <w:tcPr>
            <w:tcW w:w="9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lang w:val="en-US" w:eastAsia="zh-CN"/>
              </w:rPr>
              <w:t>/</w:t>
            </w:r>
          </w:p>
        </w:tc>
        <w:tc>
          <w:tcPr>
            <w:tcW w:w="9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lang w:val="en-US" w:eastAsia="zh-CN"/>
              </w:rPr>
              <w:t>/</w:t>
            </w:r>
          </w:p>
        </w:tc>
        <w:tc>
          <w:tcPr>
            <w:tcW w:w="9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lang w:val="en-US" w:eastAsia="zh-CN"/>
              </w:rPr>
              <w:t>/</w:t>
            </w:r>
          </w:p>
        </w:tc>
        <w:tc>
          <w:tcPr>
            <w:tcW w:w="9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lang w:val="en-US" w:eastAsia="zh-CN"/>
              </w:rPr>
              <w:t>/</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37" w:type="dxa"/>
            <w:shd w:val="clear" w:color="auto" w:fill="auto"/>
            <w:noWrap/>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5</w:t>
            </w:r>
          </w:p>
        </w:tc>
        <w:tc>
          <w:tcPr>
            <w:tcW w:w="749" w:type="dxa"/>
            <w:shd w:val="clear" w:color="auto" w:fill="auto"/>
            <w:noWrap/>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highlight w:val="none"/>
                <w:lang w:eastAsia="zh-CN"/>
              </w:rPr>
            </w:pPr>
            <w:r>
              <w:rPr>
                <w:rFonts w:hint="default" w:ascii="Arial" w:hAnsi="Arial" w:eastAsia="宋体" w:cs="Arial"/>
                <w:color w:val="auto"/>
                <w:sz w:val="21"/>
                <w:szCs w:val="21"/>
                <w:highlight w:val="none"/>
                <w:lang w:val="en-US" w:eastAsia="zh-CN"/>
              </w:rPr>
              <w:t>2</w:t>
            </w:r>
            <w:r>
              <w:rPr>
                <w:rFonts w:hint="default" w:ascii="Arial" w:hAnsi="Arial" w:eastAsia="宋体" w:cs="Arial"/>
                <w:color w:val="auto"/>
                <w:sz w:val="21"/>
                <w:szCs w:val="21"/>
                <w:highlight w:val="none"/>
              </w:rPr>
              <w:t>00</w:t>
            </w:r>
          </w:p>
        </w:tc>
        <w:tc>
          <w:tcPr>
            <w:tcW w:w="926"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17.371</w:t>
            </w:r>
          </w:p>
        </w:tc>
        <w:tc>
          <w:tcPr>
            <w:tcW w:w="927"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8.70</w:t>
            </w:r>
          </w:p>
        </w:tc>
        <w:tc>
          <w:tcPr>
            <w:tcW w:w="927"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0.30444</w:t>
            </w:r>
          </w:p>
        </w:tc>
        <w:tc>
          <w:tcPr>
            <w:tcW w:w="927"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3.00</w:t>
            </w:r>
          </w:p>
        </w:tc>
        <w:tc>
          <w:tcPr>
            <w:tcW w:w="9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17.2187</w:t>
            </w:r>
          </w:p>
        </w:tc>
        <w:tc>
          <w:tcPr>
            <w:tcW w:w="9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8.60</w:t>
            </w:r>
          </w:p>
        </w:tc>
        <w:tc>
          <w:tcPr>
            <w:tcW w:w="9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0.93492</w:t>
            </w:r>
          </w:p>
        </w:tc>
        <w:tc>
          <w:tcPr>
            <w:tcW w:w="9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9.30</w:t>
            </w:r>
          </w:p>
        </w:tc>
        <w:tc>
          <w:tcPr>
            <w:tcW w:w="9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5.7155</w:t>
            </w:r>
          </w:p>
        </w:tc>
        <w:tc>
          <w:tcPr>
            <w:tcW w:w="9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0.60</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37" w:type="dxa"/>
            <w:shd w:val="clear" w:color="auto" w:fill="auto"/>
            <w:noWrap/>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6</w:t>
            </w:r>
          </w:p>
        </w:tc>
        <w:tc>
          <w:tcPr>
            <w:tcW w:w="749" w:type="dxa"/>
            <w:shd w:val="clear" w:color="auto" w:fill="auto"/>
            <w:noWrap/>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highlight w:val="none"/>
                <w:lang w:val="en-US" w:eastAsia="zh-CN"/>
              </w:rPr>
              <w:t>204</w:t>
            </w:r>
          </w:p>
        </w:tc>
        <w:tc>
          <w:tcPr>
            <w:tcW w:w="926"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highlight w:val="none"/>
                <w:lang w:val="en-US" w:eastAsia="zh-CN"/>
              </w:rPr>
              <w:t>/</w:t>
            </w:r>
          </w:p>
        </w:tc>
        <w:tc>
          <w:tcPr>
            <w:tcW w:w="927"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lang w:val="en-US" w:eastAsia="zh-CN"/>
              </w:rPr>
              <w:t>/</w:t>
            </w:r>
          </w:p>
        </w:tc>
        <w:tc>
          <w:tcPr>
            <w:tcW w:w="927"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lang w:val="en-US" w:eastAsia="zh-CN"/>
              </w:rPr>
              <w:t>/</w:t>
            </w:r>
          </w:p>
        </w:tc>
        <w:tc>
          <w:tcPr>
            <w:tcW w:w="927"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lang w:val="en-US" w:eastAsia="zh-CN"/>
              </w:rPr>
              <w:t>/</w:t>
            </w:r>
          </w:p>
        </w:tc>
        <w:tc>
          <w:tcPr>
            <w:tcW w:w="9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17.4631</w:t>
            </w:r>
          </w:p>
        </w:tc>
        <w:tc>
          <w:tcPr>
            <w:tcW w:w="9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8.70</w:t>
            </w:r>
          </w:p>
        </w:tc>
        <w:tc>
          <w:tcPr>
            <w:tcW w:w="9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0.94819</w:t>
            </w:r>
          </w:p>
        </w:tc>
        <w:tc>
          <w:tcPr>
            <w:tcW w:w="9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9.50</w:t>
            </w:r>
          </w:p>
        </w:tc>
        <w:tc>
          <w:tcPr>
            <w:tcW w:w="9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lang w:val="en-US" w:eastAsia="zh-CN"/>
              </w:rPr>
              <w:t>/</w:t>
            </w:r>
          </w:p>
        </w:tc>
        <w:tc>
          <w:tcPr>
            <w:tcW w:w="9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lang w:val="en-US" w:eastAsia="zh-CN"/>
              </w:rPr>
              <w:t>/</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37" w:type="dxa"/>
            <w:shd w:val="clear" w:color="auto" w:fill="auto"/>
            <w:noWrap/>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7</w:t>
            </w:r>
          </w:p>
        </w:tc>
        <w:tc>
          <w:tcPr>
            <w:tcW w:w="749" w:type="dxa"/>
            <w:shd w:val="clear" w:color="auto" w:fill="auto"/>
            <w:noWrap/>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highlight w:val="none"/>
                <w:lang w:val="en-US" w:eastAsia="zh-CN"/>
              </w:rPr>
              <w:t>205</w:t>
            </w:r>
          </w:p>
        </w:tc>
        <w:tc>
          <w:tcPr>
            <w:tcW w:w="926"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18.85</w:t>
            </w:r>
          </w:p>
        </w:tc>
        <w:tc>
          <w:tcPr>
            <w:tcW w:w="927"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9.40</w:t>
            </w:r>
          </w:p>
        </w:tc>
        <w:tc>
          <w:tcPr>
            <w:tcW w:w="927"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0.33036</w:t>
            </w:r>
          </w:p>
        </w:tc>
        <w:tc>
          <w:tcPr>
            <w:tcW w:w="927"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3.30</w:t>
            </w:r>
          </w:p>
        </w:tc>
        <w:tc>
          <w:tcPr>
            <w:tcW w:w="9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lang w:val="en-US" w:eastAsia="zh-CN"/>
              </w:rPr>
              <w:t>/</w:t>
            </w:r>
          </w:p>
        </w:tc>
        <w:tc>
          <w:tcPr>
            <w:tcW w:w="9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lang w:val="en-US" w:eastAsia="zh-CN"/>
              </w:rPr>
              <w:t>/</w:t>
            </w:r>
          </w:p>
        </w:tc>
        <w:tc>
          <w:tcPr>
            <w:tcW w:w="9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lang w:val="en-US" w:eastAsia="zh-CN"/>
              </w:rPr>
              <w:t>/</w:t>
            </w:r>
          </w:p>
        </w:tc>
        <w:tc>
          <w:tcPr>
            <w:tcW w:w="9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lang w:val="en-US" w:eastAsia="zh-CN"/>
              </w:rPr>
              <w:t>/</w:t>
            </w:r>
          </w:p>
        </w:tc>
        <w:tc>
          <w:tcPr>
            <w:tcW w:w="9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lang w:val="en-US" w:eastAsia="zh-CN"/>
              </w:rPr>
              <w:t>/</w:t>
            </w:r>
          </w:p>
        </w:tc>
        <w:tc>
          <w:tcPr>
            <w:tcW w:w="9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lang w:val="en-US" w:eastAsia="zh-CN"/>
              </w:rPr>
              <w:t>/</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37" w:type="dxa"/>
            <w:shd w:val="clear" w:color="auto" w:fill="auto"/>
            <w:noWrap/>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8</w:t>
            </w:r>
          </w:p>
        </w:tc>
        <w:tc>
          <w:tcPr>
            <w:tcW w:w="749" w:type="dxa"/>
            <w:shd w:val="clear" w:color="auto" w:fill="auto"/>
            <w:noWrap/>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highlight w:val="none"/>
                <w:lang w:eastAsia="zh-CN"/>
              </w:rPr>
            </w:pPr>
            <w:r>
              <w:rPr>
                <w:rFonts w:hint="default" w:ascii="Arial" w:hAnsi="Arial" w:eastAsia="宋体" w:cs="Arial"/>
                <w:color w:val="auto"/>
                <w:sz w:val="21"/>
                <w:szCs w:val="21"/>
                <w:highlight w:val="none"/>
                <w:lang w:val="en-US" w:eastAsia="zh-CN"/>
              </w:rPr>
              <w:t>3</w:t>
            </w:r>
            <w:r>
              <w:rPr>
                <w:rFonts w:hint="default" w:ascii="Arial" w:hAnsi="Arial" w:eastAsia="宋体" w:cs="Arial"/>
                <w:color w:val="auto"/>
                <w:sz w:val="21"/>
                <w:szCs w:val="21"/>
                <w:highlight w:val="none"/>
              </w:rPr>
              <w:t>00</w:t>
            </w:r>
          </w:p>
        </w:tc>
        <w:tc>
          <w:tcPr>
            <w:tcW w:w="926"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12.4679</w:t>
            </w:r>
          </w:p>
        </w:tc>
        <w:tc>
          <w:tcPr>
            <w:tcW w:w="927"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6.20</w:t>
            </w:r>
          </w:p>
        </w:tc>
        <w:tc>
          <w:tcPr>
            <w:tcW w:w="927"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0.21851</w:t>
            </w:r>
          </w:p>
        </w:tc>
        <w:tc>
          <w:tcPr>
            <w:tcW w:w="927"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2.20</w:t>
            </w:r>
          </w:p>
        </w:tc>
        <w:tc>
          <w:tcPr>
            <w:tcW w:w="9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11.7255</w:t>
            </w:r>
          </w:p>
        </w:tc>
        <w:tc>
          <w:tcPr>
            <w:tcW w:w="9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5.90</w:t>
            </w:r>
          </w:p>
        </w:tc>
        <w:tc>
          <w:tcPr>
            <w:tcW w:w="9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0.63666</w:t>
            </w:r>
          </w:p>
        </w:tc>
        <w:tc>
          <w:tcPr>
            <w:tcW w:w="9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6.40</w:t>
            </w:r>
          </w:p>
        </w:tc>
        <w:tc>
          <w:tcPr>
            <w:tcW w:w="9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5.3942</w:t>
            </w:r>
          </w:p>
        </w:tc>
        <w:tc>
          <w:tcPr>
            <w:tcW w:w="9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0.60</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37" w:type="dxa"/>
            <w:shd w:val="clear" w:color="auto" w:fill="auto"/>
            <w:noWrap/>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9</w:t>
            </w:r>
          </w:p>
        </w:tc>
        <w:tc>
          <w:tcPr>
            <w:tcW w:w="749" w:type="dxa"/>
            <w:shd w:val="clear" w:color="auto" w:fill="auto"/>
            <w:noWrap/>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lang w:val="en-US" w:eastAsia="zh-CN"/>
              </w:rPr>
              <w:t>4</w:t>
            </w:r>
            <w:r>
              <w:rPr>
                <w:rFonts w:hint="default" w:ascii="Arial" w:hAnsi="Arial" w:eastAsia="宋体" w:cs="Arial"/>
                <w:color w:val="auto"/>
                <w:sz w:val="21"/>
                <w:szCs w:val="21"/>
                <w:highlight w:val="none"/>
              </w:rPr>
              <w:t>00</w:t>
            </w:r>
          </w:p>
        </w:tc>
        <w:tc>
          <w:tcPr>
            <w:tcW w:w="926"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9.98073</w:t>
            </w:r>
          </w:p>
        </w:tc>
        <w:tc>
          <w:tcPr>
            <w:tcW w:w="927"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5.00</w:t>
            </w:r>
          </w:p>
        </w:tc>
        <w:tc>
          <w:tcPr>
            <w:tcW w:w="927"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0.17492</w:t>
            </w:r>
          </w:p>
        </w:tc>
        <w:tc>
          <w:tcPr>
            <w:tcW w:w="927"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1.70</w:t>
            </w:r>
          </w:p>
        </w:tc>
        <w:tc>
          <w:tcPr>
            <w:tcW w:w="9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8.56384</w:t>
            </w:r>
          </w:p>
        </w:tc>
        <w:tc>
          <w:tcPr>
            <w:tcW w:w="9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4.30</w:t>
            </w:r>
          </w:p>
        </w:tc>
        <w:tc>
          <w:tcPr>
            <w:tcW w:w="9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0.46499</w:t>
            </w:r>
          </w:p>
        </w:tc>
        <w:tc>
          <w:tcPr>
            <w:tcW w:w="9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4.60</w:t>
            </w:r>
          </w:p>
        </w:tc>
        <w:tc>
          <w:tcPr>
            <w:tcW w:w="9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5.0481</w:t>
            </w:r>
          </w:p>
        </w:tc>
        <w:tc>
          <w:tcPr>
            <w:tcW w:w="9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0.60</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37" w:type="dxa"/>
            <w:shd w:val="clear" w:color="auto" w:fill="auto"/>
            <w:noWrap/>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10</w:t>
            </w:r>
          </w:p>
        </w:tc>
        <w:tc>
          <w:tcPr>
            <w:tcW w:w="749" w:type="dxa"/>
            <w:shd w:val="clear" w:color="auto" w:fill="auto"/>
            <w:noWrap/>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500</w:t>
            </w:r>
          </w:p>
        </w:tc>
        <w:tc>
          <w:tcPr>
            <w:tcW w:w="926"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8.67808</w:t>
            </w:r>
          </w:p>
        </w:tc>
        <w:tc>
          <w:tcPr>
            <w:tcW w:w="927"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4.30</w:t>
            </w:r>
          </w:p>
        </w:tc>
        <w:tc>
          <w:tcPr>
            <w:tcW w:w="927"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0.15209</w:t>
            </w:r>
          </w:p>
        </w:tc>
        <w:tc>
          <w:tcPr>
            <w:tcW w:w="927"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1.50</w:t>
            </w:r>
          </w:p>
        </w:tc>
        <w:tc>
          <w:tcPr>
            <w:tcW w:w="9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6.65858</w:t>
            </w:r>
          </w:p>
        </w:tc>
        <w:tc>
          <w:tcPr>
            <w:tcW w:w="9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3.30</w:t>
            </w:r>
          </w:p>
        </w:tc>
        <w:tc>
          <w:tcPr>
            <w:tcW w:w="9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0.36154</w:t>
            </w:r>
          </w:p>
        </w:tc>
        <w:tc>
          <w:tcPr>
            <w:tcW w:w="9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3.60</w:t>
            </w:r>
          </w:p>
        </w:tc>
        <w:tc>
          <w:tcPr>
            <w:tcW w:w="9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5.2614</w:t>
            </w:r>
          </w:p>
        </w:tc>
        <w:tc>
          <w:tcPr>
            <w:tcW w:w="9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0.60</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37" w:type="dxa"/>
            <w:shd w:val="clear" w:color="auto" w:fill="auto"/>
            <w:noWrap/>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11</w:t>
            </w:r>
          </w:p>
        </w:tc>
        <w:tc>
          <w:tcPr>
            <w:tcW w:w="749" w:type="dxa"/>
            <w:shd w:val="clear" w:color="auto" w:fill="auto"/>
            <w:noWrap/>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lang w:val="en-US" w:eastAsia="zh-CN"/>
              </w:rPr>
              <w:t>6</w:t>
            </w:r>
            <w:r>
              <w:rPr>
                <w:rFonts w:hint="default" w:ascii="Arial" w:hAnsi="Arial" w:eastAsia="宋体" w:cs="Arial"/>
                <w:color w:val="auto"/>
                <w:sz w:val="21"/>
                <w:szCs w:val="21"/>
                <w:highlight w:val="none"/>
              </w:rPr>
              <w:t>00</w:t>
            </w:r>
          </w:p>
        </w:tc>
        <w:tc>
          <w:tcPr>
            <w:tcW w:w="926"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8.14743</w:t>
            </w:r>
          </w:p>
        </w:tc>
        <w:tc>
          <w:tcPr>
            <w:tcW w:w="927"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4.10</w:t>
            </w:r>
          </w:p>
        </w:tc>
        <w:tc>
          <w:tcPr>
            <w:tcW w:w="927"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0.14279</w:t>
            </w:r>
          </w:p>
        </w:tc>
        <w:tc>
          <w:tcPr>
            <w:tcW w:w="927"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1.40</w:t>
            </w:r>
          </w:p>
        </w:tc>
        <w:tc>
          <w:tcPr>
            <w:tcW w:w="9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5.15812</w:t>
            </w:r>
          </w:p>
        </w:tc>
        <w:tc>
          <w:tcPr>
            <w:tcW w:w="9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2.60</w:t>
            </w:r>
          </w:p>
        </w:tc>
        <w:tc>
          <w:tcPr>
            <w:tcW w:w="9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0.28007</w:t>
            </w:r>
          </w:p>
        </w:tc>
        <w:tc>
          <w:tcPr>
            <w:tcW w:w="9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2.80</w:t>
            </w:r>
          </w:p>
        </w:tc>
        <w:tc>
          <w:tcPr>
            <w:tcW w:w="9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5.0792</w:t>
            </w:r>
          </w:p>
        </w:tc>
        <w:tc>
          <w:tcPr>
            <w:tcW w:w="9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0.60</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37" w:type="dxa"/>
            <w:shd w:val="clear" w:color="auto" w:fill="auto"/>
            <w:noWrap/>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12</w:t>
            </w:r>
          </w:p>
        </w:tc>
        <w:tc>
          <w:tcPr>
            <w:tcW w:w="749" w:type="dxa"/>
            <w:shd w:val="clear" w:color="auto" w:fill="auto"/>
            <w:noWrap/>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700</w:t>
            </w:r>
          </w:p>
        </w:tc>
        <w:tc>
          <w:tcPr>
            <w:tcW w:w="926"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7.98538</w:t>
            </w:r>
          </w:p>
        </w:tc>
        <w:tc>
          <w:tcPr>
            <w:tcW w:w="927"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4.00</w:t>
            </w:r>
          </w:p>
        </w:tc>
        <w:tc>
          <w:tcPr>
            <w:tcW w:w="927"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0.13995</w:t>
            </w:r>
          </w:p>
        </w:tc>
        <w:tc>
          <w:tcPr>
            <w:tcW w:w="927"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1.40</w:t>
            </w:r>
          </w:p>
        </w:tc>
        <w:tc>
          <w:tcPr>
            <w:tcW w:w="9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4.61187</w:t>
            </w:r>
          </w:p>
        </w:tc>
        <w:tc>
          <w:tcPr>
            <w:tcW w:w="9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2.30</w:t>
            </w:r>
          </w:p>
        </w:tc>
        <w:tc>
          <w:tcPr>
            <w:tcW w:w="9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0.25041</w:t>
            </w:r>
          </w:p>
        </w:tc>
        <w:tc>
          <w:tcPr>
            <w:tcW w:w="9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2.50</w:t>
            </w:r>
          </w:p>
        </w:tc>
        <w:tc>
          <w:tcPr>
            <w:tcW w:w="9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4.7909</w:t>
            </w:r>
          </w:p>
        </w:tc>
        <w:tc>
          <w:tcPr>
            <w:tcW w:w="9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0.50</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37" w:type="dxa"/>
            <w:shd w:val="clear" w:color="auto" w:fill="auto"/>
            <w:noWrap/>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highlight w:val="none"/>
                <w:lang w:val="en-US" w:eastAsia="zh-CN"/>
              </w:rPr>
              <w:t>13</w:t>
            </w:r>
          </w:p>
        </w:tc>
        <w:tc>
          <w:tcPr>
            <w:tcW w:w="749" w:type="dxa"/>
            <w:shd w:val="clear" w:color="auto" w:fill="auto"/>
            <w:noWrap/>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lang w:val="en-US" w:eastAsia="zh-CN"/>
              </w:rPr>
              <w:t>8</w:t>
            </w:r>
            <w:r>
              <w:rPr>
                <w:rFonts w:hint="default" w:ascii="Arial" w:hAnsi="Arial" w:eastAsia="宋体" w:cs="Arial"/>
                <w:color w:val="auto"/>
                <w:sz w:val="21"/>
                <w:szCs w:val="21"/>
                <w:highlight w:val="none"/>
              </w:rPr>
              <w:t>00</w:t>
            </w:r>
          </w:p>
        </w:tc>
        <w:tc>
          <w:tcPr>
            <w:tcW w:w="926"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7.63504</w:t>
            </w:r>
          </w:p>
        </w:tc>
        <w:tc>
          <w:tcPr>
            <w:tcW w:w="927"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3.80</w:t>
            </w:r>
          </w:p>
        </w:tc>
        <w:tc>
          <w:tcPr>
            <w:tcW w:w="927"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0.13381</w:t>
            </w:r>
          </w:p>
        </w:tc>
        <w:tc>
          <w:tcPr>
            <w:tcW w:w="927"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1.30</w:t>
            </w:r>
          </w:p>
        </w:tc>
        <w:tc>
          <w:tcPr>
            <w:tcW w:w="9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3.99599</w:t>
            </w:r>
          </w:p>
        </w:tc>
        <w:tc>
          <w:tcPr>
            <w:tcW w:w="9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2.00</w:t>
            </w:r>
          </w:p>
        </w:tc>
        <w:tc>
          <w:tcPr>
            <w:tcW w:w="9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0.21697</w:t>
            </w:r>
          </w:p>
        </w:tc>
        <w:tc>
          <w:tcPr>
            <w:tcW w:w="9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2.20</w:t>
            </w:r>
          </w:p>
        </w:tc>
        <w:tc>
          <w:tcPr>
            <w:tcW w:w="9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4.4713</w:t>
            </w:r>
          </w:p>
        </w:tc>
        <w:tc>
          <w:tcPr>
            <w:tcW w:w="9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0.50</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37" w:type="dxa"/>
            <w:shd w:val="clear" w:color="auto" w:fill="auto"/>
            <w:noWrap/>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highlight w:val="none"/>
                <w:lang w:val="en-US" w:eastAsia="zh-CN"/>
              </w:rPr>
              <w:t>14</w:t>
            </w:r>
          </w:p>
        </w:tc>
        <w:tc>
          <w:tcPr>
            <w:tcW w:w="749" w:type="dxa"/>
            <w:shd w:val="clear" w:color="auto" w:fill="auto"/>
            <w:noWrap/>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highlight w:val="none"/>
                <w:lang w:val="en-US" w:eastAsia="zh-CN"/>
              </w:rPr>
              <w:t>900</w:t>
            </w:r>
          </w:p>
        </w:tc>
        <w:tc>
          <w:tcPr>
            <w:tcW w:w="926"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7.98881</w:t>
            </w:r>
          </w:p>
        </w:tc>
        <w:tc>
          <w:tcPr>
            <w:tcW w:w="927"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4.00</w:t>
            </w:r>
          </w:p>
        </w:tc>
        <w:tc>
          <w:tcPr>
            <w:tcW w:w="927"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0.14001</w:t>
            </w:r>
          </w:p>
        </w:tc>
        <w:tc>
          <w:tcPr>
            <w:tcW w:w="927"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1.40</w:t>
            </w:r>
          </w:p>
        </w:tc>
        <w:tc>
          <w:tcPr>
            <w:tcW w:w="9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3.54035</w:t>
            </w:r>
          </w:p>
        </w:tc>
        <w:tc>
          <w:tcPr>
            <w:tcW w:w="9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1.80</w:t>
            </w:r>
          </w:p>
        </w:tc>
        <w:tc>
          <w:tcPr>
            <w:tcW w:w="9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0.19223</w:t>
            </w:r>
          </w:p>
        </w:tc>
        <w:tc>
          <w:tcPr>
            <w:tcW w:w="9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1.90</w:t>
            </w:r>
          </w:p>
        </w:tc>
        <w:tc>
          <w:tcPr>
            <w:tcW w:w="9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4.1609</w:t>
            </w:r>
          </w:p>
        </w:tc>
        <w:tc>
          <w:tcPr>
            <w:tcW w:w="9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0.50</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37" w:type="dxa"/>
            <w:shd w:val="clear" w:color="auto" w:fill="auto"/>
            <w:noWrap/>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highlight w:val="none"/>
                <w:lang w:val="en-US" w:eastAsia="zh-CN"/>
              </w:rPr>
              <w:t>15</w:t>
            </w:r>
          </w:p>
        </w:tc>
        <w:tc>
          <w:tcPr>
            <w:tcW w:w="749" w:type="dxa"/>
            <w:shd w:val="clear" w:color="auto" w:fill="auto"/>
            <w:noWrap/>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highlight w:val="none"/>
                <w:lang w:val="en-US" w:eastAsia="zh-CN"/>
              </w:rPr>
              <w:t>1000</w:t>
            </w:r>
          </w:p>
        </w:tc>
        <w:tc>
          <w:tcPr>
            <w:tcW w:w="926"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7.42449</w:t>
            </w:r>
          </w:p>
        </w:tc>
        <w:tc>
          <w:tcPr>
            <w:tcW w:w="927"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3.70</w:t>
            </w:r>
          </w:p>
        </w:tc>
        <w:tc>
          <w:tcPr>
            <w:tcW w:w="927"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0.13012</w:t>
            </w:r>
          </w:p>
        </w:tc>
        <w:tc>
          <w:tcPr>
            <w:tcW w:w="927"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1.30</w:t>
            </w:r>
          </w:p>
        </w:tc>
        <w:tc>
          <w:tcPr>
            <w:tcW w:w="9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3.18729</w:t>
            </w:r>
          </w:p>
        </w:tc>
        <w:tc>
          <w:tcPr>
            <w:tcW w:w="9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1.60</w:t>
            </w:r>
          </w:p>
        </w:tc>
        <w:tc>
          <w:tcPr>
            <w:tcW w:w="9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0.17306</w:t>
            </w:r>
          </w:p>
        </w:tc>
        <w:tc>
          <w:tcPr>
            <w:tcW w:w="9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1.70</w:t>
            </w:r>
          </w:p>
        </w:tc>
        <w:tc>
          <w:tcPr>
            <w:tcW w:w="9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3.8707</w:t>
            </w:r>
          </w:p>
        </w:tc>
        <w:tc>
          <w:tcPr>
            <w:tcW w:w="9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0.40</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37" w:type="dxa"/>
            <w:shd w:val="clear" w:color="auto" w:fill="auto"/>
            <w:noWrap/>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highlight w:val="none"/>
                <w:lang w:val="en-US" w:eastAsia="zh-CN"/>
              </w:rPr>
              <w:t>1617</w:t>
            </w:r>
          </w:p>
        </w:tc>
        <w:tc>
          <w:tcPr>
            <w:tcW w:w="749" w:type="dxa"/>
            <w:shd w:val="clear" w:color="auto" w:fill="auto"/>
            <w:noWrap/>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highlight w:val="none"/>
                <w:lang w:val="en-US" w:eastAsia="zh-CN"/>
              </w:rPr>
              <w:t>2000</w:t>
            </w:r>
          </w:p>
        </w:tc>
        <w:tc>
          <w:tcPr>
            <w:tcW w:w="926"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5.31126</w:t>
            </w:r>
          </w:p>
        </w:tc>
        <w:tc>
          <w:tcPr>
            <w:tcW w:w="927"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2.70</w:t>
            </w:r>
          </w:p>
        </w:tc>
        <w:tc>
          <w:tcPr>
            <w:tcW w:w="927"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0.093084</w:t>
            </w:r>
          </w:p>
        </w:tc>
        <w:tc>
          <w:tcPr>
            <w:tcW w:w="927"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0.90</w:t>
            </w:r>
          </w:p>
        </w:tc>
        <w:tc>
          <w:tcPr>
            <w:tcW w:w="9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1.83329</w:t>
            </w:r>
          </w:p>
        </w:tc>
        <w:tc>
          <w:tcPr>
            <w:tcW w:w="9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0.90</w:t>
            </w:r>
          </w:p>
        </w:tc>
        <w:tc>
          <w:tcPr>
            <w:tcW w:w="9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0.099542</w:t>
            </w:r>
          </w:p>
        </w:tc>
        <w:tc>
          <w:tcPr>
            <w:tcW w:w="9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1.00</w:t>
            </w:r>
          </w:p>
        </w:tc>
        <w:tc>
          <w:tcPr>
            <w:tcW w:w="9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2.9385</w:t>
            </w:r>
          </w:p>
        </w:tc>
        <w:tc>
          <w:tcPr>
            <w:tcW w:w="9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0.30</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37" w:type="dxa"/>
            <w:shd w:val="clear" w:color="auto" w:fill="auto"/>
            <w:noWrap/>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highlight w:val="none"/>
                <w:lang w:eastAsia="zh-CN"/>
              </w:rPr>
            </w:pPr>
            <w:r>
              <w:rPr>
                <w:rFonts w:hint="default" w:ascii="Arial" w:hAnsi="Arial" w:eastAsia="宋体" w:cs="Arial"/>
                <w:color w:val="auto"/>
                <w:sz w:val="21"/>
                <w:szCs w:val="21"/>
                <w:highlight w:val="none"/>
              </w:rPr>
              <w:t>1</w:t>
            </w:r>
            <w:r>
              <w:rPr>
                <w:rFonts w:hint="default" w:ascii="Arial" w:hAnsi="Arial" w:eastAsia="宋体" w:cs="Arial"/>
                <w:color w:val="auto"/>
                <w:sz w:val="21"/>
                <w:szCs w:val="21"/>
                <w:highlight w:val="none"/>
                <w:lang w:val="en-US" w:eastAsia="zh-CN"/>
              </w:rPr>
              <w:t>8</w:t>
            </w:r>
          </w:p>
        </w:tc>
        <w:tc>
          <w:tcPr>
            <w:tcW w:w="749" w:type="dxa"/>
            <w:shd w:val="clear" w:color="auto" w:fill="auto"/>
            <w:noWrap/>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highlight w:val="none"/>
              </w:rPr>
              <w:t>2</w:t>
            </w:r>
            <w:r>
              <w:rPr>
                <w:rFonts w:hint="default" w:ascii="Arial" w:hAnsi="Arial" w:eastAsia="宋体" w:cs="Arial"/>
                <w:color w:val="auto"/>
                <w:sz w:val="21"/>
                <w:szCs w:val="21"/>
                <w:highlight w:val="none"/>
                <w:lang w:val="en-US" w:eastAsia="zh-CN"/>
              </w:rPr>
              <w:t>500</w:t>
            </w:r>
          </w:p>
        </w:tc>
        <w:tc>
          <w:tcPr>
            <w:tcW w:w="926"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4.38571</w:t>
            </w:r>
          </w:p>
        </w:tc>
        <w:tc>
          <w:tcPr>
            <w:tcW w:w="927"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2.20</w:t>
            </w:r>
          </w:p>
        </w:tc>
        <w:tc>
          <w:tcPr>
            <w:tcW w:w="927"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0.076863</w:t>
            </w:r>
          </w:p>
        </w:tc>
        <w:tc>
          <w:tcPr>
            <w:tcW w:w="927"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0.80</w:t>
            </w:r>
          </w:p>
        </w:tc>
        <w:tc>
          <w:tcPr>
            <w:tcW w:w="9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1.50294</w:t>
            </w:r>
          </w:p>
        </w:tc>
        <w:tc>
          <w:tcPr>
            <w:tcW w:w="9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0.80</w:t>
            </w:r>
          </w:p>
        </w:tc>
        <w:tc>
          <w:tcPr>
            <w:tcW w:w="9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0.081605</w:t>
            </w:r>
          </w:p>
        </w:tc>
        <w:tc>
          <w:tcPr>
            <w:tcW w:w="9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0.80</w:t>
            </w:r>
          </w:p>
        </w:tc>
        <w:tc>
          <w:tcPr>
            <w:tcW w:w="9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2.5103</w:t>
            </w:r>
          </w:p>
        </w:tc>
        <w:tc>
          <w:tcPr>
            <w:tcW w:w="9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0.30</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186" w:type="dxa"/>
            <w:gridSpan w:val="2"/>
            <w:shd w:val="clear" w:color="auto" w:fill="auto"/>
            <w:noWrap/>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highlight w:val="none"/>
              </w:rPr>
            </w:pPr>
            <w:r>
              <w:rPr>
                <w:rFonts w:hint="default" w:ascii="Arial" w:hAnsi="Arial" w:eastAsia="宋体" w:cs="Arial"/>
                <w:color w:val="auto"/>
                <w:kern w:val="0"/>
                <w:sz w:val="21"/>
                <w:szCs w:val="21"/>
                <w:highlight w:val="none"/>
                <w:lang w:bidi="ar"/>
              </w:rPr>
              <w:t>下风向最大质量浓度及占标率%</w:t>
            </w:r>
          </w:p>
        </w:tc>
        <w:tc>
          <w:tcPr>
            <w:tcW w:w="926"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18.85</w:t>
            </w:r>
          </w:p>
        </w:tc>
        <w:tc>
          <w:tcPr>
            <w:tcW w:w="927"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9.40</w:t>
            </w:r>
          </w:p>
        </w:tc>
        <w:tc>
          <w:tcPr>
            <w:tcW w:w="927"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0.33036</w:t>
            </w:r>
          </w:p>
        </w:tc>
        <w:tc>
          <w:tcPr>
            <w:tcW w:w="927"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3.30</w:t>
            </w:r>
          </w:p>
        </w:tc>
        <w:tc>
          <w:tcPr>
            <w:tcW w:w="9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17.4631</w:t>
            </w:r>
          </w:p>
        </w:tc>
        <w:tc>
          <w:tcPr>
            <w:tcW w:w="9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8.70</w:t>
            </w:r>
          </w:p>
        </w:tc>
        <w:tc>
          <w:tcPr>
            <w:tcW w:w="9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0.94819</w:t>
            </w:r>
          </w:p>
        </w:tc>
        <w:tc>
          <w:tcPr>
            <w:tcW w:w="9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9.50</w:t>
            </w:r>
          </w:p>
        </w:tc>
        <w:tc>
          <w:tcPr>
            <w:tcW w:w="9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6.5982</w:t>
            </w:r>
          </w:p>
        </w:tc>
        <w:tc>
          <w:tcPr>
            <w:tcW w:w="9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0.70</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186" w:type="dxa"/>
            <w:gridSpan w:val="2"/>
            <w:shd w:val="clear" w:color="auto" w:fill="auto"/>
            <w:noWrap/>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0"/>
                <w:sz w:val="21"/>
                <w:szCs w:val="21"/>
                <w:highlight w:val="none"/>
                <w:lang w:bidi="ar"/>
              </w:rPr>
            </w:pPr>
            <w:r>
              <w:rPr>
                <w:rFonts w:hint="default" w:ascii="Arial" w:hAnsi="Arial" w:eastAsia="宋体" w:cs="Arial"/>
                <w:color w:val="auto"/>
                <w:kern w:val="0"/>
                <w:sz w:val="21"/>
                <w:szCs w:val="21"/>
                <w:highlight w:val="none"/>
                <w:lang w:bidi="ar"/>
              </w:rPr>
              <w:t>下风向最大浓度落地距离</w:t>
            </w:r>
          </w:p>
        </w:tc>
        <w:tc>
          <w:tcPr>
            <w:tcW w:w="3707" w:type="dxa"/>
            <w:gridSpan w:val="4"/>
            <w:shd w:val="clear" w:color="auto" w:fill="auto"/>
            <w:noWrap/>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b/>
                <w:i/>
                <w:color w:val="auto"/>
                <w:sz w:val="21"/>
                <w:szCs w:val="21"/>
                <w:highlight w:val="none"/>
                <w:lang w:val="en-US" w:eastAsia="zh-CN"/>
              </w:rPr>
            </w:pPr>
            <w:r>
              <w:rPr>
                <w:rFonts w:hint="default" w:ascii="Arial" w:hAnsi="Arial" w:eastAsia="宋体" w:cs="Arial"/>
                <w:color w:val="auto"/>
                <w:sz w:val="21"/>
                <w:szCs w:val="21"/>
                <w:highlight w:val="none"/>
                <w:lang w:val="en-US" w:eastAsia="zh-CN"/>
              </w:rPr>
              <w:t>205</w:t>
            </w:r>
          </w:p>
        </w:tc>
        <w:tc>
          <w:tcPr>
            <w:tcW w:w="3712" w:type="dxa"/>
            <w:gridSpan w:val="4"/>
            <w:shd w:val="clear" w:color="auto" w:fill="auto"/>
            <w:noWrap/>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b/>
                <w:i/>
                <w:color w:val="auto"/>
                <w:sz w:val="21"/>
                <w:szCs w:val="21"/>
                <w:highlight w:val="none"/>
                <w:lang w:val="en-US" w:eastAsia="zh-CN"/>
              </w:rPr>
            </w:pPr>
            <w:r>
              <w:rPr>
                <w:rFonts w:hint="default" w:ascii="Arial" w:hAnsi="Arial" w:eastAsia="宋体" w:cs="Arial"/>
                <w:color w:val="auto"/>
                <w:sz w:val="21"/>
                <w:szCs w:val="21"/>
                <w:highlight w:val="none"/>
                <w:lang w:val="en-US" w:eastAsia="zh-CN"/>
              </w:rPr>
              <w:t>204</w:t>
            </w:r>
          </w:p>
        </w:tc>
        <w:tc>
          <w:tcPr>
            <w:tcW w:w="1856" w:type="dxa"/>
            <w:gridSpan w:val="2"/>
            <w:shd w:val="clear" w:color="auto" w:fill="auto"/>
            <w:noWrap/>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b/>
                <w:i/>
                <w:color w:val="auto"/>
                <w:sz w:val="21"/>
                <w:szCs w:val="21"/>
                <w:highlight w:val="none"/>
                <w:lang w:val="en-US" w:eastAsia="zh-CN"/>
              </w:rPr>
            </w:pPr>
            <w:r>
              <w:rPr>
                <w:rFonts w:hint="default" w:ascii="Arial" w:hAnsi="Arial" w:eastAsia="宋体" w:cs="Arial"/>
                <w:b/>
                <w:i/>
                <w:color w:val="auto"/>
                <w:sz w:val="21"/>
                <w:szCs w:val="21"/>
                <w:highlight w:val="none"/>
                <w:lang w:val="en-US" w:eastAsia="zh-CN"/>
              </w:rPr>
              <w:t>140</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186" w:type="dxa"/>
            <w:gridSpan w:val="2"/>
            <w:shd w:val="clear" w:color="auto" w:fill="auto"/>
            <w:noWrap/>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D10%最远距离/m</w:t>
            </w:r>
          </w:p>
        </w:tc>
        <w:tc>
          <w:tcPr>
            <w:tcW w:w="926" w:type="dxa"/>
            <w:shd w:val="clear" w:color="auto" w:fill="auto"/>
            <w:noWrap/>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0</w:t>
            </w:r>
          </w:p>
        </w:tc>
        <w:tc>
          <w:tcPr>
            <w:tcW w:w="927" w:type="dxa"/>
            <w:shd w:val="clear" w:color="auto" w:fill="auto"/>
            <w:noWrap/>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0</w:t>
            </w:r>
          </w:p>
        </w:tc>
        <w:tc>
          <w:tcPr>
            <w:tcW w:w="927" w:type="dxa"/>
            <w:shd w:val="clear" w:color="auto" w:fill="auto"/>
            <w:noWrap/>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0</w:t>
            </w:r>
          </w:p>
        </w:tc>
        <w:tc>
          <w:tcPr>
            <w:tcW w:w="927" w:type="dxa"/>
            <w:shd w:val="clear" w:color="auto" w:fill="auto"/>
            <w:noWrap/>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0</w:t>
            </w:r>
          </w:p>
        </w:tc>
        <w:tc>
          <w:tcPr>
            <w:tcW w:w="9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0</w:t>
            </w:r>
          </w:p>
        </w:tc>
        <w:tc>
          <w:tcPr>
            <w:tcW w:w="9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0</w:t>
            </w:r>
          </w:p>
        </w:tc>
        <w:tc>
          <w:tcPr>
            <w:tcW w:w="9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0</w:t>
            </w:r>
          </w:p>
        </w:tc>
        <w:tc>
          <w:tcPr>
            <w:tcW w:w="928"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0</w:t>
            </w:r>
          </w:p>
        </w:tc>
        <w:tc>
          <w:tcPr>
            <w:tcW w:w="928" w:type="dxa"/>
            <w:shd w:val="clear" w:color="auto" w:fill="auto"/>
            <w:noWrap/>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0</w:t>
            </w:r>
          </w:p>
        </w:tc>
        <w:tc>
          <w:tcPr>
            <w:tcW w:w="928" w:type="dxa"/>
            <w:shd w:val="clear" w:color="auto" w:fill="auto"/>
            <w:noWrap/>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0</w:t>
            </w:r>
          </w:p>
        </w:tc>
      </w:tr>
    </w:tbl>
    <w:p>
      <w:pPr>
        <w:ind w:firstLine="480"/>
        <w:rPr>
          <w:rFonts w:hint="default" w:ascii="Arial" w:hAnsi="Arial" w:eastAsia="宋体" w:cs="Arial"/>
          <w:color w:val="auto"/>
          <w:highlight w:val="none"/>
        </w:rPr>
        <w:sectPr>
          <w:pgSz w:w="16838" w:h="11906" w:orient="landscape"/>
          <w:pgMar w:top="1701" w:right="1304" w:bottom="1418" w:left="1134" w:header="851" w:footer="680" w:gutter="0"/>
          <w:pgBorders>
            <w:top w:val="none" w:sz="0" w:space="0"/>
            <w:left w:val="none" w:sz="0" w:space="0"/>
            <w:bottom w:val="none" w:sz="0" w:space="0"/>
            <w:right w:val="none" w:sz="0" w:space="0"/>
          </w:pgBorders>
          <w:pgNumType w:fmt="numberInDash"/>
          <w:cols w:space="720" w:num="1"/>
          <w:docGrid w:linePitch="326" w:charSpace="0"/>
        </w:sectPr>
      </w:pPr>
      <w:r>
        <w:rPr>
          <w:rFonts w:hint="default" w:ascii="Arial" w:hAnsi="Arial" w:eastAsia="宋体" w:cs="Arial"/>
          <w:color w:val="auto"/>
          <w:highlight w:val="none"/>
        </w:rPr>
        <w:t>本次评价大气环境为二级评价，根据《环境影响评价技术导则 大气环境》（HJ2.2-2018），二级评价项目不进行进一步预测与评价，本次评价对污染物排放量进行核算。</w:t>
      </w:r>
    </w:p>
    <w:p>
      <w:pPr>
        <w:pStyle w:val="7"/>
        <w:rPr>
          <w:rFonts w:hint="default" w:ascii="Arial" w:hAnsi="Arial" w:eastAsia="宋体" w:cs="Arial"/>
          <w:color w:val="auto"/>
          <w:highlight w:val="none"/>
        </w:rPr>
      </w:pPr>
      <w:r>
        <w:rPr>
          <w:rFonts w:hint="default" w:ascii="Arial" w:hAnsi="Arial" w:eastAsia="宋体" w:cs="Arial"/>
          <w:color w:val="auto"/>
          <w:highlight w:val="none"/>
        </w:rPr>
        <w:t>5.2.2.</w:t>
      </w:r>
      <w:r>
        <w:rPr>
          <w:rFonts w:hint="default" w:ascii="Arial" w:hAnsi="Arial" w:eastAsia="宋体" w:cs="Arial"/>
          <w:color w:val="auto"/>
          <w:highlight w:val="none"/>
          <w:lang w:val="en-US" w:eastAsia="zh-CN"/>
        </w:rPr>
        <w:t>2</w:t>
      </w:r>
      <w:r>
        <w:rPr>
          <w:rFonts w:hint="default" w:ascii="Arial" w:hAnsi="Arial" w:eastAsia="宋体" w:cs="Arial"/>
          <w:color w:val="auto"/>
          <w:highlight w:val="none"/>
        </w:rPr>
        <w:t>污染物排放量核算</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项目无有组织排口，本次评价核算无组织排放量，项目无组织排放量见下表。</w:t>
      </w:r>
    </w:p>
    <w:p>
      <w:pPr>
        <w:keepNext/>
        <w:keepLines/>
        <w:pageBreakBefore w:val="0"/>
        <w:widowControl w:val="0"/>
        <w:kinsoku/>
        <w:wordWrap/>
        <w:overflowPunct/>
        <w:topLinePunct/>
        <w:autoSpaceDE w:val="0"/>
        <w:autoSpaceDN/>
        <w:bidi w:val="0"/>
        <w:adjustRightInd/>
        <w:snapToGrid/>
        <w:ind w:firstLine="0" w:firstLineChars="0"/>
        <w:jc w:val="center"/>
        <w:textAlignment w:val="auto"/>
        <w:outlineLvl w:val="4"/>
        <w:rPr>
          <w:rFonts w:hint="default" w:ascii="Arial" w:hAnsi="Arial" w:eastAsia="宋体" w:cs="Arial"/>
          <w:b/>
          <w:bCs/>
          <w:color w:val="auto"/>
          <w:szCs w:val="28"/>
          <w:highlight w:val="none"/>
        </w:rPr>
      </w:pPr>
      <w:r>
        <w:rPr>
          <w:rFonts w:hint="default" w:ascii="Arial" w:hAnsi="Arial" w:eastAsia="宋体" w:cs="Arial"/>
          <w:b/>
          <w:bCs/>
          <w:color w:val="auto"/>
          <w:szCs w:val="28"/>
          <w:highlight w:val="none"/>
        </w:rPr>
        <w:t>表5.2-</w:t>
      </w:r>
      <w:r>
        <w:rPr>
          <w:rFonts w:hint="default" w:ascii="Arial" w:hAnsi="Arial" w:eastAsia="宋体" w:cs="Arial"/>
          <w:b/>
          <w:bCs/>
          <w:color w:val="auto"/>
          <w:szCs w:val="28"/>
          <w:highlight w:val="none"/>
          <w:lang w:val="en-US" w:eastAsia="zh-CN"/>
        </w:rPr>
        <w:t>7</w:t>
      </w:r>
      <w:r>
        <w:rPr>
          <w:rFonts w:hint="default" w:ascii="Arial" w:hAnsi="Arial" w:eastAsia="宋体" w:cs="Arial"/>
          <w:b/>
          <w:bCs/>
          <w:color w:val="auto"/>
          <w:szCs w:val="28"/>
          <w:highlight w:val="none"/>
        </w:rPr>
        <w:t xml:space="preserve">    大气污染物无组织排放量核算表</w:t>
      </w:r>
    </w:p>
    <w:tbl>
      <w:tblPr>
        <w:tblStyle w:val="39"/>
        <w:tblW w:w="9003" w:type="dxa"/>
        <w:tblInd w:w="0" w:type="dxa"/>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333"/>
        <w:gridCol w:w="637"/>
        <w:gridCol w:w="105"/>
        <w:gridCol w:w="627"/>
        <w:gridCol w:w="825"/>
        <w:gridCol w:w="3318"/>
        <w:gridCol w:w="1483"/>
        <w:gridCol w:w="731"/>
        <w:gridCol w:w="944"/>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333" w:type="dxa"/>
            <w:vMerge w:val="restart"/>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序号</w:t>
            </w:r>
          </w:p>
        </w:tc>
        <w:tc>
          <w:tcPr>
            <w:tcW w:w="637" w:type="dxa"/>
            <w:vMerge w:val="restart"/>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排放口编号</w:t>
            </w:r>
          </w:p>
        </w:tc>
        <w:tc>
          <w:tcPr>
            <w:tcW w:w="732" w:type="dxa"/>
            <w:gridSpan w:val="2"/>
            <w:vMerge w:val="restart"/>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产污环节</w:t>
            </w:r>
          </w:p>
        </w:tc>
        <w:tc>
          <w:tcPr>
            <w:tcW w:w="825" w:type="dxa"/>
            <w:vMerge w:val="restart"/>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污染物</w:t>
            </w:r>
          </w:p>
        </w:tc>
        <w:tc>
          <w:tcPr>
            <w:tcW w:w="3318" w:type="dxa"/>
            <w:vMerge w:val="restart"/>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主要污染</w:t>
            </w:r>
          </w:p>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防治措施</w:t>
            </w:r>
          </w:p>
        </w:tc>
        <w:tc>
          <w:tcPr>
            <w:tcW w:w="2214" w:type="dxa"/>
            <w:gridSpan w:val="2"/>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国家或地方污染物排放标准</w:t>
            </w:r>
          </w:p>
        </w:tc>
        <w:tc>
          <w:tcPr>
            <w:tcW w:w="944" w:type="dxa"/>
            <w:vMerge w:val="restart"/>
            <w:shd w:val="clear" w:color="auto" w:fill="auto"/>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年排放量</w:t>
            </w:r>
          </w:p>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（t/a）</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333" w:type="dxa"/>
            <w:vMerge w:val="continue"/>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sz w:val="21"/>
                <w:szCs w:val="21"/>
                <w:highlight w:val="none"/>
              </w:rPr>
            </w:pPr>
          </w:p>
        </w:tc>
        <w:tc>
          <w:tcPr>
            <w:tcW w:w="637" w:type="dxa"/>
            <w:vMerge w:val="continue"/>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sz w:val="21"/>
                <w:szCs w:val="21"/>
                <w:highlight w:val="none"/>
              </w:rPr>
            </w:pPr>
          </w:p>
        </w:tc>
        <w:tc>
          <w:tcPr>
            <w:tcW w:w="732" w:type="dxa"/>
            <w:gridSpan w:val="2"/>
            <w:vMerge w:val="continue"/>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sz w:val="21"/>
                <w:szCs w:val="21"/>
                <w:highlight w:val="none"/>
              </w:rPr>
            </w:pPr>
          </w:p>
        </w:tc>
        <w:tc>
          <w:tcPr>
            <w:tcW w:w="825" w:type="dxa"/>
            <w:vMerge w:val="continue"/>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sz w:val="21"/>
                <w:szCs w:val="21"/>
                <w:highlight w:val="none"/>
              </w:rPr>
            </w:pPr>
          </w:p>
        </w:tc>
        <w:tc>
          <w:tcPr>
            <w:tcW w:w="3318" w:type="dxa"/>
            <w:vMerge w:val="continue"/>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sz w:val="21"/>
                <w:szCs w:val="21"/>
                <w:highlight w:val="none"/>
              </w:rPr>
            </w:pPr>
          </w:p>
        </w:tc>
        <w:tc>
          <w:tcPr>
            <w:tcW w:w="1483"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标准名称</w:t>
            </w:r>
          </w:p>
        </w:tc>
        <w:tc>
          <w:tcPr>
            <w:tcW w:w="731"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浓度限值</w:t>
            </w:r>
          </w:p>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（µg/m</w:t>
            </w:r>
            <w:r>
              <w:rPr>
                <w:rFonts w:hint="default" w:ascii="Arial" w:hAnsi="Arial" w:eastAsia="宋体" w:cs="Arial"/>
                <w:color w:val="auto"/>
                <w:sz w:val="21"/>
                <w:szCs w:val="21"/>
                <w:highlight w:val="none"/>
                <w:vertAlign w:val="superscript"/>
              </w:rPr>
              <w:t>3</w:t>
            </w:r>
            <w:r>
              <w:rPr>
                <w:rFonts w:hint="default" w:ascii="Arial" w:hAnsi="Arial" w:eastAsia="宋体" w:cs="Arial"/>
                <w:color w:val="auto"/>
                <w:sz w:val="21"/>
                <w:szCs w:val="21"/>
                <w:highlight w:val="none"/>
              </w:rPr>
              <w:t>）</w:t>
            </w:r>
          </w:p>
        </w:tc>
        <w:tc>
          <w:tcPr>
            <w:tcW w:w="944" w:type="dxa"/>
            <w:vMerge w:val="continue"/>
            <w:shd w:val="clear" w:color="auto" w:fill="auto"/>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sz w:val="21"/>
                <w:szCs w:val="21"/>
                <w:highlight w:val="none"/>
              </w:rPr>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333" w:type="dxa"/>
            <w:vMerge w:val="restart"/>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1</w:t>
            </w:r>
          </w:p>
        </w:tc>
        <w:tc>
          <w:tcPr>
            <w:tcW w:w="637" w:type="dxa"/>
            <w:vMerge w:val="restart"/>
            <w:shd w:val="clear" w:color="auto" w:fill="auto"/>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1</w:t>
            </w:r>
          </w:p>
        </w:tc>
        <w:tc>
          <w:tcPr>
            <w:tcW w:w="732" w:type="dxa"/>
            <w:gridSpan w:val="2"/>
            <w:vMerge w:val="restart"/>
            <w:shd w:val="clear" w:color="auto" w:fill="auto"/>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牛舍及运动场</w:t>
            </w:r>
          </w:p>
        </w:tc>
        <w:tc>
          <w:tcPr>
            <w:tcW w:w="825" w:type="dxa"/>
            <w:shd w:val="clear" w:color="auto" w:fill="auto"/>
            <w:noWrap/>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NH</w:t>
            </w:r>
            <w:r>
              <w:rPr>
                <w:rFonts w:hint="default" w:ascii="Arial" w:hAnsi="Arial" w:eastAsia="宋体" w:cs="Arial"/>
                <w:color w:val="auto"/>
                <w:sz w:val="21"/>
                <w:szCs w:val="21"/>
                <w:highlight w:val="none"/>
                <w:vertAlign w:val="subscript"/>
              </w:rPr>
              <w:t>3</w:t>
            </w:r>
          </w:p>
        </w:tc>
        <w:tc>
          <w:tcPr>
            <w:tcW w:w="3318" w:type="dxa"/>
            <w:vMerge w:val="restart"/>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sz w:val="21"/>
                <w:szCs w:val="21"/>
                <w:highlight w:val="none"/>
              </w:rPr>
            </w:pPr>
            <w:r>
              <w:rPr>
                <w:rFonts w:hint="default" w:ascii="Arial" w:hAnsi="Arial" w:eastAsia="宋体" w:cs="Arial"/>
                <w:bCs/>
                <w:color w:val="auto"/>
                <w:sz w:val="21"/>
                <w:szCs w:val="21"/>
                <w:highlight w:val="none"/>
              </w:rPr>
              <w:t>通过日粮设计，</w:t>
            </w:r>
            <w:r>
              <w:rPr>
                <w:rFonts w:hint="default" w:ascii="Arial" w:hAnsi="Arial" w:eastAsia="宋体" w:cs="Arial"/>
                <w:color w:val="auto"/>
                <w:sz w:val="21"/>
                <w:szCs w:val="21"/>
                <w:highlight w:val="none"/>
              </w:rPr>
              <w:t>饲料添加EM复合微生物制剂，</w:t>
            </w:r>
            <w:r>
              <w:rPr>
                <w:rFonts w:hint="default" w:ascii="Arial" w:hAnsi="Arial" w:eastAsia="宋体" w:cs="Arial"/>
                <w:color w:val="auto"/>
                <w:kern w:val="0"/>
                <w:sz w:val="21"/>
                <w:szCs w:val="21"/>
                <w:highlight w:val="none"/>
              </w:rPr>
              <w:t>牛舍采用及时清理粪尿，加强牛舍通风（除冬季封闭保暖外，均为敞开式通风）</w:t>
            </w:r>
          </w:p>
        </w:tc>
        <w:tc>
          <w:tcPr>
            <w:tcW w:w="1483" w:type="dxa"/>
            <w:vMerge w:val="restart"/>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《恶臭污染物排放标准》（GB14554-93）中二级标准</w:t>
            </w:r>
          </w:p>
        </w:tc>
        <w:tc>
          <w:tcPr>
            <w:tcW w:w="731"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1500</w:t>
            </w:r>
          </w:p>
        </w:tc>
        <w:tc>
          <w:tcPr>
            <w:tcW w:w="944" w:type="dxa"/>
            <w:shd w:val="clear" w:color="auto" w:fill="auto"/>
            <w:noWrap/>
            <w:vAlign w:val="center"/>
          </w:tcPr>
          <w:p>
            <w:pPr>
              <w:pStyle w:val="63"/>
              <w:keepNext w:val="0"/>
              <w:keepLines w:val="0"/>
              <w:pageBreakBefore w:val="0"/>
              <w:widowControl w:val="0"/>
              <w:kinsoku/>
              <w:wordWrap/>
              <w:overflowPunct/>
              <w:topLinePunct/>
              <w:autoSpaceDN/>
              <w:bidi w:val="0"/>
              <w:adjustRightInd/>
              <w:snapToGrid/>
              <w:spacing w:line="360" w:lineRule="exact"/>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lang w:val="en-US" w:eastAsia="zh-CN"/>
              </w:rPr>
              <w:t>0.7297</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333" w:type="dxa"/>
            <w:vMerge w:val="continue"/>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sz w:val="21"/>
                <w:szCs w:val="21"/>
                <w:highlight w:val="none"/>
              </w:rPr>
            </w:pPr>
          </w:p>
        </w:tc>
        <w:tc>
          <w:tcPr>
            <w:tcW w:w="637" w:type="dxa"/>
            <w:vMerge w:val="continue"/>
            <w:shd w:val="clear" w:color="auto" w:fill="auto"/>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sz w:val="21"/>
                <w:szCs w:val="21"/>
                <w:highlight w:val="none"/>
              </w:rPr>
            </w:pPr>
          </w:p>
        </w:tc>
        <w:tc>
          <w:tcPr>
            <w:tcW w:w="732" w:type="dxa"/>
            <w:gridSpan w:val="2"/>
            <w:vMerge w:val="continue"/>
            <w:shd w:val="clear" w:color="auto" w:fill="auto"/>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sz w:val="21"/>
                <w:szCs w:val="21"/>
                <w:highlight w:val="none"/>
              </w:rPr>
            </w:pPr>
          </w:p>
        </w:tc>
        <w:tc>
          <w:tcPr>
            <w:tcW w:w="825" w:type="dxa"/>
            <w:shd w:val="clear" w:color="auto" w:fill="auto"/>
            <w:noWrap/>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H</w:t>
            </w:r>
            <w:r>
              <w:rPr>
                <w:rFonts w:hint="default" w:ascii="Arial" w:hAnsi="Arial" w:eastAsia="宋体" w:cs="Arial"/>
                <w:color w:val="auto"/>
                <w:sz w:val="21"/>
                <w:szCs w:val="21"/>
                <w:highlight w:val="none"/>
                <w:vertAlign w:val="subscript"/>
              </w:rPr>
              <w:t>2</w:t>
            </w:r>
            <w:r>
              <w:rPr>
                <w:rFonts w:hint="default" w:ascii="Arial" w:hAnsi="Arial" w:eastAsia="宋体" w:cs="Arial"/>
                <w:color w:val="auto"/>
                <w:sz w:val="21"/>
                <w:szCs w:val="21"/>
                <w:highlight w:val="none"/>
              </w:rPr>
              <w:t>S</w:t>
            </w:r>
          </w:p>
        </w:tc>
        <w:tc>
          <w:tcPr>
            <w:tcW w:w="3318" w:type="dxa"/>
            <w:vMerge w:val="continue"/>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sz w:val="21"/>
                <w:szCs w:val="21"/>
                <w:highlight w:val="none"/>
              </w:rPr>
            </w:pPr>
          </w:p>
        </w:tc>
        <w:tc>
          <w:tcPr>
            <w:tcW w:w="1483" w:type="dxa"/>
            <w:vMerge w:val="continue"/>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sz w:val="21"/>
                <w:szCs w:val="21"/>
                <w:highlight w:val="none"/>
              </w:rPr>
            </w:pPr>
          </w:p>
        </w:tc>
        <w:tc>
          <w:tcPr>
            <w:tcW w:w="731"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60</w:t>
            </w:r>
          </w:p>
        </w:tc>
        <w:tc>
          <w:tcPr>
            <w:tcW w:w="944" w:type="dxa"/>
            <w:shd w:val="clear" w:color="auto" w:fill="auto"/>
            <w:noWrap/>
            <w:vAlign w:val="center"/>
          </w:tcPr>
          <w:p>
            <w:pPr>
              <w:pStyle w:val="63"/>
              <w:keepNext w:val="0"/>
              <w:keepLines w:val="0"/>
              <w:pageBreakBefore w:val="0"/>
              <w:widowControl w:val="0"/>
              <w:kinsoku/>
              <w:wordWrap/>
              <w:overflowPunct/>
              <w:topLinePunct/>
              <w:autoSpaceDN/>
              <w:bidi w:val="0"/>
              <w:adjustRightInd/>
              <w:snapToGrid/>
              <w:spacing w:line="360" w:lineRule="exact"/>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0.0</w:t>
            </w:r>
            <w:r>
              <w:rPr>
                <w:rFonts w:hint="default" w:ascii="Arial" w:hAnsi="Arial" w:eastAsia="宋体" w:cs="Arial"/>
                <w:color w:val="auto"/>
                <w:sz w:val="21"/>
                <w:szCs w:val="21"/>
                <w:highlight w:val="none"/>
                <w:lang w:val="en-US" w:eastAsia="zh-CN"/>
              </w:rPr>
              <w:t>096</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333" w:type="dxa"/>
            <w:vMerge w:val="restart"/>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2</w:t>
            </w:r>
          </w:p>
        </w:tc>
        <w:tc>
          <w:tcPr>
            <w:tcW w:w="637" w:type="dxa"/>
            <w:vMerge w:val="restart"/>
            <w:shd w:val="clear" w:color="auto" w:fill="auto"/>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2</w:t>
            </w:r>
          </w:p>
        </w:tc>
        <w:tc>
          <w:tcPr>
            <w:tcW w:w="732" w:type="dxa"/>
            <w:gridSpan w:val="2"/>
            <w:vMerge w:val="restart"/>
            <w:shd w:val="clear" w:color="auto" w:fill="auto"/>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sz w:val="21"/>
                <w:szCs w:val="21"/>
                <w:highlight w:val="none"/>
                <w:lang w:eastAsia="zh-CN"/>
              </w:rPr>
            </w:pPr>
            <w:r>
              <w:rPr>
                <w:rFonts w:hint="default" w:ascii="Arial" w:hAnsi="Arial" w:eastAsia="宋体" w:cs="Arial"/>
                <w:color w:val="auto"/>
                <w:sz w:val="21"/>
                <w:szCs w:val="21"/>
                <w:highlight w:val="none"/>
                <w:lang w:eastAsia="zh-CN"/>
              </w:rPr>
              <w:t>堆肥场</w:t>
            </w:r>
          </w:p>
        </w:tc>
        <w:tc>
          <w:tcPr>
            <w:tcW w:w="825" w:type="dxa"/>
            <w:shd w:val="clear" w:color="auto" w:fill="auto"/>
            <w:noWrap/>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NH</w:t>
            </w:r>
            <w:r>
              <w:rPr>
                <w:rFonts w:hint="default" w:ascii="Arial" w:hAnsi="Arial" w:eastAsia="宋体" w:cs="Arial"/>
                <w:color w:val="auto"/>
                <w:sz w:val="21"/>
                <w:szCs w:val="21"/>
                <w:highlight w:val="none"/>
                <w:vertAlign w:val="subscript"/>
              </w:rPr>
              <w:t>3</w:t>
            </w:r>
          </w:p>
        </w:tc>
        <w:tc>
          <w:tcPr>
            <w:tcW w:w="3318" w:type="dxa"/>
            <w:vMerge w:val="restart"/>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lang w:eastAsia="zh-CN"/>
              </w:rPr>
              <w:t>牛粪便</w:t>
            </w:r>
            <w:r>
              <w:rPr>
                <w:rFonts w:hint="default" w:ascii="Arial" w:hAnsi="Arial" w:eastAsia="宋体" w:cs="Arial"/>
                <w:color w:val="auto"/>
                <w:sz w:val="21"/>
                <w:szCs w:val="21"/>
                <w:highlight w:val="none"/>
                <w:lang w:val="en-US" w:eastAsia="zh-CN"/>
              </w:rPr>
              <w:t>清运至</w:t>
            </w:r>
            <w:r>
              <w:rPr>
                <w:rFonts w:hint="default" w:ascii="Arial" w:hAnsi="Arial" w:eastAsia="宋体" w:cs="Arial"/>
                <w:color w:val="auto"/>
                <w:sz w:val="21"/>
                <w:szCs w:val="21"/>
                <w:highlight w:val="none"/>
                <w:lang w:eastAsia="zh-CN"/>
              </w:rPr>
              <w:t>堆肥场储存并堆肥，</w:t>
            </w:r>
            <w:r>
              <w:rPr>
                <w:rFonts w:hint="default" w:ascii="Arial" w:hAnsi="Arial" w:eastAsia="宋体" w:cs="Arial"/>
                <w:color w:val="auto"/>
                <w:sz w:val="21"/>
                <w:szCs w:val="21"/>
                <w:highlight w:val="none"/>
                <w:lang w:val="en-US" w:eastAsia="zh-CN"/>
              </w:rPr>
              <w:t>采取</w:t>
            </w:r>
            <w:r>
              <w:rPr>
                <w:rFonts w:hint="default" w:ascii="Arial" w:hAnsi="Arial" w:eastAsia="宋体" w:cs="Arial"/>
                <w:color w:val="auto"/>
                <w:kern w:val="0"/>
                <w:sz w:val="21"/>
                <w:szCs w:val="21"/>
                <w:highlight w:val="none"/>
              </w:rPr>
              <w:t>定期喷洒</w:t>
            </w:r>
            <w:r>
              <w:rPr>
                <w:rFonts w:hint="default" w:ascii="Arial" w:hAnsi="Arial" w:eastAsia="宋体" w:cs="Arial"/>
                <w:color w:val="auto"/>
                <w:sz w:val="21"/>
                <w:szCs w:val="21"/>
                <w:highlight w:val="none"/>
              </w:rPr>
              <w:t>减少氨释放和保氮的复合菌剂</w:t>
            </w:r>
            <w:r>
              <w:rPr>
                <w:rFonts w:hint="default" w:ascii="Arial" w:hAnsi="Arial" w:eastAsia="宋体" w:cs="Arial"/>
                <w:color w:val="auto"/>
                <w:sz w:val="21"/>
                <w:szCs w:val="21"/>
                <w:highlight w:val="none"/>
                <w:lang w:eastAsia="zh-CN"/>
              </w:rPr>
              <w:t>，</w:t>
            </w:r>
            <w:r>
              <w:rPr>
                <w:rFonts w:hint="default" w:ascii="Arial" w:hAnsi="Arial" w:eastAsia="宋体" w:cs="Arial"/>
                <w:color w:val="auto"/>
                <w:sz w:val="21"/>
                <w:szCs w:val="21"/>
                <w:highlight w:val="none"/>
              </w:rPr>
              <w:t>同时场区内加强绿化</w:t>
            </w:r>
            <w:r>
              <w:rPr>
                <w:rFonts w:hint="default" w:ascii="Arial" w:hAnsi="Arial" w:eastAsia="宋体" w:cs="Arial"/>
                <w:color w:val="auto"/>
                <w:sz w:val="21"/>
                <w:szCs w:val="21"/>
                <w:highlight w:val="none"/>
                <w:lang w:eastAsia="zh-CN"/>
              </w:rPr>
              <w:t>，</w:t>
            </w:r>
            <w:r>
              <w:rPr>
                <w:rFonts w:hint="default" w:ascii="Arial" w:hAnsi="Arial" w:eastAsia="宋体" w:cs="Arial"/>
                <w:color w:val="auto"/>
                <w:kern w:val="0"/>
                <w:sz w:val="21"/>
                <w:szCs w:val="21"/>
                <w:highlight w:val="none"/>
              </w:rPr>
              <w:t>可减少臭气的产生</w:t>
            </w:r>
          </w:p>
        </w:tc>
        <w:tc>
          <w:tcPr>
            <w:tcW w:w="1483" w:type="dxa"/>
            <w:vMerge w:val="continue"/>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sz w:val="21"/>
                <w:szCs w:val="21"/>
                <w:highlight w:val="none"/>
              </w:rPr>
            </w:pPr>
          </w:p>
        </w:tc>
        <w:tc>
          <w:tcPr>
            <w:tcW w:w="731"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1500</w:t>
            </w:r>
          </w:p>
        </w:tc>
        <w:tc>
          <w:tcPr>
            <w:tcW w:w="944" w:type="dxa"/>
            <w:shd w:val="clear" w:color="auto" w:fill="auto"/>
            <w:noWrap/>
            <w:vAlign w:val="center"/>
          </w:tcPr>
          <w:p>
            <w:pPr>
              <w:pStyle w:val="63"/>
              <w:keepNext w:val="0"/>
              <w:keepLines w:val="0"/>
              <w:pageBreakBefore w:val="0"/>
              <w:widowControl w:val="0"/>
              <w:kinsoku/>
              <w:wordWrap/>
              <w:overflowPunct/>
              <w:topLinePunct/>
              <w:autoSpaceDN/>
              <w:bidi w:val="0"/>
              <w:adjustRightInd/>
              <w:snapToGrid/>
              <w:spacing w:line="360" w:lineRule="exact"/>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lang w:val="en-US" w:eastAsia="zh-CN"/>
              </w:rPr>
              <w:t>0.4862</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333" w:type="dxa"/>
            <w:vMerge w:val="continue"/>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sz w:val="21"/>
                <w:szCs w:val="21"/>
                <w:highlight w:val="none"/>
              </w:rPr>
            </w:pPr>
          </w:p>
        </w:tc>
        <w:tc>
          <w:tcPr>
            <w:tcW w:w="637" w:type="dxa"/>
            <w:vMerge w:val="continue"/>
            <w:shd w:val="clear" w:color="auto" w:fill="auto"/>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sz w:val="21"/>
                <w:szCs w:val="21"/>
                <w:highlight w:val="none"/>
              </w:rPr>
            </w:pPr>
          </w:p>
        </w:tc>
        <w:tc>
          <w:tcPr>
            <w:tcW w:w="732" w:type="dxa"/>
            <w:gridSpan w:val="2"/>
            <w:vMerge w:val="continue"/>
            <w:shd w:val="clear" w:color="auto" w:fill="auto"/>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sz w:val="21"/>
                <w:szCs w:val="21"/>
                <w:highlight w:val="none"/>
              </w:rPr>
            </w:pPr>
          </w:p>
        </w:tc>
        <w:tc>
          <w:tcPr>
            <w:tcW w:w="825" w:type="dxa"/>
            <w:shd w:val="clear" w:color="auto" w:fill="auto"/>
            <w:noWrap/>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H</w:t>
            </w:r>
            <w:r>
              <w:rPr>
                <w:rFonts w:hint="default" w:ascii="Arial" w:hAnsi="Arial" w:eastAsia="宋体" w:cs="Arial"/>
                <w:color w:val="auto"/>
                <w:sz w:val="21"/>
                <w:szCs w:val="21"/>
                <w:highlight w:val="none"/>
                <w:vertAlign w:val="subscript"/>
              </w:rPr>
              <w:t>2</w:t>
            </w:r>
            <w:r>
              <w:rPr>
                <w:rFonts w:hint="default" w:ascii="Arial" w:hAnsi="Arial" w:eastAsia="宋体" w:cs="Arial"/>
                <w:color w:val="auto"/>
                <w:sz w:val="21"/>
                <w:szCs w:val="21"/>
                <w:highlight w:val="none"/>
              </w:rPr>
              <w:t>S</w:t>
            </w:r>
          </w:p>
        </w:tc>
        <w:tc>
          <w:tcPr>
            <w:tcW w:w="3318" w:type="dxa"/>
            <w:vMerge w:val="continue"/>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sz w:val="21"/>
                <w:szCs w:val="21"/>
                <w:highlight w:val="none"/>
              </w:rPr>
            </w:pPr>
          </w:p>
        </w:tc>
        <w:tc>
          <w:tcPr>
            <w:tcW w:w="1483" w:type="dxa"/>
            <w:vMerge w:val="continue"/>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sz w:val="21"/>
                <w:szCs w:val="21"/>
                <w:highlight w:val="none"/>
              </w:rPr>
            </w:pPr>
          </w:p>
        </w:tc>
        <w:tc>
          <w:tcPr>
            <w:tcW w:w="731"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60</w:t>
            </w:r>
          </w:p>
        </w:tc>
        <w:tc>
          <w:tcPr>
            <w:tcW w:w="944" w:type="dxa"/>
            <w:shd w:val="clear" w:color="auto" w:fill="auto"/>
            <w:noWrap/>
            <w:vAlign w:val="center"/>
          </w:tcPr>
          <w:p>
            <w:pPr>
              <w:pStyle w:val="63"/>
              <w:keepNext w:val="0"/>
              <w:keepLines w:val="0"/>
              <w:pageBreakBefore w:val="0"/>
              <w:widowControl w:val="0"/>
              <w:kinsoku/>
              <w:wordWrap/>
              <w:overflowPunct/>
              <w:topLinePunct/>
              <w:autoSpaceDN/>
              <w:bidi w:val="0"/>
              <w:adjustRightInd/>
              <w:snapToGrid/>
              <w:spacing w:line="360" w:lineRule="exact"/>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lang w:val="en-US" w:eastAsia="zh-CN"/>
              </w:rPr>
              <w:t>0.0061</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333"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highlight w:val="none"/>
                <w:lang w:val="en-US" w:eastAsia="zh-CN"/>
              </w:rPr>
              <w:t>3</w:t>
            </w:r>
          </w:p>
        </w:tc>
        <w:tc>
          <w:tcPr>
            <w:tcW w:w="637" w:type="dxa"/>
            <w:shd w:val="clear" w:color="auto" w:fill="auto"/>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highlight w:val="none"/>
                <w:lang w:val="en-US" w:eastAsia="zh-CN"/>
              </w:rPr>
              <w:t>3</w:t>
            </w:r>
          </w:p>
        </w:tc>
        <w:tc>
          <w:tcPr>
            <w:tcW w:w="732" w:type="dxa"/>
            <w:gridSpan w:val="2"/>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lang w:eastAsia="zh-CN"/>
              </w:rPr>
            </w:pPr>
            <w:r>
              <w:rPr>
                <w:rFonts w:hint="default" w:ascii="Arial" w:hAnsi="Arial" w:eastAsia="宋体" w:cs="Arial"/>
                <w:color w:val="auto"/>
                <w:sz w:val="21"/>
                <w:szCs w:val="21"/>
                <w:highlight w:val="none"/>
                <w:lang w:eastAsia="zh-CN"/>
              </w:rPr>
              <w:t>饲草料库房</w:t>
            </w:r>
          </w:p>
        </w:tc>
        <w:tc>
          <w:tcPr>
            <w:tcW w:w="825" w:type="dxa"/>
            <w:shd w:val="clear" w:color="auto" w:fill="auto"/>
            <w:noWrap/>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颗粒物</w:t>
            </w:r>
          </w:p>
        </w:tc>
        <w:tc>
          <w:tcPr>
            <w:tcW w:w="3318" w:type="dxa"/>
            <w:shd w:val="clear" w:color="auto" w:fill="auto"/>
            <w:noWrap/>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lang w:eastAsia="zh-CN"/>
              </w:rPr>
            </w:pPr>
            <w:r>
              <w:rPr>
                <w:rFonts w:hint="default" w:ascii="Arial" w:hAnsi="Arial" w:eastAsia="宋体" w:cs="Arial"/>
                <w:color w:val="auto"/>
                <w:sz w:val="21"/>
                <w:szCs w:val="21"/>
                <w:highlight w:val="none"/>
              </w:rPr>
              <w:t>全封闭</w:t>
            </w:r>
            <w:r>
              <w:rPr>
                <w:rFonts w:hint="default" w:ascii="Arial" w:hAnsi="Arial" w:eastAsia="宋体" w:cs="Arial"/>
                <w:color w:val="auto"/>
                <w:sz w:val="21"/>
                <w:szCs w:val="21"/>
                <w:highlight w:val="none"/>
                <w:lang w:eastAsia="zh-CN"/>
              </w:rPr>
              <w:t>饲草料库房</w:t>
            </w:r>
          </w:p>
        </w:tc>
        <w:tc>
          <w:tcPr>
            <w:tcW w:w="1483"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《大气污染物综合排放标准》（GB16297-1996）中新建污染源二级标准</w:t>
            </w:r>
          </w:p>
        </w:tc>
        <w:tc>
          <w:tcPr>
            <w:tcW w:w="731"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1000</w:t>
            </w:r>
          </w:p>
        </w:tc>
        <w:tc>
          <w:tcPr>
            <w:tcW w:w="944" w:type="dxa"/>
            <w:shd w:val="clear" w:color="auto" w:fill="auto"/>
            <w:noWrap/>
            <w:vAlign w:val="center"/>
          </w:tcPr>
          <w:p>
            <w:pPr>
              <w:pStyle w:val="63"/>
              <w:keepNext w:val="0"/>
              <w:keepLines w:val="0"/>
              <w:pageBreakBefore w:val="0"/>
              <w:widowControl w:val="0"/>
              <w:kinsoku/>
              <w:wordWrap/>
              <w:overflowPunct/>
              <w:topLinePunct/>
              <w:autoSpaceDN/>
              <w:bidi w:val="0"/>
              <w:adjustRightInd/>
              <w:snapToGrid/>
              <w:spacing w:line="360" w:lineRule="exact"/>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lang w:val="en-US" w:eastAsia="zh-CN"/>
              </w:rPr>
              <w:t>0.172</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9003" w:type="dxa"/>
            <w:gridSpan w:val="9"/>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无组织排放总计</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075" w:type="dxa"/>
            <w:gridSpan w:val="3"/>
            <w:vMerge w:val="restart"/>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无组织排放总计</w:t>
            </w:r>
          </w:p>
        </w:tc>
        <w:tc>
          <w:tcPr>
            <w:tcW w:w="6984" w:type="dxa"/>
            <w:gridSpan w:val="5"/>
            <w:shd w:val="clear" w:color="auto" w:fill="auto"/>
            <w:noWrap/>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氨气（NH</w:t>
            </w:r>
            <w:r>
              <w:rPr>
                <w:rFonts w:hint="default" w:ascii="Arial" w:hAnsi="Arial" w:eastAsia="宋体" w:cs="Arial"/>
                <w:color w:val="auto"/>
                <w:sz w:val="21"/>
                <w:szCs w:val="21"/>
                <w:highlight w:val="none"/>
                <w:vertAlign w:val="subscript"/>
              </w:rPr>
              <w:t>3</w:t>
            </w:r>
            <w:r>
              <w:rPr>
                <w:rFonts w:hint="default" w:ascii="Arial" w:hAnsi="Arial" w:eastAsia="宋体" w:cs="Arial"/>
                <w:color w:val="auto"/>
                <w:sz w:val="21"/>
                <w:szCs w:val="21"/>
                <w:highlight w:val="none"/>
              </w:rPr>
              <w:t>）</w:t>
            </w:r>
          </w:p>
        </w:tc>
        <w:tc>
          <w:tcPr>
            <w:tcW w:w="944"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highlight w:val="none"/>
                <w:lang w:val="en-US" w:eastAsia="zh-CN"/>
              </w:rPr>
              <w:t>1.2159</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075" w:type="dxa"/>
            <w:gridSpan w:val="3"/>
            <w:vMerge w:val="continue"/>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sz w:val="21"/>
                <w:szCs w:val="21"/>
                <w:highlight w:val="none"/>
              </w:rPr>
            </w:pPr>
          </w:p>
        </w:tc>
        <w:tc>
          <w:tcPr>
            <w:tcW w:w="6984" w:type="dxa"/>
            <w:gridSpan w:val="5"/>
            <w:shd w:val="clear" w:color="auto" w:fill="auto"/>
            <w:noWrap/>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硫化氢（H</w:t>
            </w:r>
            <w:r>
              <w:rPr>
                <w:rFonts w:hint="default" w:ascii="Arial" w:hAnsi="Arial" w:eastAsia="宋体" w:cs="Arial"/>
                <w:color w:val="auto"/>
                <w:sz w:val="21"/>
                <w:szCs w:val="21"/>
                <w:highlight w:val="none"/>
                <w:vertAlign w:val="subscript"/>
              </w:rPr>
              <w:t>2</w:t>
            </w:r>
            <w:r>
              <w:rPr>
                <w:rFonts w:hint="default" w:ascii="Arial" w:hAnsi="Arial" w:eastAsia="宋体" w:cs="Arial"/>
                <w:color w:val="auto"/>
                <w:sz w:val="21"/>
                <w:szCs w:val="21"/>
                <w:highlight w:val="none"/>
              </w:rPr>
              <w:t>S）</w:t>
            </w:r>
          </w:p>
        </w:tc>
        <w:tc>
          <w:tcPr>
            <w:tcW w:w="944"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highlight w:val="none"/>
                <w:lang w:val="en-US" w:eastAsia="zh-CN"/>
              </w:rPr>
              <w:t>0.0157</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rPr>
        <w:tc>
          <w:tcPr>
            <w:tcW w:w="1075" w:type="dxa"/>
            <w:gridSpan w:val="3"/>
            <w:vMerge w:val="continue"/>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sz w:val="21"/>
                <w:szCs w:val="21"/>
                <w:highlight w:val="none"/>
              </w:rPr>
            </w:pPr>
          </w:p>
        </w:tc>
        <w:tc>
          <w:tcPr>
            <w:tcW w:w="6984" w:type="dxa"/>
            <w:gridSpan w:val="5"/>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颗粒物</w:t>
            </w:r>
          </w:p>
        </w:tc>
        <w:tc>
          <w:tcPr>
            <w:tcW w:w="944" w:type="dxa"/>
            <w:shd w:val="clear" w:color="auto" w:fill="auto"/>
            <w:noWrap/>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sz w:val="21"/>
                <w:szCs w:val="21"/>
                <w:highlight w:val="none"/>
                <w:lang w:eastAsia="zh-CN"/>
              </w:rPr>
            </w:pPr>
            <w:r>
              <w:rPr>
                <w:rFonts w:hint="default" w:ascii="Arial" w:hAnsi="Arial" w:eastAsia="宋体" w:cs="Arial"/>
                <w:color w:val="auto"/>
                <w:sz w:val="21"/>
                <w:szCs w:val="21"/>
                <w:highlight w:val="none"/>
                <w:lang w:val="en-US" w:eastAsia="zh-CN"/>
              </w:rPr>
              <w:t>0.172</w:t>
            </w:r>
          </w:p>
        </w:tc>
      </w:tr>
    </w:tbl>
    <w:p>
      <w:pPr>
        <w:ind w:firstLine="480"/>
        <w:rPr>
          <w:rFonts w:hint="default" w:ascii="Arial" w:hAnsi="Arial" w:eastAsia="宋体" w:cs="Arial"/>
          <w:color w:val="auto"/>
          <w:highlight w:val="none"/>
        </w:rPr>
      </w:pPr>
      <w:r>
        <w:rPr>
          <w:rFonts w:hint="default" w:ascii="Arial" w:hAnsi="Arial" w:eastAsia="宋体" w:cs="Arial"/>
          <w:color w:val="auto"/>
          <w:highlight w:val="none"/>
        </w:rPr>
        <w:t>项目大气污染物年排放量核算见下表。</w:t>
      </w:r>
    </w:p>
    <w:p>
      <w:pPr>
        <w:pStyle w:val="8"/>
        <w:rPr>
          <w:rFonts w:hint="default" w:ascii="Arial" w:hAnsi="Arial" w:eastAsia="宋体" w:cs="Arial"/>
          <w:color w:val="auto"/>
          <w:highlight w:val="none"/>
        </w:rPr>
      </w:pPr>
      <w:r>
        <w:rPr>
          <w:rFonts w:hint="default" w:ascii="Arial" w:hAnsi="Arial" w:eastAsia="宋体" w:cs="Arial"/>
          <w:color w:val="auto"/>
          <w:highlight w:val="none"/>
        </w:rPr>
        <w:t>表5.2-</w:t>
      </w:r>
      <w:r>
        <w:rPr>
          <w:rFonts w:hint="default" w:ascii="Arial" w:hAnsi="Arial" w:eastAsia="宋体" w:cs="Arial"/>
          <w:color w:val="auto"/>
          <w:highlight w:val="none"/>
          <w:lang w:val="en-US" w:eastAsia="zh-CN"/>
        </w:rPr>
        <w:t>8</w:t>
      </w:r>
      <w:r>
        <w:rPr>
          <w:rFonts w:hint="default" w:ascii="Arial" w:hAnsi="Arial" w:eastAsia="宋体" w:cs="Arial"/>
          <w:color w:val="auto"/>
          <w:highlight w:val="none"/>
        </w:rPr>
        <w:t xml:space="preserve">   大气污染物年排放量核算表</w:t>
      </w:r>
    </w:p>
    <w:tbl>
      <w:tblPr>
        <w:tblStyle w:val="39"/>
        <w:tblW w:w="9003" w:type="dxa"/>
        <w:tblInd w:w="0" w:type="dxa"/>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Layout w:type="fixed"/>
        <w:tblCellMar>
          <w:top w:w="15" w:type="dxa"/>
          <w:left w:w="108" w:type="dxa"/>
          <w:bottom w:w="15" w:type="dxa"/>
          <w:right w:w="108" w:type="dxa"/>
        </w:tblCellMar>
      </w:tblPr>
      <w:tblGrid>
        <w:gridCol w:w="2323"/>
        <w:gridCol w:w="3635"/>
        <w:gridCol w:w="3045"/>
      </w:tblGrid>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15" w:type="dxa"/>
            <w:left w:w="108" w:type="dxa"/>
            <w:bottom w:w="15" w:type="dxa"/>
            <w:right w:w="108" w:type="dxa"/>
          </w:tblCellMar>
        </w:tblPrEx>
        <w:trPr>
          <w:trHeight w:val="340" w:hRule="atLeast"/>
        </w:trPr>
        <w:tc>
          <w:tcPr>
            <w:tcW w:w="2323"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序号</w:t>
            </w:r>
          </w:p>
        </w:tc>
        <w:tc>
          <w:tcPr>
            <w:tcW w:w="3635"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污染物</w:t>
            </w:r>
          </w:p>
        </w:tc>
        <w:tc>
          <w:tcPr>
            <w:tcW w:w="3045"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年排放量/（t/a）</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15" w:type="dxa"/>
            <w:left w:w="108" w:type="dxa"/>
            <w:bottom w:w="15" w:type="dxa"/>
            <w:right w:w="108" w:type="dxa"/>
          </w:tblCellMar>
        </w:tblPrEx>
        <w:trPr>
          <w:trHeight w:val="340" w:hRule="atLeast"/>
        </w:trPr>
        <w:tc>
          <w:tcPr>
            <w:tcW w:w="2323"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1</w:t>
            </w:r>
          </w:p>
        </w:tc>
        <w:tc>
          <w:tcPr>
            <w:tcW w:w="3635"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氨气（NH</w:t>
            </w:r>
            <w:r>
              <w:rPr>
                <w:rFonts w:hint="default" w:ascii="Arial" w:hAnsi="Arial" w:eastAsia="宋体" w:cs="Arial"/>
                <w:color w:val="auto"/>
                <w:sz w:val="21"/>
                <w:szCs w:val="21"/>
                <w:highlight w:val="none"/>
                <w:vertAlign w:val="subscript"/>
              </w:rPr>
              <w:t>3</w:t>
            </w:r>
            <w:r>
              <w:rPr>
                <w:rFonts w:hint="default" w:ascii="Arial" w:hAnsi="Arial" w:eastAsia="宋体" w:cs="Arial"/>
                <w:color w:val="auto"/>
                <w:sz w:val="21"/>
                <w:szCs w:val="21"/>
                <w:highlight w:val="none"/>
              </w:rPr>
              <w:t>）</w:t>
            </w:r>
          </w:p>
        </w:tc>
        <w:tc>
          <w:tcPr>
            <w:tcW w:w="3045" w:type="dxa"/>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lang w:val="en-US" w:eastAsia="zh-CN"/>
              </w:rPr>
              <w:t>1.2159</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PrEx>
        <w:trPr>
          <w:trHeight w:val="340" w:hRule="atLeast"/>
        </w:trPr>
        <w:tc>
          <w:tcPr>
            <w:tcW w:w="2323"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2</w:t>
            </w:r>
          </w:p>
        </w:tc>
        <w:tc>
          <w:tcPr>
            <w:tcW w:w="3635"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硫化氢（H</w:t>
            </w:r>
            <w:r>
              <w:rPr>
                <w:rFonts w:hint="default" w:ascii="Arial" w:hAnsi="Arial" w:eastAsia="宋体" w:cs="Arial"/>
                <w:color w:val="auto"/>
                <w:sz w:val="21"/>
                <w:szCs w:val="21"/>
                <w:highlight w:val="none"/>
                <w:vertAlign w:val="subscript"/>
              </w:rPr>
              <w:t>2</w:t>
            </w:r>
            <w:r>
              <w:rPr>
                <w:rFonts w:hint="default" w:ascii="Arial" w:hAnsi="Arial" w:eastAsia="宋体" w:cs="Arial"/>
                <w:color w:val="auto"/>
                <w:sz w:val="21"/>
                <w:szCs w:val="21"/>
                <w:highlight w:val="none"/>
              </w:rPr>
              <w:t>S）</w:t>
            </w:r>
          </w:p>
        </w:tc>
        <w:tc>
          <w:tcPr>
            <w:tcW w:w="3045" w:type="dxa"/>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lang w:val="en-US" w:eastAsia="zh-CN"/>
              </w:rPr>
              <w:t>0.0157</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15" w:type="dxa"/>
            <w:left w:w="108" w:type="dxa"/>
            <w:bottom w:w="15" w:type="dxa"/>
            <w:right w:w="108" w:type="dxa"/>
          </w:tblCellMar>
        </w:tblPrEx>
        <w:trPr>
          <w:trHeight w:val="340" w:hRule="atLeast"/>
        </w:trPr>
        <w:tc>
          <w:tcPr>
            <w:tcW w:w="2323"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3</w:t>
            </w:r>
          </w:p>
        </w:tc>
        <w:tc>
          <w:tcPr>
            <w:tcW w:w="3635"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颗粒物</w:t>
            </w:r>
          </w:p>
        </w:tc>
        <w:tc>
          <w:tcPr>
            <w:tcW w:w="3045" w:type="dxa"/>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lang w:val="en-US" w:eastAsia="zh-CN"/>
              </w:rPr>
              <w:t>0.172</w:t>
            </w:r>
          </w:p>
        </w:tc>
      </w:tr>
    </w:tbl>
    <w:p>
      <w:pPr>
        <w:pStyle w:val="7"/>
        <w:rPr>
          <w:rFonts w:hint="default" w:ascii="Arial" w:hAnsi="Arial" w:eastAsia="宋体" w:cs="Arial"/>
          <w:color w:val="auto"/>
          <w:highlight w:val="none"/>
        </w:rPr>
      </w:pPr>
      <w:r>
        <w:rPr>
          <w:rFonts w:hint="default" w:ascii="Arial" w:hAnsi="Arial" w:eastAsia="宋体" w:cs="Arial"/>
          <w:color w:val="auto"/>
          <w:highlight w:val="none"/>
        </w:rPr>
        <w:t>5.2.2.</w:t>
      </w:r>
      <w:r>
        <w:rPr>
          <w:rFonts w:hint="default" w:ascii="Arial" w:hAnsi="Arial" w:eastAsia="宋体" w:cs="Arial"/>
          <w:color w:val="auto"/>
          <w:highlight w:val="none"/>
          <w:lang w:val="en-US" w:eastAsia="zh-CN"/>
        </w:rPr>
        <w:t>3</w:t>
      </w:r>
      <w:r>
        <w:rPr>
          <w:rFonts w:hint="default" w:ascii="Arial" w:hAnsi="Arial" w:eastAsia="宋体" w:cs="Arial"/>
          <w:color w:val="auto"/>
          <w:highlight w:val="none"/>
        </w:rPr>
        <w:t>大气环境防护距离</w:t>
      </w:r>
    </w:p>
    <w:p>
      <w:pPr>
        <w:ind w:firstLine="480"/>
        <w:rPr>
          <w:rFonts w:hint="default" w:ascii="Arial" w:hAnsi="Arial" w:eastAsia="宋体" w:cs="Arial"/>
          <w:color w:val="auto"/>
          <w:highlight w:val="none"/>
          <w:lang w:eastAsia="zh-CN"/>
        </w:rPr>
      </w:pPr>
      <w:r>
        <w:rPr>
          <w:rFonts w:hint="default" w:ascii="Arial" w:hAnsi="Arial" w:eastAsia="宋体" w:cs="Arial"/>
          <w:color w:val="auto"/>
          <w:highlight w:val="none"/>
        </w:rPr>
        <w:t>本项目场区通过在饲料中加入EM添加剂以及添加除臭剂，减少粪便中氨氮的排放、减轻恶臭；牛舍设置通风口，同时用植物处理液喷洒牛舍、</w:t>
      </w:r>
      <w:r>
        <w:rPr>
          <w:rFonts w:hint="default" w:ascii="Arial" w:hAnsi="Arial" w:eastAsia="宋体" w:cs="Arial"/>
          <w:color w:val="auto"/>
          <w:highlight w:val="none"/>
          <w:lang w:eastAsia="zh-CN"/>
        </w:rPr>
        <w:t>堆肥场</w:t>
      </w:r>
      <w:r>
        <w:rPr>
          <w:rFonts w:hint="default" w:ascii="Arial" w:hAnsi="Arial" w:eastAsia="宋体" w:cs="Arial"/>
          <w:color w:val="auto"/>
          <w:highlight w:val="none"/>
        </w:rPr>
        <w:t>等除臭；根据估算模式预测结果，大气环境影响评价等级为二级，厂界外无超标点，且敏感点预测值能够满足环境功能区划要求，因此无需设置大气环境防护距离</w:t>
      </w:r>
      <w:r>
        <w:rPr>
          <w:rFonts w:hint="default" w:ascii="Arial" w:hAnsi="Arial" w:eastAsia="宋体" w:cs="Arial"/>
          <w:color w:val="auto"/>
          <w:highlight w:val="none"/>
          <w:lang w:eastAsia="zh-CN"/>
        </w:rPr>
        <w:t>。</w:t>
      </w:r>
    </w:p>
    <w:p>
      <w:pPr>
        <w:pStyle w:val="6"/>
        <w:rPr>
          <w:rFonts w:hint="default" w:ascii="Arial" w:hAnsi="Arial" w:eastAsia="宋体" w:cs="Arial"/>
          <w:color w:val="auto"/>
          <w:highlight w:val="none"/>
        </w:rPr>
      </w:pPr>
      <w:bookmarkStart w:id="357" w:name="_Toc46421133"/>
      <w:bookmarkStart w:id="358" w:name="_Toc32439"/>
      <w:r>
        <w:rPr>
          <w:rFonts w:hint="default" w:ascii="Arial" w:hAnsi="Arial" w:eastAsia="宋体" w:cs="Arial"/>
          <w:color w:val="auto"/>
          <w:highlight w:val="none"/>
        </w:rPr>
        <w:t>5.2.3大气环境影响评价结论与建议</w:t>
      </w:r>
      <w:bookmarkEnd w:id="357"/>
      <w:bookmarkEnd w:id="358"/>
    </w:p>
    <w:p>
      <w:pPr>
        <w:ind w:firstLine="480"/>
        <w:rPr>
          <w:rFonts w:hint="default" w:ascii="Arial" w:hAnsi="Arial" w:eastAsia="宋体" w:cs="Arial"/>
          <w:color w:val="auto"/>
          <w:highlight w:val="none"/>
        </w:rPr>
      </w:pPr>
      <w:r>
        <w:rPr>
          <w:rFonts w:hint="default" w:ascii="Arial" w:hAnsi="Arial" w:eastAsia="宋体" w:cs="Arial"/>
          <w:color w:val="auto"/>
          <w:highlight w:val="none"/>
        </w:rPr>
        <w:t>（1）达标区环境可接受性</w:t>
      </w:r>
    </w:p>
    <w:p>
      <w:pPr>
        <w:spacing w:line="520" w:lineRule="exact"/>
        <w:ind w:firstLine="480"/>
        <w:rPr>
          <w:rFonts w:hint="default" w:ascii="Arial" w:hAnsi="Arial" w:eastAsia="宋体" w:cs="Arial"/>
          <w:color w:val="auto"/>
          <w:highlight w:val="none"/>
        </w:rPr>
      </w:pPr>
      <w:r>
        <w:rPr>
          <w:rFonts w:hint="default" w:ascii="Arial" w:hAnsi="Arial" w:eastAsia="宋体" w:cs="Arial"/>
          <w:color w:val="auto"/>
          <w:highlight w:val="none"/>
        </w:rPr>
        <w:t>项目采取的污染防治措施有效、可行，排放的大气污染物对环境影响较小，根据估算模式预测结果，大气环境影响评价等级为二级，厂界外无超标点，且敏感点预测值能够满足环境功能区划要求。项目正常情况排放的大气污染物对大气环境影响可接受。</w:t>
      </w:r>
    </w:p>
    <w:p>
      <w:pPr>
        <w:ind w:firstLine="480"/>
        <w:rPr>
          <w:rFonts w:hint="default" w:ascii="Arial" w:hAnsi="Arial" w:eastAsia="宋体" w:cs="Arial"/>
          <w:color w:val="auto"/>
          <w:highlight w:val="none"/>
        </w:rPr>
      </w:pPr>
      <w:r>
        <w:rPr>
          <w:rFonts w:hint="default" w:ascii="Arial" w:hAnsi="Arial" w:eastAsia="宋体" w:cs="Arial"/>
          <w:color w:val="auto"/>
          <w:highlight w:val="none"/>
        </w:rPr>
        <w:t>（</w:t>
      </w:r>
      <w:r>
        <w:rPr>
          <w:rFonts w:hint="default" w:ascii="Arial" w:hAnsi="Arial" w:eastAsia="宋体" w:cs="Arial"/>
          <w:color w:val="auto"/>
          <w:highlight w:val="none"/>
          <w:lang w:val="en-US" w:eastAsia="zh-CN"/>
        </w:rPr>
        <w:t>2</w:t>
      </w:r>
      <w:r>
        <w:rPr>
          <w:rFonts w:hint="default" w:ascii="Arial" w:hAnsi="Arial" w:eastAsia="宋体" w:cs="Arial"/>
          <w:color w:val="auto"/>
          <w:highlight w:val="none"/>
        </w:rPr>
        <w:t>）大气环境影响评价自查</w:t>
      </w:r>
    </w:p>
    <w:p>
      <w:pPr>
        <w:ind w:firstLine="480"/>
        <w:rPr>
          <w:rFonts w:hint="default" w:ascii="Arial" w:hAnsi="Arial" w:eastAsia="宋体" w:cs="Arial"/>
          <w:color w:val="auto"/>
          <w:highlight w:val="none"/>
        </w:rPr>
      </w:pPr>
      <w:r>
        <w:rPr>
          <w:rFonts w:hint="default" w:ascii="Arial" w:hAnsi="Arial" w:eastAsia="宋体" w:cs="Arial"/>
          <w:color w:val="auto"/>
          <w:highlight w:val="none"/>
        </w:rPr>
        <w:t>本次评价对大气环境影响评价主要内容与结论进行自查，自查结果见下表。</w:t>
      </w:r>
    </w:p>
    <w:p>
      <w:pPr>
        <w:ind w:firstLine="480"/>
        <w:rPr>
          <w:rFonts w:hint="default" w:ascii="Arial" w:hAnsi="Arial" w:eastAsia="宋体" w:cs="Arial"/>
          <w:color w:val="auto"/>
          <w:highlight w:val="none"/>
        </w:rPr>
        <w:sectPr>
          <w:pgSz w:w="11906" w:h="16838"/>
          <w:pgMar w:top="1304" w:right="1418" w:bottom="1134" w:left="1701" w:header="851" w:footer="680" w:gutter="0"/>
          <w:pgBorders>
            <w:top w:val="none" w:sz="0" w:space="0"/>
            <w:left w:val="none" w:sz="0" w:space="0"/>
            <w:bottom w:val="none" w:sz="0" w:space="0"/>
            <w:right w:val="none" w:sz="0" w:space="0"/>
          </w:pgBorders>
          <w:pgNumType w:fmt="numberInDash"/>
          <w:cols w:space="720" w:num="1"/>
          <w:docGrid w:linePitch="326" w:charSpace="0"/>
        </w:sectPr>
      </w:pPr>
    </w:p>
    <w:p>
      <w:pPr>
        <w:pStyle w:val="8"/>
        <w:rPr>
          <w:rFonts w:hint="default" w:ascii="Arial" w:hAnsi="Arial" w:eastAsia="宋体" w:cs="Arial"/>
          <w:color w:val="auto"/>
          <w:highlight w:val="none"/>
        </w:rPr>
      </w:pPr>
      <w:r>
        <w:rPr>
          <w:rFonts w:hint="default" w:ascii="Arial" w:hAnsi="Arial" w:eastAsia="宋体" w:cs="Arial"/>
          <w:color w:val="auto"/>
          <w:highlight w:val="none"/>
        </w:rPr>
        <w:t>表5.2-</w:t>
      </w:r>
      <w:r>
        <w:rPr>
          <w:rFonts w:hint="default" w:ascii="Arial" w:hAnsi="Arial" w:eastAsia="宋体" w:cs="Arial"/>
          <w:color w:val="auto"/>
          <w:highlight w:val="none"/>
          <w:lang w:val="en-US" w:eastAsia="zh-CN"/>
        </w:rPr>
        <w:t>9</w:t>
      </w:r>
      <w:r>
        <w:rPr>
          <w:rFonts w:hint="default" w:ascii="Arial" w:hAnsi="Arial" w:eastAsia="宋体" w:cs="Arial"/>
          <w:color w:val="auto"/>
          <w:highlight w:val="none"/>
        </w:rPr>
        <w:t xml:space="preserve">   建设项目大气环境影响评价自查表</w:t>
      </w:r>
    </w:p>
    <w:tbl>
      <w:tblPr>
        <w:tblStyle w:val="39"/>
        <w:tblW w:w="14389" w:type="dxa"/>
        <w:jc w:val="center"/>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Layout w:type="fixed"/>
        <w:tblCellMar>
          <w:top w:w="15" w:type="dxa"/>
          <w:left w:w="108" w:type="dxa"/>
          <w:bottom w:w="15" w:type="dxa"/>
          <w:right w:w="108" w:type="dxa"/>
        </w:tblCellMar>
      </w:tblPr>
      <w:tblGrid>
        <w:gridCol w:w="1218"/>
        <w:gridCol w:w="2151"/>
        <w:gridCol w:w="1302"/>
        <w:gridCol w:w="1105"/>
        <w:gridCol w:w="1030"/>
        <w:gridCol w:w="714"/>
        <w:gridCol w:w="1695"/>
        <w:gridCol w:w="2046"/>
        <w:gridCol w:w="1252"/>
        <w:gridCol w:w="1876"/>
      </w:tblGrid>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15" w:type="dxa"/>
            <w:left w:w="108" w:type="dxa"/>
            <w:bottom w:w="15" w:type="dxa"/>
            <w:right w:w="108" w:type="dxa"/>
          </w:tblCellMar>
        </w:tblPrEx>
        <w:trPr>
          <w:trHeight w:val="340" w:hRule="atLeast"/>
          <w:jc w:val="center"/>
        </w:trPr>
        <w:tc>
          <w:tcPr>
            <w:tcW w:w="3369" w:type="dxa"/>
            <w:gridSpan w:val="2"/>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工作内容</w:t>
            </w:r>
          </w:p>
        </w:tc>
        <w:tc>
          <w:tcPr>
            <w:tcW w:w="11020" w:type="dxa"/>
            <w:gridSpan w:val="8"/>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自查项目</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15" w:type="dxa"/>
            <w:left w:w="108" w:type="dxa"/>
            <w:bottom w:w="15" w:type="dxa"/>
            <w:right w:w="108" w:type="dxa"/>
          </w:tblCellMar>
        </w:tblPrEx>
        <w:trPr>
          <w:trHeight w:val="340" w:hRule="atLeast"/>
          <w:jc w:val="center"/>
        </w:trPr>
        <w:tc>
          <w:tcPr>
            <w:tcW w:w="1218" w:type="dxa"/>
            <w:vMerge w:val="restart"/>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评价等级与范围</w:t>
            </w:r>
          </w:p>
        </w:tc>
        <w:tc>
          <w:tcPr>
            <w:tcW w:w="2151"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评价等级</w:t>
            </w:r>
          </w:p>
        </w:tc>
        <w:tc>
          <w:tcPr>
            <w:tcW w:w="4151" w:type="dxa"/>
            <w:gridSpan w:val="4"/>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一级□</w:t>
            </w:r>
          </w:p>
        </w:tc>
        <w:tc>
          <w:tcPr>
            <w:tcW w:w="3741" w:type="dxa"/>
            <w:gridSpan w:val="2"/>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二级</w:t>
            </w:r>
            <w:r>
              <w:rPr>
                <w:rFonts w:hint="default" w:ascii="Arial" w:hAnsi="Arial" w:eastAsia="宋体" w:cs="Arial"/>
                <w:color w:val="auto"/>
                <w:sz w:val="21"/>
                <w:szCs w:val="21"/>
                <w:highlight w:val="none"/>
              </w:rPr>
              <w:fldChar w:fldCharType="begin"/>
            </w:r>
            <w:r>
              <w:rPr>
                <w:rFonts w:hint="default" w:ascii="Arial" w:hAnsi="Arial" w:eastAsia="宋体" w:cs="Arial"/>
                <w:color w:val="auto"/>
                <w:sz w:val="21"/>
                <w:szCs w:val="21"/>
                <w:highlight w:val="none"/>
              </w:rPr>
              <w:instrText xml:space="preserve"> eq \o\ac(□,</w:instrText>
            </w:r>
            <w:r>
              <w:rPr>
                <w:rFonts w:hint="default" w:ascii="Arial" w:hAnsi="Arial" w:eastAsia="宋体" w:cs="Arial"/>
                <w:color w:val="auto"/>
                <w:position w:val="2"/>
                <w:sz w:val="21"/>
                <w:szCs w:val="21"/>
                <w:highlight w:val="none"/>
              </w:rPr>
              <w:instrText xml:space="preserve">√</w:instrText>
            </w:r>
            <w:r>
              <w:rPr>
                <w:rFonts w:hint="default" w:ascii="Arial" w:hAnsi="Arial" w:eastAsia="宋体" w:cs="Arial"/>
                <w:color w:val="auto"/>
                <w:sz w:val="21"/>
                <w:szCs w:val="21"/>
                <w:highlight w:val="none"/>
              </w:rPr>
              <w:instrText xml:space="preserve">)</w:instrText>
            </w:r>
            <w:r>
              <w:rPr>
                <w:rFonts w:hint="default" w:ascii="Arial" w:hAnsi="Arial" w:eastAsia="宋体" w:cs="Arial"/>
                <w:color w:val="auto"/>
                <w:sz w:val="21"/>
                <w:szCs w:val="21"/>
                <w:highlight w:val="none"/>
              </w:rPr>
              <w:fldChar w:fldCharType="end"/>
            </w:r>
          </w:p>
        </w:tc>
        <w:tc>
          <w:tcPr>
            <w:tcW w:w="3128" w:type="dxa"/>
            <w:gridSpan w:val="2"/>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三级□</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15" w:type="dxa"/>
            <w:left w:w="108" w:type="dxa"/>
            <w:bottom w:w="15" w:type="dxa"/>
            <w:right w:w="108" w:type="dxa"/>
          </w:tblCellMar>
        </w:tblPrEx>
        <w:trPr>
          <w:trHeight w:val="340" w:hRule="atLeast"/>
          <w:jc w:val="center"/>
        </w:trPr>
        <w:tc>
          <w:tcPr>
            <w:tcW w:w="1218" w:type="dxa"/>
            <w:vMerge w:val="continue"/>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p>
        </w:tc>
        <w:tc>
          <w:tcPr>
            <w:tcW w:w="2151"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评价范围</w:t>
            </w:r>
          </w:p>
        </w:tc>
        <w:tc>
          <w:tcPr>
            <w:tcW w:w="4151" w:type="dxa"/>
            <w:gridSpan w:val="4"/>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边长=50km□</w:t>
            </w:r>
          </w:p>
        </w:tc>
        <w:tc>
          <w:tcPr>
            <w:tcW w:w="3741" w:type="dxa"/>
            <w:gridSpan w:val="2"/>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边长=5~50km□</w:t>
            </w:r>
          </w:p>
        </w:tc>
        <w:tc>
          <w:tcPr>
            <w:tcW w:w="3128" w:type="dxa"/>
            <w:gridSpan w:val="2"/>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边长=5km</w:t>
            </w:r>
            <w:r>
              <w:rPr>
                <w:rFonts w:hint="default" w:ascii="Arial" w:hAnsi="Arial" w:eastAsia="宋体" w:cs="Arial"/>
                <w:color w:val="auto"/>
                <w:sz w:val="21"/>
                <w:szCs w:val="21"/>
                <w:highlight w:val="none"/>
              </w:rPr>
              <w:fldChar w:fldCharType="begin"/>
            </w:r>
            <w:r>
              <w:rPr>
                <w:rFonts w:hint="default" w:ascii="Arial" w:hAnsi="Arial" w:eastAsia="宋体" w:cs="Arial"/>
                <w:color w:val="auto"/>
                <w:sz w:val="21"/>
                <w:szCs w:val="21"/>
                <w:highlight w:val="none"/>
              </w:rPr>
              <w:instrText xml:space="preserve"> eq \o\ac(□,</w:instrText>
            </w:r>
            <w:r>
              <w:rPr>
                <w:rFonts w:hint="default" w:ascii="Arial" w:hAnsi="Arial" w:eastAsia="宋体" w:cs="Arial"/>
                <w:color w:val="auto"/>
                <w:position w:val="2"/>
                <w:sz w:val="21"/>
                <w:szCs w:val="21"/>
                <w:highlight w:val="none"/>
              </w:rPr>
              <w:instrText xml:space="preserve">√</w:instrText>
            </w:r>
            <w:r>
              <w:rPr>
                <w:rFonts w:hint="default" w:ascii="Arial" w:hAnsi="Arial" w:eastAsia="宋体" w:cs="Arial"/>
                <w:color w:val="auto"/>
                <w:sz w:val="21"/>
                <w:szCs w:val="21"/>
                <w:highlight w:val="none"/>
              </w:rPr>
              <w:instrText xml:space="preserve">)</w:instrText>
            </w:r>
            <w:r>
              <w:rPr>
                <w:rFonts w:hint="default" w:ascii="Arial" w:hAnsi="Arial" w:eastAsia="宋体" w:cs="Arial"/>
                <w:color w:val="auto"/>
                <w:sz w:val="21"/>
                <w:szCs w:val="21"/>
                <w:highlight w:val="none"/>
              </w:rPr>
              <w:fldChar w:fldCharType="end"/>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15" w:type="dxa"/>
            <w:left w:w="108" w:type="dxa"/>
            <w:bottom w:w="15" w:type="dxa"/>
            <w:right w:w="108" w:type="dxa"/>
          </w:tblCellMar>
        </w:tblPrEx>
        <w:trPr>
          <w:trHeight w:val="340" w:hRule="atLeast"/>
          <w:jc w:val="center"/>
        </w:trPr>
        <w:tc>
          <w:tcPr>
            <w:tcW w:w="1218" w:type="dxa"/>
            <w:vMerge w:val="restart"/>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评价因子</w:t>
            </w:r>
          </w:p>
        </w:tc>
        <w:tc>
          <w:tcPr>
            <w:tcW w:w="2151"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SO</w:t>
            </w:r>
            <w:r>
              <w:rPr>
                <w:rFonts w:hint="default" w:ascii="Arial" w:hAnsi="Arial" w:eastAsia="宋体" w:cs="Arial"/>
                <w:color w:val="auto"/>
                <w:sz w:val="21"/>
                <w:szCs w:val="21"/>
                <w:highlight w:val="none"/>
                <w:vertAlign w:val="subscript"/>
              </w:rPr>
              <w:t>2</w:t>
            </w:r>
            <w:r>
              <w:rPr>
                <w:rFonts w:hint="default" w:ascii="Arial" w:hAnsi="Arial" w:eastAsia="宋体" w:cs="Arial"/>
                <w:color w:val="auto"/>
                <w:sz w:val="21"/>
                <w:szCs w:val="21"/>
                <w:highlight w:val="none"/>
              </w:rPr>
              <w:t>+NOx排放量</w:t>
            </w:r>
          </w:p>
        </w:tc>
        <w:tc>
          <w:tcPr>
            <w:tcW w:w="2407" w:type="dxa"/>
            <w:gridSpan w:val="2"/>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≥2000t/a□</w:t>
            </w:r>
          </w:p>
        </w:tc>
        <w:tc>
          <w:tcPr>
            <w:tcW w:w="3439" w:type="dxa"/>
            <w:gridSpan w:val="3"/>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500~2000t/a□</w:t>
            </w:r>
          </w:p>
        </w:tc>
        <w:tc>
          <w:tcPr>
            <w:tcW w:w="5174" w:type="dxa"/>
            <w:gridSpan w:val="3"/>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&lt;500t/a</w:t>
            </w:r>
            <w:r>
              <w:rPr>
                <w:rFonts w:hint="default" w:ascii="Arial" w:hAnsi="Arial" w:eastAsia="宋体" w:cs="Arial"/>
                <w:color w:val="auto"/>
                <w:sz w:val="21"/>
                <w:szCs w:val="21"/>
                <w:highlight w:val="none"/>
              </w:rPr>
              <w:fldChar w:fldCharType="begin"/>
            </w:r>
            <w:r>
              <w:rPr>
                <w:rFonts w:hint="default" w:ascii="Arial" w:hAnsi="Arial" w:eastAsia="宋体" w:cs="Arial"/>
                <w:color w:val="auto"/>
                <w:sz w:val="21"/>
                <w:szCs w:val="21"/>
                <w:highlight w:val="none"/>
              </w:rPr>
              <w:instrText xml:space="preserve"> eq \o\ac(□,</w:instrText>
            </w:r>
            <w:r>
              <w:rPr>
                <w:rFonts w:hint="default" w:ascii="Arial" w:hAnsi="Arial" w:eastAsia="宋体" w:cs="Arial"/>
                <w:color w:val="auto"/>
                <w:position w:val="2"/>
                <w:sz w:val="21"/>
                <w:szCs w:val="21"/>
                <w:highlight w:val="none"/>
              </w:rPr>
              <w:instrText xml:space="preserve">√</w:instrText>
            </w:r>
            <w:r>
              <w:rPr>
                <w:rFonts w:hint="default" w:ascii="Arial" w:hAnsi="Arial" w:eastAsia="宋体" w:cs="Arial"/>
                <w:color w:val="auto"/>
                <w:sz w:val="21"/>
                <w:szCs w:val="21"/>
                <w:highlight w:val="none"/>
              </w:rPr>
              <w:instrText xml:space="preserve">)</w:instrText>
            </w:r>
            <w:r>
              <w:rPr>
                <w:rFonts w:hint="default" w:ascii="Arial" w:hAnsi="Arial" w:eastAsia="宋体" w:cs="Arial"/>
                <w:color w:val="auto"/>
                <w:sz w:val="21"/>
                <w:szCs w:val="21"/>
                <w:highlight w:val="none"/>
              </w:rPr>
              <w:fldChar w:fldCharType="end"/>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15" w:type="dxa"/>
            <w:left w:w="108" w:type="dxa"/>
            <w:bottom w:w="15" w:type="dxa"/>
            <w:right w:w="108" w:type="dxa"/>
          </w:tblCellMar>
        </w:tblPrEx>
        <w:trPr>
          <w:trHeight w:val="340" w:hRule="atLeast"/>
          <w:jc w:val="center"/>
        </w:trPr>
        <w:tc>
          <w:tcPr>
            <w:tcW w:w="1218" w:type="dxa"/>
            <w:vMerge w:val="continue"/>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p>
        </w:tc>
        <w:tc>
          <w:tcPr>
            <w:tcW w:w="2151"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评价因子</w:t>
            </w:r>
          </w:p>
        </w:tc>
        <w:tc>
          <w:tcPr>
            <w:tcW w:w="5846" w:type="dxa"/>
            <w:gridSpan w:val="5"/>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基本污染物（SO</w:t>
            </w:r>
            <w:r>
              <w:rPr>
                <w:rFonts w:hint="default" w:ascii="Arial" w:hAnsi="Arial" w:eastAsia="宋体" w:cs="Arial"/>
                <w:color w:val="auto"/>
                <w:sz w:val="21"/>
                <w:szCs w:val="21"/>
                <w:highlight w:val="none"/>
                <w:vertAlign w:val="subscript"/>
              </w:rPr>
              <w:t>2</w:t>
            </w:r>
            <w:r>
              <w:rPr>
                <w:rFonts w:hint="default" w:ascii="Arial" w:hAnsi="Arial" w:eastAsia="宋体" w:cs="Arial"/>
                <w:color w:val="auto"/>
                <w:sz w:val="21"/>
                <w:szCs w:val="21"/>
                <w:highlight w:val="none"/>
              </w:rPr>
              <w:t>、NO</w:t>
            </w:r>
            <w:r>
              <w:rPr>
                <w:rFonts w:hint="default" w:ascii="Arial" w:hAnsi="Arial" w:eastAsia="宋体" w:cs="Arial"/>
                <w:color w:val="auto"/>
                <w:sz w:val="21"/>
                <w:szCs w:val="21"/>
                <w:highlight w:val="none"/>
                <w:vertAlign w:val="subscript"/>
              </w:rPr>
              <w:t>X</w:t>
            </w:r>
            <w:r>
              <w:rPr>
                <w:rFonts w:hint="default" w:ascii="Arial" w:hAnsi="Arial" w:eastAsia="宋体" w:cs="Arial"/>
                <w:color w:val="auto"/>
                <w:sz w:val="21"/>
                <w:szCs w:val="21"/>
                <w:highlight w:val="none"/>
              </w:rPr>
              <w:t>、O</w:t>
            </w:r>
            <w:r>
              <w:rPr>
                <w:rFonts w:hint="default" w:ascii="Arial" w:hAnsi="Arial" w:eastAsia="宋体" w:cs="Arial"/>
                <w:color w:val="auto"/>
                <w:sz w:val="21"/>
                <w:szCs w:val="21"/>
                <w:highlight w:val="none"/>
                <w:vertAlign w:val="subscript"/>
              </w:rPr>
              <w:t>3</w:t>
            </w:r>
            <w:r>
              <w:rPr>
                <w:rFonts w:hint="default" w:ascii="Arial" w:hAnsi="Arial" w:eastAsia="宋体" w:cs="Arial"/>
                <w:color w:val="auto"/>
                <w:sz w:val="21"/>
                <w:szCs w:val="21"/>
                <w:highlight w:val="none"/>
              </w:rPr>
              <w:t>、CO、PM</w:t>
            </w:r>
            <w:r>
              <w:rPr>
                <w:rFonts w:hint="default" w:ascii="Arial" w:hAnsi="Arial" w:eastAsia="宋体" w:cs="Arial"/>
                <w:color w:val="auto"/>
                <w:sz w:val="21"/>
                <w:szCs w:val="21"/>
                <w:highlight w:val="none"/>
                <w:vertAlign w:val="subscript"/>
              </w:rPr>
              <w:t>10</w:t>
            </w:r>
            <w:r>
              <w:rPr>
                <w:rFonts w:hint="default" w:ascii="Arial" w:hAnsi="Arial" w:eastAsia="宋体" w:cs="Arial"/>
                <w:color w:val="auto"/>
                <w:sz w:val="21"/>
                <w:szCs w:val="21"/>
                <w:highlight w:val="none"/>
              </w:rPr>
              <w:t>、PM</w:t>
            </w:r>
            <w:r>
              <w:rPr>
                <w:rFonts w:hint="default" w:ascii="Arial" w:hAnsi="Arial" w:eastAsia="宋体" w:cs="Arial"/>
                <w:color w:val="auto"/>
                <w:sz w:val="21"/>
                <w:szCs w:val="21"/>
                <w:highlight w:val="none"/>
                <w:vertAlign w:val="subscript"/>
              </w:rPr>
              <w:t>2.5</w:t>
            </w:r>
            <w:r>
              <w:rPr>
                <w:rFonts w:hint="default" w:ascii="Arial" w:hAnsi="Arial" w:eastAsia="宋体" w:cs="Arial"/>
                <w:color w:val="auto"/>
                <w:sz w:val="21"/>
                <w:szCs w:val="21"/>
                <w:highlight w:val="none"/>
              </w:rPr>
              <w:t>）</w:t>
            </w:r>
          </w:p>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其他污染物（氨气、硫化氢、</w:t>
            </w:r>
            <w:r>
              <w:rPr>
                <w:rFonts w:hint="default" w:ascii="Arial" w:hAnsi="Arial" w:eastAsia="宋体" w:cs="Arial"/>
                <w:color w:val="auto"/>
                <w:sz w:val="21"/>
                <w:szCs w:val="21"/>
                <w:highlight w:val="none"/>
                <w:lang w:val="en-US" w:eastAsia="zh-CN"/>
              </w:rPr>
              <w:t>TSP</w:t>
            </w:r>
            <w:r>
              <w:rPr>
                <w:rFonts w:hint="default" w:ascii="Arial" w:hAnsi="Arial" w:eastAsia="宋体" w:cs="Arial"/>
                <w:color w:val="auto"/>
                <w:sz w:val="21"/>
                <w:szCs w:val="21"/>
                <w:highlight w:val="none"/>
              </w:rPr>
              <w:t>）</w:t>
            </w:r>
          </w:p>
        </w:tc>
        <w:tc>
          <w:tcPr>
            <w:tcW w:w="5174" w:type="dxa"/>
            <w:gridSpan w:val="3"/>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包括二次PM2.5□</w:t>
            </w:r>
          </w:p>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不包括二次PM2.5</w:t>
            </w:r>
            <w:r>
              <w:rPr>
                <w:rFonts w:hint="default" w:ascii="Arial" w:hAnsi="Arial" w:eastAsia="宋体" w:cs="Arial"/>
                <w:color w:val="auto"/>
                <w:sz w:val="21"/>
                <w:szCs w:val="21"/>
                <w:highlight w:val="none"/>
              </w:rPr>
              <w:fldChar w:fldCharType="begin"/>
            </w:r>
            <w:r>
              <w:rPr>
                <w:rFonts w:hint="default" w:ascii="Arial" w:hAnsi="Arial" w:eastAsia="宋体" w:cs="Arial"/>
                <w:color w:val="auto"/>
                <w:sz w:val="21"/>
                <w:szCs w:val="21"/>
                <w:highlight w:val="none"/>
              </w:rPr>
              <w:instrText xml:space="preserve"> eq \o\ac(□,</w:instrText>
            </w:r>
            <w:r>
              <w:rPr>
                <w:rFonts w:hint="default" w:ascii="Arial" w:hAnsi="Arial" w:eastAsia="宋体" w:cs="Arial"/>
                <w:color w:val="auto"/>
                <w:position w:val="2"/>
                <w:sz w:val="21"/>
                <w:szCs w:val="21"/>
                <w:highlight w:val="none"/>
              </w:rPr>
              <w:instrText xml:space="preserve">√</w:instrText>
            </w:r>
            <w:r>
              <w:rPr>
                <w:rFonts w:hint="default" w:ascii="Arial" w:hAnsi="Arial" w:eastAsia="宋体" w:cs="Arial"/>
                <w:color w:val="auto"/>
                <w:sz w:val="21"/>
                <w:szCs w:val="21"/>
                <w:highlight w:val="none"/>
              </w:rPr>
              <w:instrText xml:space="preserve">)</w:instrText>
            </w:r>
            <w:r>
              <w:rPr>
                <w:rFonts w:hint="default" w:ascii="Arial" w:hAnsi="Arial" w:eastAsia="宋体" w:cs="Arial"/>
                <w:color w:val="auto"/>
                <w:sz w:val="21"/>
                <w:szCs w:val="21"/>
                <w:highlight w:val="none"/>
              </w:rPr>
              <w:fldChar w:fldCharType="end"/>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15" w:type="dxa"/>
            <w:left w:w="108" w:type="dxa"/>
            <w:bottom w:w="15" w:type="dxa"/>
            <w:right w:w="108" w:type="dxa"/>
          </w:tblCellMar>
        </w:tblPrEx>
        <w:trPr>
          <w:trHeight w:val="340" w:hRule="atLeast"/>
          <w:jc w:val="center"/>
        </w:trPr>
        <w:tc>
          <w:tcPr>
            <w:tcW w:w="1218"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评价标准</w:t>
            </w:r>
          </w:p>
        </w:tc>
        <w:tc>
          <w:tcPr>
            <w:tcW w:w="2151"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评价标准</w:t>
            </w:r>
          </w:p>
        </w:tc>
        <w:tc>
          <w:tcPr>
            <w:tcW w:w="3437" w:type="dxa"/>
            <w:gridSpan w:val="3"/>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国家标准</w:t>
            </w:r>
            <w:r>
              <w:rPr>
                <w:rFonts w:hint="default" w:ascii="Arial" w:hAnsi="Arial" w:eastAsia="宋体" w:cs="Arial"/>
                <w:color w:val="auto"/>
                <w:sz w:val="21"/>
                <w:szCs w:val="21"/>
                <w:highlight w:val="none"/>
              </w:rPr>
              <w:fldChar w:fldCharType="begin"/>
            </w:r>
            <w:r>
              <w:rPr>
                <w:rFonts w:hint="default" w:ascii="Arial" w:hAnsi="Arial" w:eastAsia="宋体" w:cs="Arial"/>
                <w:color w:val="auto"/>
                <w:sz w:val="21"/>
                <w:szCs w:val="21"/>
                <w:highlight w:val="none"/>
              </w:rPr>
              <w:instrText xml:space="preserve"> eq \o\ac(□,</w:instrText>
            </w:r>
            <w:r>
              <w:rPr>
                <w:rFonts w:hint="default" w:ascii="Arial" w:hAnsi="Arial" w:eastAsia="宋体" w:cs="Arial"/>
                <w:color w:val="auto"/>
                <w:position w:val="2"/>
                <w:sz w:val="21"/>
                <w:szCs w:val="21"/>
                <w:highlight w:val="none"/>
              </w:rPr>
              <w:instrText xml:space="preserve">√</w:instrText>
            </w:r>
            <w:r>
              <w:rPr>
                <w:rFonts w:hint="default" w:ascii="Arial" w:hAnsi="Arial" w:eastAsia="宋体" w:cs="Arial"/>
                <w:color w:val="auto"/>
                <w:sz w:val="21"/>
                <w:szCs w:val="21"/>
                <w:highlight w:val="none"/>
              </w:rPr>
              <w:instrText xml:space="preserve">)</w:instrText>
            </w:r>
            <w:r>
              <w:rPr>
                <w:rFonts w:hint="default" w:ascii="Arial" w:hAnsi="Arial" w:eastAsia="宋体" w:cs="Arial"/>
                <w:color w:val="auto"/>
                <w:sz w:val="21"/>
                <w:szCs w:val="21"/>
                <w:highlight w:val="none"/>
              </w:rPr>
              <w:fldChar w:fldCharType="end"/>
            </w:r>
          </w:p>
        </w:tc>
        <w:tc>
          <w:tcPr>
            <w:tcW w:w="2409" w:type="dxa"/>
            <w:gridSpan w:val="2"/>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地方标准□</w:t>
            </w:r>
          </w:p>
        </w:tc>
        <w:tc>
          <w:tcPr>
            <w:tcW w:w="2046"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附录D</w:t>
            </w:r>
            <w:r>
              <w:rPr>
                <w:rFonts w:hint="default" w:ascii="Arial" w:hAnsi="Arial" w:eastAsia="宋体" w:cs="Arial"/>
                <w:color w:val="auto"/>
                <w:sz w:val="21"/>
                <w:szCs w:val="21"/>
                <w:highlight w:val="none"/>
              </w:rPr>
              <w:fldChar w:fldCharType="begin"/>
            </w:r>
            <w:r>
              <w:rPr>
                <w:rFonts w:hint="default" w:ascii="Arial" w:hAnsi="Arial" w:eastAsia="宋体" w:cs="Arial"/>
                <w:color w:val="auto"/>
                <w:sz w:val="21"/>
                <w:szCs w:val="21"/>
                <w:highlight w:val="none"/>
              </w:rPr>
              <w:instrText xml:space="preserve"> eq \o\ac(□,</w:instrText>
            </w:r>
            <w:r>
              <w:rPr>
                <w:rFonts w:hint="default" w:ascii="Arial" w:hAnsi="Arial" w:eastAsia="宋体" w:cs="Arial"/>
                <w:color w:val="auto"/>
                <w:position w:val="2"/>
                <w:sz w:val="21"/>
                <w:szCs w:val="21"/>
                <w:highlight w:val="none"/>
              </w:rPr>
              <w:instrText xml:space="preserve">√</w:instrText>
            </w:r>
            <w:r>
              <w:rPr>
                <w:rFonts w:hint="default" w:ascii="Arial" w:hAnsi="Arial" w:eastAsia="宋体" w:cs="Arial"/>
                <w:color w:val="auto"/>
                <w:sz w:val="21"/>
                <w:szCs w:val="21"/>
                <w:highlight w:val="none"/>
              </w:rPr>
              <w:instrText xml:space="preserve">)</w:instrText>
            </w:r>
            <w:r>
              <w:rPr>
                <w:rFonts w:hint="default" w:ascii="Arial" w:hAnsi="Arial" w:eastAsia="宋体" w:cs="Arial"/>
                <w:color w:val="auto"/>
                <w:sz w:val="21"/>
                <w:szCs w:val="21"/>
                <w:highlight w:val="none"/>
              </w:rPr>
              <w:fldChar w:fldCharType="end"/>
            </w:r>
          </w:p>
        </w:tc>
        <w:tc>
          <w:tcPr>
            <w:tcW w:w="3128" w:type="dxa"/>
            <w:gridSpan w:val="2"/>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其他标准</w:t>
            </w:r>
            <w:r>
              <w:rPr>
                <w:rFonts w:hint="default" w:ascii="Arial" w:hAnsi="Arial" w:eastAsia="宋体" w:cs="Arial"/>
                <w:color w:val="auto"/>
                <w:sz w:val="21"/>
                <w:szCs w:val="21"/>
                <w:highlight w:val="none"/>
              </w:rPr>
              <w:fldChar w:fldCharType="begin"/>
            </w:r>
            <w:r>
              <w:rPr>
                <w:rFonts w:hint="default" w:ascii="Arial" w:hAnsi="Arial" w:eastAsia="宋体" w:cs="Arial"/>
                <w:color w:val="auto"/>
                <w:sz w:val="21"/>
                <w:szCs w:val="21"/>
                <w:highlight w:val="none"/>
              </w:rPr>
              <w:instrText xml:space="preserve"> eq \o\ac(□,</w:instrText>
            </w:r>
            <w:r>
              <w:rPr>
                <w:rFonts w:hint="default" w:ascii="Arial" w:hAnsi="Arial" w:eastAsia="宋体" w:cs="Arial"/>
                <w:color w:val="auto"/>
                <w:position w:val="2"/>
                <w:sz w:val="21"/>
                <w:szCs w:val="21"/>
                <w:highlight w:val="none"/>
              </w:rPr>
              <w:instrText xml:space="preserve">√</w:instrText>
            </w:r>
            <w:r>
              <w:rPr>
                <w:rFonts w:hint="default" w:ascii="Arial" w:hAnsi="Arial" w:eastAsia="宋体" w:cs="Arial"/>
                <w:color w:val="auto"/>
                <w:sz w:val="21"/>
                <w:szCs w:val="21"/>
                <w:highlight w:val="none"/>
              </w:rPr>
              <w:instrText xml:space="preserve">)</w:instrText>
            </w:r>
            <w:r>
              <w:rPr>
                <w:rFonts w:hint="default" w:ascii="Arial" w:hAnsi="Arial" w:eastAsia="宋体" w:cs="Arial"/>
                <w:color w:val="auto"/>
                <w:sz w:val="21"/>
                <w:szCs w:val="21"/>
                <w:highlight w:val="none"/>
              </w:rPr>
              <w:fldChar w:fldCharType="end"/>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15" w:type="dxa"/>
            <w:left w:w="108" w:type="dxa"/>
            <w:bottom w:w="15" w:type="dxa"/>
            <w:right w:w="108" w:type="dxa"/>
          </w:tblCellMar>
        </w:tblPrEx>
        <w:trPr>
          <w:trHeight w:val="340" w:hRule="atLeast"/>
          <w:jc w:val="center"/>
        </w:trPr>
        <w:tc>
          <w:tcPr>
            <w:tcW w:w="1218" w:type="dxa"/>
            <w:vMerge w:val="restart"/>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现状评价</w:t>
            </w:r>
          </w:p>
        </w:tc>
        <w:tc>
          <w:tcPr>
            <w:tcW w:w="2151"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评价功能区</w:t>
            </w:r>
          </w:p>
        </w:tc>
        <w:tc>
          <w:tcPr>
            <w:tcW w:w="4151" w:type="dxa"/>
            <w:gridSpan w:val="4"/>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一类区□</w:t>
            </w:r>
          </w:p>
        </w:tc>
        <w:tc>
          <w:tcPr>
            <w:tcW w:w="3741" w:type="dxa"/>
            <w:gridSpan w:val="2"/>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二类区</w:t>
            </w:r>
            <w:r>
              <w:rPr>
                <w:rFonts w:hint="default" w:ascii="Arial" w:hAnsi="Arial" w:eastAsia="宋体" w:cs="Arial"/>
                <w:color w:val="auto"/>
                <w:sz w:val="21"/>
                <w:szCs w:val="21"/>
                <w:highlight w:val="none"/>
              </w:rPr>
              <w:fldChar w:fldCharType="begin"/>
            </w:r>
            <w:r>
              <w:rPr>
                <w:rFonts w:hint="default" w:ascii="Arial" w:hAnsi="Arial" w:eastAsia="宋体" w:cs="Arial"/>
                <w:color w:val="auto"/>
                <w:sz w:val="21"/>
                <w:szCs w:val="21"/>
                <w:highlight w:val="none"/>
              </w:rPr>
              <w:instrText xml:space="preserve"> eq \o\ac(□,</w:instrText>
            </w:r>
            <w:r>
              <w:rPr>
                <w:rFonts w:hint="default" w:ascii="Arial" w:hAnsi="Arial" w:eastAsia="宋体" w:cs="Arial"/>
                <w:color w:val="auto"/>
                <w:position w:val="2"/>
                <w:sz w:val="21"/>
                <w:szCs w:val="21"/>
                <w:highlight w:val="none"/>
              </w:rPr>
              <w:instrText xml:space="preserve">√</w:instrText>
            </w:r>
            <w:r>
              <w:rPr>
                <w:rFonts w:hint="default" w:ascii="Arial" w:hAnsi="Arial" w:eastAsia="宋体" w:cs="Arial"/>
                <w:color w:val="auto"/>
                <w:sz w:val="21"/>
                <w:szCs w:val="21"/>
                <w:highlight w:val="none"/>
              </w:rPr>
              <w:instrText xml:space="preserve">)</w:instrText>
            </w:r>
            <w:r>
              <w:rPr>
                <w:rFonts w:hint="default" w:ascii="Arial" w:hAnsi="Arial" w:eastAsia="宋体" w:cs="Arial"/>
                <w:color w:val="auto"/>
                <w:sz w:val="21"/>
                <w:szCs w:val="21"/>
                <w:highlight w:val="none"/>
              </w:rPr>
              <w:fldChar w:fldCharType="end"/>
            </w:r>
          </w:p>
        </w:tc>
        <w:tc>
          <w:tcPr>
            <w:tcW w:w="3128" w:type="dxa"/>
            <w:gridSpan w:val="2"/>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一类区和二类区□</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15" w:type="dxa"/>
            <w:left w:w="108" w:type="dxa"/>
            <w:bottom w:w="15" w:type="dxa"/>
            <w:right w:w="108" w:type="dxa"/>
          </w:tblCellMar>
        </w:tblPrEx>
        <w:trPr>
          <w:trHeight w:val="340" w:hRule="atLeast"/>
          <w:jc w:val="center"/>
        </w:trPr>
        <w:tc>
          <w:tcPr>
            <w:tcW w:w="1218" w:type="dxa"/>
            <w:vMerge w:val="continue"/>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p>
        </w:tc>
        <w:tc>
          <w:tcPr>
            <w:tcW w:w="2151"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评价基准年</w:t>
            </w:r>
          </w:p>
        </w:tc>
        <w:tc>
          <w:tcPr>
            <w:tcW w:w="11020" w:type="dxa"/>
            <w:gridSpan w:val="8"/>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（20</w:t>
            </w:r>
            <w:r>
              <w:rPr>
                <w:rFonts w:hint="default" w:ascii="Arial" w:hAnsi="Arial" w:eastAsia="宋体" w:cs="Arial"/>
                <w:color w:val="auto"/>
                <w:sz w:val="21"/>
                <w:szCs w:val="21"/>
                <w:highlight w:val="none"/>
                <w:lang w:val="en-US" w:eastAsia="zh-CN"/>
              </w:rPr>
              <w:t>20</w:t>
            </w:r>
            <w:r>
              <w:rPr>
                <w:rFonts w:hint="default" w:ascii="Arial" w:hAnsi="Arial" w:eastAsia="宋体" w:cs="Arial"/>
                <w:color w:val="auto"/>
                <w:sz w:val="21"/>
                <w:szCs w:val="21"/>
                <w:highlight w:val="none"/>
              </w:rPr>
              <w:t>）年</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15" w:type="dxa"/>
            <w:left w:w="108" w:type="dxa"/>
            <w:bottom w:w="15" w:type="dxa"/>
            <w:right w:w="108" w:type="dxa"/>
          </w:tblCellMar>
        </w:tblPrEx>
        <w:trPr>
          <w:trHeight w:val="340" w:hRule="atLeast"/>
          <w:jc w:val="center"/>
        </w:trPr>
        <w:tc>
          <w:tcPr>
            <w:tcW w:w="1218" w:type="dxa"/>
            <w:vMerge w:val="continue"/>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p>
        </w:tc>
        <w:tc>
          <w:tcPr>
            <w:tcW w:w="2151"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环境空气质量现状调查数据来源</w:t>
            </w:r>
          </w:p>
        </w:tc>
        <w:tc>
          <w:tcPr>
            <w:tcW w:w="4151" w:type="dxa"/>
            <w:gridSpan w:val="4"/>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长期例行监测数据□</w:t>
            </w:r>
          </w:p>
        </w:tc>
        <w:tc>
          <w:tcPr>
            <w:tcW w:w="3741" w:type="dxa"/>
            <w:gridSpan w:val="2"/>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主管部门发布的数据□</w:t>
            </w:r>
          </w:p>
        </w:tc>
        <w:tc>
          <w:tcPr>
            <w:tcW w:w="3128" w:type="dxa"/>
            <w:gridSpan w:val="2"/>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现状补充监测</w:t>
            </w:r>
            <w:r>
              <w:rPr>
                <w:rFonts w:hint="default" w:ascii="Arial" w:hAnsi="Arial" w:eastAsia="宋体" w:cs="Arial"/>
                <w:color w:val="auto"/>
                <w:sz w:val="21"/>
                <w:szCs w:val="21"/>
                <w:highlight w:val="none"/>
              </w:rPr>
              <w:fldChar w:fldCharType="begin"/>
            </w:r>
            <w:r>
              <w:rPr>
                <w:rFonts w:hint="default" w:ascii="Arial" w:hAnsi="Arial" w:eastAsia="宋体" w:cs="Arial"/>
                <w:color w:val="auto"/>
                <w:sz w:val="21"/>
                <w:szCs w:val="21"/>
                <w:highlight w:val="none"/>
              </w:rPr>
              <w:instrText xml:space="preserve"> eq \o\ac(□,</w:instrText>
            </w:r>
            <w:r>
              <w:rPr>
                <w:rFonts w:hint="default" w:ascii="Arial" w:hAnsi="Arial" w:eastAsia="宋体" w:cs="Arial"/>
                <w:color w:val="auto"/>
                <w:position w:val="2"/>
                <w:sz w:val="21"/>
                <w:szCs w:val="21"/>
                <w:highlight w:val="none"/>
              </w:rPr>
              <w:instrText xml:space="preserve">√</w:instrText>
            </w:r>
            <w:r>
              <w:rPr>
                <w:rFonts w:hint="default" w:ascii="Arial" w:hAnsi="Arial" w:eastAsia="宋体" w:cs="Arial"/>
                <w:color w:val="auto"/>
                <w:sz w:val="21"/>
                <w:szCs w:val="21"/>
                <w:highlight w:val="none"/>
              </w:rPr>
              <w:instrText xml:space="preserve">)</w:instrText>
            </w:r>
            <w:r>
              <w:rPr>
                <w:rFonts w:hint="default" w:ascii="Arial" w:hAnsi="Arial" w:eastAsia="宋体" w:cs="Arial"/>
                <w:color w:val="auto"/>
                <w:sz w:val="21"/>
                <w:szCs w:val="21"/>
                <w:highlight w:val="none"/>
              </w:rPr>
              <w:fldChar w:fldCharType="end"/>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15" w:type="dxa"/>
            <w:left w:w="108" w:type="dxa"/>
            <w:bottom w:w="15" w:type="dxa"/>
            <w:right w:w="108" w:type="dxa"/>
          </w:tblCellMar>
        </w:tblPrEx>
        <w:trPr>
          <w:trHeight w:val="340" w:hRule="atLeast"/>
          <w:jc w:val="center"/>
        </w:trPr>
        <w:tc>
          <w:tcPr>
            <w:tcW w:w="1218" w:type="dxa"/>
            <w:vMerge w:val="continue"/>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p>
        </w:tc>
        <w:tc>
          <w:tcPr>
            <w:tcW w:w="2151"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现状评价</w:t>
            </w:r>
          </w:p>
        </w:tc>
        <w:tc>
          <w:tcPr>
            <w:tcW w:w="5846" w:type="dxa"/>
            <w:gridSpan w:val="5"/>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达标区</w:t>
            </w:r>
            <w:r>
              <w:rPr>
                <w:rFonts w:hint="default" w:ascii="Arial" w:hAnsi="Arial" w:eastAsia="宋体" w:cs="Arial"/>
                <w:color w:val="auto"/>
                <w:sz w:val="21"/>
                <w:szCs w:val="21"/>
                <w:highlight w:val="none"/>
              </w:rPr>
              <w:fldChar w:fldCharType="begin"/>
            </w:r>
            <w:r>
              <w:rPr>
                <w:rFonts w:hint="default" w:ascii="Arial" w:hAnsi="Arial" w:eastAsia="宋体" w:cs="Arial"/>
                <w:color w:val="auto"/>
                <w:sz w:val="21"/>
                <w:szCs w:val="21"/>
                <w:highlight w:val="none"/>
              </w:rPr>
              <w:instrText xml:space="preserve"> eq \o\ac(□</w:instrText>
            </w:r>
            <w:r>
              <w:rPr>
                <w:rFonts w:hint="default" w:ascii="Arial" w:hAnsi="Arial" w:eastAsia="宋体" w:cs="Arial"/>
                <w:color w:val="auto"/>
                <w:sz w:val="21"/>
                <w:szCs w:val="21"/>
                <w:highlight w:val="none"/>
                <w:lang w:eastAsia="zh-CN"/>
              </w:rPr>
              <w:instrText xml:space="preserve">,</w:instrText>
            </w:r>
            <w:r>
              <w:rPr>
                <w:rFonts w:hint="default" w:ascii="Arial" w:hAnsi="Arial" w:eastAsia="宋体" w:cs="Arial"/>
                <w:color w:val="auto"/>
                <w:position w:val="2"/>
                <w:sz w:val="21"/>
                <w:szCs w:val="21"/>
                <w:highlight w:val="none"/>
                <w:lang w:eastAsia="zh-CN"/>
              </w:rPr>
              <w:instrText xml:space="preserve">√</w:instrText>
            </w:r>
            <w:r>
              <w:rPr>
                <w:rFonts w:hint="default" w:ascii="Arial" w:hAnsi="Arial" w:eastAsia="宋体" w:cs="Arial"/>
                <w:color w:val="auto"/>
                <w:sz w:val="21"/>
                <w:szCs w:val="21"/>
                <w:highlight w:val="none"/>
              </w:rPr>
              <w:instrText xml:space="preserve">)</w:instrText>
            </w:r>
            <w:r>
              <w:rPr>
                <w:rFonts w:hint="default" w:ascii="Arial" w:hAnsi="Arial" w:eastAsia="宋体" w:cs="Arial"/>
                <w:color w:val="auto"/>
                <w:sz w:val="21"/>
                <w:szCs w:val="21"/>
                <w:highlight w:val="none"/>
              </w:rPr>
              <w:fldChar w:fldCharType="end"/>
            </w:r>
          </w:p>
        </w:tc>
        <w:tc>
          <w:tcPr>
            <w:tcW w:w="5174" w:type="dxa"/>
            <w:gridSpan w:val="3"/>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不达标区</w:t>
            </w:r>
            <w:r>
              <w:rPr>
                <w:rFonts w:hint="default" w:ascii="Arial" w:hAnsi="Arial" w:eastAsia="宋体" w:cs="Arial"/>
                <w:color w:val="auto"/>
                <w:sz w:val="21"/>
                <w:szCs w:val="21"/>
                <w:highlight w:val="none"/>
              </w:rPr>
              <w:sym w:font="Wingdings 2" w:char="00A3"/>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15" w:type="dxa"/>
            <w:left w:w="108" w:type="dxa"/>
            <w:bottom w:w="15" w:type="dxa"/>
            <w:right w:w="108" w:type="dxa"/>
          </w:tblCellMar>
        </w:tblPrEx>
        <w:trPr>
          <w:trHeight w:val="340" w:hRule="atLeast"/>
          <w:jc w:val="center"/>
        </w:trPr>
        <w:tc>
          <w:tcPr>
            <w:tcW w:w="1218"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污染源调查</w:t>
            </w:r>
          </w:p>
        </w:tc>
        <w:tc>
          <w:tcPr>
            <w:tcW w:w="2151"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调查内容</w:t>
            </w:r>
          </w:p>
        </w:tc>
        <w:tc>
          <w:tcPr>
            <w:tcW w:w="3437" w:type="dxa"/>
            <w:gridSpan w:val="3"/>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本项目正常排放源</w:t>
            </w:r>
            <w:r>
              <w:rPr>
                <w:rFonts w:hint="default" w:ascii="Arial" w:hAnsi="Arial" w:eastAsia="宋体" w:cs="Arial"/>
                <w:color w:val="auto"/>
                <w:sz w:val="21"/>
                <w:szCs w:val="21"/>
                <w:highlight w:val="none"/>
              </w:rPr>
              <w:fldChar w:fldCharType="begin"/>
            </w:r>
            <w:r>
              <w:rPr>
                <w:rFonts w:hint="default" w:ascii="Arial" w:hAnsi="Arial" w:eastAsia="宋体" w:cs="Arial"/>
                <w:color w:val="auto"/>
                <w:sz w:val="21"/>
                <w:szCs w:val="21"/>
                <w:highlight w:val="none"/>
              </w:rPr>
              <w:instrText xml:space="preserve"> eq \o\ac(□,</w:instrText>
            </w:r>
            <w:r>
              <w:rPr>
                <w:rFonts w:hint="default" w:ascii="Arial" w:hAnsi="Arial" w:eastAsia="宋体" w:cs="Arial"/>
                <w:color w:val="auto"/>
                <w:position w:val="2"/>
                <w:sz w:val="21"/>
                <w:szCs w:val="21"/>
                <w:highlight w:val="none"/>
              </w:rPr>
              <w:instrText xml:space="preserve">√</w:instrText>
            </w:r>
            <w:r>
              <w:rPr>
                <w:rFonts w:hint="default" w:ascii="Arial" w:hAnsi="Arial" w:eastAsia="宋体" w:cs="Arial"/>
                <w:color w:val="auto"/>
                <w:sz w:val="21"/>
                <w:szCs w:val="21"/>
                <w:highlight w:val="none"/>
              </w:rPr>
              <w:instrText xml:space="preserve">)</w:instrText>
            </w:r>
            <w:r>
              <w:rPr>
                <w:rFonts w:hint="default" w:ascii="Arial" w:hAnsi="Arial" w:eastAsia="宋体" w:cs="Arial"/>
                <w:color w:val="auto"/>
                <w:sz w:val="21"/>
                <w:szCs w:val="21"/>
                <w:highlight w:val="none"/>
              </w:rPr>
              <w:fldChar w:fldCharType="end"/>
            </w:r>
          </w:p>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本项目非正常排放源□</w:t>
            </w:r>
          </w:p>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原批复污染源□</w:t>
            </w:r>
          </w:p>
        </w:tc>
        <w:tc>
          <w:tcPr>
            <w:tcW w:w="2409" w:type="dxa"/>
            <w:gridSpan w:val="2"/>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拟替代的污染源□</w:t>
            </w:r>
          </w:p>
        </w:tc>
        <w:tc>
          <w:tcPr>
            <w:tcW w:w="2046"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其他在建、拟建项目污染源□</w:t>
            </w:r>
          </w:p>
        </w:tc>
        <w:tc>
          <w:tcPr>
            <w:tcW w:w="3128" w:type="dxa"/>
            <w:gridSpan w:val="2"/>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区域污染源□</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15" w:type="dxa"/>
            <w:left w:w="108" w:type="dxa"/>
            <w:bottom w:w="15" w:type="dxa"/>
            <w:right w:w="108" w:type="dxa"/>
          </w:tblCellMar>
        </w:tblPrEx>
        <w:trPr>
          <w:trHeight w:val="340" w:hRule="atLeast"/>
          <w:jc w:val="center"/>
        </w:trPr>
        <w:tc>
          <w:tcPr>
            <w:tcW w:w="1218" w:type="dxa"/>
            <w:vMerge w:val="restart"/>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大气环境影响预测与评价</w:t>
            </w:r>
          </w:p>
        </w:tc>
        <w:tc>
          <w:tcPr>
            <w:tcW w:w="2151"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预测模型</w:t>
            </w:r>
          </w:p>
        </w:tc>
        <w:tc>
          <w:tcPr>
            <w:tcW w:w="1302"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AERMOD</w:t>
            </w:r>
          </w:p>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w:t>
            </w:r>
          </w:p>
        </w:tc>
        <w:tc>
          <w:tcPr>
            <w:tcW w:w="1105"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ADMS</w:t>
            </w:r>
          </w:p>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w:t>
            </w:r>
          </w:p>
        </w:tc>
        <w:tc>
          <w:tcPr>
            <w:tcW w:w="1744" w:type="dxa"/>
            <w:gridSpan w:val="2"/>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AUSTAL2000</w:t>
            </w:r>
          </w:p>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w:t>
            </w:r>
          </w:p>
        </w:tc>
        <w:tc>
          <w:tcPr>
            <w:tcW w:w="1695"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EDMS/AEDT</w:t>
            </w:r>
          </w:p>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w:t>
            </w:r>
          </w:p>
        </w:tc>
        <w:tc>
          <w:tcPr>
            <w:tcW w:w="2046"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CALPUFF</w:t>
            </w:r>
          </w:p>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w:t>
            </w:r>
          </w:p>
        </w:tc>
        <w:tc>
          <w:tcPr>
            <w:tcW w:w="1252"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网格模型</w:t>
            </w:r>
          </w:p>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w:t>
            </w:r>
          </w:p>
        </w:tc>
        <w:tc>
          <w:tcPr>
            <w:tcW w:w="1876"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其他</w:t>
            </w:r>
          </w:p>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15" w:type="dxa"/>
            <w:left w:w="108" w:type="dxa"/>
            <w:bottom w:w="15" w:type="dxa"/>
            <w:right w:w="108" w:type="dxa"/>
          </w:tblCellMar>
        </w:tblPrEx>
        <w:trPr>
          <w:trHeight w:val="340" w:hRule="atLeast"/>
          <w:jc w:val="center"/>
        </w:trPr>
        <w:tc>
          <w:tcPr>
            <w:tcW w:w="1218" w:type="dxa"/>
            <w:vMerge w:val="continue"/>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p>
        </w:tc>
        <w:tc>
          <w:tcPr>
            <w:tcW w:w="2151"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预测范围</w:t>
            </w:r>
          </w:p>
        </w:tc>
        <w:tc>
          <w:tcPr>
            <w:tcW w:w="4151" w:type="dxa"/>
            <w:gridSpan w:val="4"/>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边长≥50km□</w:t>
            </w:r>
          </w:p>
        </w:tc>
        <w:tc>
          <w:tcPr>
            <w:tcW w:w="3741" w:type="dxa"/>
            <w:gridSpan w:val="2"/>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边长5~50km□</w:t>
            </w:r>
          </w:p>
        </w:tc>
        <w:tc>
          <w:tcPr>
            <w:tcW w:w="3128" w:type="dxa"/>
            <w:gridSpan w:val="2"/>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边长=5km</w:t>
            </w:r>
            <w:r>
              <w:rPr>
                <w:rFonts w:hint="default" w:ascii="Arial" w:hAnsi="Arial" w:eastAsia="宋体" w:cs="Arial"/>
                <w:color w:val="auto"/>
                <w:sz w:val="21"/>
                <w:szCs w:val="21"/>
                <w:highlight w:val="none"/>
              </w:rPr>
              <w:fldChar w:fldCharType="begin"/>
            </w:r>
            <w:r>
              <w:rPr>
                <w:rFonts w:hint="default" w:ascii="Arial" w:hAnsi="Arial" w:eastAsia="宋体" w:cs="Arial"/>
                <w:color w:val="auto"/>
                <w:sz w:val="21"/>
                <w:szCs w:val="21"/>
                <w:highlight w:val="none"/>
              </w:rPr>
              <w:instrText xml:space="preserve"> eq \o\ac(□,</w:instrText>
            </w:r>
            <w:r>
              <w:rPr>
                <w:rFonts w:hint="default" w:ascii="Arial" w:hAnsi="Arial" w:eastAsia="宋体" w:cs="Arial"/>
                <w:color w:val="auto"/>
                <w:position w:val="2"/>
                <w:sz w:val="21"/>
                <w:szCs w:val="21"/>
                <w:highlight w:val="none"/>
              </w:rPr>
              <w:instrText xml:space="preserve">√</w:instrText>
            </w:r>
            <w:r>
              <w:rPr>
                <w:rFonts w:hint="default" w:ascii="Arial" w:hAnsi="Arial" w:eastAsia="宋体" w:cs="Arial"/>
                <w:color w:val="auto"/>
                <w:sz w:val="21"/>
                <w:szCs w:val="21"/>
                <w:highlight w:val="none"/>
              </w:rPr>
              <w:instrText xml:space="preserve">)</w:instrText>
            </w:r>
            <w:r>
              <w:rPr>
                <w:rFonts w:hint="default" w:ascii="Arial" w:hAnsi="Arial" w:eastAsia="宋体" w:cs="Arial"/>
                <w:color w:val="auto"/>
                <w:sz w:val="21"/>
                <w:szCs w:val="21"/>
                <w:highlight w:val="none"/>
              </w:rPr>
              <w:fldChar w:fldCharType="end"/>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15" w:type="dxa"/>
            <w:left w:w="108" w:type="dxa"/>
            <w:bottom w:w="15" w:type="dxa"/>
            <w:right w:w="108" w:type="dxa"/>
          </w:tblCellMar>
        </w:tblPrEx>
        <w:trPr>
          <w:trHeight w:val="340" w:hRule="atLeast"/>
          <w:jc w:val="center"/>
        </w:trPr>
        <w:tc>
          <w:tcPr>
            <w:tcW w:w="1218" w:type="dxa"/>
            <w:vMerge w:val="continue"/>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p>
        </w:tc>
        <w:tc>
          <w:tcPr>
            <w:tcW w:w="2151"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预测因子</w:t>
            </w:r>
          </w:p>
        </w:tc>
        <w:tc>
          <w:tcPr>
            <w:tcW w:w="5846" w:type="dxa"/>
            <w:gridSpan w:val="5"/>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预测因子（氨气、硫化氢、颗粒物）</w:t>
            </w:r>
          </w:p>
        </w:tc>
        <w:tc>
          <w:tcPr>
            <w:tcW w:w="5174" w:type="dxa"/>
            <w:gridSpan w:val="3"/>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包括二次PM</w:t>
            </w:r>
            <w:r>
              <w:rPr>
                <w:rFonts w:hint="default" w:ascii="Arial" w:hAnsi="Arial" w:eastAsia="宋体" w:cs="Arial"/>
                <w:color w:val="auto"/>
                <w:sz w:val="21"/>
                <w:szCs w:val="21"/>
                <w:highlight w:val="none"/>
                <w:vertAlign w:val="subscript"/>
              </w:rPr>
              <w:t>2.5</w:t>
            </w:r>
            <w:r>
              <w:rPr>
                <w:rFonts w:hint="default" w:ascii="Arial" w:hAnsi="Arial" w:eastAsia="宋体" w:cs="Arial"/>
                <w:color w:val="auto"/>
                <w:sz w:val="21"/>
                <w:szCs w:val="21"/>
                <w:highlight w:val="none"/>
              </w:rPr>
              <w:t>□</w:t>
            </w:r>
          </w:p>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不包括二次PM</w:t>
            </w:r>
            <w:r>
              <w:rPr>
                <w:rFonts w:hint="default" w:ascii="Arial" w:hAnsi="Arial" w:eastAsia="宋体" w:cs="Arial"/>
                <w:color w:val="auto"/>
                <w:sz w:val="21"/>
                <w:szCs w:val="21"/>
                <w:highlight w:val="none"/>
                <w:vertAlign w:val="subscript"/>
              </w:rPr>
              <w:t>2.5</w:t>
            </w:r>
            <w:r>
              <w:rPr>
                <w:rFonts w:hint="default" w:ascii="Arial" w:hAnsi="Arial" w:eastAsia="宋体" w:cs="Arial"/>
                <w:color w:val="auto"/>
                <w:sz w:val="21"/>
                <w:szCs w:val="21"/>
                <w:highlight w:val="none"/>
              </w:rPr>
              <w:fldChar w:fldCharType="begin"/>
            </w:r>
            <w:r>
              <w:rPr>
                <w:rFonts w:hint="default" w:ascii="Arial" w:hAnsi="Arial" w:eastAsia="宋体" w:cs="Arial"/>
                <w:color w:val="auto"/>
                <w:sz w:val="21"/>
                <w:szCs w:val="21"/>
                <w:highlight w:val="none"/>
              </w:rPr>
              <w:instrText xml:space="preserve"> eq \o\ac(□,</w:instrText>
            </w:r>
            <w:r>
              <w:rPr>
                <w:rFonts w:hint="default" w:ascii="Arial" w:hAnsi="Arial" w:eastAsia="宋体" w:cs="Arial"/>
                <w:color w:val="auto"/>
                <w:position w:val="2"/>
                <w:sz w:val="21"/>
                <w:szCs w:val="21"/>
                <w:highlight w:val="none"/>
              </w:rPr>
              <w:instrText xml:space="preserve">√</w:instrText>
            </w:r>
            <w:r>
              <w:rPr>
                <w:rFonts w:hint="default" w:ascii="Arial" w:hAnsi="Arial" w:eastAsia="宋体" w:cs="Arial"/>
                <w:color w:val="auto"/>
                <w:sz w:val="21"/>
                <w:szCs w:val="21"/>
                <w:highlight w:val="none"/>
              </w:rPr>
              <w:instrText xml:space="preserve">)</w:instrText>
            </w:r>
            <w:r>
              <w:rPr>
                <w:rFonts w:hint="default" w:ascii="Arial" w:hAnsi="Arial" w:eastAsia="宋体" w:cs="Arial"/>
                <w:color w:val="auto"/>
                <w:sz w:val="21"/>
                <w:szCs w:val="21"/>
                <w:highlight w:val="none"/>
              </w:rPr>
              <w:fldChar w:fldCharType="end"/>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15" w:type="dxa"/>
            <w:left w:w="108" w:type="dxa"/>
            <w:bottom w:w="15" w:type="dxa"/>
            <w:right w:w="108" w:type="dxa"/>
          </w:tblCellMar>
        </w:tblPrEx>
        <w:trPr>
          <w:trHeight w:val="340" w:hRule="atLeast"/>
          <w:jc w:val="center"/>
        </w:trPr>
        <w:tc>
          <w:tcPr>
            <w:tcW w:w="1218" w:type="dxa"/>
            <w:vMerge w:val="continue"/>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p>
        </w:tc>
        <w:tc>
          <w:tcPr>
            <w:tcW w:w="2151"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正常排放短期浓度贡献值</w:t>
            </w:r>
          </w:p>
        </w:tc>
        <w:tc>
          <w:tcPr>
            <w:tcW w:w="5846" w:type="dxa"/>
            <w:gridSpan w:val="5"/>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C本项目最大占标率≤100%□</w:t>
            </w:r>
          </w:p>
        </w:tc>
        <w:tc>
          <w:tcPr>
            <w:tcW w:w="5174" w:type="dxa"/>
            <w:gridSpan w:val="3"/>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C本项目最大占标率&gt;100%□</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15" w:type="dxa"/>
            <w:left w:w="108" w:type="dxa"/>
            <w:bottom w:w="15" w:type="dxa"/>
            <w:right w:w="108" w:type="dxa"/>
          </w:tblCellMar>
        </w:tblPrEx>
        <w:trPr>
          <w:trHeight w:val="340" w:hRule="atLeast"/>
          <w:jc w:val="center"/>
        </w:trPr>
        <w:tc>
          <w:tcPr>
            <w:tcW w:w="1218" w:type="dxa"/>
            <w:vMerge w:val="continue"/>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p>
        </w:tc>
        <w:tc>
          <w:tcPr>
            <w:tcW w:w="2151" w:type="dxa"/>
            <w:vMerge w:val="restart"/>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正常排放年均浓度贡献值</w:t>
            </w:r>
          </w:p>
        </w:tc>
        <w:tc>
          <w:tcPr>
            <w:tcW w:w="2407" w:type="dxa"/>
            <w:gridSpan w:val="2"/>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一类区</w:t>
            </w:r>
          </w:p>
        </w:tc>
        <w:tc>
          <w:tcPr>
            <w:tcW w:w="3439" w:type="dxa"/>
            <w:gridSpan w:val="3"/>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C</w:t>
            </w:r>
            <w:r>
              <w:rPr>
                <w:rFonts w:hint="default" w:ascii="Arial" w:hAnsi="Arial" w:eastAsia="宋体" w:cs="Arial"/>
                <w:color w:val="auto"/>
                <w:sz w:val="21"/>
                <w:szCs w:val="21"/>
                <w:highlight w:val="none"/>
                <w:vertAlign w:val="subscript"/>
              </w:rPr>
              <w:t>本项目</w:t>
            </w:r>
            <w:r>
              <w:rPr>
                <w:rFonts w:hint="default" w:ascii="Arial" w:hAnsi="Arial" w:eastAsia="宋体" w:cs="Arial"/>
                <w:color w:val="auto"/>
                <w:sz w:val="21"/>
                <w:szCs w:val="21"/>
                <w:highlight w:val="none"/>
              </w:rPr>
              <w:t>最大占标率≤10%□</w:t>
            </w:r>
          </w:p>
        </w:tc>
        <w:tc>
          <w:tcPr>
            <w:tcW w:w="5174" w:type="dxa"/>
            <w:gridSpan w:val="3"/>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C</w:t>
            </w:r>
            <w:r>
              <w:rPr>
                <w:rFonts w:hint="default" w:ascii="Arial" w:hAnsi="Arial" w:eastAsia="宋体" w:cs="Arial"/>
                <w:color w:val="auto"/>
                <w:sz w:val="21"/>
                <w:szCs w:val="21"/>
                <w:highlight w:val="none"/>
                <w:vertAlign w:val="subscript"/>
              </w:rPr>
              <w:t>本项目</w:t>
            </w:r>
            <w:r>
              <w:rPr>
                <w:rFonts w:hint="default" w:ascii="Arial" w:hAnsi="Arial" w:eastAsia="宋体" w:cs="Arial"/>
                <w:color w:val="auto"/>
                <w:sz w:val="21"/>
                <w:szCs w:val="21"/>
                <w:highlight w:val="none"/>
              </w:rPr>
              <w:t>最大占标率&gt;10%□</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15" w:type="dxa"/>
            <w:left w:w="108" w:type="dxa"/>
            <w:bottom w:w="15" w:type="dxa"/>
            <w:right w:w="108" w:type="dxa"/>
          </w:tblCellMar>
        </w:tblPrEx>
        <w:trPr>
          <w:trHeight w:val="340" w:hRule="atLeast"/>
          <w:jc w:val="center"/>
        </w:trPr>
        <w:tc>
          <w:tcPr>
            <w:tcW w:w="1218" w:type="dxa"/>
            <w:vMerge w:val="continue"/>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p>
        </w:tc>
        <w:tc>
          <w:tcPr>
            <w:tcW w:w="2151" w:type="dxa"/>
            <w:vMerge w:val="continue"/>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p>
        </w:tc>
        <w:tc>
          <w:tcPr>
            <w:tcW w:w="2407" w:type="dxa"/>
            <w:gridSpan w:val="2"/>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二类区</w:t>
            </w:r>
          </w:p>
        </w:tc>
        <w:tc>
          <w:tcPr>
            <w:tcW w:w="3439" w:type="dxa"/>
            <w:gridSpan w:val="3"/>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C</w:t>
            </w:r>
            <w:r>
              <w:rPr>
                <w:rFonts w:hint="default" w:ascii="Arial" w:hAnsi="Arial" w:eastAsia="宋体" w:cs="Arial"/>
                <w:color w:val="auto"/>
                <w:sz w:val="21"/>
                <w:szCs w:val="21"/>
                <w:highlight w:val="none"/>
                <w:vertAlign w:val="subscript"/>
              </w:rPr>
              <w:t>本项目</w:t>
            </w:r>
            <w:r>
              <w:rPr>
                <w:rFonts w:hint="default" w:ascii="Arial" w:hAnsi="Arial" w:eastAsia="宋体" w:cs="Arial"/>
                <w:color w:val="auto"/>
                <w:sz w:val="21"/>
                <w:szCs w:val="21"/>
                <w:highlight w:val="none"/>
              </w:rPr>
              <w:t>最大占标率≤30%□</w:t>
            </w:r>
          </w:p>
        </w:tc>
        <w:tc>
          <w:tcPr>
            <w:tcW w:w="5174" w:type="dxa"/>
            <w:gridSpan w:val="3"/>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C</w:t>
            </w:r>
            <w:r>
              <w:rPr>
                <w:rFonts w:hint="default" w:ascii="Arial" w:hAnsi="Arial" w:eastAsia="宋体" w:cs="Arial"/>
                <w:color w:val="auto"/>
                <w:sz w:val="21"/>
                <w:szCs w:val="21"/>
                <w:highlight w:val="none"/>
                <w:vertAlign w:val="subscript"/>
              </w:rPr>
              <w:t>本项目</w:t>
            </w:r>
            <w:r>
              <w:rPr>
                <w:rFonts w:hint="default" w:ascii="Arial" w:hAnsi="Arial" w:eastAsia="宋体" w:cs="Arial"/>
                <w:color w:val="auto"/>
                <w:sz w:val="21"/>
                <w:szCs w:val="21"/>
                <w:highlight w:val="none"/>
              </w:rPr>
              <w:t>最大占标率&gt;30%□</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15" w:type="dxa"/>
            <w:left w:w="108" w:type="dxa"/>
            <w:bottom w:w="15" w:type="dxa"/>
            <w:right w:w="108" w:type="dxa"/>
          </w:tblCellMar>
        </w:tblPrEx>
        <w:trPr>
          <w:trHeight w:val="340" w:hRule="atLeast"/>
          <w:jc w:val="center"/>
        </w:trPr>
        <w:tc>
          <w:tcPr>
            <w:tcW w:w="1218" w:type="dxa"/>
            <w:vMerge w:val="continue"/>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p>
        </w:tc>
        <w:tc>
          <w:tcPr>
            <w:tcW w:w="2151"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非正常1h浓度贡献值</w:t>
            </w:r>
          </w:p>
        </w:tc>
        <w:tc>
          <w:tcPr>
            <w:tcW w:w="3437" w:type="dxa"/>
            <w:gridSpan w:val="3"/>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非正常持续时长（ ）h</w:t>
            </w:r>
          </w:p>
        </w:tc>
        <w:tc>
          <w:tcPr>
            <w:tcW w:w="4455" w:type="dxa"/>
            <w:gridSpan w:val="3"/>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C</w:t>
            </w:r>
            <w:r>
              <w:rPr>
                <w:rFonts w:hint="default" w:ascii="Arial" w:hAnsi="Arial" w:eastAsia="宋体" w:cs="Arial"/>
                <w:color w:val="auto"/>
                <w:sz w:val="21"/>
                <w:szCs w:val="21"/>
                <w:highlight w:val="none"/>
                <w:vertAlign w:val="subscript"/>
              </w:rPr>
              <w:t>非正常</w:t>
            </w:r>
            <w:r>
              <w:rPr>
                <w:rFonts w:hint="default" w:ascii="Arial" w:hAnsi="Arial" w:eastAsia="宋体" w:cs="Arial"/>
                <w:color w:val="auto"/>
                <w:sz w:val="21"/>
                <w:szCs w:val="21"/>
                <w:highlight w:val="none"/>
              </w:rPr>
              <w:t>占标率≤100%□</w:t>
            </w:r>
          </w:p>
        </w:tc>
        <w:tc>
          <w:tcPr>
            <w:tcW w:w="3128" w:type="dxa"/>
            <w:gridSpan w:val="2"/>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C</w:t>
            </w:r>
            <w:r>
              <w:rPr>
                <w:rFonts w:hint="default" w:ascii="Arial" w:hAnsi="Arial" w:eastAsia="宋体" w:cs="Arial"/>
                <w:color w:val="auto"/>
                <w:sz w:val="21"/>
                <w:szCs w:val="21"/>
                <w:highlight w:val="none"/>
                <w:vertAlign w:val="subscript"/>
              </w:rPr>
              <w:t>非正常</w:t>
            </w:r>
            <w:r>
              <w:rPr>
                <w:rFonts w:hint="default" w:ascii="Arial" w:hAnsi="Arial" w:eastAsia="宋体" w:cs="Arial"/>
                <w:color w:val="auto"/>
                <w:sz w:val="21"/>
                <w:szCs w:val="21"/>
                <w:highlight w:val="none"/>
              </w:rPr>
              <w:t>占标率&gt;100%□</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15" w:type="dxa"/>
            <w:left w:w="108" w:type="dxa"/>
            <w:bottom w:w="15" w:type="dxa"/>
            <w:right w:w="108" w:type="dxa"/>
          </w:tblCellMar>
        </w:tblPrEx>
        <w:trPr>
          <w:trHeight w:val="340" w:hRule="atLeast"/>
          <w:jc w:val="center"/>
        </w:trPr>
        <w:tc>
          <w:tcPr>
            <w:tcW w:w="1218" w:type="dxa"/>
            <w:vMerge w:val="continue"/>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p>
        </w:tc>
        <w:tc>
          <w:tcPr>
            <w:tcW w:w="2151"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保证率日平均浓度和年平均浓度叠加值</w:t>
            </w:r>
          </w:p>
        </w:tc>
        <w:tc>
          <w:tcPr>
            <w:tcW w:w="5846" w:type="dxa"/>
            <w:gridSpan w:val="5"/>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C</w:t>
            </w:r>
            <w:r>
              <w:rPr>
                <w:rFonts w:hint="default" w:ascii="Arial" w:hAnsi="Arial" w:eastAsia="宋体" w:cs="Arial"/>
                <w:color w:val="auto"/>
                <w:sz w:val="21"/>
                <w:szCs w:val="21"/>
                <w:highlight w:val="none"/>
                <w:vertAlign w:val="subscript"/>
              </w:rPr>
              <w:t>叠加</w:t>
            </w:r>
            <w:r>
              <w:rPr>
                <w:rFonts w:hint="default" w:ascii="Arial" w:hAnsi="Arial" w:eastAsia="宋体" w:cs="Arial"/>
                <w:color w:val="auto"/>
                <w:sz w:val="21"/>
                <w:szCs w:val="21"/>
                <w:highlight w:val="none"/>
              </w:rPr>
              <w:t>达标□</w:t>
            </w:r>
          </w:p>
        </w:tc>
        <w:tc>
          <w:tcPr>
            <w:tcW w:w="5174" w:type="dxa"/>
            <w:gridSpan w:val="3"/>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C</w:t>
            </w:r>
            <w:r>
              <w:rPr>
                <w:rFonts w:hint="default" w:ascii="Arial" w:hAnsi="Arial" w:eastAsia="宋体" w:cs="Arial"/>
                <w:color w:val="auto"/>
                <w:sz w:val="21"/>
                <w:szCs w:val="21"/>
                <w:highlight w:val="none"/>
                <w:vertAlign w:val="subscript"/>
              </w:rPr>
              <w:t>叠加</w:t>
            </w:r>
            <w:r>
              <w:rPr>
                <w:rFonts w:hint="default" w:ascii="Arial" w:hAnsi="Arial" w:eastAsia="宋体" w:cs="Arial"/>
                <w:color w:val="auto"/>
                <w:sz w:val="21"/>
                <w:szCs w:val="21"/>
                <w:highlight w:val="none"/>
              </w:rPr>
              <w:t>不达标□</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15" w:type="dxa"/>
            <w:left w:w="108" w:type="dxa"/>
            <w:bottom w:w="15" w:type="dxa"/>
            <w:right w:w="108" w:type="dxa"/>
          </w:tblCellMar>
        </w:tblPrEx>
        <w:trPr>
          <w:trHeight w:val="340" w:hRule="atLeast"/>
          <w:jc w:val="center"/>
        </w:trPr>
        <w:tc>
          <w:tcPr>
            <w:tcW w:w="1218" w:type="dxa"/>
            <w:vMerge w:val="continue"/>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p>
        </w:tc>
        <w:tc>
          <w:tcPr>
            <w:tcW w:w="2151"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区域环境质量的整体变化情况</w:t>
            </w:r>
          </w:p>
        </w:tc>
        <w:tc>
          <w:tcPr>
            <w:tcW w:w="5846" w:type="dxa"/>
            <w:gridSpan w:val="5"/>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k≤-20%□</w:t>
            </w:r>
          </w:p>
        </w:tc>
        <w:tc>
          <w:tcPr>
            <w:tcW w:w="5174" w:type="dxa"/>
            <w:gridSpan w:val="3"/>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k&gt;-20%□</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15" w:type="dxa"/>
            <w:left w:w="108" w:type="dxa"/>
            <w:bottom w:w="15" w:type="dxa"/>
            <w:right w:w="108" w:type="dxa"/>
          </w:tblCellMar>
        </w:tblPrEx>
        <w:trPr>
          <w:trHeight w:val="340" w:hRule="atLeast"/>
          <w:jc w:val="center"/>
        </w:trPr>
        <w:tc>
          <w:tcPr>
            <w:tcW w:w="1218" w:type="dxa"/>
            <w:vMerge w:val="restart"/>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环境监测计划</w:t>
            </w:r>
          </w:p>
        </w:tc>
        <w:tc>
          <w:tcPr>
            <w:tcW w:w="2151"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污染源监测</w:t>
            </w:r>
          </w:p>
        </w:tc>
        <w:tc>
          <w:tcPr>
            <w:tcW w:w="4151" w:type="dxa"/>
            <w:gridSpan w:val="4"/>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监测因子：（氨气、硫化氢、臭气浓度、颗粒物）</w:t>
            </w:r>
          </w:p>
        </w:tc>
        <w:tc>
          <w:tcPr>
            <w:tcW w:w="3741" w:type="dxa"/>
            <w:gridSpan w:val="2"/>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有组织废气监测□</w:t>
            </w:r>
          </w:p>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无组织废气监测</w:t>
            </w:r>
            <w:r>
              <w:rPr>
                <w:rFonts w:hint="default" w:ascii="Arial" w:hAnsi="Arial" w:eastAsia="宋体" w:cs="Arial"/>
                <w:color w:val="auto"/>
                <w:sz w:val="21"/>
                <w:szCs w:val="21"/>
                <w:highlight w:val="none"/>
              </w:rPr>
              <w:fldChar w:fldCharType="begin"/>
            </w:r>
            <w:r>
              <w:rPr>
                <w:rFonts w:hint="default" w:ascii="Arial" w:hAnsi="Arial" w:eastAsia="宋体" w:cs="Arial"/>
                <w:color w:val="auto"/>
                <w:sz w:val="21"/>
                <w:szCs w:val="21"/>
                <w:highlight w:val="none"/>
              </w:rPr>
              <w:instrText xml:space="preserve"> eq \o\ac(□,</w:instrText>
            </w:r>
            <w:r>
              <w:rPr>
                <w:rFonts w:hint="default" w:ascii="Arial" w:hAnsi="Arial" w:eastAsia="宋体" w:cs="Arial"/>
                <w:color w:val="auto"/>
                <w:position w:val="2"/>
                <w:sz w:val="21"/>
                <w:szCs w:val="21"/>
                <w:highlight w:val="none"/>
              </w:rPr>
              <w:instrText xml:space="preserve">√</w:instrText>
            </w:r>
            <w:r>
              <w:rPr>
                <w:rFonts w:hint="default" w:ascii="Arial" w:hAnsi="Arial" w:eastAsia="宋体" w:cs="Arial"/>
                <w:color w:val="auto"/>
                <w:sz w:val="21"/>
                <w:szCs w:val="21"/>
                <w:highlight w:val="none"/>
              </w:rPr>
              <w:instrText xml:space="preserve">)</w:instrText>
            </w:r>
            <w:r>
              <w:rPr>
                <w:rFonts w:hint="default" w:ascii="Arial" w:hAnsi="Arial" w:eastAsia="宋体" w:cs="Arial"/>
                <w:color w:val="auto"/>
                <w:sz w:val="21"/>
                <w:szCs w:val="21"/>
                <w:highlight w:val="none"/>
              </w:rPr>
              <w:fldChar w:fldCharType="end"/>
            </w:r>
          </w:p>
        </w:tc>
        <w:tc>
          <w:tcPr>
            <w:tcW w:w="3128" w:type="dxa"/>
            <w:gridSpan w:val="2"/>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无监测□</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15" w:type="dxa"/>
            <w:left w:w="108" w:type="dxa"/>
            <w:bottom w:w="15" w:type="dxa"/>
            <w:right w:w="108" w:type="dxa"/>
          </w:tblCellMar>
        </w:tblPrEx>
        <w:trPr>
          <w:trHeight w:val="340" w:hRule="atLeast"/>
          <w:jc w:val="center"/>
        </w:trPr>
        <w:tc>
          <w:tcPr>
            <w:tcW w:w="1218" w:type="dxa"/>
            <w:vMerge w:val="continue"/>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p>
        </w:tc>
        <w:tc>
          <w:tcPr>
            <w:tcW w:w="2151"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环境质量监测</w:t>
            </w:r>
          </w:p>
        </w:tc>
        <w:tc>
          <w:tcPr>
            <w:tcW w:w="4151" w:type="dxa"/>
            <w:gridSpan w:val="4"/>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监测因子：（）</w:t>
            </w:r>
          </w:p>
        </w:tc>
        <w:tc>
          <w:tcPr>
            <w:tcW w:w="3741" w:type="dxa"/>
            <w:gridSpan w:val="2"/>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监测点位数（）</w:t>
            </w:r>
          </w:p>
        </w:tc>
        <w:tc>
          <w:tcPr>
            <w:tcW w:w="3128" w:type="dxa"/>
            <w:gridSpan w:val="2"/>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无监测□</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15" w:type="dxa"/>
            <w:left w:w="108" w:type="dxa"/>
            <w:bottom w:w="15" w:type="dxa"/>
            <w:right w:w="108" w:type="dxa"/>
          </w:tblCellMar>
        </w:tblPrEx>
        <w:trPr>
          <w:trHeight w:val="340" w:hRule="atLeast"/>
          <w:jc w:val="center"/>
        </w:trPr>
        <w:tc>
          <w:tcPr>
            <w:tcW w:w="1218" w:type="dxa"/>
            <w:vMerge w:val="restart"/>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评价结论</w:t>
            </w:r>
          </w:p>
        </w:tc>
        <w:tc>
          <w:tcPr>
            <w:tcW w:w="2151"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环境影响</w:t>
            </w:r>
          </w:p>
        </w:tc>
        <w:tc>
          <w:tcPr>
            <w:tcW w:w="11020" w:type="dxa"/>
            <w:gridSpan w:val="8"/>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可以接受</w:t>
            </w:r>
            <w:r>
              <w:rPr>
                <w:rFonts w:hint="default" w:ascii="Arial" w:hAnsi="Arial" w:eastAsia="宋体" w:cs="Arial"/>
                <w:color w:val="auto"/>
                <w:sz w:val="21"/>
                <w:szCs w:val="21"/>
                <w:highlight w:val="none"/>
              </w:rPr>
              <w:fldChar w:fldCharType="begin"/>
            </w:r>
            <w:r>
              <w:rPr>
                <w:rFonts w:hint="default" w:ascii="Arial" w:hAnsi="Arial" w:eastAsia="宋体" w:cs="Arial"/>
                <w:color w:val="auto"/>
                <w:sz w:val="21"/>
                <w:szCs w:val="21"/>
                <w:highlight w:val="none"/>
              </w:rPr>
              <w:instrText xml:space="preserve"> eq \o\ac(□,</w:instrText>
            </w:r>
            <w:r>
              <w:rPr>
                <w:rFonts w:hint="default" w:ascii="Arial" w:hAnsi="Arial" w:eastAsia="宋体" w:cs="Arial"/>
                <w:color w:val="auto"/>
                <w:position w:val="2"/>
                <w:sz w:val="21"/>
                <w:szCs w:val="21"/>
                <w:highlight w:val="none"/>
              </w:rPr>
              <w:instrText xml:space="preserve">√</w:instrText>
            </w:r>
            <w:r>
              <w:rPr>
                <w:rFonts w:hint="default" w:ascii="Arial" w:hAnsi="Arial" w:eastAsia="宋体" w:cs="Arial"/>
                <w:color w:val="auto"/>
                <w:sz w:val="21"/>
                <w:szCs w:val="21"/>
                <w:highlight w:val="none"/>
              </w:rPr>
              <w:instrText xml:space="preserve">)</w:instrText>
            </w:r>
            <w:r>
              <w:rPr>
                <w:rFonts w:hint="default" w:ascii="Arial" w:hAnsi="Arial" w:eastAsia="宋体" w:cs="Arial"/>
                <w:color w:val="auto"/>
                <w:sz w:val="21"/>
                <w:szCs w:val="21"/>
                <w:highlight w:val="none"/>
              </w:rPr>
              <w:fldChar w:fldCharType="end"/>
            </w:r>
            <w:r>
              <w:rPr>
                <w:rFonts w:hint="default" w:ascii="Arial" w:hAnsi="Arial" w:eastAsia="宋体" w:cs="Arial"/>
                <w:color w:val="auto"/>
                <w:sz w:val="21"/>
                <w:szCs w:val="21"/>
                <w:highlight w:val="none"/>
              </w:rPr>
              <w:t xml:space="preserve">            不可以接受□</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15" w:type="dxa"/>
            <w:left w:w="108" w:type="dxa"/>
            <w:bottom w:w="15" w:type="dxa"/>
            <w:right w:w="108" w:type="dxa"/>
          </w:tblCellMar>
        </w:tblPrEx>
        <w:trPr>
          <w:trHeight w:val="340" w:hRule="atLeast"/>
          <w:jc w:val="center"/>
        </w:trPr>
        <w:tc>
          <w:tcPr>
            <w:tcW w:w="1218" w:type="dxa"/>
            <w:vMerge w:val="continue"/>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p>
        </w:tc>
        <w:tc>
          <w:tcPr>
            <w:tcW w:w="2151"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大气环境防护距离</w:t>
            </w:r>
          </w:p>
        </w:tc>
        <w:tc>
          <w:tcPr>
            <w:tcW w:w="11020" w:type="dxa"/>
            <w:gridSpan w:val="8"/>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距（    )厂界最远（    ）m</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15" w:type="dxa"/>
            <w:left w:w="108" w:type="dxa"/>
            <w:bottom w:w="15" w:type="dxa"/>
            <w:right w:w="108" w:type="dxa"/>
          </w:tblCellMar>
        </w:tblPrEx>
        <w:trPr>
          <w:trHeight w:val="340" w:hRule="atLeast"/>
          <w:jc w:val="center"/>
        </w:trPr>
        <w:tc>
          <w:tcPr>
            <w:tcW w:w="1218" w:type="dxa"/>
            <w:vMerge w:val="continue"/>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p>
        </w:tc>
        <w:tc>
          <w:tcPr>
            <w:tcW w:w="2151"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污染源年排放量</w:t>
            </w:r>
          </w:p>
        </w:tc>
        <w:tc>
          <w:tcPr>
            <w:tcW w:w="3437" w:type="dxa"/>
            <w:gridSpan w:val="3"/>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SO</w:t>
            </w:r>
            <w:r>
              <w:rPr>
                <w:rFonts w:hint="default" w:ascii="Arial" w:hAnsi="Arial" w:eastAsia="宋体" w:cs="Arial"/>
                <w:color w:val="auto"/>
                <w:sz w:val="21"/>
                <w:szCs w:val="21"/>
                <w:highlight w:val="none"/>
                <w:vertAlign w:val="subscript"/>
              </w:rPr>
              <w:t>2</w:t>
            </w:r>
            <w:r>
              <w:rPr>
                <w:rFonts w:hint="default" w:ascii="Arial" w:hAnsi="Arial" w:eastAsia="宋体" w:cs="Arial"/>
                <w:color w:val="auto"/>
                <w:sz w:val="21"/>
                <w:szCs w:val="21"/>
                <w:highlight w:val="none"/>
              </w:rPr>
              <w:t>:( )t/a</w:t>
            </w:r>
          </w:p>
        </w:tc>
        <w:tc>
          <w:tcPr>
            <w:tcW w:w="2409" w:type="dxa"/>
            <w:gridSpan w:val="2"/>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NOx:( )t/a</w:t>
            </w:r>
          </w:p>
        </w:tc>
        <w:tc>
          <w:tcPr>
            <w:tcW w:w="2046"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颗粒物:(0.172)t/a</w:t>
            </w:r>
          </w:p>
        </w:tc>
        <w:tc>
          <w:tcPr>
            <w:tcW w:w="3128" w:type="dxa"/>
            <w:gridSpan w:val="2"/>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VOCs:( )t/a</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15" w:type="dxa"/>
            <w:left w:w="108" w:type="dxa"/>
            <w:bottom w:w="15" w:type="dxa"/>
            <w:right w:w="108" w:type="dxa"/>
          </w:tblCellMar>
        </w:tblPrEx>
        <w:trPr>
          <w:trHeight w:val="340" w:hRule="atLeast"/>
          <w:jc w:val="center"/>
        </w:trPr>
        <w:tc>
          <w:tcPr>
            <w:tcW w:w="14389" w:type="dxa"/>
            <w:gridSpan w:val="10"/>
            <w:vAlign w:val="center"/>
          </w:tcPr>
          <w:p>
            <w:pPr>
              <w:pStyle w:val="63"/>
              <w:keepNext w:val="0"/>
              <w:keepLines w:val="0"/>
              <w:pageBreakBefore w:val="0"/>
              <w:widowControl w:val="0"/>
              <w:kinsoku/>
              <w:wordWrap/>
              <w:overflowPunct/>
              <w:topLinePunct/>
              <w:autoSpaceDE w:val="0"/>
              <w:autoSpaceDN/>
              <w:bidi w:val="0"/>
              <w:adjustRightInd/>
              <w:snapToGrid/>
              <w:jc w:val="left"/>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注：“□”，填“√”；“（  ）”为内容填写项</w:t>
            </w:r>
          </w:p>
        </w:tc>
      </w:tr>
    </w:tbl>
    <w:p>
      <w:pPr>
        <w:ind w:firstLine="480"/>
        <w:rPr>
          <w:rFonts w:hint="default" w:ascii="Arial" w:hAnsi="Arial" w:eastAsia="宋体" w:cs="Arial"/>
          <w:color w:val="auto"/>
          <w:highlight w:val="none"/>
        </w:rPr>
      </w:pPr>
    </w:p>
    <w:p>
      <w:pPr>
        <w:ind w:firstLine="480"/>
        <w:rPr>
          <w:rFonts w:hint="default" w:ascii="Arial" w:hAnsi="Arial" w:eastAsia="宋体" w:cs="Arial"/>
          <w:color w:val="auto"/>
          <w:highlight w:val="none"/>
        </w:rPr>
      </w:pPr>
    </w:p>
    <w:p>
      <w:pPr>
        <w:ind w:firstLine="480"/>
        <w:rPr>
          <w:rFonts w:hint="default" w:ascii="Arial" w:hAnsi="Arial" w:eastAsia="宋体" w:cs="Arial"/>
          <w:color w:val="auto"/>
          <w:highlight w:val="none"/>
        </w:rPr>
      </w:pPr>
    </w:p>
    <w:p>
      <w:pPr>
        <w:ind w:firstLine="480"/>
        <w:rPr>
          <w:rFonts w:hint="default" w:ascii="Arial" w:hAnsi="Arial" w:eastAsia="宋体" w:cs="Arial"/>
          <w:color w:val="auto"/>
          <w:highlight w:val="none"/>
        </w:rPr>
        <w:sectPr>
          <w:pgSz w:w="16838" w:h="11906" w:orient="landscape"/>
          <w:pgMar w:top="1418" w:right="1247" w:bottom="1701" w:left="1418" w:header="851" w:footer="680" w:gutter="0"/>
          <w:pgBorders>
            <w:top w:val="none" w:sz="0" w:space="0"/>
            <w:left w:val="none" w:sz="0" w:space="0"/>
            <w:bottom w:val="none" w:sz="0" w:space="0"/>
            <w:right w:val="none" w:sz="0" w:space="0"/>
          </w:pgBorders>
          <w:pgNumType w:fmt="numberInDash"/>
          <w:cols w:space="720" w:num="1"/>
          <w:docGrid w:linePitch="326" w:charSpace="0"/>
        </w:sectPr>
      </w:pPr>
    </w:p>
    <w:p>
      <w:pPr>
        <w:pStyle w:val="5"/>
        <w:rPr>
          <w:rFonts w:hint="default" w:ascii="Arial" w:hAnsi="Arial" w:eastAsia="宋体" w:cs="Arial"/>
          <w:color w:val="auto"/>
          <w:highlight w:val="none"/>
        </w:rPr>
      </w:pPr>
      <w:bookmarkStart w:id="359" w:name="_Toc13170"/>
      <w:r>
        <w:rPr>
          <w:rFonts w:hint="default" w:ascii="Arial" w:hAnsi="Arial" w:eastAsia="宋体" w:cs="Arial"/>
          <w:color w:val="auto"/>
          <w:highlight w:val="none"/>
        </w:rPr>
        <w:t>5.3运营期地表水环境影响分析</w:t>
      </w:r>
      <w:bookmarkEnd w:id="359"/>
    </w:p>
    <w:p>
      <w:pPr>
        <w:ind w:firstLine="480"/>
        <w:jc w:val="both"/>
        <w:rPr>
          <w:rFonts w:hint="default" w:ascii="Arial" w:hAnsi="Arial" w:eastAsia="宋体" w:cs="Arial"/>
          <w:color w:val="auto"/>
          <w:highlight w:val="none"/>
        </w:rPr>
      </w:pPr>
      <w:r>
        <w:rPr>
          <w:rFonts w:hint="default" w:ascii="Arial" w:hAnsi="Arial" w:eastAsia="宋体" w:cs="Arial"/>
          <w:color w:val="auto"/>
          <w:highlight w:val="none"/>
        </w:rPr>
        <w:t>项目采用雨污分流排水。</w:t>
      </w:r>
    </w:p>
    <w:p>
      <w:pPr>
        <w:ind w:firstLine="480"/>
        <w:jc w:val="both"/>
        <w:rPr>
          <w:rFonts w:hint="default" w:ascii="Arial" w:hAnsi="Arial" w:eastAsia="宋体" w:cs="Arial"/>
          <w:color w:val="auto"/>
          <w:highlight w:val="none"/>
        </w:rPr>
      </w:pPr>
      <w:r>
        <w:rPr>
          <w:rFonts w:hint="default" w:ascii="Arial" w:hAnsi="Arial" w:eastAsia="宋体" w:cs="Arial"/>
          <w:color w:val="auto"/>
          <w:highlight w:val="none"/>
        </w:rPr>
        <w:t>（1）牛舍屋面设置合适坡度并在屋檐设置导流槽，将雨水导出不排入运动场内，屋面雨水采用自流式排水，经过雨水管道排入场区排水沟排出。</w:t>
      </w:r>
    </w:p>
    <w:p>
      <w:pPr>
        <w:ind w:firstLine="480"/>
        <w:jc w:val="both"/>
        <w:rPr>
          <w:rFonts w:hint="default" w:ascii="Arial" w:hAnsi="Arial" w:eastAsia="宋体" w:cs="Arial"/>
          <w:color w:val="auto"/>
          <w:highlight w:val="none"/>
        </w:rPr>
      </w:pPr>
      <w:r>
        <w:rPr>
          <w:rFonts w:hint="default" w:ascii="Arial" w:hAnsi="Arial" w:eastAsia="宋体" w:cs="Arial"/>
          <w:color w:val="auto"/>
          <w:highlight w:val="none"/>
        </w:rPr>
        <w:t>（2）运动场设置挡水坡道，防止雨水进入运动场；</w:t>
      </w:r>
    </w:p>
    <w:p>
      <w:pPr>
        <w:ind w:firstLine="480"/>
        <w:jc w:val="both"/>
        <w:rPr>
          <w:rFonts w:hint="default" w:ascii="Arial" w:hAnsi="Arial" w:eastAsia="宋体" w:cs="Arial"/>
          <w:color w:val="auto"/>
          <w:highlight w:val="none"/>
        </w:rPr>
      </w:pPr>
      <w:r>
        <w:rPr>
          <w:rFonts w:hint="default" w:ascii="Arial" w:hAnsi="Arial" w:eastAsia="宋体" w:cs="Arial"/>
          <w:color w:val="auto"/>
          <w:highlight w:val="none"/>
        </w:rPr>
        <w:t>（3）</w:t>
      </w:r>
      <w:r>
        <w:rPr>
          <w:rFonts w:hint="default" w:ascii="Arial" w:hAnsi="Arial" w:eastAsia="宋体" w:cs="Arial"/>
          <w:color w:val="auto"/>
          <w:highlight w:val="none"/>
          <w:lang w:eastAsia="zh-CN"/>
        </w:rPr>
        <w:t>堆肥场</w:t>
      </w:r>
      <w:r>
        <w:rPr>
          <w:rFonts w:hint="default" w:ascii="Arial" w:hAnsi="Arial" w:eastAsia="宋体" w:cs="Arial"/>
          <w:color w:val="auto"/>
          <w:highlight w:val="none"/>
        </w:rPr>
        <w:t>底部进行硬化防渗处理，四面设围墙及导流渠，墙高1m，防止进因雨水进入造成外溢，形成二次污染。</w:t>
      </w:r>
    </w:p>
    <w:p>
      <w:pPr>
        <w:ind w:firstLine="480"/>
        <w:jc w:val="both"/>
        <w:rPr>
          <w:rFonts w:hint="default" w:ascii="Arial" w:hAnsi="Arial" w:eastAsia="宋体" w:cs="Arial"/>
          <w:color w:val="auto"/>
          <w:highlight w:val="none"/>
        </w:rPr>
      </w:pPr>
      <w:r>
        <w:rPr>
          <w:rFonts w:hint="default" w:ascii="Arial" w:hAnsi="Arial" w:eastAsia="宋体" w:cs="Arial"/>
          <w:color w:val="auto"/>
          <w:highlight w:val="none"/>
        </w:rPr>
        <w:t>（4）项目生活污水经化粪池暂存处理后，定期清掏。</w:t>
      </w:r>
    </w:p>
    <w:p>
      <w:pPr>
        <w:ind w:firstLine="480"/>
        <w:jc w:val="both"/>
        <w:rPr>
          <w:rFonts w:hint="default" w:ascii="Arial" w:hAnsi="Arial" w:eastAsia="宋体" w:cs="Arial"/>
          <w:color w:val="auto"/>
          <w:kern w:val="0"/>
          <w:sz w:val="24"/>
          <w:szCs w:val="24"/>
          <w:lang w:val="en-US" w:eastAsia="zh-CN"/>
        </w:rPr>
      </w:pPr>
      <w:r>
        <w:rPr>
          <w:rFonts w:hint="default" w:ascii="Arial" w:hAnsi="Arial" w:eastAsia="宋体" w:cs="Arial"/>
          <w:color w:val="auto"/>
          <w:sz w:val="24"/>
          <w:szCs w:val="28"/>
          <w:lang w:eastAsia="zh-CN"/>
        </w:rPr>
        <w:t>（</w:t>
      </w:r>
      <w:r>
        <w:rPr>
          <w:rFonts w:hint="default" w:ascii="Arial" w:hAnsi="Arial" w:eastAsia="宋体" w:cs="Arial"/>
          <w:color w:val="auto"/>
          <w:sz w:val="24"/>
          <w:szCs w:val="28"/>
          <w:lang w:val="en-US" w:eastAsia="zh-CN"/>
        </w:rPr>
        <w:t>5</w:t>
      </w:r>
      <w:r>
        <w:rPr>
          <w:rFonts w:hint="default" w:ascii="Arial" w:hAnsi="Arial" w:eastAsia="宋体" w:cs="Arial"/>
          <w:color w:val="auto"/>
          <w:sz w:val="24"/>
          <w:szCs w:val="28"/>
          <w:lang w:eastAsia="zh-CN"/>
        </w:rPr>
        <w:t>）</w:t>
      </w:r>
      <w:r>
        <w:rPr>
          <w:rFonts w:hint="default" w:ascii="Arial" w:hAnsi="Arial" w:eastAsia="宋体" w:cs="Arial"/>
          <w:color w:val="auto"/>
          <w:sz w:val="24"/>
          <w:szCs w:val="28"/>
        </w:rPr>
        <w:t>本项目</w:t>
      </w:r>
      <w:r>
        <w:rPr>
          <w:rFonts w:hint="default" w:ascii="Arial" w:hAnsi="Arial" w:eastAsia="宋体" w:cs="Arial"/>
          <w:color w:val="auto"/>
          <w:kern w:val="0"/>
          <w:sz w:val="24"/>
          <w:szCs w:val="24"/>
          <w:lang w:eastAsia="zh-CN"/>
        </w:rPr>
        <w:t>肉牛饲养过程中饮用水量较少，排放的尿液较少，并且牛粪较为干燥，在</w:t>
      </w:r>
      <w:r>
        <w:rPr>
          <w:rFonts w:hint="default" w:ascii="Arial" w:hAnsi="Arial" w:eastAsia="宋体" w:cs="Arial"/>
          <w:color w:val="auto"/>
          <w:kern w:val="0"/>
          <w:sz w:val="24"/>
          <w:szCs w:val="24"/>
        </w:rPr>
        <w:t>养殖区</w:t>
      </w:r>
      <w:r>
        <w:rPr>
          <w:rFonts w:hint="default" w:ascii="Arial" w:hAnsi="Arial" w:eastAsia="宋体" w:cs="Arial"/>
          <w:color w:val="auto"/>
          <w:kern w:val="0"/>
          <w:sz w:val="24"/>
          <w:szCs w:val="24"/>
          <w:lang w:eastAsia="zh-CN"/>
        </w:rPr>
        <w:t>（</w:t>
      </w:r>
      <w:r>
        <w:rPr>
          <w:rFonts w:hint="default" w:ascii="Arial" w:hAnsi="Arial" w:eastAsia="宋体" w:cs="Arial"/>
          <w:color w:val="auto"/>
          <w:kern w:val="0"/>
          <w:sz w:val="24"/>
          <w:szCs w:val="24"/>
        </w:rPr>
        <w:t>牛舍</w:t>
      </w:r>
      <w:r>
        <w:rPr>
          <w:rFonts w:hint="default" w:ascii="Arial" w:hAnsi="Arial" w:eastAsia="宋体" w:cs="Arial"/>
          <w:color w:val="auto"/>
          <w:kern w:val="0"/>
          <w:sz w:val="24"/>
          <w:szCs w:val="24"/>
          <w:lang w:eastAsia="zh-CN"/>
        </w:rPr>
        <w:t>、运动场）排放的尿液大部分由于当地气候干燥挥发，剩余尿液与粪便完全粘结混合在一起，一起运往堆粪场</w:t>
      </w:r>
      <w:r>
        <w:rPr>
          <w:rFonts w:hint="default" w:ascii="Arial" w:hAnsi="Arial" w:eastAsia="宋体" w:cs="Arial"/>
          <w:color w:val="auto"/>
          <w:kern w:val="0"/>
          <w:sz w:val="24"/>
          <w:szCs w:val="24"/>
        </w:rPr>
        <w:t>储存并堆肥</w:t>
      </w:r>
      <w:r>
        <w:rPr>
          <w:rFonts w:hint="default" w:ascii="Arial" w:hAnsi="Arial" w:eastAsia="宋体" w:cs="Arial"/>
          <w:color w:val="auto"/>
          <w:kern w:val="0"/>
          <w:sz w:val="24"/>
          <w:szCs w:val="24"/>
          <w:lang w:eastAsia="zh-CN"/>
        </w:rPr>
        <w:t>，因此，没有尿液排放；</w:t>
      </w:r>
      <w:r>
        <w:rPr>
          <w:rFonts w:hint="default" w:ascii="Arial" w:hAnsi="Arial" w:eastAsia="宋体" w:cs="Arial"/>
          <w:color w:val="auto"/>
          <w:kern w:val="0"/>
          <w:sz w:val="24"/>
          <w:szCs w:val="24"/>
        </w:rPr>
        <w:t>养殖区</w:t>
      </w:r>
      <w:r>
        <w:rPr>
          <w:rFonts w:hint="default" w:ascii="Arial" w:hAnsi="Arial" w:eastAsia="宋体" w:cs="Arial"/>
          <w:color w:val="auto"/>
          <w:kern w:val="0"/>
          <w:sz w:val="24"/>
          <w:szCs w:val="24"/>
          <w:lang w:eastAsia="zh-CN"/>
        </w:rPr>
        <w:t>（</w:t>
      </w:r>
      <w:r>
        <w:rPr>
          <w:rFonts w:hint="default" w:ascii="Arial" w:hAnsi="Arial" w:eastAsia="宋体" w:cs="Arial"/>
          <w:color w:val="auto"/>
          <w:kern w:val="0"/>
          <w:sz w:val="24"/>
          <w:szCs w:val="24"/>
        </w:rPr>
        <w:t>牛舍</w:t>
      </w:r>
      <w:r>
        <w:rPr>
          <w:rFonts w:hint="default" w:ascii="Arial" w:hAnsi="Arial" w:eastAsia="宋体" w:cs="Arial"/>
          <w:color w:val="auto"/>
          <w:kern w:val="0"/>
          <w:sz w:val="24"/>
          <w:szCs w:val="24"/>
          <w:lang w:eastAsia="zh-CN"/>
        </w:rPr>
        <w:t>、运动场）场地不采取水冲洗方式清理，采用生石灰或者消毒水每周喷洒消毒</w:t>
      </w:r>
      <w:r>
        <w:rPr>
          <w:rFonts w:hint="default" w:ascii="Arial" w:hAnsi="Arial" w:eastAsia="宋体" w:cs="Arial"/>
          <w:color w:val="auto"/>
          <w:kern w:val="0"/>
          <w:sz w:val="24"/>
          <w:szCs w:val="24"/>
          <w:lang w:val="en-US" w:eastAsia="zh-CN"/>
        </w:rPr>
        <w:t>2~3次</w:t>
      </w:r>
      <w:r>
        <w:rPr>
          <w:rFonts w:hint="default" w:ascii="Arial" w:hAnsi="Arial" w:eastAsia="宋体" w:cs="Arial"/>
          <w:color w:val="auto"/>
          <w:kern w:val="0"/>
          <w:sz w:val="24"/>
          <w:szCs w:val="24"/>
          <w:lang w:eastAsia="zh-CN"/>
        </w:rPr>
        <w:t>，因此，</w:t>
      </w:r>
      <w:r>
        <w:rPr>
          <w:rFonts w:hint="default" w:ascii="Arial" w:hAnsi="Arial" w:eastAsia="宋体" w:cs="Arial"/>
          <w:color w:val="auto"/>
          <w:kern w:val="0"/>
          <w:sz w:val="24"/>
          <w:szCs w:val="24"/>
        </w:rPr>
        <w:t>养殖区</w:t>
      </w:r>
      <w:r>
        <w:rPr>
          <w:rFonts w:hint="default" w:ascii="Arial" w:hAnsi="Arial" w:eastAsia="宋体" w:cs="Arial"/>
          <w:color w:val="auto"/>
          <w:kern w:val="0"/>
          <w:sz w:val="24"/>
          <w:szCs w:val="24"/>
          <w:lang w:eastAsia="zh-CN"/>
        </w:rPr>
        <w:t>（</w:t>
      </w:r>
      <w:r>
        <w:rPr>
          <w:rFonts w:hint="default" w:ascii="Arial" w:hAnsi="Arial" w:eastAsia="宋体" w:cs="Arial"/>
          <w:color w:val="auto"/>
          <w:kern w:val="0"/>
          <w:sz w:val="24"/>
          <w:szCs w:val="24"/>
        </w:rPr>
        <w:t>牛舍</w:t>
      </w:r>
      <w:r>
        <w:rPr>
          <w:rFonts w:hint="default" w:ascii="Arial" w:hAnsi="Arial" w:eastAsia="宋体" w:cs="Arial"/>
          <w:color w:val="auto"/>
          <w:kern w:val="0"/>
          <w:sz w:val="24"/>
          <w:szCs w:val="24"/>
          <w:lang w:eastAsia="zh-CN"/>
        </w:rPr>
        <w:t>、运动场）</w:t>
      </w:r>
      <w:r>
        <w:rPr>
          <w:rFonts w:hint="default" w:ascii="Arial" w:hAnsi="Arial" w:eastAsia="宋体" w:cs="Arial"/>
          <w:color w:val="auto"/>
          <w:kern w:val="0"/>
          <w:sz w:val="24"/>
          <w:szCs w:val="24"/>
        </w:rPr>
        <w:t>不产生冲洗废水</w:t>
      </w:r>
      <w:r>
        <w:rPr>
          <w:rFonts w:hint="default" w:ascii="Arial" w:hAnsi="Arial" w:eastAsia="宋体" w:cs="Arial"/>
          <w:color w:val="auto"/>
          <w:kern w:val="0"/>
          <w:sz w:val="24"/>
          <w:szCs w:val="24"/>
          <w:lang w:val="en-US" w:eastAsia="zh-CN"/>
        </w:rPr>
        <w:t>。</w:t>
      </w:r>
    </w:p>
    <w:p>
      <w:pPr>
        <w:ind w:firstLine="480"/>
        <w:jc w:val="both"/>
        <w:rPr>
          <w:rFonts w:hint="default" w:ascii="Arial" w:hAnsi="Arial" w:eastAsia="宋体" w:cs="Arial"/>
          <w:color w:val="auto"/>
          <w:highlight w:val="none"/>
        </w:rPr>
      </w:pPr>
      <w:r>
        <w:rPr>
          <w:rFonts w:hint="default" w:ascii="Arial" w:hAnsi="Arial" w:eastAsia="宋体" w:cs="Arial"/>
          <w:color w:val="auto"/>
          <w:highlight w:val="none"/>
        </w:rPr>
        <w:t>综上所述，本项目废水采取有效的处理处置措施后，同时采用雨污分流，厂区清净雨水通过雨水管道自流式排出，项目对粪污及初期雨水控制减缓措施是有效的。</w:t>
      </w:r>
    </w:p>
    <w:p>
      <w:pPr>
        <w:pStyle w:val="5"/>
        <w:rPr>
          <w:rFonts w:hint="default" w:ascii="Arial" w:hAnsi="Arial" w:eastAsia="宋体" w:cs="Arial"/>
          <w:color w:val="auto"/>
          <w:highlight w:val="none"/>
        </w:rPr>
      </w:pPr>
      <w:bookmarkStart w:id="360" w:name="_Toc31903"/>
      <w:r>
        <w:rPr>
          <w:rFonts w:hint="default" w:ascii="Arial" w:hAnsi="Arial" w:eastAsia="宋体" w:cs="Arial"/>
          <w:color w:val="auto"/>
          <w:highlight w:val="none"/>
        </w:rPr>
        <w:t>5.4运营期地下水环境影响</w:t>
      </w:r>
      <w:bookmarkEnd w:id="360"/>
    </w:p>
    <w:p>
      <w:pPr>
        <w:pStyle w:val="6"/>
        <w:rPr>
          <w:rFonts w:hint="default" w:ascii="Arial" w:hAnsi="Arial" w:eastAsia="宋体" w:cs="Arial"/>
          <w:color w:val="auto"/>
          <w:highlight w:val="none"/>
        </w:rPr>
      </w:pPr>
      <w:bookmarkStart w:id="361" w:name="_Toc31344"/>
      <w:r>
        <w:rPr>
          <w:rFonts w:hint="default" w:ascii="Arial" w:hAnsi="Arial" w:eastAsia="宋体" w:cs="Arial"/>
          <w:color w:val="auto"/>
          <w:highlight w:val="none"/>
        </w:rPr>
        <w:t>5.4.1环境水文地质条件</w:t>
      </w:r>
      <w:bookmarkEnd w:id="361"/>
    </w:p>
    <w:p>
      <w:pPr>
        <w:pStyle w:val="7"/>
        <w:rPr>
          <w:rFonts w:hint="default" w:ascii="Arial" w:hAnsi="Arial" w:eastAsia="宋体" w:cs="Arial"/>
          <w:color w:val="auto"/>
          <w:highlight w:val="none"/>
        </w:rPr>
      </w:pPr>
      <w:r>
        <w:rPr>
          <w:rFonts w:hint="default" w:ascii="Arial" w:hAnsi="Arial" w:eastAsia="宋体" w:cs="Arial"/>
          <w:color w:val="auto"/>
          <w:highlight w:val="none"/>
        </w:rPr>
        <w:t>5.4.1.1区域水文地质条件</w:t>
      </w:r>
    </w:p>
    <w:p>
      <w:pPr>
        <w:ind w:firstLine="480"/>
        <w:rPr>
          <w:rFonts w:hint="default" w:ascii="Arial" w:hAnsi="Arial" w:eastAsia="宋体" w:cs="Arial"/>
          <w:color w:val="auto"/>
        </w:rPr>
      </w:pPr>
      <w:r>
        <w:rPr>
          <w:rFonts w:hint="default" w:ascii="Arial" w:hAnsi="Arial" w:eastAsia="宋体" w:cs="Arial"/>
          <w:color w:val="auto"/>
        </w:rPr>
        <w:t>经查阅本项目所在区域水文地质资料，按地下水的赋存条件和含水介质可划分主要为第四系松散岩类孔隙潜水。主要分布于整个项目区</w:t>
      </w:r>
      <w:r>
        <w:rPr>
          <w:rFonts w:hint="default" w:ascii="Arial" w:hAnsi="Arial" w:eastAsia="宋体" w:cs="Arial"/>
          <w:color w:val="auto"/>
          <w:lang w:eastAsia="zh-CN"/>
        </w:rPr>
        <w:t>域</w:t>
      </w:r>
      <w:r>
        <w:rPr>
          <w:rFonts w:hint="default" w:ascii="Arial" w:hAnsi="Arial" w:eastAsia="宋体" w:cs="Arial"/>
          <w:color w:val="auto"/>
        </w:rPr>
        <w:t>内。潜水含水层埋深在100m深度内，水位埋深较潜一般在0.5～2.5m，含水层岩性以粉砂、细砂为主，厚度50～80m，单井涌水量：5～10m</w:t>
      </w:r>
      <w:r>
        <w:rPr>
          <w:rFonts w:hint="default" w:ascii="Arial" w:hAnsi="Arial" w:eastAsia="宋体" w:cs="Arial"/>
          <w:color w:val="auto"/>
          <w:vertAlign w:val="superscript"/>
        </w:rPr>
        <w:t>3</w:t>
      </w:r>
      <w:r>
        <w:rPr>
          <w:rFonts w:hint="default" w:ascii="Arial" w:hAnsi="Arial" w:eastAsia="宋体" w:cs="Arial"/>
          <w:color w:val="auto"/>
        </w:rPr>
        <w:t>/h·m。属较富水区。水质南部较好，为矿化度小于1g/L的HCO</w:t>
      </w:r>
      <w:r>
        <w:rPr>
          <w:rFonts w:hint="default" w:ascii="Arial" w:hAnsi="Arial" w:eastAsia="宋体" w:cs="Arial"/>
          <w:color w:val="auto"/>
          <w:vertAlign w:val="subscript"/>
        </w:rPr>
        <w:t>3</w:t>
      </w:r>
      <w:r>
        <w:rPr>
          <w:rFonts w:hint="default" w:ascii="Arial" w:hAnsi="Arial" w:eastAsia="宋体" w:cs="Arial"/>
          <w:color w:val="auto"/>
        </w:rPr>
        <w:t>-Ca·Mg、HCO</w:t>
      </w:r>
      <w:r>
        <w:rPr>
          <w:rFonts w:hint="default" w:ascii="Arial" w:hAnsi="Arial" w:eastAsia="宋体" w:cs="Arial"/>
          <w:color w:val="auto"/>
          <w:vertAlign w:val="subscript"/>
        </w:rPr>
        <w:t>3</w:t>
      </w:r>
      <w:r>
        <w:rPr>
          <w:rFonts w:hint="default" w:ascii="Arial" w:hAnsi="Arial" w:eastAsia="宋体" w:cs="Arial"/>
          <w:color w:val="auto"/>
        </w:rPr>
        <w:t>-Ca·Mg·Na型水。北部水质较差，矿化度大于3g/L。</w:t>
      </w:r>
    </w:p>
    <w:p>
      <w:pPr>
        <w:ind w:firstLine="480"/>
        <w:rPr>
          <w:rFonts w:hint="default" w:ascii="Arial" w:hAnsi="Arial" w:eastAsia="宋体" w:cs="Arial"/>
          <w:color w:val="auto"/>
        </w:rPr>
      </w:pPr>
      <w:r>
        <w:rPr>
          <w:rFonts w:hint="default" w:ascii="Arial" w:hAnsi="Arial" w:eastAsia="宋体" w:cs="Arial"/>
          <w:color w:val="auto"/>
        </w:rPr>
        <w:t>项目所在区域在45m钻探深度范围内，除表层分布有厚度不等的耕质土外，场地天然地层均为第四系冲洪积地层，根据地层岩性及成因的不同，可分为五层：</w:t>
      </w:r>
    </w:p>
    <w:p>
      <w:pPr>
        <w:ind w:firstLine="480"/>
        <w:rPr>
          <w:rFonts w:hint="default" w:ascii="Arial" w:hAnsi="Arial" w:eastAsia="宋体" w:cs="Arial"/>
          <w:color w:val="auto"/>
        </w:rPr>
      </w:pPr>
      <w:r>
        <w:rPr>
          <w:rFonts w:hint="default" w:ascii="Arial" w:hAnsi="Arial" w:eastAsia="宋体" w:cs="Arial"/>
          <w:color w:val="auto"/>
        </w:rPr>
        <w:t>第①层粉土：该层主要由粉土夹粉质粘土组成，局部为粉砂夹层或透镜体；粉土呈灰黄色～褐黄色，含有云母及氧化铁，天然状态下呈湿～很湿，稍密～中密状态，摇震反应轻微，无光泽反应，韧性及干强度低。厚度变化在0.30～4.30米之间，层底标高变化在1018.84～1021.98米之间；</w:t>
      </w:r>
    </w:p>
    <w:p>
      <w:pPr>
        <w:ind w:firstLine="480"/>
        <w:rPr>
          <w:rFonts w:hint="default" w:ascii="Arial" w:hAnsi="Arial" w:eastAsia="宋体" w:cs="Arial"/>
          <w:color w:val="auto"/>
        </w:rPr>
      </w:pPr>
      <w:r>
        <w:rPr>
          <w:rFonts w:hint="default" w:ascii="Arial" w:hAnsi="Arial" w:eastAsia="宋体" w:cs="Arial"/>
          <w:color w:val="auto"/>
        </w:rPr>
        <w:t>第①-1层粉质粘土：黄褐色～灰黄色，含有云母及氧化铁。天然状态下呈很湿～饱和，软塑～可塑状态，无摇震反应，光泽反应一般，韧性及干强度中等。该层以夹层的形式分布于第①层粉土中，厚度变化在0.30～2.00米之间；</w:t>
      </w:r>
    </w:p>
    <w:p>
      <w:pPr>
        <w:ind w:firstLine="480"/>
        <w:rPr>
          <w:rFonts w:hint="default" w:ascii="Arial" w:hAnsi="Arial" w:eastAsia="宋体" w:cs="Arial"/>
          <w:color w:val="auto"/>
        </w:rPr>
      </w:pPr>
      <w:r>
        <w:rPr>
          <w:rFonts w:hint="default" w:ascii="Arial" w:hAnsi="Arial" w:eastAsia="宋体" w:cs="Arial"/>
          <w:color w:val="auto"/>
        </w:rPr>
        <w:t>第①-2层粉砂：黄褐色～灰黄色，均粒结构，以夹层和透镜体的形式分布。天然状态下呈很湿～饱和，松散～稍密状态；</w:t>
      </w:r>
    </w:p>
    <w:p>
      <w:pPr>
        <w:ind w:firstLine="480"/>
        <w:rPr>
          <w:rFonts w:hint="default" w:ascii="Arial" w:hAnsi="Arial" w:eastAsia="宋体" w:cs="Arial"/>
          <w:color w:val="auto"/>
        </w:rPr>
      </w:pPr>
      <w:r>
        <w:rPr>
          <w:rFonts w:hint="default" w:ascii="Arial" w:hAnsi="Arial" w:eastAsia="宋体" w:cs="Arial"/>
          <w:color w:val="auto"/>
        </w:rPr>
        <w:t>第②层粉质粘土：该层主要由粉质粘土组成（局部为粘土），上部局部为粉砂夹层；粉质粘土呈黄褐色～灰黄色，含有氧化铁及云母，天然状态下呈饱和，可塑状态，无摇震反应，光泽反应一般，韧性及干强度中等。厚度变化在0.40～6.80米之间，层底标高变化在1015.14～1019.94米之间；</w:t>
      </w:r>
    </w:p>
    <w:p>
      <w:pPr>
        <w:ind w:firstLine="480"/>
        <w:rPr>
          <w:rFonts w:hint="default" w:ascii="Arial" w:hAnsi="Arial" w:eastAsia="宋体" w:cs="Arial"/>
          <w:color w:val="auto"/>
        </w:rPr>
      </w:pPr>
      <w:r>
        <w:rPr>
          <w:rFonts w:hint="default" w:ascii="Arial" w:hAnsi="Arial" w:eastAsia="宋体" w:cs="Arial"/>
          <w:color w:val="auto"/>
        </w:rPr>
        <w:t>第③层粉土：该层主要由粉土组成，局部为粉质粘土夹层，粉土呈灰黄色，含有云母及氧化铁，天然状态下呈很湿，中密状态，摇震反应轻微，无光泽反应，韧性及干强度低。厚度变化在0.60～3.80米之间，层底标高变化在1013.24～1017.04米之间；第③-1层粉质粘土：褐黄色～灰黄色，含有云母及氧化铁。天然状态下呈饱和，可塑状态，无摇震反应，光泽反应一般，韧性及干强度中等。该层以夹层的形式分布于第③层粉土中，厚度变化在0.70～3.70米之间；</w:t>
      </w:r>
    </w:p>
    <w:p>
      <w:pPr>
        <w:ind w:firstLine="480"/>
        <w:rPr>
          <w:rFonts w:hint="default" w:ascii="Arial" w:hAnsi="Arial" w:eastAsia="宋体" w:cs="Arial"/>
          <w:color w:val="auto"/>
        </w:rPr>
      </w:pPr>
      <w:r>
        <w:rPr>
          <w:rFonts w:hint="default" w:ascii="Arial" w:hAnsi="Arial" w:eastAsia="宋体" w:cs="Arial"/>
          <w:color w:val="auto"/>
        </w:rPr>
        <w:t>第④层粉细砂：灰色～灰黄色，均粒结构，矿物成份主要为长石、石英，含云母，天然状态下呈饱和，松散～稍密状态。本次勘察中仅有部分钻孔揭穿该层；</w:t>
      </w:r>
    </w:p>
    <w:p>
      <w:pPr>
        <w:keepNext w:val="0"/>
        <w:keepLines w:val="0"/>
        <w:pageBreakBefore w:val="0"/>
        <w:widowControl w:val="0"/>
        <w:kinsoku/>
        <w:wordWrap/>
        <w:overflowPunct/>
        <w:topLinePunct/>
        <w:autoSpaceDE w:val="0"/>
        <w:autoSpaceDN/>
        <w:bidi w:val="0"/>
        <w:adjustRightInd/>
        <w:snapToGrid/>
        <w:spacing w:line="480" w:lineRule="exact"/>
        <w:ind w:firstLine="480"/>
        <w:textAlignment w:val="auto"/>
        <w:rPr>
          <w:rFonts w:hint="default" w:ascii="Arial" w:hAnsi="Arial" w:eastAsia="宋体" w:cs="Arial"/>
          <w:color w:val="auto"/>
          <w:highlight w:val="none"/>
        </w:rPr>
      </w:pPr>
      <w:r>
        <w:rPr>
          <w:rFonts w:hint="default" w:ascii="Arial" w:hAnsi="Arial" w:eastAsia="宋体" w:cs="Arial"/>
          <w:color w:val="auto"/>
        </w:rPr>
        <w:t>第⑤层细砂：灰色，均粒结构，矿物成份主要为长石、石英，含云母，天然状态下呈饱和，中密～密实状态。本次勘察中未揭穿该层</w:t>
      </w:r>
      <w:r>
        <w:rPr>
          <w:rFonts w:hint="default" w:ascii="Arial" w:hAnsi="Arial" w:eastAsia="宋体" w:cs="Arial"/>
          <w:bCs/>
          <w:color w:val="auto"/>
          <w:sz w:val="24"/>
          <w:highlight w:val="none"/>
        </w:rPr>
        <w:t>。</w:t>
      </w:r>
    </w:p>
    <w:p>
      <w:pPr>
        <w:pStyle w:val="7"/>
        <w:rPr>
          <w:rFonts w:hint="default" w:ascii="Arial" w:hAnsi="Arial" w:eastAsia="宋体" w:cs="Arial"/>
          <w:color w:val="auto"/>
          <w:highlight w:val="none"/>
        </w:rPr>
      </w:pPr>
      <w:r>
        <w:rPr>
          <w:rFonts w:hint="default" w:ascii="Arial" w:hAnsi="Arial" w:eastAsia="宋体" w:cs="Arial"/>
          <w:color w:val="auto"/>
          <w:highlight w:val="none"/>
        </w:rPr>
        <w:t>5.4.1.2评价区水文地质条件</w:t>
      </w:r>
    </w:p>
    <w:p>
      <w:pPr>
        <w:ind w:firstLine="480"/>
        <w:rPr>
          <w:rFonts w:hint="default" w:ascii="Arial" w:hAnsi="Arial" w:eastAsia="宋体" w:cs="Arial"/>
          <w:color w:val="auto"/>
        </w:rPr>
      </w:pPr>
      <w:r>
        <w:rPr>
          <w:rFonts w:hint="default" w:ascii="Arial" w:hAnsi="Arial" w:eastAsia="宋体" w:cs="Arial"/>
          <w:color w:val="auto"/>
        </w:rPr>
        <w:t>经查阅本项目所在区域水文地质资料，区域大部分被第四系、新近系松散岩土层岩组覆盖，主要由粉砂、细砂、中砂及亚砂土组成，松散结构，单层厚1～10m，根据渗透系数经验值，渗透系数约为1.16×10</w:t>
      </w:r>
      <w:r>
        <w:rPr>
          <w:rFonts w:hint="default" w:ascii="Arial" w:hAnsi="Arial" w:eastAsia="宋体" w:cs="Arial"/>
          <w:color w:val="auto"/>
          <w:vertAlign w:val="superscript"/>
        </w:rPr>
        <w:t>-5</w:t>
      </w:r>
      <w:r>
        <w:rPr>
          <w:rFonts w:hint="default" w:ascii="Arial" w:hAnsi="Arial" w:eastAsia="宋体" w:cs="Arial"/>
          <w:color w:val="auto"/>
        </w:rPr>
        <w:t>cm/s，渗透系数10</w:t>
      </w:r>
      <w:r>
        <w:rPr>
          <w:rFonts w:hint="default" w:ascii="Arial" w:hAnsi="Arial" w:eastAsia="宋体" w:cs="Arial"/>
          <w:color w:val="auto"/>
          <w:vertAlign w:val="superscript"/>
        </w:rPr>
        <w:t>-7</w:t>
      </w:r>
      <w:r>
        <w:rPr>
          <w:rFonts w:hint="default" w:ascii="Arial" w:hAnsi="Arial" w:eastAsia="宋体" w:cs="Arial"/>
          <w:color w:val="auto"/>
        </w:rPr>
        <w:t>cm/s＜</w:t>
      </w:r>
      <w:r>
        <w:rPr>
          <w:rFonts w:hint="default" w:ascii="Arial" w:hAnsi="Arial" w:eastAsia="宋体" w:cs="Arial"/>
          <w:i/>
          <w:iCs/>
          <w:color w:val="auto"/>
        </w:rPr>
        <w:t>k</w:t>
      </w:r>
      <w:r>
        <w:rPr>
          <w:rFonts w:hint="default" w:ascii="Arial" w:hAnsi="Arial" w:eastAsia="宋体" w:cs="Arial"/>
          <w:color w:val="auto"/>
        </w:rPr>
        <w:t>≤10</w:t>
      </w:r>
      <w:r>
        <w:rPr>
          <w:rFonts w:hint="default" w:ascii="Arial" w:hAnsi="Arial" w:eastAsia="宋体" w:cs="Arial"/>
          <w:color w:val="auto"/>
          <w:vertAlign w:val="superscript"/>
        </w:rPr>
        <w:t>-4</w:t>
      </w:r>
      <w:r>
        <w:rPr>
          <w:rFonts w:hint="default" w:ascii="Arial" w:hAnsi="Arial" w:eastAsia="宋体" w:cs="Arial"/>
          <w:color w:val="auto"/>
        </w:rPr>
        <w:t>cm/s，且分布连续、稳定。</w:t>
      </w:r>
    </w:p>
    <w:p>
      <w:pPr>
        <w:keepNext w:val="0"/>
        <w:keepLines w:val="0"/>
        <w:pageBreakBefore w:val="0"/>
        <w:widowControl w:val="0"/>
        <w:kinsoku/>
        <w:wordWrap/>
        <w:overflowPunct/>
        <w:topLinePunct/>
        <w:autoSpaceDE w:val="0"/>
        <w:autoSpaceDN/>
        <w:bidi w:val="0"/>
        <w:adjustRightInd w:val="0"/>
        <w:snapToGrid w:val="0"/>
        <w:spacing w:line="480" w:lineRule="exact"/>
        <w:ind w:firstLine="480" w:firstLineChars="200"/>
        <w:textAlignment w:val="auto"/>
        <w:rPr>
          <w:rFonts w:hint="default" w:ascii="Arial" w:hAnsi="Arial" w:eastAsia="宋体" w:cs="Arial"/>
          <w:color w:val="auto"/>
          <w:sz w:val="24"/>
          <w:highlight w:val="none"/>
        </w:rPr>
      </w:pPr>
      <w:r>
        <w:rPr>
          <w:rFonts w:hint="default" w:ascii="Arial" w:hAnsi="Arial" w:eastAsia="宋体" w:cs="Arial"/>
          <w:color w:val="auto"/>
        </w:rPr>
        <w:t>地下水含水层主要为第四系孔隙潜水含水层及基岩裂隙含水层，地下水与地表水联系不密切，本区域地下水无突出的水污染问题；因此本项目含水层不属于易污染特征。各个含水层水力联系不密切，故本项目含水层属于不易污染</w:t>
      </w:r>
      <w:r>
        <w:rPr>
          <w:rFonts w:hint="default" w:ascii="Arial" w:hAnsi="Arial" w:eastAsia="宋体" w:cs="Arial"/>
          <w:color w:val="auto"/>
          <w:sz w:val="24"/>
          <w:highlight w:val="none"/>
        </w:rPr>
        <w:t>。</w:t>
      </w:r>
    </w:p>
    <w:p>
      <w:pPr>
        <w:pStyle w:val="6"/>
        <w:rPr>
          <w:rFonts w:hint="default" w:ascii="Arial" w:hAnsi="Arial" w:eastAsia="宋体" w:cs="Arial"/>
          <w:color w:val="auto"/>
          <w:highlight w:val="none"/>
        </w:rPr>
      </w:pPr>
      <w:bookmarkStart w:id="362" w:name="_Toc1699"/>
      <w:r>
        <w:rPr>
          <w:rFonts w:hint="default" w:ascii="Arial" w:hAnsi="Arial" w:eastAsia="宋体" w:cs="Arial"/>
          <w:color w:val="auto"/>
          <w:highlight w:val="none"/>
        </w:rPr>
        <w:t>5.4.2地下水环境影响分析</w:t>
      </w:r>
      <w:bookmarkEnd w:id="362"/>
    </w:p>
    <w:p>
      <w:pPr>
        <w:ind w:firstLine="480"/>
        <w:rPr>
          <w:rFonts w:hint="default" w:ascii="Arial" w:hAnsi="Arial" w:eastAsia="宋体" w:cs="Arial"/>
          <w:color w:val="auto"/>
          <w:highlight w:val="none"/>
        </w:rPr>
      </w:pPr>
      <w:r>
        <w:rPr>
          <w:rFonts w:hint="default" w:ascii="Arial" w:hAnsi="Arial" w:eastAsia="宋体" w:cs="Arial"/>
          <w:color w:val="auto"/>
          <w:highlight w:val="none"/>
        </w:rPr>
        <w:t>污染物对地下水的影响主要是由于降雨或废水排放等通过垂直渗透进入包气带，进入包气带的污染物在物理、化学和生物作用下经吸附、转化、迁移和分解后输入地下水。因此，包气带是联接地面污染物与地下含水层的主要通道和过渡带，既是污染物媒介体，又是污染物的净化场所和防护层。地下水能否被污染与土壤的渗透性密切相关，一般说来，土壤粒细而紧密，渗透性差，则污染慢；反之，颗粒大而松散，渗透性能良好则污染重。</w:t>
      </w:r>
    </w:p>
    <w:p>
      <w:pPr>
        <w:pStyle w:val="7"/>
        <w:rPr>
          <w:rFonts w:hint="default" w:ascii="Arial" w:hAnsi="Arial" w:eastAsia="宋体" w:cs="Arial"/>
          <w:color w:val="auto"/>
          <w:highlight w:val="none"/>
        </w:rPr>
      </w:pPr>
      <w:r>
        <w:rPr>
          <w:rFonts w:hint="default" w:ascii="Arial" w:hAnsi="Arial" w:eastAsia="宋体" w:cs="Arial"/>
          <w:color w:val="auto"/>
          <w:highlight w:val="none"/>
        </w:rPr>
        <w:t>5.4.2.1地下水污染途径</w:t>
      </w:r>
    </w:p>
    <w:p>
      <w:pPr>
        <w:ind w:firstLine="480"/>
        <w:rPr>
          <w:rFonts w:hint="default" w:ascii="Arial" w:hAnsi="Arial" w:eastAsia="宋体" w:cs="Arial"/>
          <w:color w:val="auto"/>
          <w:highlight w:val="none"/>
        </w:rPr>
      </w:pPr>
      <w:r>
        <w:rPr>
          <w:rFonts w:hint="default" w:ascii="Arial" w:hAnsi="Arial" w:eastAsia="宋体" w:cs="Arial"/>
          <w:color w:val="auto"/>
          <w:highlight w:val="none"/>
        </w:rPr>
        <w:t>根据地下水地质条件、地下水补给、径流条件和排洪特点，分析本工程废水排放情况，可能造成的地下水污染途径有以下几种途径：</w:t>
      </w:r>
    </w:p>
    <w:p>
      <w:pPr>
        <w:ind w:firstLine="480"/>
        <w:rPr>
          <w:rFonts w:hint="default" w:ascii="Arial" w:hAnsi="Arial" w:eastAsia="宋体" w:cs="Arial"/>
          <w:color w:val="auto"/>
          <w:highlight w:val="none"/>
        </w:rPr>
      </w:pPr>
      <w:r>
        <w:rPr>
          <w:rFonts w:hint="default" w:ascii="Arial" w:hAnsi="Arial" w:eastAsia="宋体" w:cs="Arial"/>
          <w:color w:val="auto"/>
          <w:highlight w:val="none"/>
        </w:rPr>
        <w:t>①</w:t>
      </w:r>
      <w:r>
        <w:rPr>
          <w:rFonts w:hint="default" w:ascii="Arial" w:hAnsi="Arial" w:eastAsia="宋体" w:cs="Arial"/>
          <w:color w:val="auto"/>
          <w:highlight w:val="none"/>
          <w:lang w:eastAsia="zh-CN"/>
        </w:rPr>
        <w:t>堆肥场</w:t>
      </w:r>
      <w:r>
        <w:rPr>
          <w:rFonts w:hint="default" w:ascii="Arial" w:hAnsi="Arial" w:eastAsia="宋体" w:cs="Arial"/>
          <w:color w:val="auto"/>
          <w:highlight w:val="none"/>
        </w:rPr>
        <w:t>的防渗、防水措施不完善，而导致渗滤液、淋溶水渗入地下造成对地下水的污染；</w:t>
      </w:r>
    </w:p>
    <w:p>
      <w:pPr>
        <w:ind w:firstLine="480"/>
        <w:rPr>
          <w:rFonts w:hint="default" w:ascii="Arial" w:hAnsi="Arial" w:eastAsia="宋体" w:cs="Arial"/>
          <w:color w:val="auto"/>
          <w:highlight w:val="none"/>
        </w:rPr>
      </w:pPr>
      <w:r>
        <w:rPr>
          <w:rFonts w:hint="default" w:ascii="Arial" w:hAnsi="Arial" w:eastAsia="宋体" w:cs="Arial"/>
          <w:color w:val="auto"/>
          <w:highlight w:val="none"/>
        </w:rPr>
        <w:t>②</w:t>
      </w:r>
      <w:r>
        <w:rPr>
          <w:rFonts w:hint="default" w:ascii="Arial" w:hAnsi="Arial" w:eastAsia="宋体" w:cs="Arial"/>
          <w:color w:val="auto"/>
          <w:highlight w:val="none"/>
          <w:lang w:eastAsia="zh-CN"/>
        </w:rPr>
        <w:t>化粪池</w:t>
      </w:r>
      <w:r>
        <w:rPr>
          <w:rFonts w:hint="default" w:ascii="Arial" w:hAnsi="Arial" w:eastAsia="宋体" w:cs="Arial"/>
          <w:color w:val="auto"/>
          <w:highlight w:val="none"/>
        </w:rPr>
        <w:t>因基础防渗不足通过裂隙污染地下水；</w:t>
      </w:r>
    </w:p>
    <w:p>
      <w:pPr>
        <w:pStyle w:val="7"/>
        <w:rPr>
          <w:rFonts w:hint="default" w:ascii="Arial" w:hAnsi="Arial" w:eastAsia="宋体" w:cs="Arial"/>
          <w:color w:val="auto"/>
          <w:highlight w:val="none"/>
        </w:rPr>
      </w:pPr>
      <w:r>
        <w:rPr>
          <w:rFonts w:hint="default" w:ascii="Arial" w:hAnsi="Arial" w:eastAsia="宋体" w:cs="Arial"/>
          <w:color w:val="auto"/>
          <w:highlight w:val="none"/>
        </w:rPr>
        <w:t>5.4.2.2地下水保护措施</w:t>
      </w:r>
    </w:p>
    <w:p>
      <w:pPr>
        <w:ind w:firstLine="480"/>
        <w:rPr>
          <w:rFonts w:hint="default" w:ascii="Arial" w:hAnsi="Arial" w:eastAsia="宋体" w:cs="Arial"/>
          <w:color w:val="auto"/>
          <w:highlight w:val="none"/>
        </w:rPr>
      </w:pPr>
      <w:r>
        <w:rPr>
          <w:rFonts w:hint="default" w:ascii="Arial" w:hAnsi="Arial" w:eastAsia="宋体" w:cs="Arial"/>
          <w:color w:val="auto"/>
          <w:highlight w:val="none"/>
        </w:rPr>
        <w:t>运营期对地下水环境的影响主要是事故性排放渗入地下可造成地下水中的硝酸盐含量过高。对此，本环评要求建设单位必须采取以下防范措施：</w:t>
      </w:r>
    </w:p>
    <w:p>
      <w:pPr>
        <w:ind w:firstLine="480"/>
        <w:rPr>
          <w:rFonts w:hint="default" w:ascii="Arial" w:hAnsi="Arial" w:eastAsia="宋体" w:cs="Arial"/>
          <w:color w:val="auto"/>
          <w:highlight w:val="none"/>
          <w:lang w:eastAsia="zh-CN"/>
        </w:rPr>
      </w:pPr>
      <w:r>
        <w:rPr>
          <w:rFonts w:hint="default" w:ascii="Arial" w:hAnsi="Arial" w:eastAsia="宋体" w:cs="Arial"/>
          <w:color w:val="auto"/>
          <w:highlight w:val="none"/>
        </w:rPr>
        <w:t>①本项目雨污分离，无污水明沟布设。符合《畜禽养殖业污染防治技术规范》（HJ/T81-2001）规定，养殖场的排水系统应实施雨水和污水收集输送系统分离，在场区内设置的污水收集输送系统，不得采用明沟布设</w:t>
      </w:r>
      <w:r>
        <w:rPr>
          <w:rFonts w:hint="default" w:ascii="Arial" w:hAnsi="Arial" w:eastAsia="宋体" w:cs="Arial"/>
          <w:color w:val="auto"/>
          <w:highlight w:val="none"/>
          <w:lang w:eastAsia="zh-CN"/>
        </w:rPr>
        <w:t>；</w:t>
      </w:r>
    </w:p>
    <w:p>
      <w:pPr>
        <w:ind w:firstLine="480"/>
        <w:rPr>
          <w:rFonts w:hint="default" w:ascii="Arial" w:hAnsi="Arial" w:eastAsia="宋体" w:cs="Arial"/>
          <w:color w:val="auto"/>
          <w:highlight w:val="none"/>
          <w:lang w:eastAsia="zh-CN"/>
        </w:rPr>
      </w:pPr>
      <w:r>
        <w:rPr>
          <w:rFonts w:hint="default" w:ascii="Arial" w:hAnsi="Arial" w:eastAsia="宋体" w:cs="Arial"/>
          <w:color w:val="auto"/>
          <w:highlight w:val="none"/>
        </w:rPr>
        <w:t>②牛粪贮存设施应采取有效的防渗处理工艺，防止粪便渗滤液污染地下水</w:t>
      </w:r>
      <w:r>
        <w:rPr>
          <w:rFonts w:hint="default" w:ascii="Arial" w:hAnsi="Arial" w:eastAsia="宋体" w:cs="Arial"/>
          <w:color w:val="auto"/>
          <w:highlight w:val="none"/>
          <w:lang w:eastAsia="zh-CN"/>
        </w:rPr>
        <w:t>；</w:t>
      </w:r>
      <w:r>
        <w:rPr>
          <w:rFonts w:hint="default" w:ascii="Arial" w:hAnsi="Arial" w:eastAsia="宋体" w:cs="Arial"/>
          <w:color w:val="auto"/>
          <w:highlight w:val="none"/>
        </w:rPr>
        <w:t>根据《畜禽养殖业污染治理工程技术规范》、《给排水工程构筑物结构设计规范》（GB50069-2002）等的要求实施防渗</w:t>
      </w:r>
      <w:r>
        <w:rPr>
          <w:rFonts w:hint="default" w:ascii="Arial" w:hAnsi="Arial" w:eastAsia="宋体" w:cs="Arial"/>
          <w:color w:val="auto"/>
          <w:highlight w:val="none"/>
          <w:lang w:eastAsia="zh-CN"/>
        </w:rPr>
        <w:t>；</w:t>
      </w:r>
    </w:p>
    <w:p>
      <w:pPr>
        <w:ind w:firstLine="480"/>
        <w:rPr>
          <w:rFonts w:hint="default" w:ascii="Arial" w:hAnsi="Arial" w:eastAsia="宋体" w:cs="Arial"/>
          <w:color w:val="auto"/>
          <w:highlight w:val="none"/>
          <w:lang w:eastAsia="zh-CN"/>
        </w:rPr>
      </w:pPr>
      <w:r>
        <w:rPr>
          <w:rFonts w:hint="default" w:ascii="Arial" w:hAnsi="Arial" w:eastAsia="宋体" w:cs="Arial"/>
          <w:color w:val="auto"/>
          <w:highlight w:val="none"/>
        </w:rPr>
        <w:t>③</w:t>
      </w:r>
      <w:r>
        <w:rPr>
          <w:rFonts w:hint="default" w:ascii="Arial" w:hAnsi="Arial" w:eastAsia="宋体" w:cs="Arial"/>
          <w:color w:val="auto"/>
          <w:highlight w:val="none"/>
          <w:lang w:eastAsia="zh-CN"/>
        </w:rPr>
        <w:t>充分做好排污管道的防渗处理，杜绝污水防漏，确保生活污水收集处理系统衔接良好，严格用水管理，防止污水“跑、冒、低、漏”现象的发生；</w:t>
      </w:r>
    </w:p>
    <w:p>
      <w:pPr>
        <w:ind w:firstLine="480"/>
        <w:rPr>
          <w:rFonts w:hint="default" w:ascii="Arial" w:hAnsi="Arial" w:eastAsia="宋体" w:cs="Arial"/>
          <w:color w:val="auto"/>
          <w:highlight w:val="none"/>
          <w:lang w:eastAsia="zh-CN"/>
        </w:rPr>
      </w:pPr>
      <w:r>
        <w:rPr>
          <w:rFonts w:hint="default" w:ascii="Arial" w:hAnsi="Arial" w:eastAsia="宋体" w:cs="Arial"/>
          <w:color w:val="auto"/>
          <w:highlight w:val="none"/>
        </w:rPr>
        <w:t>④加强管理，牛舍、运动场产生的粪便做到日产日清，特别是雨天来临之前要及时清理干净</w:t>
      </w:r>
      <w:r>
        <w:rPr>
          <w:rFonts w:hint="default" w:ascii="Arial" w:hAnsi="Arial" w:eastAsia="宋体" w:cs="Arial"/>
          <w:color w:val="auto"/>
          <w:highlight w:val="none"/>
          <w:lang w:eastAsia="zh-CN"/>
        </w:rPr>
        <w:t>；</w:t>
      </w:r>
    </w:p>
    <w:p>
      <w:pPr>
        <w:ind w:firstLine="480"/>
        <w:rPr>
          <w:rFonts w:hint="default" w:ascii="Arial" w:hAnsi="Arial" w:eastAsia="宋体" w:cs="Arial"/>
          <w:color w:val="auto"/>
          <w:highlight w:val="none"/>
        </w:rPr>
      </w:pPr>
      <w:r>
        <w:rPr>
          <w:rFonts w:hint="default" w:ascii="Arial" w:hAnsi="Arial" w:eastAsia="宋体" w:cs="Arial"/>
          <w:color w:val="auto"/>
          <w:highlight w:val="none"/>
        </w:rPr>
        <w:t>⑤场区地下水下游（场区北侧）设置1个地下水监控井</w:t>
      </w:r>
      <w:r>
        <w:rPr>
          <w:rFonts w:hint="default" w:ascii="Arial" w:hAnsi="Arial" w:eastAsia="宋体" w:cs="Arial"/>
          <w:color w:val="auto"/>
          <w:highlight w:val="none"/>
          <w:lang w:eastAsia="zh-CN"/>
        </w:rPr>
        <w:t>（坐标：</w:t>
      </w:r>
      <w:r>
        <w:rPr>
          <w:rFonts w:hint="default" w:ascii="Arial" w:hAnsi="Arial" w:eastAsia="宋体" w:cs="Arial"/>
          <w:color w:val="auto"/>
          <w:highlight w:val="none"/>
        </w:rPr>
        <w:t>N</w:t>
      </w:r>
      <w:r>
        <w:rPr>
          <w:rFonts w:hint="default" w:ascii="Arial" w:hAnsi="Arial" w:eastAsia="宋体" w:cs="Arial"/>
          <w:color w:val="auto"/>
          <w:highlight w:val="none"/>
          <w:lang w:val="en-US" w:eastAsia="zh-CN"/>
        </w:rPr>
        <w:t>40°56'20.91"</w:t>
      </w:r>
      <w:r>
        <w:rPr>
          <w:rFonts w:hint="default" w:ascii="Arial" w:hAnsi="Arial" w:eastAsia="宋体" w:cs="Arial"/>
          <w:color w:val="auto"/>
          <w:highlight w:val="none"/>
        </w:rPr>
        <w:t xml:space="preserve"> </w:t>
      </w:r>
      <w:r>
        <w:rPr>
          <w:rFonts w:hint="default" w:ascii="Arial" w:hAnsi="Arial" w:eastAsia="宋体" w:cs="Arial"/>
          <w:color w:val="auto"/>
          <w:highlight w:val="none"/>
          <w:lang w:eastAsia="zh-CN"/>
        </w:rPr>
        <w:t>；</w:t>
      </w:r>
      <w:r>
        <w:rPr>
          <w:rFonts w:hint="default" w:ascii="Arial" w:hAnsi="Arial" w:eastAsia="宋体" w:cs="Arial"/>
          <w:color w:val="auto"/>
          <w:highlight w:val="none"/>
        </w:rPr>
        <w:t>E</w:t>
      </w:r>
      <w:r>
        <w:rPr>
          <w:rFonts w:hint="default" w:ascii="Arial" w:hAnsi="Arial" w:eastAsia="宋体" w:cs="Arial"/>
          <w:color w:val="auto"/>
          <w:highlight w:val="none"/>
          <w:lang w:eastAsia="zh-CN"/>
        </w:rPr>
        <w:t>107°40'52.52"</w:t>
      </w:r>
      <w:r>
        <w:rPr>
          <w:rFonts w:hint="default" w:ascii="Arial" w:hAnsi="Arial" w:eastAsia="宋体" w:cs="Arial"/>
          <w:color w:val="auto"/>
          <w:highlight w:val="none"/>
        </w:rPr>
        <w:t xml:space="preserve"> </w:t>
      </w:r>
      <w:r>
        <w:rPr>
          <w:rFonts w:hint="default" w:ascii="Arial" w:hAnsi="Arial" w:eastAsia="宋体" w:cs="Arial"/>
          <w:color w:val="auto"/>
          <w:highlight w:val="none"/>
          <w:lang w:eastAsia="zh-CN"/>
        </w:rPr>
        <w:t>）</w:t>
      </w:r>
      <w:r>
        <w:rPr>
          <w:rFonts w:hint="default" w:ascii="Arial" w:hAnsi="Arial" w:eastAsia="宋体" w:cs="Arial"/>
          <w:color w:val="auto"/>
          <w:highlight w:val="none"/>
        </w:rPr>
        <w:t>，便于发现地下水污染。根据项目区平面布置情况，本次环评要求对观测井水质进行跟踪监测，及时掌握场区地下水水质变化情况，水质指标异常时应立即开展调查，查找水质指标异常的原因，对损坏防渗膜及时采取措施进行修复。</w:t>
      </w:r>
    </w:p>
    <w:p>
      <w:pPr>
        <w:pStyle w:val="7"/>
        <w:rPr>
          <w:rStyle w:val="44"/>
          <w:rFonts w:hint="default" w:ascii="Arial" w:hAnsi="Arial" w:eastAsia="宋体" w:cs="Arial"/>
          <w:color w:val="auto"/>
          <w:highlight w:val="none"/>
          <w:u w:val="none"/>
        </w:rPr>
      </w:pPr>
      <w:r>
        <w:rPr>
          <w:rStyle w:val="44"/>
          <w:rFonts w:hint="default" w:ascii="Arial" w:hAnsi="Arial" w:eastAsia="宋体" w:cs="Arial"/>
          <w:color w:val="auto"/>
          <w:highlight w:val="none"/>
          <w:u w:val="none"/>
        </w:rPr>
        <w:t>5.4.2.3采取防渗措施后对地下水影响分析</w:t>
      </w:r>
    </w:p>
    <w:p>
      <w:pPr>
        <w:ind w:firstLine="480"/>
        <w:rPr>
          <w:rFonts w:hint="default" w:ascii="Arial" w:hAnsi="Arial" w:eastAsia="宋体" w:cs="Arial"/>
          <w:color w:val="auto"/>
          <w:highlight w:val="none"/>
        </w:rPr>
      </w:pPr>
      <w:r>
        <w:rPr>
          <w:rFonts w:hint="default" w:ascii="Arial" w:hAnsi="Arial" w:eastAsia="宋体" w:cs="Arial"/>
          <w:color w:val="auto"/>
          <w:highlight w:val="none"/>
        </w:rPr>
        <w:t>根据本项目防渗措施，防渗工程渗透系数小于1.0×10</w:t>
      </w:r>
      <w:r>
        <w:rPr>
          <w:rFonts w:hint="default" w:ascii="Arial" w:hAnsi="Arial" w:eastAsia="宋体" w:cs="Arial"/>
          <w:color w:val="auto"/>
          <w:highlight w:val="none"/>
          <w:vertAlign w:val="superscript"/>
        </w:rPr>
        <w:t>-7</w:t>
      </w:r>
      <w:r>
        <w:rPr>
          <w:rFonts w:hint="default" w:ascii="Arial" w:hAnsi="Arial" w:eastAsia="宋体" w:cs="Arial"/>
          <w:color w:val="auto"/>
          <w:highlight w:val="none"/>
        </w:rPr>
        <w:t>cm/s，厚度不低于0.5m，则污染质穿透防渗层的时间按下列公式计算：</w:t>
      </w:r>
    </w:p>
    <w:p>
      <w:pPr>
        <w:ind w:firstLine="480"/>
        <w:rPr>
          <w:rFonts w:hint="default" w:ascii="Arial" w:hAnsi="Arial" w:eastAsia="宋体" w:cs="Arial"/>
          <w:color w:val="auto"/>
          <w:highlight w:val="none"/>
        </w:rPr>
      </w:pPr>
      <w:r>
        <w:rPr>
          <w:rFonts w:hint="default" w:ascii="Arial" w:hAnsi="Arial" w:eastAsia="宋体" w:cs="Arial"/>
          <w:color w:val="auto"/>
          <w:highlight w:val="none"/>
        </w:rPr>
        <w:t>渗水通道：q=k（d+h）/d</w:t>
      </w:r>
    </w:p>
    <w:p>
      <w:pPr>
        <w:ind w:firstLine="480"/>
        <w:rPr>
          <w:rFonts w:hint="default" w:ascii="Arial" w:hAnsi="Arial" w:eastAsia="宋体" w:cs="Arial"/>
          <w:color w:val="auto"/>
          <w:highlight w:val="none"/>
        </w:rPr>
      </w:pPr>
      <w:r>
        <w:rPr>
          <w:rFonts w:hint="default" w:ascii="Arial" w:hAnsi="Arial" w:eastAsia="宋体" w:cs="Arial"/>
          <w:color w:val="auto"/>
          <w:highlight w:val="none"/>
        </w:rPr>
        <w:t>穿越时间：T=d/q；</w:t>
      </w:r>
    </w:p>
    <w:p>
      <w:pPr>
        <w:ind w:firstLine="480"/>
        <w:rPr>
          <w:rFonts w:hint="default" w:ascii="Arial" w:hAnsi="Arial" w:eastAsia="宋体" w:cs="Arial"/>
          <w:color w:val="auto"/>
          <w:highlight w:val="none"/>
        </w:rPr>
      </w:pPr>
      <w:r>
        <w:rPr>
          <w:rFonts w:hint="default" w:ascii="Arial" w:hAnsi="Arial" w:eastAsia="宋体" w:cs="Arial"/>
          <w:color w:val="auto"/>
          <w:highlight w:val="none"/>
        </w:rPr>
        <w:t>其中：</w:t>
      </w:r>
    </w:p>
    <w:p>
      <w:pPr>
        <w:ind w:firstLine="480"/>
        <w:rPr>
          <w:rFonts w:hint="default" w:ascii="Arial" w:hAnsi="Arial" w:eastAsia="宋体" w:cs="Arial"/>
          <w:color w:val="auto"/>
          <w:highlight w:val="none"/>
        </w:rPr>
      </w:pPr>
      <w:r>
        <w:rPr>
          <w:rFonts w:hint="default" w:ascii="Arial" w:hAnsi="Arial" w:eastAsia="宋体" w:cs="Arial"/>
          <w:color w:val="auto"/>
          <w:highlight w:val="none"/>
        </w:rPr>
        <w:t>T为污染质穿过防渗层的时间；</w:t>
      </w:r>
    </w:p>
    <w:p>
      <w:pPr>
        <w:ind w:firstLine="480"/>
        <w:rPr>
          <w:rFonts w:hint="default" w:ascii="Arial" w:hAnsi="Arial" w:eastAsia="宋体" w:cs="Arial"/>
          <w:color w:val="auto"/>
          <w:highlight w:val="none"/>
        </w:rPr>
      </w:pPr>
      <w:r>
        <w:rPr>
          <w:rFonts w:hint="default" w:ascii="Arial" w:hAnsi="Arial" w:eastAsia="宋体" w:cs="Arial"/>
          <w:color w:val="auto"/>
          <w:highlight w:val="none"/>
        </w:rPr>
        <w:t>d为防渗层的厚度；</w:t>
      </w:r>
    </w:p>
    <w:p>
      <w:pPr>
        <w:ind w:firstLine="480"/>
        <w:rPr>
          <w:rFonts w:hint="default" w:ascii="Arial" w:hAnsi="Arial" w:eastAsia="宋体" w:cs="Arial"/>
          <w:color w:val="auto"/>
          <w:highlight w:val="none"/>
        </w:rPr>
      </w:pPr>
      <w:r>
        <w:rPr>
          <w:rFonts w:hint="default" w:ascii="Arial" w:hAnsi="Arial" w:eastAsia="宋体" w:cs="Arial"/>
          <w:color w:val="auto"/>
          <w:highlight w:val="none"/>
        </w:rPr>
        <w:t>k为防渗层的渗透系数；</w:t>
      </w:r>
    </w:p>
    <w:p>
      <w:pPr>
        <w:ind w:firstLine="480"/>
        <w:rPr>
          <w:rFonts w:hint="default" w:ascii="Arial" w:hAnsi="Arial" w:eastAsia="宋体" w:cs="Arial"/>
          <w:color w:val="auto"/>
          <w:highlight w:val="none"/>
        </w:rPr>
      </w:pPr>
      <w:r>
        <w:rPr>
          <w:rFonts w:hint="default" w:ascii="Arial" w:hAnsi="Arial" w:eastAsia="宋体" w:cs="Arial"/>
          <w:color w:val="auto"/>
          <w:highlight w:val="none"/>
        </w:rPr>
        <w:t>h为渗层上面的积水高度。</w:t>
      </w:r>
    </w:p>
    <w:p>
      <w:pPr>
        <w:ind w:firstLine="480"/>
        <w:rPr>
          <w:rFonts w:hint="default" w:ascii="Arial" w:hAnsi="Arial" w:eastAsia="宋体" w:cs="Arial"/>
          <w:color w:val="auto"/>
          <w:highlight w:val="none"/>
        </w:rPr>
      </w:pPr>
      <w:r>
        <w:rPr>
          <w:rFonts w:hint="default" w:ascii="Arial" w:hAnsi="Arial" w:eastAsia="宋体" w:cs="Arial"/>
          <w:color w:val="auto"/>
          <w:highlight w:val="none"/>
        </w:rPr>
        <w:t>假定防渗层积水高度为0.10m，防渗层厚度为0.5m，防渗层渗透系数为1.0×10</w:t>
      </w:r>
      <w:r>
        <w:rPr>
          <w:rFonts w:hint="default" w:ascii="Arial" w:hAnsi="Arial" w:eastAsia="宋体" w:cs="Arial"/>
          <w:color w:val="auto"/>
          <w:highlight w:val="none"/>
          <w:vertAlign w:val="superscript"/>
        </w:rPr>
        <w:t>-7</w:t>
      </w:r>
      <w:r>
        <w:rPr>
          <w:rFonts w:hint="default" w:ascii="Arial" w:hAnsi="Arial" w:eastAsia="宋体" w:cs="Arial"/>
          <w:color w:val="auto"/>
          <w:highlight w:val="none"/>
        </w:rPr>
        <w:t>cm/s，则计算防渗层的穿透时间为13.21年，即在防渗层上的持续积水0.10m的情况下，经过13.21年的污水才可穿过防渗层。而且污染物穿透防渗层进入包气带中，包气带对污染物有吸附和降解作用，因此，在采取铺设防渗层措施下，事故工况下渗出液进入地下水系统后对区域地下水影响程度和范围均较小。</w:t>
      </w:r>
    </w:p>
    <w:p>
      <w:pPr>
        <w:ind w:firstLine="480"/>
        <w:rPr>
          <w:rFonts w:hint="default" w:ascii="Arial" w:hAnsi="Arial" w:eastAsia="宋体" w:cs="Arial"/>
          <w:color w:val="auto"/>
          <w:highlight w:val="none"/>
        </w:rPr>
      </w:pPr>
      <w:r>
        <w:rPr>
          <w:rFonts w:hint="default" w:ascii="Arial" w:hAnsi="Arial" w:eastAsia="宋体" w:cs="Arial"/>
          <w:color w:val="auto"/>
          <w:highlight w:val="none"/>
        </w:rPr>
        <w:t>企业只要加强管理，在生产中严格按照操作规程，避免废水的事故性排放，运营期对地下水的影响很小。</w:t>
      </w:r>
    </w:p>
    <w:p>
      <w:pPr>
        <w:pStyle w:val="6"/>
        <w:rPr>
          <w:rFonts w:hint="default" w:ascii="Arial" w:hAnsi="Arial" w:eastAsia="宋体" w:cs="Arial"/>
          <w:color w:val="auto"/>
          <w:highlight w:val="none"/>
        </w:rPr>
      </w:pPr>
      <w:bookmarkStart w:id="363" w:name="_Toc491351861"/>
      <w:bookmarkStart w:id="364" w:name="_Toc491351727"/>
      <w:bookmarkStart w:id="365" w:name="_Toc486320556"/>
      <w:bookmarkStart w:id="366" w:name="_Toc490143552"/>
      <w:bookmarkStart w:id="367" w:name="_Toc23559"/>
      <w:r>
        <w:rPr>
          <w:rFonts w:hint="default" w:ascii="Arial" w:hAnsi="Arial" w:eastAsia="宋体" w:cs="Arial"/>
          <w:color w:val="auto"/>
          <w:highlight w:val="none"/>
        </w:rPr>
        <w:t>5.4.3预测结果分析评价</w:t>
      </w:r>
      <w:bookmarkEnd w:id="363"/>
      <w:bookmarkEnd w:id="364"/>
      <w:bookmarkEnd w:id="365"/>
      <w:bookmarkEnd w:id="366"/>
      <w:bookmarkEnd w:id="367"/>
    </w:p>
    <w:p>
      <w:pPr>
        <w:keepNext w:val="0"/>
        <w:keepLines w:val="0"/>
        <w:pageBreakBefore w:val="0"/>
        <w:widowControl w:val="0"/>
        <w:kinsoku/>
        <w:wordWrap/>
        <w:overflowPunct/>
        <w:topLinePunct w:val="0"/>
        <w:autoSpaceDE w:val="0"/>
        <w:autoSpaceDN/>
        <w:bidi w:val="0"/>
        <w:adjustRightInd/>
        <w:snapToGrid/>
        <w:spacing w:line="480" w:lineRule="exact"/>
        <w:ind w:firstLine="480" w:firstLineChars="200"/>
        <w:textAlignment w:val="auto"/>
        <w:rPr>
          <w:rFonts w:hint="default" w:ascii="Arial" w:hAnsi="Arial" w:eastAsia="宋体" w:cs="Arial"/>
          <w:color w:val="auto"/>
          <w:sz w:val="24"/>
          <w:szCs w:val="24"/>
        </w:rPr>
      </w:pPr>
      <w:r>
        <w:rPr>
          <w:rFonts w:hint="default" w:ascii="Arial" w:hAnsi="Arial" w:eastAsia="宋体" w:cs="Arial"/>
          <w:color w:val="auto"/>
          <w:sz w:val="24"/>
          <w:szCs w:val="24"/>
        </w:rPr>
        <w:t>本项目地下水影响主要主要污染源为</w:t>
      </w:r>
      <w:r>
        <w:rPr>
          <w:rFonts w:hint="default" w:ascii="Arial" w:hAnsi="Arial" w:eastAsia="宋体" w:cs="Arial"/>
          <w:color w:val="auto"/>
          <w:sz w:val="24"/>
          <w:szCs w:val="24"/>
          <w:lang w:eastAsia="zh-CN"/>
        </w:rPr>
        <w:t>堆粪场底部防渗层</w:t>
      </w:r>
      <w:r>
        <w:rPr>
          <w:rFonts w:hint="default" w:ascii="Arial" w:hAnsi="Arial" w:eastAsia="宋体" w:cs="Arial"/>
          <w:color w:val="auto"/>
          <w:sz w:val="24"/>
          <w:szCs w:val="24"/>
        </w:rPr>
        <w:t>。</w:t>
      </w:r>
    </w:p>
    <w:p>
      <w:pPr>
        <w:keepNext w:val="0"/>
        <w:keepLines w:val="0"/>
        <w:pageBreakBefore w:val="0"/>
        <w:widowControl w:val="0"/>
        <w:kinsoku/>
        <w:wordWrap/>
        <w:overflowPunct/>
        <w:topLinePunct w:val="0"/>
        <w:autoSpaceDE w:val="0"/>
        <w:autoSpaceDN/>
        <w:bidi w:val="0"/>
        <w:adjustRightInd/>
        <w:snapToGrid/>
        <w:spacing w:line="480" w:lineRule="exact"/>
        <w:ind w:firstLine="480" w:firstLineChars="200"/>
        <w:textAlignment w:val="auto"/>
        <w:rPr>
          <w:rFonts w:hint="default" w:ascii="Arial" w:hAnsi="Arial" w:eastAsia="宋体" w:cs="Arial"/>
          <w:color w:val="auto"/>
          <w:sz w:val="24"/>
          <w:szCs w:val="24"/>
        </w:rPr>
      </w:pPr>
      <w:r>
        <w:rPr>
          <w:rFonts w:hint="default" w:ascii="Arial" w:hAnsi="Arial" w:eastAsia="宋体" w:cs="Arial"/>
          <w:color w:val="auto"/>
          <w:sz w:val="24"/>
          <w:szCs w:val="24"/>
        </w:rPr>
        <w:t>1）据文献资料《废水中氨氮在土壤处理系统中迁移转化的模拟研究》，包气带对污染物的吸附过程是线性的，即S=K</w:t>
      </w:r>
      <w:r>
        <w:rPr>
          <w:rFonts w:hint="default" w:ascii="Arial" w:hAnsi="Arial" w:eastAsia="宋体" w:cs="Arial"/>
          <w:color w:val="auto"/>
          <w:sz w:val="24"/>
          <w:szCs w:val="24"/>
          <w:vertAlign w:val="subscript"/>
        </w:rPr>
        <w:t>d</w:t>
      </w:r>
      <w:r>
        <w:rPr>
          <w:rFonts w:hint="default" w:ascii="Arial" w:hAnsi="Arial" w:eastAsia="宋体" w:cs="Arial"/>
          <w:color w:val="auto"/>
          <w:sz w:val="24"/>
          <w:szCs w:val="24"/>
        </w:rPr>
        <w:t>C，吸附系数K</w:t>
      </w:r>
      <w:r>
        <w:rPr>
          <w:rFonts w:hint="default" w:ascii="Arial" w:hAnsi="Arial" w:eastAsia="宋体" w:cs="Arial"/>
          <w:color w:val="auto"/>
          <w:sz w:val="24"/>
          <w:szCs w:val="24"/>
          <w:vertAlign w:val="subscript"/>
        </w:rPr>
        <w:t>d</w:t>
      </w:r>
      <w:r>
        <w:rPr>
          <w:rFonts w:hint="default" w:ascii="Arial" w:hAnsi="Arial" w:eastAsia="宋体" w:cs="Arial"/>
          <w:color w:val="auto"/>
          <w:sz w:val="24"/>
          <w:szCs w:val="24"/>
        </w:rPr>
        <w:t>=0.0976；降解曲线符合一级动力学方程，即C=C</w:t>
      </w:r>
      <w:r>
        <w:rPr>
          <w:rFonts w:hint="default" w:ascii="Arial" w:hAnsi="Arial" w:eastAsia="宋体" w:cs="Arial"/>
          <w:color w:val="auto"/>
          <w:sz w:val="24"/>
          <w:szCs w:val="24"/>
          <w:vertAlign w:val="subscript"/>
        </w:rPr>
        <w:t>0</w:t>
      </w:r>
      <w:r>
        <w:rPr>
          <w:rFonts w:hint="default" w:ascii="Arial" w:hAnsi="Arial" w:eastAsia="宋体" w:cs="Arial"/>
          <w:color w:val="auto"/>
          <w:sz w:val="24"/>
          <w:szCs w:val="24"/>
        </w:rPr>
        <w:t>e</w:t>
      </w:r>
      <w:r>
        <w:rPr>
          <w:rFonts w:hint="default" w:ascii="Arial" w:hAnsi="Arial" w:eastAsia="宋体" w:cs="Arial"/>
          <w:color w:val="auto"/>
          <w:sz w:val="24"/>
          <w:szCs w:val="24"/>
          <w:vertAlign w:val="superscript"/>
        </w:rPr>
        <w:t>-λt</w:t>
      </w:r>
      <w:r>
        <w:rPr>
          <w:rFonts w:hint="default" w:ascii="Arial" w:hAnsi="Arial" w:eastAsia="宋体" w:cs="Arial"/>
          <w:color w:val="auto"/>
          <w:sz w:val="24"/>
          <w:szCs w:val="24"/>
        </w:rPr>
        <w:t>，降解系数λ=0.0324d</w:t>
      </w:r>
      <w:r>
        <w:rPr>
          <w:rFonts w:hint="default" w:ascii="Arial" w:hAnsi="Arial" w:eastAsia="宋体" w:cs="Arial"/>
          <w:color w:val="auto"/>
          <w:sz w:val="24"/>
          <w:szCs w:val="24"/>
          <w:vertAlign w:val="superscript"/>
        </w:rPr>
        <w:t>-1</w:t>
      </w:r>
      <w:r>
        <w:rPr>
          <w:rFonts w:hint="default" w:ascii="Arial" w:hAnsi="Arial" w:eastAsia="宋体" w:cs="Arial"/>
          <w:color w:val="auto"/>
          <w:sz w:val="24"/>
          <w:szCs w:val="24"/>
        </w:rPr>
        <w:t>。在没有底部、侧部和顶部的防护系统的情况下大致需要6d，污染能穿透1m的包气带土层；10d能穿透2m的包气带土层；23天后污染物浓度会降为0。由此可知，NH</w:t>
      </w:r>
      <w:r>
        <w:rPr>
          <w:rFonts w:hint="default" w:ascii="Arial" w:hAnsi="Arial" w:eastAsia="宋体" w:cs="Arial"/>
          <w:color w:val="auto"/>
          <w:sz w:val="24"/>
          <w:szCs w:val="24"/>
          <w:vertAlign w:val="subscript"/>
        </w:rPr>
        <w:t>3</w:t>
      </w:r>
      <w:r>
        <w:rPr>
          <w:rFonts w:hint="default" w:ascii="Arial" w:hAnsi="Arial" w:eastAsia="宋体" w:cs="Arial"/>
          <w:color w:val="auto"/>
          <w:sz w:val="24"/>
          <w:szCs w:val="24"/>
        </w:rPr>
        <w:t>-N基本上不会到达地下水层，因此，正常工况下，本项目NH</w:t>
      </w:r>
      <w:r>
        <w:rPr>
          <w:rFonts w:hint="default" w:ascii="Arial" w:hAnsi="Arial" w:eastAsia="宋体" w:cs="Arial"/>
          <w:color w:val="auto"/>
          <w:sz w:val="24"/>
          <w:szCs w:val="24"/>
          <w:vertAlign w:val="subscript"/>
        </w:rPr>
        <w:t>3</w:t>
      </w:r>
      <w:r>
        <w:rPr>
          <w:rFonts w:hint="default" w:ascii="Arial" w:hAnsi="Arial" w:eastAsia="宋体" w:cs="Arial"/>
          <w:color w:val="auto"/>
          <w:sz w:val="24"/>
          <w:szCs w:val="24"/>
        </w:rPr>
        <w:t>-N排放对地下水不会产生较大影响。</w:t>
      </w:r>
    </w:p>
    <w:p>
      <w:pPr>
        <w:keepNext w:val="0"/>
        <w:keepLines w:val="0"/>
        <w:pageBreakBefore w:val="0"/>
        <w:widowControl w:val="0"/>
        <w:kinsoku/>
        <w:wordWrap/>
        <w:overflowPunct/>
        <w:autoSpaceDE w:val="0"/>
        <w:autoSpaceDN/>
        <w:bidi w:val="0"/>
        <w:adjustRightInd/>
        <w:snapToGrid/>
        <w:spacing w:line="480" w:lineRule="exact"/>
        <w:ind w:firstLine="480"/>
        <w:textAlignment w:val="auto"/>
        <w:rPr>
          <w:rFonts w:hint="default" w:ascii="Arial" w:hAnsi="Arial" w:eastAsia="宋体" w:cs="Arial"/>
          <w:color w:val="auto"/>
          <w:highlight w:val="none"/>
        </w:rPr>
      </w:pPr>
      <w:r>
        <w:rPr>
          <w:rFonts w:hint="default" w:ascii="Arial" w:hAnsi="Arial" w:eastAsia="宋体" w:cs="Arial"/>
          <w:color w:val="auto"/>
          <w:sz w:val="24"/>
          <w:szCs w:val="24"/>
        </w:rPr>
        <w:t>2）事故工况下，本项目事故主要考虑</w:t>
      </w:r>
      <w:r>
        <w:rPr>
          <w:rFonts w:hint="default" w:ascii="Arial" w:hAnsi="Arial" w:eastAsia="宋体" w:cs="Arial"/>
          <w:color w:val="auto"/>
          <w:sz w:val="24"/>
          <w:szCs w:val="24"/>
          <w:lang w:eastAsia="zh-CN"/>
        </w:rPr>
        <w:t>堆粪场底部防渗层</w:t>
      </w:r>
      <w:r>
        <w:rPr>
          <w:rFonts w:hint="default" w:ascii="Arial" w:hAnsi="Arial" w:eastAsia="宋体" w:cs="Arial"/>
          <w:color w:val="auto"/>
          <w:sz w:val="24"/>
          <w:szCs w:val="24"/>
        </w:rPr>
        <w:t>的渗漏问题，此时污染物直接进入表土层，其浓度能在瞬间达到最大值，但是通过表土层以及包气带土层的降解作用，到达地下水埋深时其浓度很小，对地下水影响不大。考虑渗漏时间较长，包气带土层中污染物含量处于饱和状态，无法再降解，此时污染物就会出现下渗，可能会对地下水产生一定的污染</w:t>
      </w:r>
      <w:r>
        <w:rPr>
          <w:rFonts w:hint="default" w:ascii="Arial" w:hAnsi="Arial" w:eastAsia="宋体" w:cs="Arial"/>
          <w:color w:val="auto"/>
          <w:highlight w:val="none"/>
        </w:rPr>
        <w:t>。</w:t>
      </w:r>
    </w:p>
    <w:p>
      <w:pPr>
        <w:pStyle w:val="5"/>
        <w:rPr>
          <w:rFonts w:hint="default" w:ascii="Arial" w:hAnsi="Arial" w:eastAsia="宋体" w:cs="Arial"/>
          <w:color w:val="auto"/>
          <w:highlight w:val="none"/>
        </w:rPr>
      </w:pPr>
      <w:bookmarkStart w:id="368" w:name="_Toc3346"/>
      <w:r>
        <w:rPr>
          <w:rFonts w:hint="default" w:ascii="Arial" w:hAnsi="Arial" w:eastAsia="宋体" w:cs="Arial"/>
          <w:color w:val="auto"/>
          <w:highlight w:val="none"/>
        </w:rPr>
        <w:t>5.5运营期土壤环境影响分析</w:t>
      </w:r>
      <w:bookmarkEnd w:id="368"/>
    </w:p>
    <w:p>
      <w:pPr>
        <w:pStyle w:val="6"/>
        <w:rPr>
          <w:rFonts w:hint="default" w:ascii="Arial" w:hAnsi="Arial" w:eastAsia="宋体" w:cs="Arial"/>
          <w:color w:val="auto"/>
          <w:highlight w:val="none"/>
        </w:rPr>
      </w:pPr>
      <w:bookmarkStart w:id="369" w:name="_Toc46421143"/>
      <w:bookmarkStart w:id="370" w:name="_Toc18624"/>
      <w:bookmarkStart w:id="371" w:name="_Toc18052327"/>
      <w:r>
        <w:rPr>
          <w:rFonts w:hint="default" w:ascii="Arial" w:hAnsi="Arial" w:eastAsia="宋体" w:cs="Arial"/>
          <w:color w:val="auto"/>
          <w:highlight w:val="none"/>
        </w:rPr>
        <w:t>5.5.</w:t>
      </w:r>
      <w:r>
        <w:rPr>
          <w:rFonts w:hint="default" w:ascii="Arial" w:hAnsi="Arial" w:eastAsia="宋体" w:cs="Arial"/>
          <w:color w:val="auto"/>
          <w:highlight w:val="none"/>
          <w:lang w:val="en-US" w:eastAsia="zh-CN"/>
        </w:rPr>
        <w:t>1</w:t>
      </w:r>
      <w:r>
        <w:rPr>
          <w:rFonts w:hint="default" w:ascii="Arial" w:hAnsi="Arial" w:eastAsia="宋体" w:cs="Arial"/>
          <w:color w:val="auto"/>
          <w:highlight w:val="none"/>
        </w:rPr>
        <w:t>环境影响识别</w:t>
      </w:r>
      <w:bookmarkEnd w:id="369"/>
      <w:bookmarkEnd w:id="370"/>
    </w:p>
    <w:p>
      <w:pPr>
        <w:pStyle w:val="7"/>
        <w:rPr>
          <w:rFonts w:hint="default" w:ascii="Arial" w:hAnsi="Arial" w:eastAsia="宋体" w:cs="Arial"/>
          <w:color w:val="auto"/>
          <w:highlight w:val="none"/>
        </w:rPr>
      </w:pPr>
      <w:r>
        <w:rPr>
          <w:rFonts w:hint="default" w:ascii="Arial" w:hAnsi="Arial" w:eastAsia="宋体" w:cs="Arial"/>
          <w:color w:val="auto"/>
          <w:highlight w:val="none"/>
        </w:rPr>
        <w:t>5.5.</w:t>
      </w:r>
      <w:r>
        <w:rPr>
          <w:rFonts w:hint="default" w:ascii="Arial" w:hAnsi="Arial" w:eastAsia="宋体" w:cs="Arial"/>
          <w:color w:val="auto"/>
          <w:highlight w:val="none"/>
          <w:lang w:val="en-US" w:eastAsia="zh-CN"/>
        </w:rPr>
        <w:t>1</w:t>
      </w:r>
      <w:r>
        <w:rPr>
          <w:rFonts w:hint="default" w:ascii="Arial" w:hAnsi="Arial" w:eastAsia="宋体" w:cs="Arial"/>
          <w:color w:val="auto"/>
          <w:highlight w:val="none"/>
        </w:rPr>
        <w:t>.1项目类别</w:t>
      </w:r>
    </w:p>
    <w:p>
      <w:pPr>
        <w:ind w:firstLine="480"/>
        <w:rPr>
          <w:rFonts w:hint="default" w:ascii="Arial" w:hAnsi="Arial" w:eastAsia="宋体" w:cs="Arial"/>
          <w:color w:val="auto"/>
          <w:highlight w:val="none"/>
        </w:rPr>
      </w:pPr>
      <w:r>
        <w:rPr>
          <w:rFonts w:hint="default" w:ascii="Arial" w:hAnsi="Arial" w:eastAsia="宋体" w:cs="Arial"/>
          <w:color w:val="auto"/>
          <w:highlight w:val="none"/>
        </w:rPr>
        <w:t>根据《环境影响评价技术导则 土壤环境》（试行）（HJ964-2018）附表A.1，本项目属于农林牧渔业，项目类别为Ⅲ类。</w:t>
      </w:r>
    </w:p>
    <w:p>
      <w:pPr>
        <w:pStyle w:val="7"/>
        <w:rPr>
          <w:rFonts w:hint="default" w:ascii="Arial" w:hAnsi="Arial" w:eastAsia="宋体" w:cs="Arial"/>
          <w:color w:val="auto"/>
          <w:highlight w:val="none"/>
        </w:rPr>
      </w:pPr>
      <w:r>
        <w:rPr>
          <w:rFonts w:hint="default" w:ascii="Arial" w:hAnsi="Arial" w:eastAsia="宋体" w:cs="Arial"/>
          <w:color w:val="auto"/>
          <w:highlight w:val="none"/>
        </w:rPr>
        <w:t>5.5.</w:t>
      </w:r>
      <w:r>
        <w:rPr>
          <w:rFonts w:hint="default" w:ascii="Arial" w:hAnsi="Arial" w:eastAsia="宋体" w:cs="Arial"/>
          <w:color w:val="auto"/>
          <w:highlight w:val="none"/>
          <w:lang w:val="en-US" w:eastAsia="zh-CN"/>
        </w:rPr>
        <w:t>1</w:t>
      </w:r>
      <w:r>
        <w:rPr>
          <w:rFonts w:hint="default" w:ascii="Arial" w:hAnsi="Arial" w:eastAsia="宋体" w:cs="Arial"/>
          <w:color w:val="auto"/>
          <w:highlight w:val="none"/>
        </w:rPr>
        <w:t>.2影响类型及途径</w:t>
      </w:r>
    </w:p>
    <w:p>
      <w:pPr>
        <w:ind w:firstLine="480"/>
        <w:rPr>
          <w:rFonts w:hint="default" w:ascii="Arial" w:hAnsi="Arial" w:eastAsia="宋体" w:cs="Arial"/>
          <w:color w:val="auto"/>
          <w:highlight w:val="none"/>
        </w:rPr>
      </w:pPr>
      <w:r>
        <w:rPr>
          <w:rFonts w:hint="default" w:ascii="Arial" w:hAnsi="Arial" w:eastAsia="宋体" w:cs="Arial"/>
          <w:color w:val="auto"/>
          <w:highlight w:val="none"/>
        </w:rPr>
        <w:t>营运期粪污废水在事故状况下将下渗会对土壤造成垂直入渗影响，项目不涉及酸、碱、盐类物质，不会造成土壤酸化、碱化和盐化。</w:t>
      </w:r>
    </w:p>
    <w:p>
      <w:pPr>
        <w:pStyle w:val="8"/>
        <w:rPr>
          <w:rFonts w:hint="default" w:ascii="Arial" w:hAnsi="Arial" w:eastAsia="宋体" w:cs="Arial"/>
          <w:color w:val="auto"/>
          <w:highlight w:val="none"/>
        </w:rPr>
      </w:pPr>
      <w:r>
        <w:rPr>
          <w:rFonts w:hint="default" w:ascii="Arial" w:hAnsi="Arial" w:eastAsia="宋体" w:cs="Arial"/>
          <w:color w:val="auto"/>
          <w:highlight w:val="none"/>
          <w:lang w:bidi="ar"/>
        </w:rPr>
        <w:t>表</w:t>
      </w:r>
      <w:r>
        <w:rPr>
          <w:rFonts w:hint="default" w:ascii="Arial" w:hAnsi="Arial" w:eastAsia="宋体" w:cs="Arial"/>
          <w:color w:val="auto"/>
          <w:highlight w:val="none"/>
        </w:rPr>
        <w:t xml:space="preserve">5.5-1   </w:t>
      </w:r>
      <w:r>
        <w:rPr>
          <w:rFonts w:hint="default" w:ascii="Arial" w:hAnsi="Arial" w:eastAsia="宋体" w:cs="Arial"/>
          <w:color w:val="auto"/>
          <w:highlight w:val="none"/>
          <w:lang w:bidi="ar"/>
        </w:rPr>
        <w:t xml:space="preserve"> 建设项目土壤环境影响类型与影响途径表</w:t>
      </w:r>
    </w:p>
    <w:tbl>
      <w:tblPr>
        <w:tblStyle w:val="39"/>
        <w:tblW w:w="9003" w:type="dxa"/>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0" w:type="dxa"/>
          <w:bottom w:w="0" w:type="dxa"/>
          <w:right w:w="0" w:type="dxa"/>
        </w:tblCellMar>
      </w:tblPr>
      <w:tblGrid>
        <w:gridCol w:w="1635"/>
        <w:gridCol w:w="1318"/>
        <w:gridCol w:w="1318"/>
        <w:gridCol w:w="1318"/>
        <w:gridCol w:w="682"/>
        <w:gridCol w:w="681"/>
        <w:gridCol w:w="682"/>
        <w:gridCol w:w="682"/>
        <w:gridCol w:w="687"/>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1635" w:type="dxa"/>
            <w:vMerge w:val="restart"/>
            <w:shd w:val="clear" w:color="auto" w:fill="auto"/>
            <w:tcMar>
              <w:top w:w="15" w:type="dxa"/>
              <w:left w:w="15" w:type="dxa"/>
              <w:right w:w="15" w:type="dxa"/>
            </w:tcMar>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lang w:bidi="ar"/>
              </w:rPr>
              <w:t>不同时段</w:t>
            </w:r>
          </w:p>
        </w:tc>
        <w:tc>
          <w:tcPr>
            <w:tcW w:w="4636" w:type="dxa"/>
            <w:gridSpan w:val="4"/>
            <w:shd w:val="clear" w:color="auto" w:fill="auto"/>
            <w:tcMar>
              <w:top w:w="15" w:type="dxa"/>
              <w:left w:w="15" w:type="dxa"/>
              <w:right w:w="15" w:type="dxa"/>
            </w:tcMar>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lang w:bidi="ar"/>
              </w:rPr>
              <w:t>污染影响型</w:t>
            </w:r>
          </w:p>
        </w:tc>
        <w:tc>
          <w:tcPr>
            <w:tcW w:w="2732" w:type="dxa"/>
            <w:gridSpan w:val="4"/>
            <w:shd w:val="clear" w:color="auto" w:fill="auto"/>
            <w:tcMar>
              <w:top w:w="15" w:type="dxa"/>
              <w:left w:w="15" w:type="dxa"/>
              <w:right w:w="15" w:type="dxa"/>
            </w:tcMar>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lang w:bidi="ar"/>
              </w:rPr>
              <w:t>生态影响型</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1635" w:type="dxa"/>
            <w:vMerge w:val="continue"/>
            <w:shd w:val="clear" w:color="auto" w:fill="auto"/>
            <w:tcMar>
              <w:top w:w="15" w:type="dxa"/>
              <w:left w:w="15" w:type="dxa"/>
              <w:right w:w="15" w:type="dxa"/>
            </w:tcMar>
            <w:vAlign w:val="center"/>
          </w:tcPr>
          <w:p>
            <w:pPr>
              <w:pStyle w:val="63"/>
              <w:rPr>
                <w:rFonts w:hint="default" w:ascii="Arial" w:hAnsi="Arial" w:eastAsia="宋体" w:cs="Arial"/>
                <w:color w:val="auto"/>
                <w:sz w:val="21"/>
                <w:szCs w:val="21"/>
                <w:highlight w:val="none"/>
              </w:rPr>
            </w:pPr>
          </w:p>
        </w:tc>
        <w:tc>
          <w:tcPr>
            <w:tcW w:w="1318" w:type="dxa"/>
            <w:shd w:val="clear" w:color="auto" w:fill="auto"/>
            <w:tcMar>
              <w:top w:w="15" w:type="dxa"/>
              <w:left w:w="15" w:type="dxa"/>
              <w:right w:w="15" w:type="dxa"/>
            </w:tcMar>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lang w:bidi="ar"/>
              </w:rPr>
              <w:t>大气沉降</w:t>
            </w:r>
          </w:p>
        </w:tc>
        <w:tc>
          <w:tcPr>
            <w:tcW w:w="1318" w:type="dxa"/>
            <w:shd w:val="clear" w:color="auto" w:fill="auto"/>
            <w:tcMar>
              <w:top w:w="15" w:type="dxa"/>
              <w:left w:w="15" w:type="dxa"/>
              <w:right w:w="15" w:type="dxa"/>
            </w:tcMar>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lang w:bidi="ar"/>
              </w:rPr>
              <w:t>地面漫流</w:t>
            </w:r>
          </w:p>
        </w:tc>
        <w:tc>
          <w:tcPr>
            <w:tcW w:w="1318" w:type="dxa"/>
            <w:shd w:val="clear" w:color="auto" w:fill="auto"/>
            <w:tcMar>
              <w:top w:w="15" w:type="dxa"/>
              <w:left w:w="15" w:type="dxa"/>
              <w:right w:w="15" w:type="dxa"/>
            </w:tcMar>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lang w:bidi="ar"/>
              </w:rPr>
              <w:t>垂直入渗</w:t>
            </w:r>
          </w:p>
        </w:tc>
        <w:tc>
          <w:tcPr>
            <w:tcW w:w="682" w:type="dxa"/>
            <w:shd w:val="clear" w:color="auto" w:fill="auto"/>
            <w:tcMar>
              <w:top w:w="15" w:type="dxa"/>
              <w:left w:w="15" w:type="dxa"/>
              <w:right w:w="15" w:type="dxa"/>
            </w:tcMar>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lang w:bidi="ar"/>
              </w:rPr>
              <w:t>其他</w:t>
            </w:r>
          </w:p>
        </w:tc>
        <w:tc>
          <w:tcPr>
            <w:tcW w:w="681" w:type="dxa"/>
            <w:shd w:val="clear" w:color="auto" w:fill="auto"/>
            <w:tcMar>
              <w:top w:w="15" w:type="dxa"/>
              <w:left w:w="15" w:type="dxa"/>
              <w:right w:w="15" w:type="dxa"/>
            </w:tcMar>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lang w:bidi="ar"/>
              </w:rPr>
              <w:t>盐化</w:t>
            </w:r>
          </w:p>
        </w:tc>
        <w:tc>
          <w:tcPr>
            <w:tcW w:w="682" w:type="dxa"/>
            <w:shd w:val="clear" w:color="auto" w:fill="auto"/>
            <w:tcMar>
              <w:top w:w="15" w:type="dxa"/>
              <w:left w:w="15" w:type="dxa"/>
              <w:right w:w="15" w:type="dxa"/>
            </w:tcMar>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lang w:bidi="ar"/>
              </w:rPr>
              <w:t>碱化</w:t>
            </w:r>
          </w:p>
        </w:tc>
        <w:tc>
          <w:tcPr>
            <w:tcW w:w="682" w:type="dxa"/>
            <w:shd w:val="clear" w:color="auto" w:fill="auto"/>
            <w:tcMar>
              <w:top w:w="15" w:type="dxa"/>
              <w:left w:w="15" w:type="dxa"/>
              <w:right w:w="15" w:type="dxa"/>
            </w:tcMar>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lang w:bidi="ar"/>
              </w:rPr>
              <w:t>酸化</w:t>
            </w:r>
          </w:p>
        </w:tc>
        <w:tc>
          <w:tcPr>
            <w:tcW w:w="687" w:type="dxa"/>
            <w:shd w:val="clear" w:color="auto" w:fill="auto"/>
            <w:tcMar>
              <w:top w:w="15" w:type="dxa"/>
              <w:left w:w="15" w:type="dxa"/>
              <w:right w:w="15" w:type="dxa"/>
            </w:tcMar>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lang w:bidi="ar"/>
              </w:rPr>
              <w:t>其他</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1635" w:type="dxa"/>
            <w:shd w:val="clear" w:color="auto" w:fill="auto"/>
            <w:tcMar>
              <w:top w:w="15" w:type="dxa"/>
              <w:left w:w="15" w:type="dxa"/>
              <w:right w:w="15" w:type="dxa"/>
            </w:tcMar>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lang w:bidi="ar"/>
              </w:rPr>
              <w:t>建设期</w:t>
            </w:r>
          </w:p>
        </w:tc>
        <w:tc>
          <w:tcPr>
            <w:tcW w:w="1318" w:type="dxa"/>
            <w:shd w:val="clear" w:color="auto" w:fill="auto"/>
            <w:tcMar>
              <w:top w:w="15" w:type="dxa"/>
              <w:left w:w="15" w:type="dxa"/>
              <w:right w:w="15" w:type="dxa"/>
            </w:tcMar>
            <w:vAlign w:val="center"/>
          </w:tcPr>
          <w:p>
            <w:pPr>
              <w:pStyle w:val="63"/>
              <w:rPr>
                <w:rFonts w:hint="default" w:ascii="Arial" w:hAnsi="Arial" w:eastAsia="宋体" w:cs="Arial"/>
                <w:color w:val="auto"/>
                <w:sz w:val="21"/>
                <w:szCs w:val="21"/>
                <w:highlight w:val="none"/>
              </w:rPr>
            </w:pPr>
          </w:p>
        </w:tc>
        <w:tc>
          <w:tcPr>
            <w:tcW w:w="1318" w:type="dxa"/>
            <w:shd w:val="clear" w:color="auto" w:fill="auto"/>
            <w:tcMar>
              <w:top w:w="15" w:type="dxa"/>
              <w:left w:w="15" w:type="dxa"/>
              <w:right w:w="15" w:type="dxa"/>
            </w:tcMar>
            <w:vAlign w:val="center"/>
          </w:tcPr>
          <w:p>
            <w:pPr>
              <w:pStyle w:val="63"/>
              <w:rPr>
                <w:rFonts w:hint="default" w:ascii="Arial" w:hAnsi="Arial" w:eastAsia="宋体" w:cs="Arial"/>
                <w:color w:val="auto"/>
                <w:sz w:val="21"/>
                <w:szCs w:val="21"/>
                <w:highlight w:val="none"/>
              </w:rPr>
            </w:pPr>
          </w:p>
        </w:tc>
        <w:tc>
          <w:tcPr>
            <w:tcW w:w="1318" w:type="dxa"/>
            <w:shd w:val="clear" w:color="auto" w:fill="auto"/>
            <w:tcMar>
              <w:top w:w="15" w:type="dxa"/>
              <w:left w:w="15" w:type="dxa"/>
              <w:right w:w="15" w:type="dxa"/>
            </w:tcMar>
            <w:vAlign w:val="center"/>
          </w:tcPr>
          <w:p>
            <w:pPr>
              <w:pStyle w:val="63"/>
              <w:rPr>
                <w:rFonts w:hint="default" w:ascii="Arial" w:hAnsi="Arial" w:eastAsia="宋体" w:cs="Arial"/>
                <w:color w:val="auto"/>
                <w:sz w:val="21"/>
                <w:szCs w:val="21"/>
                <w:highlight w:val="none"/>
              </w:rPr>
            </w:pPr>
          </w:p>
        </w:tc>
        <w:tc>
          <w:tcPr>
            <w:tcW w:w="682" w:type="dxa"/>
            <w:shd w:val="clear" w:color="auto" w:fill="auto"/>
            <w:tcMar>
              <w:top w:w="15" w:type="dxa"/>
              <w:left w:w="15" w:type="dxa"/>
              <w:right w:w="15" w:type="dxa"/>
            </w:tcMar>
            <w:vAlign w:val="center"/>
          </w:tcPr>
          <w:p>
            <w:pPr>
              <w:pStyle w:val="63"/>
              <w:rPr>
                <w:rFonts w:hint="default" w:ascii="Arial" w:hAnsi="Arial" w:eastAsia="宋体" w:cs="Arial"/>
                <w:color w:val="auto"/>
                <w:sz w:val="21"/>
                <w:szCs w:val="21"/>
                <w:highlight w:val="none"/>
              </w:rPr>
            </w:pPr>
          </w:p>
        </w:tc>
        <w:tc>
          <w:tcPr>
            <w:tcW w:w="681" w:type="dxa"/>
            <w:shd w:val="clear" w:color="auto" w:fill="auto"/>
            <w:tcMar>
              <w:top w:w="15" w:type="dxa"/>
              <w:left w:w="15" w:type="dxa"/>
              <w:right w:w="15" w:type="dxa"/>
            </w:tcMar>
            <w:vAlign w:val="center"/>
          </w:tcPr>
          <w:p>
            <w:pPr>
              <w:pStyle w:val="63"/>
              <w:rPr>
                <w:rFonts w:hint="default" w:ascii="Arial" w:hAnsi="Arial" w:eastAsia="宋体" w:cs="Arial"/>
                <w:color w:val="auto"/>
                <w:sz w:val="21"/>
                <w:szCs w:val="21"/>
                <w:highlight w:val="none"/>
              </w:rPr>
            </w:pPr>
          </w:p>
        </w:tc>
        <w:tc>
          <w:tcPr>
            <w:tcW w:w="682" w:type="dxa"/>
            <w:shd w:val="clear" w:color="auto" w:fill="auto"/>
            <w:tcMar>
              <w:top w:w="15" w:type="dxa"/>
              <w:left w:w="15" w:type="dxa"/>
              <w:right w:w="15" w:type="dxa"/>
            </w:tcMar>
            <w:vAlign w:val="center"/>
          </w:tcPr>
          <w:p>
            <w:pPr>
              <w:pStyle w:val="63"/>
              <w:rPr>
                <w:rFonts w:hint="default" w:ascii="Arial" w:hAnsi="Arial" w:eastAsia="宋体" w:cs="Arial"/>
                <w:color w:val="auto"/>
                <w:sz w:val="21"/>
                <w:szCs w:val="21"/>
                <w:highlight w:val="none"/>
              </w:rPr>
            </w:pPr>
          </w:p>
        </w:tc>
        <w:tc>
          <w:tcPr>
            <w:tcW w:w="682" w:type="dxa"/>
            <w:shd w:val="clear" w:color="auto" w:fill="auto"/>
            <w:tcMar>
              <w:top w:w="15" w:type="dxa"/>
              <w:left w:w="15" w:type="dxa"/>
              <w:right w:w="15" w:type="dxa"/>
            </w:tcMar>
            <w:vAlign w:val="center"/>
          </w:tcPr>
          <w:p>
            <w:pPr>
              <w:pStyle w:val="63"/>
              <w:rPr>
                <w:rFonts w:hint="default" w:ascii="Arial" w:hAnsi="Arial" w:eastAsia="宋体" w:cs="Arial"/>
                <w:color w:val="auto"/>
                <w:sz w:val="21"/>
                <w:szCs w:val="21"/>
                <w:highlight w:val="none"/>
              </w:rPr>
            </w:pPr>
          </w:p>
        </w:tc>
        <w:tc>
          <w:tcPr>
            <w:tcW w:w="687" w:type="dxa"/>
            <w:shd w:val="clear" w:color="auto" w:fill="auto"/>
            <w:tcMar>
              <w:top w:w="15" w:type="dxa"/>
              <w:left w:w="15" w:type="dxa"/>
              <w:right w:w="15" w:type="dxa"/>
            </w:tcMar>
            <w:vAlign w:val="center"/>
          </w:tcPr>
          <w:p>
            <w:pPr>
              <w:pStyle w:val="63"/>
              <w:rPr>
                <w:rFonts w:hint="default" w:ascii="Arial" w:hAnsi="Arial" w:eastAsia="宋体" w:cs="Arial"/>
                <w:color w:val="auto"/>
                <w:sz w:val="21"/>
                <w:szCs w:val="21"/>
                <w:highlight w:val="none"/>
              </w:rPr>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1635" w:type="dxa"/>
            <w:shd w:val="clear" w:color="auto" w:fill="auto"/>
            <w:tcMar>
              <w:top w:w="15" w:type="dxa"/>
              <w:left w:w="15" w:type="dxa"/>
              <w:right w:w="15" w:type="dxa"/>
            </w:tcMar>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lang w:bidi="ar"/>
              </w:rPr>
              <w:t>运营期</w:t>
            </w:r>
          </w:p>
        </w:tc>
        <w:tc>
          <w:tcPr>
            <w:tcW w:w="1318" w:type="dxa"/>
            <w:shd w:val="clear" w:color="auto" w:fill="auto"/>
            <w:tcMar>
              <w:top w:w="15" w:type="dxa"/>
              <w:left w:w="15" w:type="dxa"/>
              <w:right w:w="15" w:type="dxa"/>
            </w:tcMar>
            <w:vAlign w:val="center"/>
          </w:tcPr>
          <w:p>
            <w:pPr>
              <w:pStyle w:val="63"/>
              <w:rPr>
                <w:rFonts w:hint="default" w:ascii="Arial" w:hAnsi="Arial" w:eastAsia="宋体" w:cs="Arial"/>
                <w:color w:val="auto"/>
                <w:sz w:val="21"/>
                <w:szCs w:val="21"/>
                <w:highlight w:val="none"/>
              </w:rPr>
            </w:pPr>
          </w:p>
        </w:tc>
        <w:tc>
          <w:tcPr>
            <w:tcW w:w="1318" w:type="dxa"/>
            <w:shd w:val="clear" w:color="auto" w:fill="auto"/>
            <w:tcMar>
              <w:top w:w="15" w:type="dxa"/>
              <w:left w:w="15" w:type="dxa"/>
              <w:right w:w="15" w:type="dxa"/>
            </w:tcMar>
            <w:vAlign w:val="center"/>
          </w:tcPr>
          <w:p>
            <w:pPr>
              <w:pStyle w:val="63"/>
              <w:rPr>
                <w:rFonts w:hint="default" w:ascii="Arial" w:hAnsi="Arial" w:eastAsia="宋体" w:cs="Arial"/>
                <w:color w:val="auto"/>
                <w:sz w:val="21"/>
                <w:szCs w:val="21"/>
                <w:highlight w:val="none"/>
              </w:rPr>
            </w:pPr>
          </w:p>
        </w:tc>
        <w:tc>
          <w:tcPr>
            <w:tcW w:w="1318" w:type="dxa"/>
            <w:shd w:val="clear" w:color="auto" w:fill="auto"/>
            <w:tcMar>
              <w:top w:w="15" w:type="dxa"/>
              <w:left w:w="15" w:type="dxa"/>
              <w:right w:w="15" w:type="dxa"/>
            </w:tcMar>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w:t>
            </w:r>
          </w:p>
        </w:tc>
        <w:tc>
          <w:tcPr>
            <w:tcW w:w="682" w:type="dxa"/>
            <w:shd w:val="clear" w:color="auto" w:fill="auto"/>
            <w:tcMar>
              <w:top w:w="15" w:type="dxa"/>
              <w:left w:w="15" w:type="dxa"/>
              <w:right w:w="15" w:type="dxa"/>
            </w:tcMar>
            <w:vAlign w:val="center"/>
          </w:tcPr>
          <w:p>
            <w:pPr>
              <w:pStyle w:val="63"/>
              <w:rPr>
                <w:rFonts w:hint="default" w:ascii="Arial" w:hAnsi="Arial" w:eastAsia="宋体" w:cs="Arial"/>
                <w:color w:val="auto"/>
                <w:sz w:val="21"/>
                <w:szCs w:val="21"/>
                <w:highlight w:val="none"/>
              </w:rPr>
            </w:pPr>
          </w:p>
        </w:tc>
        <w:tc>
          <w:tcPr>
            <w:tcW w:w="681" w:type="dxa"/>
            <w:shd w:val="clear" w:color="auto" w:fill="auto"/>
            <w:tcMar>
              <w:top w:w="15" w:type="dxa"/>
              <w:left w:w="15" w:type="dxa"/>
              <w:right w:w="15" w:type="dxa"/>
            </w:tcMar>
            <w:vAlign w:val="center"/>
          </w:tcPr>
          <w:p>
            <w:pPr>
              <w:pStyle w:val="63"/>
              <w:rPr>
                <w:rFonts w:hint="default" w:ascii="Arial" w:hAnsi="Arial" w:eastAsia="宋体" w:cs="Arial"/>
                <w:color w:val="auto"/>
                <w:sz w:val="21"/>
                <w:szCs w:val="21"/>
                <w:highlight w:val="none"/>
              </w:rPr>
            </w:pPr>
          </w:p>
        </w:tc>
        <w:tc>
          <w:tcPr>
            <w:tcW w:w="682" w:type="dxa"/>
            <w:shd w:val="clear" w:color="auto" w:fill="auto"/>
            <w:tcMar>
              <w:top w:w="15" w:type="dxa"/>
              <w:left w:w="15" w:type="dxa"/>
              <w:right w:w="15" w:type="dxa"/>
            </w:tcMar>
            <w:vAlign w:val="center"/>
          </w:tcPr>
          <w:p>
            <w:pPr>
              <w:pStyle w:val="63"/>
              <w:rPr>
                <w:rFonts w:hint="default" w:ascii="Arial" w:hAnsi="Arial" w:eastAsia="宋体" w:cs="Arial"/>
                <w:color w:val="auto"/>
                <w:sz w:val="21"/>
                <w:szCs w:val="21"/>
                <w:highlight w:val="none"/>
              </w:rPr>
            </w:pPr>
          </w:p>
        </w:tc>
        <w:tc>
          <w:tcPr>
            <w:tcW w:w="682" w:type="dxa"/>
            <w:shd w:val="clear" w:color="auto" w:fill="auto"/>
            <w:tcMar>
              <w:top w:w="15" w:type="dxa"/>
              <w:left w:w="15" w:type="dxa"/>
              <w:right w:w="15" w:type="dxa"/>
            </w:tcMar>
            <w:vAlign w:val="center"/>
          </w:tcPr>
          <w:p>
            <w:pPr>
              <w:pStyle w:val="63"/>
              <w:rPr>
                <w:rFonts w:hint="default" w:ascii="Arial" w:hAnsi="Arial" w:eastAsia="宋体" w:cs="Arial"/>
                <w:color w:val="auto"/>
                <w:sz w:val="21"/>
                <w:szCs w:val="21"/>
                <w:highlight w:val="none"/>
              </w:rPr>
            </w:pPr>
          </w:p>
        </w:tc>
        <w:tc>
          <w:tcPr>
            <w:tcW w:w="687" w:type="dxa"/>
            <w:shd w:val="clear" w:color="auto" w:fill="auto"/>
            <w:tcMar>
              <w:top w:w="15" w:type="dxa"/>
              <w:left w:w="15" w:type="dxa"/>
              <w:right w:w="15" w:type="dxa"/>
            </w:tcMar>
            <w:vAlign w:val="center"/>
          </w:tcPr>
          <w:p>
            <w:pPr>
              <w:pStyle w:val="63"/>
              <w:rPr>
                <w:rFonts w:hint="default" w:ascii="Arial" w:hAnsi="Arial" w:eastAsia="宋体" w:cs="Arial"/>
                <w:color w:val="auto"/>
                <w:sz w:val="21"/>
                <w:szCs w:val="21"/>
                <w:highlight w:val="none"/>
              </w:rPr>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1635" w:type="dxa"/>
            <w:shd w:val="clear" w:color="auto" w:fill="auto"/>
            <w:tcMar>
              <w:top w:w="15" w:type="dxa"/>
              <w:left w:w="15" w:type="dxa"/>
              <w:right w:w="15" w:type="dxa"/>
            </w:tcMar>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lang w:bidi="ar"/>
              </w:rPr>
              <w:t>服务期满后</w:t>
            </w:r>
          </w:p>
        </w:tc>
        <w:tc>
          <w:tcPr>
            <w:tcW w:w="1318" w:type="dxa"/>
            <w:shd w:val="clear" w:color="auto" w:fill="auto"/>
            <w:tcMar>
              <w:top w:w="15" w:type="dxa"/>
              <w:left w:w="15" w:type="dxa"/>
              <w:right w:w="15" w:type="dxa"/>
            </w:tcMar>
            <w:vAlign w:val="center"/>
          </w:tcPr>
          <w:p>
            <w:pPr>
              <w:pStyle w:val="63"/>
              <w:rPr>
                <w:rFonts w:hint="default" w:ascii="Arial" w:hAnsi="Arial" w:eastAsia="宋体" w:cs="Arial"/>
                <w:color w:val="auto"/>
                <w:sz w:val="21"/>
                <w:szCs w:val="21"/>
                <w:highlight w:val="none"/>
              </w:rPr>
            </w:pPr>
          </w:p>
        </w:tc>
        <w:tc>
          <w:tcPr>
            <w:tcW w:w="1318" w:type="dxa"/>
            <w:shd w:val="clear" w:color="auto" w:fill="auto"/>
            <w:tcMar>
              <w:top w:w="15" w:type="dxa"/>
              <w:left w:w="15" w:type="dxa"/>
              <w:right w:w="15" w:type="dxa"/>
            </w:tcMar>
            <w:vAlign w:val="center"/>
          </w:tcPr>
          <w:p>
            <w:pPr>
              <w:pStyle w:val="63"/>
              <w:rPr>
                <w:rFonts w:hint="default" w:ascii="Arial" w:hAnsi="Arial" w:eastAsia="宋体" w:cs="Arial"/>
                <w:color w:val="auto"/>
                <w:sz w:val="21"/>
                <w:szCs w:val="21"/>
                <w:highlight w:val="none"/>
              </w:rPr>
            </w:pPr>
          </w:p>
        </w:tc>
        <w:tc>
          <w:tcPr>
            <w:tcW w:w="1318" w:type="dxa"/>
            <w:shd w:val="clear" w:color="auto" w:fill="auto"/>
            <w:tcMar>
              <w:top w:w="15" w:type="dxa"/>
              <w:left w:w="15" w:type="dxa"/>
              <w:right w:w="15" w:type="dxa"/>
            </w:tcMar>
            <w:vAlign w:val="center"/>
          </w:tcPr>
          <w:p>
            <w:pPr>
              <w:pStyle w:val="63"/>
              <w:rPr>
                <w:rFonts w:hint="default" w:ascii="Arial" w:hAnsi="Arial" w:eastAsia="宋体" w:cs="Arial"/>
                <w:color w:val="auto"/>
                <w:sz w:val="21"/>
                <w:szCs w:val="21"/>
                <w:highlight w:val="none"/>
              </w:rPr>
            </w:pPr>
          </w:p>
        </w:tc>
        <w:tc>
          <w:tcPr>
            <w:tcW w:w="682" w:type="dxa"/>
            <w:shd w:val="clear" w:color="auto" w:fill="auto"/>
            <w:tcMar>
              <w:top w:w="15" w:type="dxa"/>
              <w:left w:w="15" w:type="dxa"/>
              <w:right w:w="15" w:type="dxa"/>
            </w:tcMar>
            <w:vAlign w:val="center"/>
          </w:tcPr>
          <w:p>
            <w:pPr>
              <w:pStyle w:val="63"/>
              <w:rPr>
                <w:rFonts w:hint="default" w:ascii="Arial" w:hAnsi="Arial" w:eastAsia="宋体" w:cs="Arial"/>
                <w:color w:val="auto"/>
                <w:sz w:val="21"/>
                <w:szCs w:val="21"/>
                <w:highlight w:val="none"/>
              </w:rPr>
            </w:pPr>
          </w:p>
        </w:tc>
        <w:tc>
          <w:tcPr>
            <w:tcW w:w="681" w:type="dxa"/>
            <w:shd w:val="clear" w:color="auto" w:fill="auto"/>
            <w:tcMar>
              <w:top w:w="15" w:type="dxa"/>
              <w:left w:w="15" w:type="dxa"/>
              <w:right w:w="15" w:type="dxa"/>
            </w:tcMar>
            <w:vAlign w:val="center"/>
          </w:tcPr>
          <w:p>
            <w:pPr>
              <w:pStyle w:val="63"/>
              <w:rPr>
                <w:rFonts w:hint="default" w:ascii="Arial" w:hAnsi="Arial" w:eastAsia="宋体" w:cs="Arial"/>
                <w:color w:val="auto"/>
                <w:sz w:val="21"/>
                <w:szCs w:val="21"/>
                <w:highlight w:val="none"/>
              </w:rPr>
            </w:pPr>
          </w:p>
        </w:tc>
        <w:tc>
          <w:tcPr>
            <w:tcW w:w="682" w:type="dxa"/>
            <w:shd w:val="clear" w:color="auto" w:fill="auto"/>
            <w:tcMar>
              <w:top w:w="15" w:type="dxa"/>
              <w:left w:w="15" w:type="dxa"/>
              <w:right w:w="15" w:type="dxa"/>
            </w:tcMar>
            <w:vAlign w:val="center"/>
          </w:tcPr>
          <w:p>
            <w:pPr>
              <w:pStyle w:val="63"/>
              <w:rPr>
                <w:rFonts w:hint="default" w:ascii="Arial" w:hAnsi="Arial" w:eastAsia="宋体" w:cs="Arial"/>
                <w:color w:val="auto"/>
                <w:sz w:val="21"/>
                <w:szCs w:val="21"/>
                <w:highlight w:val="none"/>
              </w:rPr>
            </w:pPr>
          </w:p>
        </w:tc>
        <w:tc>
          <w:tcPr>
            <w:tcW w:w="682" w:type="dxa"/>
            <w:shd w:val="clear" w:color="auto" w:fill="auto"/>
            <w:tcMar>
              <w:top w:w="15" w:type="dxa"/>
              <w:left w:w="15" w:type="dxa"/>
              <w:right w:w="15" w:type="dxa"/>
            </w:tcMar>
            <w:vAlign w:val="center"/>
          </w:tcPr>
          <w:p>
            <w:pPr>
              <w:pStyle w:val="63"/>
              <w:rPr>
                <w:rFonts w:hint="default" w:ascii="Arial" w:hAnsi="Arial" w:eastAsia="宋体" w:cs="Arial"/>
                <w:color w:val="auto"/>
                <w:sz w:val="21"/>
                <w:szCs w:val="21"/>
                <w:highlight w:val="none"/>
              </w:rPr>
            </w:pPr>
          </w:p>
        </w:tc>
        <w:tc>
          <w:tcPr>
            <w:tcW w:w="687" w:type="dxa"/>
            <w:shd w:val="clear" w:color="auto" w:fill="auto"/>
            <w:tcMar>
              <w:top w:w="15" w:type="dxa"/>
              <w:left w:w="15" w:type="dxa"/>
              <w:right w:w="15" w:type="dxa"/>
            </w:tcMar>
            <w:vAlign w:val="center"/>
          </w:tcPr>
          <w:p>
            <w:pPr>
              <w:pStyle w:val="63"/>
              <w:rPr>
                <w:rFonts w:hint="default" w:ascii="Arial" w:hAnsi="Arial" w:eastAsia="宋体" w:cs="Arial"/>
                <w:color w:val="auto"/>
                <w:sz w:val="21"/>
                <w:szCs w:val="21"/>
                <w:highlight w:val="none"/>
              </w:rPr>
            </w:pPr>
          </w:p>
        </w:tc>
      </w:tr>
    </w:tbl>
    <w:p>
      <w:pPr>
        <w:ind w:firstLine="480"/>
        <w:rPr>
          <w:rFonts w:hint="default" w:ascii="Arial" w:hAnsi="Arial" w:eastAsia="宋体" w:cs="Arial"/>
          <w:color w:val="auto"/>
          <w:highlight w:val="none"/>
        </w:rPr>
      </w:pPr>
      <w:r>
        <w:rPr>
          <w:rFonts w:hint="default" w:ascii="Arial" w:hAnsi="Arial" w:eastAsia="宋体" w:cs="Arial"/>
          <w:color w:val="auto"/>
          <w:highlight w:val="none"/>
        </w:rPr>
        <w:t>由上表可知，拟建项目影响途径主要为运营期垂直入渗污染，因此拟建项目土壤环境影响途径为“污染影响型”。</w:t>
      </w:r>
    </w:p>
    <w:p>
      <w:pPr>
        <w:pStyle w:val="7"/>
        <w:rPr>
          <w:rFonts w:hint="default" w:ascii="Arial" w:hAnsi="Arial" w:eastAsia="宋体" w:cs="Arial"/>
          <w:color w:val="auto"/>
          <w:highlight w:val="none"/>
        </w:rPr>
      </w:pPr>
      <w:r>
        <w:rPr>
          <w:rFonts w:hint="default" w:ascii="Arial" w:hAnsi="Arial" w:eastAsia="宋体" w:cs="Arial"/>
          <w:color w:val="auto"/>
          <w:highlight w:val="none"/>
        </w:rPr>
        <w:t>5.5.</w:t>
      </w:r>
      <w:r>
        <w:rPr>
          <w:rFonts w:hint="default" w:ascii="Arial" w:hAnsi="Arial" w:eastAsia="宋体" w:cs="Arial"/>
          <w:color w:val="auto"/>
          <w:highlight w:val="none"/>
          <w:lang w:val="en-US" w:eastAsia="zh-CN"/>
        </w:rPr>
        <w:t>1</w:t>
      </w:r>
      <w:r>
        <w:rPr>
          <w:rFonts w:hint="default" w:ascii="Arial" w:hAnsi="Arial" w:eastAsia="宋体" w:cs="Arial"/>
          <w:color w:val="auto"/>
          <w:highlight w:val="none"/>
        </w:rPr>
        <w:t>.3影响源及影响因子</w:t>
      </w:r>
    </w:p>
    <w:p>
      <w:pPr>
        <w:ind w:firstLine="480"/>
        <w:rPr>
          <w:rFonts w:hint="default" w:ascii="Arial" w:hAnsi="Arial" w:eastAsia="宋体" w:cs="Arial"/>
          <w:color w:val="auto"/>
          <w:highlight w:val="none"/>
        </w:rPr>
      </w:pPr>
      <w:r>
        <w:rPr>
          <w:rFonts w:hint="default" w:ascii="Arial" w:hAnsi="Arial" w:eastAsia="宋体" w:cs="Arial"/>
          <w:color w:val="auto"/>
          <w:highlight w:val="none"/>
        </w:rPr>
        <w:t>拟建项目土壤环境影响源及影响因子识别结果参见下表。</w:t>
      </w:r>
    </w:p>
    <w:p>
      <w:pPr>
        <w:pStyle w:val="8"/>
        <w:rPr>
          <w:rFonts w:hint="default" w:ascii="Arial" w:hAnsi="Arial" w:eastAsia="宋体" w:cs="Arial"/>
          <w:color w:val="auto"/>
          <w:highlight w:val="none"/>
        </w:rPr>
      </w:pPr>
      <w:r>
        <w:rPr>
          <w:rFonts w:hint="default" w:ascii="Arial" w:hAnsi="Arial" w:eastAsia="宋体" w:cs="Arial"/>
          <w:color w:val="auto"/>
          <w:highlight w:val="none"/>
        </w:rPr>
        <w:t>表</w:t>
      </w:r>
      <w:r>
        <w:rPr>
          <w:rFonts w:hint="default" w:ascii="Arial" w:hAnsi="Arial" w:eastAsia="宋体" w:cs="Arial"/>
          <w:color w:val="auto"/>
          <w:kern w:val="0"/>
          <w:highlight w:val="none"/>
          <w:lang w:bidi="ar"/>
        </w:rPr>
        <w:t xml:space="preserve">5.5-2   </w:t>
      </w:r>
      <w:r>
        <w:rPr>
          <w:rFonts w:hint="default" w:ascii="Arial" w:hAnsi="Arial" w:eastAsia="宋体" w:cs="Arial"/>
          <w:color w:val="auto"/>
          <w:highlight w:val="none"/>
        </w:rPr>
        <w:t xml:space="preserve"> 土壤环境影响源及影响因子识别表</w:t>
      </w:r>
    </w:p>
    <w:tbl>
      <w:tblPr>
        <w:tblStyle w:val="39"/>
        <w:tblW w:w="9003" w:type="dxa"/>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0" w:type="dxa"/>
          <w:bottom w:w="0" w:type="dxa"/>
          <w:right w:w="0" w:type="dxa"/>
        </w:tblCellMar>
      </w:tblPr>
      <w:tblGrid>
        <w:gridCol w:w="990"/>
        <w:gridCol w:w="1295"/>
        <w:gridCol w:w="1133"/>
        <w:gridCol w:w="2913"/>
        <w:gridCol w:w="1680"/>
        <w:gridCol w:w="992"/>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990" w:type="dxa"/>
            <w:shd w:val="clear" w:color="auto" w:fill="auto"/>
            <w:tcMar>
              <w:top w:w="15" w:type="dxa"/>
              <w:left w:w="15" w:type="dxa"/>
              <w:right w:w="15" w:type="dxa"/>
            </w:tcMar>
            <w:vAlign w:val="center"/>
          </w:tcPr>
          <w:p>
            <w:pPr>
              <w:pStyle w:val="63"/>
              <w:rPr>
                <w:rFonts w:hint="default" w:ascii="Arial" w:hAnsi="Arial" w:eastAsia="宋体" w:cs="Arial"/>
                <w:color w:val="auto"/>
                <w:highlight w:val="none"/>
                <w:lang w:bidi="ar"/>
              </w:rPr>
            </w:pPr>
            <w:r>
              <w:rPr>
                <w:rFonts w:hint="default" w:ascii="Arial" w:hAnsi="Arial" w:eastAsia="宋体" w:cs="Arial"/>
                <w:color w:val="auto"/>
                <w:highlight w:val="none"/>
                <w:lang w:bidi="ar"/>
              </w:rPr>
              <w:t>污染源</w:t>
            </w:r>
          </w:p>
        </w:tc>
        <w:tc>
          <w:tcPr>
            <w:tcW w:w="1295" w:type="dxa"/>
            <w:shd w:val="clear" w:color="auto" w:fill="auto"/>
            <w:tcMar>
              <w:top w:w="15" w:type="dxa"/>
              <w:left w:w="15" w:type="dxa"/>
              <w:right w:w="15" w:type="dxa"/>
            </w:tcMar>
            <w:vAlign w:val="center"/>
          </w:tcPr>
          <w:p>
            <w:pPr>
              <w:pStyle w:val="63"/>
              <w:rPr>
                <w:rFonts w:hint="default" w:ascii="Arial" w:hAnsi="Arial" w:eastAsia="宋体" w:cs="Arial"/>
                <w:color w:val="auto"/>
                <w:highlight w:val="none"/>
                <w:lang w:bidi="ar"/>
              </w:rPr>
            </w:pPr>
            <w:r>
              <w:rPr>
                <w:rFonts w:hint="default" w:ascii="Arial" w:hAnsi="Arial" w:eastAsia="宋体" w:cs="Arial"/>
                <w:color w:val="auto"/>
                <w:highlight w:val="none"/>
                <w:lang w:bidi="ar"/>
              </w:rPr>
              <w:t>工艺流程/节点</w:t>
            </w:r>
          </w:p>
        </w:tc>
        <w:tc>
          <w:tcPr>
            <w:tcW w:w="1133" w:type="dxa"/>
            <w:shd w:val="clear" w:color="auto" w:fill="auto"/>
            <w:tcMar>
              <w:top w:w="15" w:type="dxa"/>
              <w:left w:w="15" w:type="dxa"/>
              <w:right w:w="15" w:type="dxa"/>
            </w:tcMar>
            <w:vAlign w:val="center"/>
          </w:tcPr>
          <w:p>
            <w:pPr>
              <w:pStyle w:val="63"/>
              <w:rPr>
                <w:rFonts w:hint="default" w:ascii="Arial" w:hAnsi="Arial" w:eastAsia="宋体" w:cs="Arial"/>
                <w:color w:val="auto"/>
                <w:highlight w:val="none"/>
                <w:lang w:bidi="ar"/>
              </w:rPr>
            </w:pPr>
            <w:r>
              <w:rPr>
                <w:rFonts w:hint="default" w:ascii="Arial" w:hAnsi="Arial" w:eastAsia="宋体" w:cs="Arial"/>
                <w:color w:val="auto"/>
                <w:highlight w:val="none"/>
                <w:lang w:bidi="ar"/>
              </w:rPr>
              <w:t>污染途径</w:t>
            </w:r>
          </w:p>
        </w:tc>
        <w:tc>
          <w:tcPr>
            <w:tcW w:w="2913" w:type="dxa"/>
            <w:shd w:val="clear" w:color="auto" w:fill="auto"/>
            <w:tcMar>
              <w:top w:w="15" w:type="dxa"/>
              <w:left w:w="15" w:type="dxa"/>
              <w:right w:w="15" w:type="dxa"/>
            </w:tcMar>
            <w:vAlign w:val="center"/>
          </w:tcPr>
          <w:p>
            <w:pPr>
              <w:pStyle w:val="63"/>
              <w:rPr>
                <w:rFonts w:hint="default" w:ascii="Arial" w:hAnsi="Arial" w:eastAsia="宋体" w:cs="Arial"/>
                <w:color w:val="auto"/>
                <w:highlight w:val="none"/>
                <w:lang w:bidi="ar"/>
              </w:rPr>
            </w:pPr>
            <w:r>
              <w:rPr>
                <w:rFonts w:hint="default" w:ascii="Arial" w:hAnsi="Arial" w:eastAsia="宋体" w:cs="Arial"/>
                <w:color w:val="auto"/>
                <w:highlight w:val="none"/>
                <w:lang w:bidi="ar"/>
              </w:rPr>
              <w:t>全部污染物指标</w:t>
            </w:r>
          </w:p>
        </w:tc>
        <w:tc>
          <w:tcPr>
            <w:tcW w:w="1680" w:type="dxa"/>
            <w:shd w:val="clear" w:color="auto" w:fill="auto"/>
            <w:tcMar>
              <w:top w:w="15" w:type="dxa"/>
              <w:left w:w="15" w:type="dxa"/>
              <w:right w:w="15" w:type="dxa"/>
            </w:tcMar>
            <w:vAlign w:val="center"/>
          </w:tcPr>
          <w:p>
            <w:pPr>
              <w:pStyle w:val="63"/>
              <w:rPr>
                <w:rFonts w:hint="default" w:ascii="Arial" w:hAnsi="Arial" w:eastAsia="宋体" w:cs="Arial"/>
                <w:color w:val="auto"/>
                <w:highlight w:val="none"/>
                <w:lang w:bidi="ar"/>
              </w:rPr>
            </w:pPr>
            <w:r>
              <w:rPr>
                <w:rFonts w:hint="default" w:ascii="Arial" w:hAnsi="Arial" w:eastAsia="宋体" w:cs="Arial"/>
                <w:color w:val="auto"/>
                <w:highlight w:val="none"/>
                <w:lang w:bidi="ar"/>
              </w:rPr>
              <w:t>特征因子</w:t>
            </w:r>
          </w:p>
        </w:tc>
        <w:tc>
          <w:tcPr>
            <w:tcW w:w="992" w:type="dxa"/>
            <w:shd w:val="clear" w:color="auto" w:fill="auto"/>
            <w:tcMar>
              <w:top w:w="15" w:type="dxa"/>
              <w:left w:w="15" w:type="dxa"/>
              <w:right w:w="15" w:type="dxa"/>
            </w:tcMar>
            <w:vAlign w:val="center"/>
          </w:tcPr>
          <w:p>
            <w:pPr>
              <w:pStyle w:val="63"/>
              <w:rPr>
                <w:rFonts w:hint="default" w:ascii="Arial" w:hAnsi="Arial" w:eastAsia="宋体" w:cs="Arial"/>
                <w:color w:val="auto"/>
                <w:highlight w:val="none"/>
                <w:lang w:bidi="ar"/>
              </w:rPr>
            </w:pPr>
            <w:r>
              <w:rPr>
                <w:rFonts w:hint="default" w:ascii="Arial" w:hAnsi="Arial" w:eastAsia="宋体" w:cs="Arial"/>
                <w:color w:val="auto"/>
                <w:highlight w:val="none"/>
                <w:lang w:bidi="ar"/>
              </w:rPr>
              <w:t>备注</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990" w:type="dxa"/>
            <w:shd w:val="clear" w:color="auto" w:fill="auto"/>
            <w:tcMar>
              <w:top w:w="15" w:type="dxa"/>
              <w:left w:w="15" w:type="dxa"/>
              <w:right w:w="15" w:type="dxa"/>
            </w:tcMar>
            <w:vAlign w:val="center"/>
          </w:tcPr>
          <w:p>
            <w:pPr>
              <w:pStyle w:val="63"/>
              <w:rPr>
                <w:rFonts w:hint="default" w:ascii="Arial" w:hAnsi="Arial" w:eastAsia="宋体" w:cs="Arial"/>
                <w:color w:val="auto"/>
                <w:highlight w:val="none"/>
                <w:lang w:eastAsia="zh-CN" w:bidi="ar"/>
              </w:rPr>
            </w:pPr>
            <w:r>
              <w:rPr>
                <w:rFonts w:hint="default" w:ascii="Arial" w:hAnsi="Arial" w:eastAsia="宋体" w:cs="Arial"/>
                <w:color w:val="auto"/>
                <w:highlight w:val="none"/>
                <w:lang w:eastAsia="zh-CN" w:bidi="ar"/>
              </w:rPr>
              <w:t>堆肥场</w:t>
            </w:r>
          </w:p>
        </w:tc>
        <w:tc>
          <w:tcPr>
            <w:tcW w:w="1295" w:type="dxa"/>
            <w:shd w:val="clear" w:color="auto" w:fill="auto"/>
            <w:tcMar>
              <w:top w:w="15" w:type="dxa"/>
              <w:left w:w="15" w:type="dxa"/>
              <w:right w:w="15" w:type="dxa"/>
            </w:tcMar>
            <w:vAlign w:val="center"/>
          </w:tcPr>
          <w:p>
            <w:pPr>
              <w:pStyle w:val="63"/>
              <w:rPr>
                <w:rFonts w:hint="default" w:ascii="Arial" w:hAnsi="Arial" w:eastAsia="宋体" w:cs="Arial"/>
                <w:color w:val="auto"/>
                <w:highlight w:val="none"/>
                <w:lang w:eastAsia="zh-CN" w:bidi="ar"/>
              </w:rPr>
            </w:pPr>
            <w:r>
              <w:rPr>
                <w:rFonts w:hint="default" w:ascii="Arial" w:hAnsi="Arial" w:eastAsia="宋体" w:cs="Arial"/>
                <w:color w:val="auto"/>
                <w:highlight w:val="none"/>
                <w:lang w:eastAsia="zh-CN" w:bidi="ar"/>
              </w:rPr>
              <w:t>牛粪便</w:t>
            </w:r>
          </w:p>
        </w:tc>
        <w:tc>
          <w:tcPr>
            <w:tcW w:w="1133" w:type="dxa"/>
            <w:shd w:val="clear" w:color="auto" w:fill="auto"/>
            <w:tcMar>
              <w:top w:w="15" w:type="dxa"/>
              <w:left w:w="15" w:type="dxa"/>
              <w:right w:w="15" w:type="dxa"/>
            </w:tcMar>
            <w:vAlign w:val="center"/>
          </w:tcPr>
          <w:p>
            <w:pPr>
              <w:pStyle w:val="63"/>
              <w:rPr>
                <w:rFonts w:hint="default" w:ascii="Arial" w:hAnsi="Arial" w:eastAsia="宋体" w:cs="Arial"/>
                <w:color w:val="auto"/>
                <w:highlight w:val="none"/>
                <w:lang w:bidi="ar"/>
              </w:rPr>
            </w:pPr>
            <w:r>
              <w:rPr>
                <w:rFonts w:hint="default" w:ascii="Arial" w:hAnsi="Arial" w:eastAsia="宋体" w:cs="Arial"/>
                <w:color w:val="auto"/>
                <w:highlight w:val="none"/>
                <w:lang w:bidi="ar"/>
              </w:rPr>
              <w:t>垂直入渗</w:t>
            </w:r>
          </w:p>
        </w:tc>
        <w:tc>
          <w:tcPr>
            <w:tcW w:w="2913" w:type="dxa"/>
            <w:shd w:val="clear" w:color="auto" w:fill="auto"/>
            <w:tcMar>
              <w:top w:w="15" w:type="dxa"/>
              <w:left w:w="15" w:type="dxa"/>
              <w:right w:w="15" w:type="dxa"/>
            </w:tcMar>
            <w:vAlign w:val="center"/>
          </w:tcPr>
          <w:p>
            <w:pPr>
              <w:pStyle w:val="63"/>
              <w:rPr>
                <w:rFonts w:hint="default" w:ascii="Arial" w:hAnsi="Arial" w:eastAsia="宋体" w:cs="Arial"/>
                <w:color w:val="auto"/>
                <w:highlight w:val="none"/>
                <w:lang w:bidi="ar"/>
              </w:rPr>
            </w:pPr>
            <w:r>
              <w:rPr>
                <w:rFonts w:hint="default" w:ascii="Arial" w:hAnsi="Arial" w:eastAsia="宋体" w:cs="Arial"/>
                <w:color w:val="auto"/>
                <w:highlight w:val="none"/>
                <w:lang w:bidi="ar"/>
              </w:rPr>
              <w:t>COD、SS、BOD</w:t>
            </w:r>
            <w:r>
              <w:rPr>
                <w:rFonts w:hint="default" w:ascii="Arial" w:hAnsi="Arial" w:eastAsia="宋体" w:cs="Arial"/>
                <w:color w:val="auto"/>
                <w:highlight w:val="none"/>
                <w:vertAlign w:val="subscript"/>
                <w:lang w:bidi="ar"/>
              </w:rPr>
              <w:t>5</w:t>
            </w:r>
            <w:r>
              <w:rPr>
                <w:rFonts w:hint="default" w:ascii="Arial" w:hAnsi="Arial" w:eastAsia="宋体" w:cs="Arial"/>
                <w:color w:val="auto"/>
                <w:highlight w:val="none"/>
                <w:lang w:bidi="ar"/>
              </w:rPr>
              <w:t>、氨氮</w:t>
            </w:r>
          </w:p>
        </w:tc>
        <w:tc>
          <w:tcPr>
            <w:tcW w:w="1680" w:type="dxa"/>
            <w:shd w:val="clear" w:color="auto" w:fill="auto"/>
            <w:tcMar>
              <w:top w:w="15" w:type="dxa"/>
              <w:left w:w="15" w:type="dxa"/>
              <w:right w:w="15" w:type="dxa"/>
            </w:tcMar>
            <w:vAlign w:val="center"/>
          </w:tcPr>
          <w:p>
            <w:pPr>
              <w:pStyle w:val="63"/>
              <w:rPr>
                <w:rFonts w:hint="default" w:ascii="Arial" w:hAnsi="Arial" w:eastAsia="宋体" w:cs="Arial"/>
                <w:color w:val="auto"/>
                <w:highlight w:val="none"/>
                <w:lang w:bidi="ar"/>
              </w:rPr>
            </w:pPr>
            <w:r>
              <w:rPr>
                <w:rFonts w:hint="default" w:ascii="Arial" w:hAnsi="Arial" w:eastAsia="宋体" w:cs="Arial"/>
                <w:color w:val="auto"/>
                <w:highlight w:val="none"/>
                <w:lang w:bidi="ar"/>
              </w:rPr>
              <w:t>氨氮</w:t>
            </w:r>
          </w:p>
        </w:tc>
        <w:tc>
          <w:tcPr>
            <w:tcW w:w="992" w:type="dxa"/>
            <w:shd w:val="clear" w:color="auto" w:fill="auto"/>
            <w:tcMar>
              <w:top w:w="15" w:type="dxa"/>
              <w:left w:w="15" w:type="dxa"/>
              <w:right w:w="15" w:type="dxa"/>
            </w:tcMar>
            <w:vAlign w:val="center"/>
          </w:tcPr>
          <w:p>
            <w:pPr>
              <w:pStyle w:val="63"/>
              <w:rPr>
                <w:rFonts w:hint="default" w:ascii="Arial" w:hAnsi="Arial" w:eastAsia="宋体" w:cs="Arial"/>
                <w:color w:val="auto"/>
                <w:highlight w:val="none"/>
                <w:lang w:bidi="ar"/>
              </w:rPr>
            </w:pPr>
            <w:r>
              <w:rPr>
                <w:rFonts w:hint="default" w:ascii="Arial" w:hAnsi="Arial" w:eastAsia="宋体" w:cs="Arial"/>
                <w:color w:val="auto"/>
                <w:highlight w:val="none"/>
                <w:lang w:bidi="ar"/>
              </w:rPr>
              <w:t>事故</w:t>
            </w:r>
          </w:p>
        </w:tc>
      </w:tr>
    </w:tbl>
    <w:p>
      <w:pPr>
        <w:pStyle w:val="6"/>
        <w:pageBreakBefore w:val="0"/>
        <w:widowControl w:val="0"/>
        <w:kinsoku/>
        <w:wordWrap/>
        <w:overflowPunct/>
        <w:autoSpaceDN/>
        <w:bidi w:val="0"/>
        <w:adjustRightInd/>
        <w:snapToGrid/>
        <w:spacing w:line="480" w:lineRule="exact"/>
        <w:textAlignment w:val="auto"/>
        <w:rPr>
          <w:rFonts w:hint="default" w:ascii="Arial" w:hAnsi="Arial" w:eastAsia="宋体" w:cs="Arial"/>
          <w:color w:val="auto"/>
          <w:highlight w:val="none"/>
        </w:rPr>
      </w:pPr>
      <w:bookmarkStart w:id="372" w:name="_Toc46421144"/>
      <w:bookmarkStart w:id="373" w:name="_Toc16889"/>
      <w:r>
        <w:rPr>
          <w:rFonts w:hint="default" w:ascii="Arial" w:hAnsi="Arial" w:eastAsia="宋体" w:cs="Arial"/>
          <w:color w:val="auto"/>
          <w:highlight w:val="none"/>
        </w:rPr>
        <w:t>5.5.3理化调查与评价</w:t>
      </w:r>
      <w:bookmarkEnd w:id="372"/>
      <w:bookmarkEnd w:id="373"/>
    </w:p>
    <w:p>
      <w:pPr>
        <w:pStyle w:val="7"/>
        <w:pageBreakBefore w:val="0"/>
        <w:widowControl w:val="0"/>
        <w:kinsoku/>
        <w:wordWrap/>
        <w:overflowPunct/>
        <w:autoSpaceDN/>
        <w:bidi w:val="0"/>
        <w:adjustRightInd/>
        <w:snapToGrid/>
        <w:spacing w:line="480" w:lineRule="exact"/>
        <w:textAlignment w:val="auto"/>
        <w:rPr>
          <w:rFonts w:hint="default" w:ascii="Arial" w:hAnsi="Arial" w:eastAsia="宋体" w:cs="Arial"/>
          <w:color w:val="auto"/>
          <w:highlight w:val="none"/>
        </w:rPr>
      </w:pPr>
      <w:r>
        <w:rPr>
          <w:rFonts w:hint="default" w:ascii="Arial" w:hAnsi="Arial" w:eastAsia="宋体" w:cs="Arial"/>
          <w:color w:val="auto"/>
          <w:highlight w:val="none"/>
        </w:rPr>
        <w:t>5.5.3.1调查范围</w:t>
      </w:r>
    </w:p>
    <w:p>
      <w:pPr>
        <w:pageBreakBefore w:val="0"/>
        <w:widowControl w:val="0"/>
        <w:kinsoku/>
        <w:wordWrap/>
        <w:overflowPunct/>
        <w:autoSpaceDN/>
        <w:bidi w:val="0"/>
        <w:adjustRightInd/>
        <w:snapToGrid/>
        <w:spacing w:line="480" w:lineRule="exact"/>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根据《环境影响评价技术导则 土壤环境》（试行）（HJ964-2018），结合项目特征，土壤现状调查范围为项目占地范围及占地范围外0.</w:t>
      </w:r>
      <w:r>
        <w:rPr>
          <w:rFonts w:hint="default" w:ascii="Arial" w:hAnsi="Arial" w:eastAsia="宋体" w:cs="Arial"/>
          <w:color w:val="auto"/>
          <w:highlight w:val="none"/>
          <w:lang w:val="en-US" w:eastAsia="zh-CN"/>
        </w:rPr>
        <w:t>05</w:t>
      </w:r>
      <w:r>
        <w:rPr>
          <w:rFonts w:hint="default" w:ascii="Arial" w:hAnsi="Arial" w:eastAsia="宋体" w:cs="Arial"/>
          <w:color w:val="auto"/>
          <w:highlight w:val="none"/>
        </w:rPr>
        <w:t>km范围。</w:t>
      </w:r>
    </w:p>
    <w:p>
      <w:pPr>
        <w:pStyle w:val="7"/>
        <w:pageBreakBefore w:val="0"/>
        <w:widowControl w:val="0"/>
        <w:kinsoku/>
        <w:wordWrap/>
        <w:overflowPunct/>
        <w:autoSpaceDN/>
        <w:bidi w:val="0"/>
        <w:adjustRightInd/>
        <w:snapToGrid/>
        <w:spacing w:line="480" w:lineRule="exact"/>
        <w:textAlignment w:val="auto"/>
        <w:rPr>
          <w:rFonts w:hint="default" w:ascii="Arial" w:hAnsi="Arial" w:eastAsia="宋体" w:cs="Arial"/>
          <w:color w:val="auto"/>
          <w:highlight w:val="none"/>
        </w:rPr>
      </w:pPr>
      <w:r>
        <w:rPr>
          <w:rFonts w:hint="default" w:ascii="Arial" w:hAnsi="Arial" w:eastAsia="宋体" w:cs="Arial"/>
          <w:color w:val="auto"/>
          <w:highlight w:val="none"/>
        </w:rPr>
        <w:t>5.5.3.2敏感目标</w:t>
      </w:r>
    </w:p>
    <w:p>
      <w:pPr>
        <w:pageBreakBefore w:val="0"/>
        <w:widowControl w:val="0"/>
        <w:kinsoku/>
        <w:wordWrap/>
        <w:overflowPunct/>
        <w:autoSpaceDN/>
        <w:bidi w:val="0"/>
        <w:adjustRightInd/>
        <w:snapToGrid/>
        <w:spacing w:line="480" w:lineRule="exact"/>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根据《环境影响评价技术导则 土壤环境》（试行）（HJ964-2018），本项目周边为</w:t>
      </w:r>
      <w:r>
        <w:rPr>
          <w:rFonts w:hint="default" w:ascii="Arial" w:hAnsi="Arial" w:eastAsia="宋体" w:cs="Arial"/>
          <w:color w:val="auto"/>
          <w:highlight w:val="none"/>
          <w:lang w:eastAsia="zh-CN"/>
        </w:rPr>
        <w:t>天然</w:t>
      </w:r>
      <w:r>
        <w:rPr>
          <w:rFonts w:hint="default" w:ascii="Arial" w:hAnsi="Arial" w:eastAsia="宋体" w:cs="Arial"/>
          <w:color w:val="auto"/>
          <w:highlight w:val="none"/>
        </w:rPr>
        <w:t>牧草地</w:t>
      </w:r>
      <w:r>
        <w:rPr>
          <w:rFonts w:hint="default" w:ascii="Arial" w:hAnsi="Arial" w:eastAsia="宋体" w:cs="Arial"/>
          <w:color w:val="auto"/>
          <w:highlight w:val="none"/>
          <w:lang w:eastAsia="zh-CN"/>
        </w:rPr>
        <w:t>、耕地、林地</w:t>
      </w:r>
      <w:r>
        <w:rPr>
          <w:rFonts w:hint="default" w:ascii="Arial" w:hAnsi="Arial" w:eastAsia="宋体" w:cs="Arial"/>
          <w:color w:val="auto"/>
          <w:highlight w:val="none"/>
        </w:rPr>
        <w:t>，属于土壤环境敏感目标。</w:t>
      </w:r>
    </w:p>
    <w:p>
      <w:pPr>
        <w:pStyle w:val="7"/>
        <w:pageBreakBefore w:val="0"/>
        <w:widowControl w:val="0"/>
        <w:kinsoku/>
        <w:wordWrap/>
        <w:overflowPunct/>
        <w:autoSpaceDN/>
        <w:bidi w:val="0"/>
        <w:adjustRightInd/>
        <w:snapToGrid/>
        <w:spacing w:line="480" w:lineRule="exact"/>
        <w:textAlignment w:val="auto"/>
        <w:rPr>
          <w:rFonts w:hint="default" w:ascii="Arial" w:hAnsi="Arial" w:eastAsia="宋体" w:cs="Arial"/>
          <w:color w:val="auto"/>
          <w:highlight w:val="none"/>
        </w:rPr>
      </w:pPr>
      <w:r>
        <w:rPr>
          <w:rFonts w:hint="default" w:ascii="Arial" w:hAnsi="Arial" w:eastAsia="宋体" w:cs="Arial"/>
          <w:color w:val="auto"/>
          <w:highlight w:val="none"/>
        </w:rPr>
        <w:t>5.5.3.3土地利用现状</w:t>
      </w:r>
    </w:p>
    <w:p>
      <w:pPr>
        <w:pageBreakBefore w:val="0"/>
        <w:widowControl w:val="0"/>
        <w:kinsoku/>
        <w:wordWrap/>
        <w:overflowPunct/>
        <w:topLinePunct w:val="0"/>
        <w:autoSpaceDE/>
        <w:autoSpaceDN/>
        <w:bidi w:val="0"/>
        <w:adjustRightInd/>
        <w:snapToGrid/>
        <w:spacing w:line="480" w:lineRule="exact"/>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本项目位于</w:t>
      </w:r>
      <w:r>
        <w:rPr>
          <w:rFonts w:hint="default" w:ascii="Arial" w:hAnsi="Arial" w:eastAsia="宋体" w:cs="Arial"/>
          <w:color w:val="auto"/>
          <w:highlight w:val="none"/>
          <w:lang w:eastAsia="zh-CN"/>
        </w:rPr>
        <w:t>内蒙古自治区巴彦淖尔市五原县天吉泰镇二合永村五社</w:t>
      </w:r>
      <w:r>
        <w:rPr>
          <w:rFonts w:hint="default" w:ascii="Arial" w:hAnsi="Arial" w:eastAsia="宋体" w:cs="Arial"/>
          <w:color w:val="auto"/>
          <w:highlight w:val="none"/>
        </w:rPr>
        <w:t>，项目周边用地类型为</w:t>
      </w:r>
      <w:r>
        <w:rPr>
          <w:rFonts w:hint="default" w:ascii="Arial" w:hAnsi="Arial" w:eastAsia="宋体" w:cs="Arial"/>
          <w:color w:val="auto"/>
          <w:highlight w:val="none"/>
          <w:lang w:eastAsia="zh-CN"/>
        </w:rPr>
        <w:t>天然</w:t>
      </w:r>
      <w:r>
        <w:rPr>
          <w:rFonts w:hint="default" w:ascii="Arial" w:hAnsi="Arial" w:eastAsia="宋体" w:cs="Arial"/>
          <w:color w:val="auto"/>
          <w:highlight w:val="none"/>
        </w:rPr>
        <w:t>牧草地</w:t>
      </w:r>
      <w:r>
        <w:rPr>
          <w:rFonts w:hint="default" w:ascii="Arial" w:hAnsi="Arial" w:eastAsia="宋体" w:cs="Arial"/>
          <w:color w:val="auto"/>
          <w:highlight w:val="none"/>
          <w:lang w:eastAsia="zh-CN"/>
        </w:rPr>
        <w:t>、耕地、林地</w:t>
      </w:r>
      <w:r>
        <w:rPr>
          <w:rFonts w:hint="default" w:ascii="Arial" w:hAnsi="Arial" w:eastAsia="宋体" w:cs="Arial"/>
          <w:color w:val="auto"/>
          <w:highlight w:val="none"/>
        </w:rPr>
        <w:t>；调查评价范围内土地利用现状主要为沙生植被其上生长植物种类多以灌木及多年生草本植物为主，主要有沙蒿等。</w:t>
      </w:r>
    </w:p>
    <w:bookmarkEnd w:id="371"/>
    <w:p>
      <w:pPr>
        <w:pStyle w:val="6"/>
        <w:pageBreakBefore w:val="0"/>
        <w:widowControl w:val="0"/>
        <w:kinsoku/>
        <w:wordWrap/>
        <w:overflowPunct/>
        <w:autoSpaceDN/>
        <w:bidi w:val="0"/>
        <w:adjustRightInd/>
        <w:snapToGrid/>
        <w:spacing w:line="480" w:lineRule="exact"/>
        <w:textAlignment w:val="auto"/>
        <w:rPr>
          <w:rFonts w:hint="default" w:ascii="Arial" w:hAnsi="Arial" w:eastAsia="宋体" w:cs="Arial"/>
          <w:color w:val="auto"/>
          <w:highlight w:val="none"/>
        </w:rPr>
      </w:pPr>
      <w:bookmarkStart w:id="374" w:name="_Toc18287"/>
      <w:r>
        <w:rPr>
          <w:rFonts w:hint="default" w:ascii="Arial" w:hAnsi="Arial" w:eastAsia="宋体" w:cs="Arial"/>
          <w:color w:val="auto"/>
          <w:highlight w:val="none"/>
        </w:rPr>
        <w:t>5.5.4土壤环境影响预测与评价</w:t>
      </w:r>
      <w:bookmarkEnd w:id="374"/>
    </w:p>
    <w:p>
      <w:pPr>
        <w:pStyle w:val="7"/>
        <w:pageBreakBefore w:val="0"/>
        <w:widowControl w:val="0"/>
        <w:kinsoku/>
        <w:wordWrap/>
        <w:overflowPunct/>
        <w:autoSpaceDN/>
        <w:bidi w:val="0"/>
        <w:adjustRightInd/>
        <w:snapToGrid/>
        <w:spacing w:line="480" w:lineRule="exact"/>
        <w:textAlignment w:val="auto"/>
        <w:rPr>
          <w:rFonts w:hint="default" w:ascii="Arial" w:hAnsi="Arial" w:eastAsia="宋体" w:cs="Arial"/>
          <w:color w:val="auto"/>
          <w:highlight w:val="none"/>
        </w:rPr>
      </w:pPr>
      <w:bookmarkStart w:id="375" w:name="_Toc530642955"/>
      <w:bookmarkStart w:id="376" w:name="_Toc494206331"/>
      <w:r>
        <w:rPr>
          <w:rFonts w:hint="default" w:ascii="Arial" w:hAnsi="Arial" w:eastAsia="宋体" w:cs="Arial"/>
          <w:color w:val="auto"/>
          <w:highlight w:val="none"/>
        </w:rPr>
        <w:t>5.5.4.1正常工况下土壤环境影响分析</w:t>
      </w:r>
    </w:p>
    <w:p>
      <w:pPr>
        <w:pageBreakBefore w:val="0"/>
        <w:widowControl w:val="0"/>
        <w:kinsoku/>
        <w:wordWrap/>
        <w:overflowPunct/>
        <w:autoSpaceDN/>
        <w:bidi w:val="0"/>
        <w:adjustRightInd/>
        <w:snapToGrid/>
        <w:spacing w:line="480" w:lineRule="exact"/>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根据土壤污染途径分析结果，本项目可能对土壤造成污染的主要有废气、废水和固废。项目确保各类废气污染物达标排放，可以有效减少废气污染物通过沉降或降水进入土壤的量。项目</w:t>
      </w:r>
      <w:r>
        <w:rPr>
          <w:rFonts w:hint="default" w:ascii="Arial" w:hAnsi="Arial" w:eastAsia="宋体" w:cs="Arial"/>
          <w:color w:val="auto"/>
          <w:highlight w:val="none"/>
          <w:lang w:eastAsia="zh-CN"/>
        </w:rPr>
        <w:t>牛粪便</w:t>
      </w:r>
      <w:r>
        <w:rPr>
          <w:rFonts w:hint="default" w:ascii="Arial" w:hAnsi="Arial" w:eastAsia="宋体" w:cs="Arial"/>
          <w:color w:val="auto"/>
          <w:highlight w:val="none"/>
        </w:rPr>
        <w:t>尿一起用铲车清理后堆放至</w:t>
      </w:r>
      <w:r>
        <w:rPr>
          <w:rFonts w:hint="default" w:ascii="Arial" w:hAnsi="Arial" w:eastAsia="宋体" w:cs="Arial"/>
          <w:color w:val="auto"/>
          <w:highlight w:val="none"/>
          <w:lang w:eastAsia="zh-CN"/>
        </w:rPr>
        <w:t>堆肥场</w:t>
      </w:r>
      <w:r>
        <w:rPr>
          <w:rFonts w:hint="default" w:ascii="Arial" w:hAnsi="Arial" w:eastAsia="宋体" w:cs="Arial"/>
          <w:color w:val="auto"/>
          <w:highlight w:val="none"/>
        </w:rPr>
        <w:t>，堆肥后用作有机肥原料；生活污水经化粪池暂存处理后，定期清掏。本项目对厂区采取了分区防渗措施，可以有效减小废水对土壤的污染影响。项目生产过程中产生的危险固废经集中收集后委托有资质的单位处理，项目厂区建有</w:t>
      </w:r>
      <w:r>
        <w:rPr>
          <w:rFonts w:hint="default" w:ascii="Arial" w:hAnsi="Arial" w:eastAsia="宋体" w:cs="Arial"/>
          <w:color w:val="auto"/>
          <w:highlight w:val="none"/>
          <w:lang w:val="en-US" w:eastAsia="zh-CN"/>
        </w:rPr>
        <w:t>1</w:t>
      </w:r>
      <w:r>
        <w:rPr>
          <w:rFonts w:hint="default" w:ascii="Arial" w:hAnsi="Arial" w:eastAsia="宋体" w:cs="Arial"/>
          <w:color w:val="auto"/>
          <w:highlight w:val="none"/>
        </w:rPr>
        <w:t>座危险废物暂存间，危废临时储存库按照《危险废物贮存污染控制标准》（GB18597－2001）及2013年修改单的要求进行了防渗和封闭处理，在此处存放的危废采用袋装或桶装形式。通过以上分析可以看出，建设项目在正常运行工况下，不会对土壤环境质量造成显著影响。</w:t>
      </w:r>
    </w:p>
    <w:p>
      <w:pPr>
        <w:pStyle w:val="7"/>
        <w:pageBreakBefore w:val="0"/>
        <w:widowControl w:val="0"/>
        <w:kinsoku/>
        <w:wordWrap/>
        <w:overflowPunct/>
        <w:autoSpaceDN/>
        <w:bidi w:val="0"/>
        <w:adjustRightInd/>
        <w:snapToGrid/>
        <w:spacing w:line="480" w:lineRule="exact"/>
        <w:textAlignment w:val="auto"/>
        <w:rPr>
          <w:rFonts w:hint="default" w:ascii="Arial" w:hAnsi="Arial" w:eastAsia="宋体" w:cs="Arial"/>
          <w:color w:val="auto"/>
          <w:highlight w:val="none"/>
        </w:rPr>
      </w:pPr>
      <w:r>
        <w:rPr>
          <w:rFonts w:hint="default" w:ascii="Arial" w:hAnsi="Arial" w:eastAsia="宋体" w:cs="Arial"/>
          <w:color w:val="auto"/>
          <w:highlight w:val="none"/>
        </w:rPr>
        <w:t>5.5.4.2非正常工况下影响途径分析</w:t>
      </w:r>
    </w:p>
    <w:p>
      <w:pPr>
        <w:pageBreakBefore w:val="0"/>
        <w:widowControl w:val="0"/>
        <w:kinsoku/>
        <w:wordWrap/>
        <w:overflowPunct/>
        <w:autoSpaceDN/>
        <w:bidi w:val="0"/>
        <w:adjustRightInd/>
        <w:snapToGrid/>
        <w:spacing w:line="480" w:lineRule="exact"/>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在非正常工况或者事故情况下，建设项目可能对区域土壤造成影响。通过对建设项目建设内容分析，非正常工况下或事故情况下建设项目对地下水的可能影响途径主要包括：</w:t>
      </w:r>
      <w:r>
        <w:rPr>
          <w:rFonts w:hint="default" w:ascii="Arial" w:hAnsi="Arial" w:eastAsia="宋体" w:cs="Arial"/>
          <w:color w:val="auto"/>
          <w:highlight w:val="none"/>
          <w:lang w:eastAsia="zh-CN"/>
        </w:rPr>
        <w:t>堆肥场</w:t>
      </w:r>
      <w:r>
        <w:rPr>
          <w:rFonts w:hint="default" w:ascii="Arial" w:hAnsi="Arial" w:eastAsia="宋体" w:cs="Arial"/>
          <w:color w:val="auto"/>
          <w:highlight w:val="none"/>
        </w:rPr>
        <w:t>的</w:t>
      </w:r>
      <w:r>
        <w:rPr>
          <w:rFonts w:hint="default" w:ascii="Arial" w:hAnsi="Arial" w:eastAsia="宋体" w:cs="Arial"/>
          <w:color w:val="auto"/>
          <w:highlight w:val="none"/>
          <w:lang w:eastAsia="zh-CN"/>
        </w:rPr>
        <w:t>堆肥场</w:t>
      </w:r>
      <w:r>
        <w:rPr>
          <w:rFonts w:hint="default" w:ascii="Arial" w:hAnsi="Arial" w:eastAsia="宋体" w:cs="Arial"/>
          <w:color w:val="auto"/>
          <w:highlight w:val="none"/>
        </w:rPr>
        <w:t>出现粪污泄漏，渗入地下从而引起土壤环境污染。本项目在确保厂区各项预防措施得以落实并得到良好维护的前提下，项目生产在短期内不会对土壤造成明显的影响。</w:t>
      </w:r>
    </w:p>
    <w:p>
      <w:pPr>
        <w:pStyle w:val="7"/>
        <w:pageBreakBefore w:val="0"/>
        <w:widowControl w:val="0"/>
        <w:kinsoku/>
        <w:wordWrap/>
        <w:overflowPunct/>
        <w:autoSpaceDN/>
        <w:bidi w:val="0"/>
        <w:adjustRightInd/>
        <w:snapToGrid/>
        <w:spacing w:line="480" w:lineRule="exact"/>
        <w:textAlignment w:val="auto"/>
        <w:rPr>
          <w:rFonts w:hint="default" w:ascii="Arial" w:hAnsi="Arial" w:eastAsia="宋体" w:cs="Arial"/>
          <w:color w:val="auto"/>
          <w:highlight w:val="none"/>
        </w:rPr>
      </w:pPr>
      <w:r>
        <w:rPr>
          <w:rFonts w:hint="default" w:ascii="Arial" w:hAnsi="Arial" w:eastAsia="宋体" w:cs="Arial"/>
          <w:color w:val="auto"/>
          <w:highlight w:val="none"/>
        </w:rPr>
        <w:t>5.5.4.3资源化利用土壤环境影响分析</w:t>
      </w:r>
    </w:p>
    <w:p>
      <w:pPr>
        <w:pageBreakBefore w:val="0"/>
        <w:widowControl w:val="0"/>
        <w:kinsoku/>
        <w:wordWrap/>
        <w:overflowPunct/>
        <w:autoSpaceDN/>
        <w:bidi w:val="0"/>
        <w:adjustRightInd/>
        <w:snapToGrid/>
        <w:spacing w:line="480" w:lineRule="exact"/>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本项目产生的粪污经处理后部分作为配套农田的有机肥使用，有机肥含有丰富的养分，除了含有丰富的氮、磷、钾等元素外，还含有对植物生长起有重要作用的硼、铜、铁、锰、钙、锌等微量元素，以及大量的氨基酸、B族维生素、各种水解酶、某些植物激素，是一种高效性的优质肥料。有机肥具有改良土壤的作用，含有丰富的腐殖酸。腐殖酸能够促进微生物和酶系的活性，改善土壤水、肥、气、热状况收到培肥地力的功效。根据相关实践证明，有机肥用于果树，可提高座果率5%以上，增产幅度10%～30%，果实甜度提高0.5～1度。</w:t>
      </w:r>
    </w:p>
    <w:p>
      <w:pPr>
        <w:pageBreakBefore w:val="0"/>
        <w:widowControl w:val="0"/>
        <w:kinsoku/>
        <w:wordWrap/>
        <w:overflowPunct/>
        <w:autoSpaceDN/>
        <w:bidi w:val="0"/>
        <w:adjustRightInd/>
        <w:snapToGrid/>
        <w:spacing w:line="480" w:lineRule="exact"/>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施用土壤中的磷除部分被植被吸收利用和因化学反应产生难溶性磷酸盐外，其他磷则被土壤团粒和胶粒所吸附。这些被吸附磷与土壤溶液中磷处于吸附磷素施入土壤后，土壤胶体对无机磷有强列的吸附和固定作用。在pH小于6的酸性土壤中，磷素和土壤中的铁、铝化合物生成难溶性的磷酸铁、磷酸铝；在pH大于7.5的碱性土壤中，磷和钙易结合成难溶性磷酸钙。而施入有机肥，由于有机肥中含有腐植酸，能够提高土壤的缓冲性能（即维持土壤酸碱反应的相对稳定的能力）维持土壤pH在6~7.5，可以降低土壤对磷的吸附量，从而减少对磷的固定，提高施肥的有效性。</w:t>
      </w:r>
    </w:p>
    <w:p>
      <w:pPr>
        <w:pageBreakBefore w:val="0"/>
        <w:widowControl w:val="0"/>
        <w:kinsoku/>
        <w:wordWrap/>
        <w:overflowPunct/>
        <w:autoSpaceDN/>
        <w:bidi w:val="0"/>
        <w:adjustRightInd/>
        <w:snapToGrid/>
        <w:spacing w:line="480" w:lineRule="exact"/>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施用有机肥常被作为控制和改良土壤重金属污染的控制措施，因为可能通过改变重金属污染物在土壤中的形态分布而降低其生物有效性，还可以提高土壤的肥力。根据刘瑞伟等《有机肥料对土壤重金属净化的影响》，试验表明，施用化肥或机肥料都降低了土壤的pH值，且随着时间的延长，施用有机肥料的土壤pH值降低幅度更大，并通过络合土壤重金属，降低土壤重金属的有效态含量。</w:t>
      </w:r>
    </w:p>
    <w:p>
      <w:pPr>
        <w:pageBreakBefore w:val="0"/>
        <w:widowControl w:val="0"/>
        <w:kinsoku/>
        <w:wordWrap/>
        <w:overflowPunct/>
        <w:autoSpaceDN/>
        <w:bidi w:val="0"/>
        <w:adjustRightInd/>
        <w:snapToGrid/>
        <w:spacing w:line="480" w:lineRule="exact"/>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另外，有机肥料的施用，增加土壤的微生物量，提高土壤的生态肥力，可通过微生物的吸附、转化作用，降低土壤的pH值等，降低重金属的生物有效性，对土壤的重金属具有一定的解毒作用。</w:t>
      </w:r>
    </w:p>
    <w:p>
      <w:pPr>
        <w:pageBreakBefore w:val="0"/>
        <w:widowControl w:val="0"/>
        <w:kinsoku/>
        <w:wordWrap/>
        <w:overflowPunct/>
        <w:autoSpaceDN/>
        <w:bidi w:val="0"/>
        <w:adjustRightInd/>
        <w:snapToGrid/>
        <w:spacing w:line="480" w:lineRule="exact"/>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综合以上分析可知，只要建设单位能够综合考虑有机肥的组成成分，N、P、K养分的有效性和在土壤中的迁移规律、作物对有机肥的吸收能力，做到合理施肥，则采用有机肥施肥，能改善土壤的理化性质，增强土壤的保肥性，提高土壤的生态肥力，改良土壤重金属污染，预防病虫害，从而提高作物的品质和产量。由此分析可知，本项目实施后当地土壤环境影响较小。</w:t>
      </w:r>
    </w:p>
    <w:p>
      <w:pPr>
        <w:pStyle w:val="6"/>
        <w:pageBreakBefore w:val="0"/>
        <w:widowControl w:val="0"/>
        <w:kinsoku/>
        <w:wordWrap/>
        <w:overflowPunct/>
        <w:autoSpaceDN/>
        <w:bidi w:val="0"/>
        <w:adjustRightInd/>
        <w:snapToGrid/>
        <w:spacing w:line="480" w:lineRule="exact"/>
        <w:textAlignment w:val="auto"/>
        <w:rPr>
          <w:rFonts w:hint="default" w:ascii="Arial" w:hAnsi="Arial" w:eastAsia="宋体" w:cs="Arial"/>
          <w:color w:val="auto"/>
          <w:highlight w:val="none"/>
        </w:rPr>
      </w:pPr>
      <w:bookmarkStart w:id="377" w:name="_Toc46421146"/>
      <w:bookmarkStart w:id="378" w:name="_Toc16857"/>
      <w:r>
        <w:rPr>
          <w:rFonts w:hint="default" w:ascii="Arial" w:hAnsi="Arial" w:eastAsia="宋体" w:cs="Arial"/>
          <w:color w:val="auto"/>
          <w:highlight w:val="none"/>
        </w:rPr>
        <w:t>5.5.5土壤影响评价结论</w:t>
      </w:r>
      <w:bookmarkEnd w:id="377"/>
      <w:bookmarkEnd w:id="378"/>
    </w:p>
    <w:p>
      <w:pPr>
        <w:pageBreakBefore w:val="0"/>
        <w:widowControl w:val="0"/>
        <w:kinsoku/>
        <w:wordWrap/>
        <w:overflowPunct/>
        <w:autoSpaceDN/>
        <w:bidi w:val="0"/>
        <w:adjustRightInd/>
        <w:snapToGrid/>
        <w:spacing w:line="480" w:lineRule="exact"/>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正常工况下，不会有泄漏情况发生，也不会对土壤环境造成影响。本次项目</w:t>
      </w:r>
      <w:r>
        <w:rPr>
          <w:rFonts w:hint="default" w:ascii="Arial" w:hAnsi="Arial" w:eastAsia="宋体" w:cs="Arial"/>
          <w:color w:val="auto"/>
          <w:highlight w:val="none"/>
          <w:lang w:eastAsia="zh-CN"/>
        </w:rPr>
        <w:t>堆肥场</w:t>
      </w:r>
      <w:r>
        <w:rPr>
          <w:rFonts w:hint="default" w:ascii="Arial" w:hAnsi="Arial" w:eastAsia="宋体" w:cs="Arial"/>
          <w:color w:val="auto"/>
          <w:highlight w:val="none"/>
        </w:rPr>
        <w:t>采取合格防渗的措施，对土壤和下水造成污染的可能性更低。因此，可以推测本次项目正常工况下不会对周围土壤环境造成不良影响。事故状态下，假设粪污废水泄露，相关污染物持续进入土壤中，则随着污染物持续泄漏，污染范围逐渐增大。故应做好日常土壤防护工作，环保设施及相关防渗系统应定时进行检修维护，一旦发现污染物泄漏应立即采取应急响应，截断污染源并根据污染情况采取土壤保护措施。</w:t>
      </w:r>
    </w:p>
    <w:p>
      <w:pPr>
        <w:pageBreakBefore w:val="0"/>
        <w:widowControl w:val="0"/>
        <w:kinsoku/>
        <w:wordWrap/>
        <w:overflowPunct/>
        <w:autoSpaceDN/>
        <w:bidi w:val="0"/>
        <w:adjustRightInd/>
        <w:snapToGrid/>
        <w:spacing w:line="480" w:lineRule="exact"/>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综上，项目土壤环境影响可接受。</w:t>
      </w:r>
    </w:p>
    <w:p>
      <w:pPr>
        <w:pageBreakBefore w:val="0"/>
        <w:widowControl w:val="0"/>
        <w:kinsoku/>
        <w:wordWrap/>
        <w:overflowPunct/>
        <w:autoSpaceDN/>
        <w:bidi w:val="0"/>
        <w:adjustRightInd/>
        <w:snapToGrid/>
        <w:spacing w:line="480" w:lineRule="exact"/>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建设项目土壤环境影响评价自查表见下表。</w:t>
      </w:r>
    </w:p>
    <w:p>
      <w:pPr>
        <w:pStyle w:val="8"/>
        <w:pageBreakBefore w:val="0"/>
        <w:widowControl w:val="0"/>
        <w:kinsoku/>
        <w:wordWrap/>
        <w:overflowPunct/>
        <w:autoSpaceDN/>
        <w:bidi w:val="0"/>
        <w:adjustRightInd/>
        <w:snapToGrid/>
        <w:spacing w:line="480" w:lineRule="exact"/>
        <w:textAlignment w:val="auto"/>
        <w:rPr>
          <w:rFonts w:hint="default" w:ascii="Arial" w:hAnsi="Arial" w:eastAsia="宋体" w:cs="Arial"/>
          <w:color w:val="auto"/>
          <w:highlight w:val="none"/>
        </w:rPr>
      </w:pPr>
      <w:r>
        <w:rPr>
          <w:rFonts w:hint="default" w:ascii="Arial" w:hAnsi="Arial" w:eastAsia="宋体" w:cs="Arial"/>
          <w:color w:val="auto"/>
          <w:highlight w:val="none"/>
        </w:rPr>
        <w:t>表5.5-</w:t>
      </w:r>
      <w:r>
        <w:rPr>
          <w:rFonts w:hint="default" w:ascii="Arial" w:hAnsi="Arial" w:eastAsia="宋体" w:cs="Arial"/>
          <w:color w:val="auto"/>
          <w:highlight w:val="none"/>
          <w:lang w:val="en-US" w:eastAsia="zh-CN"/>
        </w:rPr>
        <w:t>3</w:t>
      </w:r>
      <w:r>
        <w:rPr>
          <w:rFonts w:hint="default" w:ascii="Arial" w:hAnsi="Arial" w:eastAsia="宋体" w:cs="Arial"/>
          <w:color w:val="auto"/>
          <w:highlight w:val="none"/>
        </w:rPr>
        <w:t xml:space="preserve">    土壤环境影响评价自查表</w:t>
      </w:r>
    </w:p>
    <w:tbl>
      <w:tblPr>
        <w:tblStyle w:val="39"/>
        <w:tblW w:w="9003" w:type="dxa"/>
        <w:jc w:val="center"/>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Layout w:type="fixed"/>
        <w:tblCellMar>
          <w:top w:w="0" w:type="dxa"/>
          <w:left w:w="0" w:type="dxa"/>
          <w:bottom w:w="0" w:type="dxa"/>
          <w:right w:w="0" w:type="dxa"/>
        </w:tblCellMar>
      </w:tblPr>
      <w:tblGrid>
        <w:gridCol w:w="412"/>
        <w:gridCol w:w="1626"/>
        <w:gridCol w:w="1374"/>
        <w:gridCol w:w="1487"/>
        <w:gridCol w:w="1576"/>
        <w:gridCol w:w="634"/>
        <w:gridCol w:w="781"/>
        <w:gridCol w:w="1113"/>
      </w:tblGrid>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PrEx>
        <w:trPr>
          <w:trHeight w:val="340" w:hRule="atLeast"/>
          <w:jc w:val="center"/>
        </w:trPr>
        <w:tc>
          <w:tcPr>
            <w:tcW w:w="2038" w:type="dxa"/>
            <w:gridSpan w:val="2"/>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工作内容</w:t>
            </w:r>
          </w:p>
        </w:tc>
        <w:tc>
          <w:tcPr>
            <w:tcW w:w="5852" w:type="dxa"/>
            <w:gridSpan w:val="5"/>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完成情况</w:t>
            </w:r>
          </w:p>
        </w:tc>
        <w:tc>
          <w:tcPr>
            <w:tcW w:w="1113"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备注</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412" w:type="dxa"/>
            <w:vMerge w:val="restart"/>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影响识别</w:t>
            </w:r>
          </w:p>
        </w:tc>
        <w:tc>
          <w:tcPr>
            <w:tcW w:w="1626"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影响类型</w:t>
            </w:r>
          </w:p>
        </w:tc>
        <w:tc>
          <w:tcPr>
            <w:tcW w:w="5852" w:type="dxa"/>
            <w:gridSpan w:val="5"/>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污染影响型</w:t>
            </w:r>
            <w:r>
              <w:rPr>
                <w:rFonts w:hint="default" w:ascii="Arial" w:hAnsi="Arial" w:eastAsia="宋体" w:cs="Arial"/>
                <w:color w:val="auto"/>
                <w:sz w:val="21"/>
                <w:szCs w:val="21"/>
                <w:highlight w:val="none"/>
              </w:rPr>
              <w:fldChar w:fldCharType="begin"/>
            </w:r>
            <w:r>
              <w:rPr>
                <w:rFonts w:hint="default" w:ascii="Arial" w:hAnsi="Arial" w:eastAsia="宋体" w:cs="Arial"/>
                <w:color w:val="auto"/>
                <w:sz w:val="21"/>
                <w:szCs w:val="21"/>
                <w:highlight w:val="none"/>
              </w:rPr>
              <w:instrText xml:space="preserve"> eq \o\ac(</w:instrText>
            </w:r>
            <w:r>
              <w:rPr>
                <w:rFonts w:hint="default" w:ascii="Arial" w:hAnsi="Arial" w:eastAsia="宋体" w:cs="Arial"/>
                <w:color w:val="auto"/>
                <w:position w:val="-4"/>
                <w:sz w:val="21"/>
                <w:szCs w:val="21"/>
                <w:highlight w:val="none"/>
              </w:rPr>
              <w:instrText xml:space="preserve">□</w:instrText>
            </w:r>
            <w:r>
              <w:rPr>
                <w:rFonts w:hint="default" w:ascii="Arial" w:hAnsi="Arial" w:eastAsia="宋体" w:cs="Arial"/>
                <w:color w:val="auto"/>
                <w:position w:val="0"/>
                <w:sz w:val="21"/>
                <w:szCs w:val="21"/>
                <w:highlight w:val="none"/>
              </w:rPr>
              <w:instrText xml:space="preserve">,√)</w:instrText>
            </w:r>
            <w:r>
              <w:rPr>
                <w:rFonts w:hint="default" w:ascii="Arial" w:hAnsi="Arial" w:eastAsia="宋体" w:cs="Arial"/>
                <w:color w:val="auto"/>
                <w:sz w:val="21"/>
                <w:szCs w:val="21"/>
                <w:highlight w:val="none"/>
              </w:rPr>
              <w:fldChar w:fldCharType="end"/>
            </w:r>
            <w:r>
              <w:rPr>
                <w:rFonts w:hint="default" w:ascii="Arial" w:hAnsi="Arial" w:eastAsia="宋体" w:cs="Arial"/>
                <w:color w:val="auto"/>
                <w:sz w:val="21"/>
                <w:szCs w:val="21"/>
                <w:highlight w:val="none"/>
              </w:rPr>
              <w:t>；生态影响型□；两种兼有□</w:t>
            </w:r>
          </w:p>
        </w:tc>
        <w:tc>
          <w:tcPr>
            <w:tcW w:w="1113"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412" w:type="dxa"/>
            <w:vMerge w:val="continue"/>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p>
        </w:tc>
        <w:tc>
          <w:tcPr>
            <w:tcW w:w="1626"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土地利用类型</w:t>
            </w:r>
          </w:p>
        </w:tc>
        <w:tc>
          <w:tcPr>
            <w:tcW w:w="5852" w:type="dxa"/>
            <w:gridSpan w:val="5"/>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建设用地</w:t>
            </w:r>
            <w:r>
              <w:rPr>
                <w:rFonts w:hint="default" w:ascii="Arial" w:hAnsi="Arial" w:eastAsia="宋体" w:cs="Arial"/>
                <w:color w:val="auto"/>
                <w:sz w:val="21"/>
                <w:szCs w:val="21"/>
                <w:highlight w:val="none"/>
              </w:rPr>
              <w:fldChar w:fldCharType="begin"/>
            </w:r>
            <w:r>
              <w:rPr>
                <w:rFonts w:hint="default" w:ascii="Arial" w:hAnsi="Arial" w:eastAsia="宋体" w:cs="Arial"/>
                <w:color w:val="auto"/>
                <w:sz w:val="21"/>
                <w:szCs w:val="21"/>
                <w:highlight w:val="none"/>
              </w:rPr>
              <w:instrText xml:space="preserve"> eq \o\ac(</w:instrText>
            </w:r>
            <w:r>
              <w:rPr>
                <w:rFonts w:hint="default" w:ascii="Arial" w:hAnsi="Arial" w:eastAsia="宋体" w:cs="Arial"/>
                <w:color w:val="auto"/>
                <w:position w:val="-4"/>
                <w:sz w:val="21"/>
                <w:szCs w:val="21"/>
                <w:highlight w:val="none"/>
              </w:rPr>
              <w:instrText xml:space="preserve">□</w:instrText>
            </w:r>
            <w:r>
              <w:rPr>
                <w:rFonts w:hint="default" w:ascii="Arial" w:hAnsi="Arial" w:eastAsia="宋体" w:cs="Arial"/>
                <w:color w:val="auto"/>
                <w:position w:val="0"/>
                <w:sz w:val="21"/>
                <w:szCs w:val="21"/>
                <w:highlight w:val="none"/>
              </w:rPr>
              <w:instrText xml:space="preserve">)</w:instrText>
            </w:r>
            <w:r>
              <w:rPr>
                <w:rFonts w:hint="default" w:ascii="Arial" w:hAnsi="Arial" w:eastAsia="宋体" w:cs="Arial"/>
                <w:color w:val="auto"/>
                <w:sz w:val="21"/>
                <w:szCs w:val="21"/>
                <w:highlight w:val="none"/>
              </w:rPr>
              <w:fldChar w:fldCharType="end"/>
            </w:r>
            <w:r>
              <w:rPr>
                <w:rFonts w:hint="default" w:ascii="Arial" w:hAnsi="Arial" w:eastAsia="宋体" w:cs="Arial"/>
                <w:color w:val="auto"/>
                <w:sz w:val="21"/>
                <w:szCs w:val="21"/>
                <w:highlight w:val="none"/>
              </w:rPr>
              <w:t>；农用地</w:t>
            </w:r>
            <w:r>
              <w:rPr>
                <w:rFonts w:hint="default" w:ascii="Arial" w:hAnsi="Arial" w:eastAsia="宋体" w:cs="Arial"/>
                <w:color w:val="auto"/>
                <w:sz w:val="21"/>
                <w:szCs w:val="21"/>
                <w:highlight w:val="none"/>
              </w:rPr>
              <w:sym w:font="Wingdings 2" w:char="0052"/>
            </w:r>
            <w:r>
              <w:rPr>
                <w:rFonts w:hint="default" w:ascii="Arial" w:hAnsi="Arial" w:eastAsia="宋体" w:cs="Arial"/>
                <w:color w:val="auto"/>
                <w:sz w:val="21"/>
                <w:szCs w:val="21"/>
                <w:highlight w:val="none"/>
              </w:rPr>
              <w:t>；未利用地□</w:t>
            </w:r>
          </w:p>
        </w:tc>
        <w:tc>
          <w:tcPr>
            <w:tcW w:w="1113"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土地利用类</w:t>
            </w:r>
          </w:p>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型图</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412" w:type="dxa"/>
            <w:vMerge w:val="continue"/>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p>
        </w:tc>
        <w:tc>
          <w:tcPr>
            <w:tcW w:w="1626"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占地规模</w:t>
            </w:r>
          </w:p>
        </w:tc>
        <w:tc>
          <w:tcPr>
            <w:tcW w:w="5852" w:type="dxa"/>
            <w:gridSpan w:val="5"/>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w:t>
            </w:r>
            <w:r>
              <w:rPr>
                <w:rFonts w:hint="default" w:ascii="Arial" w:hAnsi="Arial" w:eastAsia="宋体" w:cs="Arial"/>
                <w:color w:val="auto"/>
                <w:sz w:val="21"/>
                <w:szCs w:val="21"/>
                <w:highlight w:val="none"/>
                <w:lang w:val="en-US" w:eastAsia="zh-CN"/>
              </w:rPr>
              <w:t>21.62</w:t>
            </w:r>
            <w:r>
              <w:rPr>
                <w:rFonts w:hint="default" w:ascii="Arial" w:hAnsi="Arial" w:eastAsia="宋体" w:cs="Arial"/>
                <w:color w:val="auto"/>
                <w:sz w:val="21"/>
                <w:szCs w:val="21"/>
                <w:highlight w:val="none"/>
              </w:rPr>
              <w:t>）hm</w:t>
            </w:r>
            <w:r>
              <w:rPr>
                <w:rFonts w:hint="default" w:ascii="Arial" w:hAnsi="Arial" w:eastAsia="宋体" w:cs="Arial"/>
                <w:color w:val="auto"/>
                <w:position w:val="6"/>
                <w:sz w:val="21"/>
                <w:szCs w:val="21"/>
                <w:highlight w:val="none"/>
                <w:vertAlign w:val="superscript"/>
              </w:rPr>
              <w:t>2</w:t>
            </w:r>
          </w:p>
        </w:tc>
        <w:tc>
          <w:tcPr>
            <w:tcW w:w="1113"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412" w:type="dxa"/>
            <w:vMerge w:val="continue"/>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p>
        </w:tc>
        <w:tc>
          <w:tcPr>
            <w:tcW w:w="1626"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敏感目标信息</w:t>
            </w:r>
          </w:p>
        </w:tc>
        <w:tc>
          <w:tcPr>
            <w:tcW w:w="5852" w:type="dxa"/>
            <w:gridSpan w:val="5"/>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敏感目标（牧草地）、方位（四周）、距离（50m）</w:t>
            </w:r>
          </w:p>
        </w:tc>
        <w:tc>
          <w:tcPr>
            <w:tcW w:w="1113"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412" w:type="dxa"/>
            <w:vMerge w:val="continue"/>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p>
        </w:tc>
        <w:tc>
          <w:tcPr>
            <w:tcW w:w="1626"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影响途径</w:t>
            </w:r>
          </w:p>
        </w:tc>
        <w:tc>
          <w:tcPr>
            <w:tcW w:w="5852" w:type="dxa"/>
            <w:gridSpan w:val="5"/>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大气沉降□；地面漫流□；垂直入渗</w:t>
            </w:r>
            <w:r>
              <w:rPr>
                <w:rFonts w:hint="default" w:ascii="Arial" w:hAnsi="Arial" w:eastAsia="宋体" w:cs="Arial"/>
                <w:color w:val="auto"/>
                <w:sz w:val="21"/>
                <w:szCs w:val="21"/>
                <w:highlight w:val="none"/>
              </w:rPr>
              <w:fldChar w:fldCharType="begin"/>
            </w:r>
            <w:r>
              <w:rPr>
                <w:rFonts w:hint="default" w:ascii="Arial" w:hAnsi="Arial" w:eastAsia="宋体" w:cs="Arial"/>
                <w:color w:val="auto"/>
                <w:sz w:val="21"/>
                <w:szCs w:val="21"/>
                <w:highlight w:val="none"/>
              </w:rPr>
              <w:instrText xml:space="preserve"> eq \o\ac(</w:instrText>
            </w:r>
            <w:r>
              <w:rPr>
                <w:rFonts w:hint="default" w:ascii="Arial" w:hAnsi="Arial" w:eastAsia="宋体" w:cs="Arial"/>
                <w:color w:val="auto"/>
                <w:position w:val="-4"/>
                <w:sz w:val="21"/>
                <w:szCs w:val="21"/>
                <w:highlight w:val="none"/>
              </w:rPr>
              <w:instrText xml:space="preserve">□</w:instrText>
            </w:r>
            <w:r>
              <w:rPr>
                <w:rFonts w:hint="default" w:ascii="Arial" w:hAnsi="Arial" w:eastAsia="宋体" w:cs="Arial"/>
                <w:color w:val="auto"/>
                <w:position w:val="0"/>
                <w:sz w:val="21"/>
                <w:szCs w:val="21"/>
                <w:highlight w:val="none"/>
              </w:rPr>
              <w:instrText xml:space="preserve">,√)</w:instrText>
            </w:r>
            <w:r>
              <w:rPr>
                <w:rFonts w:hint="default" w:ascii="Arial" w:hAnsi="Arial" w:eastAsia="宋体" w:cs="Arial"/>
                <w:color w:val="auto"/>
                <w:sz w:val="21"/>
                <w:szCs w:val="21"/>
                <w:highlight w:val="none"/>
              </w:rPr>
              <w:fldChar w:fldCharType="end"/>
            </w:r>
            <w:r>
              <w:rPr>
                <w:rFonts w:hint="default" w:ascii="Arial" w:hAnsi="Arial" w:eastAsia="宋体" w:cs="Arial"/>
                <w:color w:val="auto"/>
                <w:sz w:val="21"/>
                <w:szCs w:val="21"/>
                <w:highlight w:val="none"/>
              </w:rPr>
              <w:t>；地下水位□；其他（）</w:t>
            </w:r>
          </w:p>
        </w:tc>
        <w:tc>
          <w:tcPr>
            <w:tcW w:w="1113"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PrEx>
        <w:trPr>
          <w:trHeight w:val="340" w:hRule="atLeast"/>
          <w:jc w:val="center"/>
        </w:trPr>
        <w:tc>
          <w:tcPr>
            <w:tcW w:w="412" w:type="dxa"/>
            <w:vMerge w:val="continue"/>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p>
        </w:tc>
        <w:tc>
          <w:tcPr>
            <w:tcW w:w="1626"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全部污染物</w:t>
            </w:r>
          </w:p>
        </w:tc>
        <w:tc>
          <w:tcPr>
            <w:tcW w:w="5852" w:type="dxa"/>
            <w:gridSpan w:val="5"/>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lang w:bidi="ar"/>
              </w:rPr>
              <w:t>COD、SS、BOD</w:t>
            </w:r>
            <w:r>
              <w:rPr>
                <w:rFonts w:hint="default" w:ascii="Arial" w:hAnsi="Arial" w:eastAsia="宋体" w:cs="Arial"/>
                <w:color w:val="auto"/>
                <w:sz w:val="21"/>
                <w:szCs w:val="21"/>
                <w:highlight w:val="none"/>
                <w:vertAlign w:val="subscript"/>
                <w:lang w:bidi="ar"/>
              </w:rPr>
              <w:t>5</w:t>
            </w:r>
            <w:r>
              <w:rPr>
                <w:rFonts w:hint="default" w:ascii="Arial" w:hAnsi="Arial" w:eastAsia="宋体" w:cs="Arial"/>
                <w:color w:val="auto"/>
                <w:sz w:val="21"/>
                <w:szCs w:val="21"/>
                <w:highlight w:val="none"/>
                <w:lang w:bidi="ar"/>
              </w:rPr>
              <w:t>、氨氮</w:t>
            </w:r>
          </w:p>
        </w:tc>
        <w:tc>
          <w:tcPr>
            <w:tcW w:w="1113"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PrEx>
        <w:trPr>
          <w:trHeight w:val="340" w:hRule="atLeast"/>
          <w:jc w:val="center"/>
        </w:trPr>
        <w:tc>
          <w:tcPr>
            <w:tcW w:w="412" w:type="dxa"/>
            <w:vMerge w:val="continue"/>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p>
        </w:tc>
        <w:tc>
          <w:tcPr>
            <w:tcW w:w="1626"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特征因子</w:t>
            </w:r>
          </w:p>
        </w:tc>
        <w:tc>
          <w:tcPr>
            <w:tcW w:w="5852" w:type="dxa"/>
            <w:gridSpan w:val="5"/>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氨氮</w:t>
            </w:r>
          </w:p>
        </w:tc>
        <w:tc>
          <w:tcPr>
            <w:tcW w:w="1113"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PrEx>
        <w:trPr>
          <w:trHeight w:val="340" w:hRule="atLeast"/>
          <w:jc w:val="center"/>
        </w:trPr>
        <w:tc>
          <w:tcPr>
            <w:tcW w:w="412" w:type="dxa"/>
            <w:vMerge w:val="continue"/>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p>
        </w:tc>
        <w:tc>
          <w:tcPr>
            <w:tcW w:w="1626"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所属土壤环境影响评价项目类别</w:t>
            </w:r>
          </w:p>
        </w:tc>
        <w:tc>
          <w:tcPr>
            <w:tcW w:w="5852" w:type="dxa"/>
            <w:gridSpan w:val="5"/>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Ⅰ类□；Ⅱ类□；Ⅲ类</w:t>
            </w:r>
            <w:r>
              <w:rPr>
                <w:rFonts w:hint="default" w:ascii="Arial" w:hAnsi="Arial" w:eastAsia="宋体" w:cs="Arial"/>
                <w:color w:val="auto"/>
                <w:sz w:val="21"/>
                <w:szCs w:val="21"/>
                <w:highlight w:val="none"/>
              </w:rPr>
              <w:fldChar w:fldCharType="begin"/>
            </w:r>
            <w:r>
              <w:rPr>
                <w:rFonts w:hint="default" w:ascii="Arial" w:hAnsi="Arial" w:eastAsia="宋体" w:cs="Arial"/>
                <w:color w:val="auto"/>
                <w:sz w:val="21"/>
                <w:szCs w:val="21"/>
                <w:highlight w:val="none"/>
              </w:rPr>
              <w:instrText xml:space="preserve"> eq \o\ac(</w:instrText>
            </w:r>
            <w:r>
              <w:rPr>
                <w:rFonts w:hint="default" w:ascii="Arial" w:hAnsi="Arial" w:eastAsia="宋体" w:cs="Arial"/>
                <w:color w:val="auto"/>
                <w:position w:val="-4"/>
                <w:sz w:val="21"/>
                <w:szCs w:val="21"/>
                <w:highlight w:val="none"/>
              </w:rPr>
              <w:instrText xml:space="preserve">□</w:instrText>
            </w:r>
            <w:r>
              <w:rPr>
                <w:rFonts w:hint="default" w:ascii="Arial" w:hAnsi="Arial" w:eastAsia="宋体" w:cs="Arial"/>
                <w:color w:val="auto"/>
                <w:position w:val="0"/>
                <w:sz w:val="21"/>
                <w:szCs w:val="21"/>
                <w:highlight w:val="none"/>
              </w:rPr>
              <w:instrText xml:space="preserve">,√)</w:instrText>
            </w:r>
            <w:r>
              <w:rPr>
                <w:rFonts w:hint="default" w:ascii="Arial" w:hAnsi="Arial" w:eastAsia="宋体" w:cs="Arial"/>
                <w:color w:val="auto"/>
                <w:sz w:val="21"/>
                <w:szCs w:val="21"/>
                <w:highlight w:val="none"/>
              </w:rPr>
              <w:fldChar w:fldCharType="end"/>
            </w:r>
            <w:r>
              <w:rPr>
                <w:rFonts w:hint="default" w:ascii="Arial" w:hAnsi="Arial" w:eastAsia="宋体" w:cs="Arial"/>
                <w:color w:val="auto"/>
                <w:sz w:val="21"/>
                <w:szCs w:val="21"/>
                <w:highlight w:val="none"/>
              </w:rPr>
              <w:t>；Ⅳ类□</w:t>
            </w:r>
          </w:p>
        </w:tc>
        <w:tc>
          <w:tcPr>
            <w:tcW w:w="1113"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PrEx>
        <w:trPr>
          <w:trHeight w:val="340" w:hRule="atLeast"/>
          <w:jc w:val="center"/>
        </w:trPr>
        <w:tc>
          <w:tcPr>
            <w:tcW w:w="412" w:type="dxa"/>
            <w:vMerge w:val="continue"/>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p>
        </w:tc>
        <w:tc>
          <w:tcPr>
            <w:tcW w:w="1626"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敏感程度</w:t>
            </w:r>
          </w:p>
        </w:tc>
        <w:tc>
          <w:tcPr>
            <w:tcW w:w="5852" w:type="dxa"/>
            <w:gridSpan w:val="5"/>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敏感</w:t>
            </w:r>
            <w:r>
              <w:rPr>
                <w:rFonts w:hint="default" w:ascii="Arial" w:hAnsi="Arial" w:eastAsia="宋体" w:cs="Arial"/>
                <w:color w:val="auto"/>
                <w:sz w:val="21"/>
                <w:szCs w:val="21"/>
                <w:highlight w:val="none"/>
              </w:rPr>
              <w:fldChar w:fldCharType="begin"/>
            </w:r>
            <w:r>
              <w:rPr>
                <w:rFonts w:hint="default" w:ascii="Arial" w:hAnsi="Arial" w:eastAsia="宋体" w:cs="Arial"/>
                <w:color w:val="auto"/>
                <w:sz w:val="21"/>
                <w:szCs w:val="21"/>
                <w:highlight w:val="none"/>
              </w:rPr>
              <w:instrText xml:space="preserve"> eq \o\ac(</w:instrText>
            </w:r>
            <w:r>
              <w:rPr>
                <w:rFonts w:hint="default" w:ascii="Arial" w:hAnsi="Arial" w:eastAsia="宋体" w:cs="Arial"/>
                <w:color w:val="auto"/>
                <w:position w:val="-4"/>
                <w:sz w:val="21"/>
                <w:szCs w:val="21"/>
                <w:highlight w:val="none"/>
              </w:rPr>
              <w:instrText xml:space="preserve">□</w:instrText>
            </w:r>
            <w:r>
              <w:rPr>
                <w:rFonts w:hint="default" w:ascii="Arial" w:hAnsi="Arial" w:eastAsia="宋体" w:cs="Arial"/>
                <w:color w:val="auto"/>
                <w:position w:val="0"/>
                <w:sz w:val="21"/>
                <w:szCs w:val="21"/>
                <w:highlight w:val="none"/>
              </w:rPr>
              <w:instrText xml:space="preserve">,√)</w:instrText>
            </w:r>
            <w:r>
              <w:rPr>
                <w:rFonts w:hint="default" w:ascii="Arial" w:hAnsi="Arial" w:eastAsia="宋体" w:cs="Arial"/>
                <w:color w:val="auto"/>
                <w:sz w:val="21"/>
                <w:szCs w:val="21"/>
                <w:highlight w:val="none"/>
              </w:rPr>
              <w:fldChar w:fldCharType="end"/>
            </w:r>
            <w:r>
              <w:rPr>
                <w:rFonts w:hint="default" w:ascii="Arial" w:hAnsi="Arial" w:eastAsia="宋体" w:cs="Arial"/>
                <w:color w:val="auto"/>
                <w:sz w:val="21"/>
                <w:szCs w:val="21"/>
                <w:highlight w:val="none"/>
              </w:rPr>
              <w:t>；较敏感□；不敏感□</w:t>
            </w:r>
          </w:p>
        </w:tc>
        <w:tc>
          <w:tcPr>
            <w:tcW w:w="1113"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PrEx>
        <w:trPr>
          <w:trHeight w:val="340" w:hRule="atLeast"/>
          <w:jc w:val="center"/>
        </w:trPr>
        <w:tc>
          <w:tcPr>
            <w:tcW w:w="2038" w:type="dxa"/>
            <w:gridSpan w:val="2"/>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评价工作等级</w:t>
            </w:r>
          </w:p>
        </w:tc>
        <w:tc>
          <w:tcPr>
            <w:tcW w:w="5852" w:type="dxa"/>
            <w:gridSpan w:val="5"/>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一级□；二级□；三级</w:t>
            </w:r>
            <w:r>
              <w:rPr>
                <w:rFonts w:hint="default" w:ascii="Arial" w:hAnsi="Arial" w:eastAsia="宋体" w:cs="Arial"/>
                <w:color w:val="auto"/>
                <w:sz w:val="21"/>
                <w:szCs w:val="21"/>
                <w:highlight w:val="none"/>
              </w:rPr>
              <w:fldChar w:fldCharType="begin"/>
            </w:r>
            <w:r>
              <w:rPr>
                <w:rFonts w:hint="default" w:ascii="Arial" w:hAnsi="Arial" w:eastAsia="宋体" w:cs="Arial"/>
                <w:color w:val="auto"/>
                <w:sz w:val="21"/>
                <w:szCs w:val="21"/>
                <w:highlight w:val="none"/>
              </w:rPr>
              <w:instrText xml:space="preserve"> eq \o\ac(</w:instrText>
            </w:r>
            <w:r>
              <w:rPr>
                <w:rFonts w:hint="default" w:ascii="Arial" w:hAnsi="Arial" w:eastAsia="宋体" w:cs="Arial"/>
                <w:color w:val="auto"/>
                <w:position w:val="-4"/>
                <w:sz w:val="21"/>
                <w:szCs w:val="21"/>
                <w:highlight w:val="none"/>
              </w:rPr>
              <w:instrText xml:space="preserve">□</w:instrText>
            </w:r>
            <w:r>
              <w:rPr>
                <w:rFonts w:hint="default" w:ascii="Arial" w:hAnsi="Arial" w:eastAsia="宋体" w:cs="Arial"/>
                <w:color w:val="auto"/>
                <w:position w:val="0"/>
                <w:sz w:val="21"/>
                <w:szCs w:val="21"/>
                <w:highlight w:val="none"/>
              </w:rPr>
              <w:instrText xml:space="preserve">,√)</w:instrText>
            </w:r>
            <w:r>
              <w:rPr>
                <w:rFonts w:hint="default" w:ascii="Arial" w:hAnsi="Arial" w:eastAsia="宋体" w:cs="Arial"/>
                <w:color w:val="auto"/>
                <w:sz w:val="21"/>
                <w:szCs w:val="21"/>
                <w:highlight w:val="none"/>
              </w:rPr>
              <w:fldChar w:fldCharType="end"/>
            </w:r>
          </w:p>
        </w:tc>
        <w:tc>
          <w:tcPr>
            <w:tcW w:w="1113"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PrEx>
        <w:trPr>
          <w:trHeight w:val="340" w:hRule="atLeast"/>
          <w:jc w:val="center"/>
        </w:trPr>
        <w:tc>
          <w:tcPr>
            <w:tcW w:w="412" w:type="dxa"/>
            <w:vMerge w:val="restart"/>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现状调查内容</w:t>
            </w:r>
          </w:p>
        </w:tc>
        <w:tc>
          <w:tcPr>
            <w:tcW w:w="1626"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资料收集</w:t>
            </w:r>
          </w:p>
        </w:tc>
        <w:tc>
          <w:tcPr>
            <w:tcW w:w="5852" w:type="dxa"/>
            <w:gridSpan w:val="5"/>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a）</w:t>
            </w:r>
            <w:r>
              <w:rPr>
                <w:rFonts w:hint="default" w:ascii="Arial" w:hAnsi="Arial" w:eastAsia="宋体" w:cs="Arial"/>
                <w:color w:val="auto"/>
                <w:sz w:val="21"/>
                <w:szCs w:val="21"/>
                <w:highlight w:val="none"/>
              </w:rPr>
              <w:fldChar w:fldCharType="begin"/>
            </w:r>
            <w:r>
              <w:rPr>
                <w:rFonts w:hint="default" w:ascii="Arial" w:hAnsi="Arial" w:eastAsia="宋体" w:cs="Arial"/>
                <w:color w:val="auto"/>
                <w:sz w:val="21"/>
                <w:szCs w:val="21"/>
                <w:highlight w:val="none"/>
              </w:rPr>
              <w:instrText xml:space="preserve"> eq \o\ac(</w:instrText>
            </w:r>
            <w:r>
              <w:rPr>
                <w:rFonts w:hint="default" w:ascii="Arial" w:hAnsi="Arial" w:eastAsia="宋体" w:cs="Arial"/>
                <w:color w:val="auto"/>
                <w:position w:val="-4"/>
                <w:sz w:val="21"/>
                <w:szCs w:val="21"/>
                <w:highlight w:val="none"/>
              </w:rPr>
              <w:instrText xml:space="preserve">□</w:instrText>
            </w:r>
            <w:r>
              <w:rPr>
                <w:rFonts w:hint="default" w:ascii="Arial" w:hAnsi="Arial" w:eastAsia="宋体" w:cs="Arial"/>
                <w:color w:val="auto"/>
                <w:position w:val="0"/>
                <w:sz w:val="21"/>
                <w:szCs w:val="21"/>
                <w:highlight w:val="none"/>
              </w:rPr>
              <w:instrText xml:space="preserve">,√)</w:instrText>
            </w:r>
            <w:r>
              <w:rPr>
                <w:rFonts w:hint="default" w:ascii="Arial" w:hAnsi="Arial" w:eastAsia="宋体" w:cs="Arial"/>
                <w:color w:val="auto"/>
                <w:sz w:val="21"/>
                <w:szCs w:val="21"/>
                <w:highlight w:val="none"/>
              </w:rPr>
              <w:fldChar w:fldCharType="end"/>
            </w:r>
            <w:r>
              <w:rPr>
                <w:rFonts w:hint="default" w:ascii="Arial" w:hAnsi="Arial" w:eastAsia="宋体" w:cs="Arial"/>
                <w:color w:val="auto"/>
                <w:sz w:val="21"/>
                <w:szCs w:val="21"/>
                <w:highlight w:val="none"/>
              </w:rPr>
              <w:t>；b）</w:t>
            </w:r>
            <w:r>
              <w:rPr>
                <w:rFonts w:hint="default" w:ascii="Arial" w:hAnsi="Arial" w:eastAsia="宋体" w:cs="Arial"/>
                <w:color w:val="auto"/>
                <w:sz w:val="21"/>
                <w:szCs w:val="21"/>
                <w:highlight w:val="none"/>
              </w:rPr>
              <w:fldChar w:fldCharType="begin"/>
            </w:r>
            <w:r>
              <w:rPr>
                <w:rFonts w:hint="default" w:ascii="Arial" w:hAnsi="Arial" w:eastAsia="宋体" w:cs="Arial"/>
                <w:color w:val="auto"/>
                <w:sz w:val="21"/>
                <w:szCs w:val="21"/>
                <w:highlight w:val="none"/>
              </w:rPr>
              <w:instrText xml:space="preserve"> eq \o\ac(</w:instrText>
            </w:r>
            <w:r>
              <w:rPr>
                <w:rFonts w:hint="default" w:ascii="Arial" w:hAnsi="Arial" w:eastAsia="宋体" w:cs="Arial"/>
                <w:color w:val="auto"/>
                <w:position w:val="-4"/>
                <w:sz w:val="21"/>
                <w:szCs w:val="21"/>
                <w:highlight w:val="none"/>
              </w:rPr>
              <w:instrText xml:space="preserve">□</w:instrText>
            </w:r>
            <w:r>
              <w:rPr>
                <w:rFonts w:hint="default" w:ascii="Arial" w:hAnsi="Arial" w:eastAsia="宋体" w:cs="Arial"/>
                <w:color w:val="auto"/>
                <w:position w:val="0"/>
                <w:sz w:val="21"/>
                <w:szCs w:val="21"/>
                <w:highlight w:val="none"/>
              </w:rPr>
              <w:instrText xml:space="preserve">,√)</w:instrText>
            </w:r>
            <w:r>
              <w:rPr>
                <w:rFonts w:hint="default" w:ascii="Arial" w:hAnsi="Arial" w:eastAsia="宋体" w:cs="Arial"/>
                <w:color w:val="auto"/>
                <w:sz w:val="21"/>
                <w:szCs w:val="21"/>
                <w:highlight w:val="none"/>
              </w:rPr>
              <w:fldChar w:fldCharType="end"/>
            </w:r>
            <w:r>
              <w:rPr>
                <w:rFonts w:hint="default" w:ascii="Arial" w:hAnsi="Arial" w:eastAsia="宋体" w:cs="Arial"/>
                <w:color w:val="auto"/>
                <w:sz w:val="21"/>
                <w:szCs w:val="21"/>
                <w:highlight w:val="none"/>
              </w:rPr>
              <w:t>；c）</w:t>
            </w:r>
            <w:r>
              <w:rPr>
                <w:rFonts w:hint="default" w:ascii="Arial" w:hAnsi="Arial" w:eastAsia="宋体" w:cs="Arial"/>
                <w:color w:val="auto"/>
                <w:sz w:val="21"/>
                <w:szCs w:val="21"/>
                <w:highlight w:val="none"/>
              </w:rPr>
              <w:fldChar w:fldCharType="begin"/>
            </w:r>
            <w:r>
              <w:rPr>
                <w:rFonts w:hint="default" w:ascii="Arial" w:hAnsi="Arial" w:eastAsia="宋体" w:cs="Arial"/>
                <w:color w:val="auto"/>
                <w:sz w:val="21"/>
                <w:szCs w:val="21"/>
                <w:highlight w:val="none"/>
              </w:rPr>
              <w:instrText xml:space="preserve"> eq \o\ac(</w:instrText>
            </w:r>
            <w:r>
              <w:rPr>
                <w:rFonts w:hint="default" w:ascii="Arial" w:hAnsi="Arial" w:eastAsia="宋体" w:cs="Arial"/>
                <w:color w:val="auto"/>
                <w:position w:val="-4"/>
                <w:sz w:val="21"/>
                <w:szCs w:val="21"/>
                <w:highlight w:val="none"/>
              </w:rPr>
              <w:instrText xml:space="preserve">□</w:instrText>
            </w:r>
            <w:r>
              <w:rPr>
                <w:rFonts w:hint="default" w:ascii="Arial" w:hAnsi="Arial" w:eastAsia="宋体" w:cs="Arial"/>
                <w:color w:val="auto"/>
                <w:position w:val="0"/>
                <w:sz w:val="21"/>
                <w:szCs w:val="21"/>
                <w:highlight w:val="none"/>
              </w:rPr>
              <w:instrText xml:space="preserve">,√)</w:instrText>
            </w:r>
            <w:r>
              <w:rPr>
                <w:rFonts w:hint="default" w:ascii="Arial" w:hAnsi="Arial" w:eastAsia="宋体" w:cs="Arial"/>
                <w:color w:val="auto"/>
                <w:sz w:val="21"/>
                <w:szCs w:val="21"/>
                <w:highlight w:val="none"/>
              </w:rPr>
              <w:fldChar w:fldCharType="end"/>
            </w:r>
            <w:r>
              <w:rPr>
                <w:rFonts w:hint="default" w:ascii="Arial" w:hAnsi="Arial" w:eastAsia="宋体" w:cs="Arial"/>
                <w:color w:val="auto"/>
                <w:sz w:val="21"/>
                <w:szCs w:val="21"/>
                <w:highlight w:val="none"/>
              </w:rPr>
              <w:t>；d）</w:t>
            </w:r>
            <w:r>
              <w:rPr>
                <w:rFonts w:hint="default" w:ascii="Arial" w:hAnsi="Arial" w:eastAsia="宋体" w:cs="Arial"/>
                <w:color w:val="auto"/>
                <w:sz w:val="21"/>
                <w:szCs w:val="21"/>
                <w:highlight w:val="none"/>
              </w:rPr>
              <w:fldChar w:fldCharType="begin"/>
            </w:r>
            <w:r>
              <w:rPr>
                <w:rFonts w:hint="default" w:ascii="Arial" w:hAnsi="Arial" w:eastAsia="宋体" w:cs="Arial"/>
                <w:color w:val="auto"/>
                <w:sz w:val="21"/>
                <w:szCs w:val="21"/>
                <w:highlight w:val="none"/>
              </w:rPr>
              <w:instrText xml:space="preserve"> eq \o\ac(</w:instrText>
            </w:r>
            <w:r>
              <w:rPr>
                <w:rFonts w:hint="default" w:ascii="Arial" w:hAnsi="Arial" w:eastAsia="宋体" w:cs="Arial"/>
                <w:color w:val="auto"/>
                <w:position w:val="-4"/>
                <w:sz w:val="21"/>
                <w:szCs w:val="21"/>
                <w:highlight w:val="none"/>
              </w:rPr>
              <w:instrText xml:space="preserve">□</w:instrText>
            </w:r>
            <w:r>
              <w:rPr>
                <w:rFonts w:hint="default" w:ascii="Arial" w:hAnsi="Arial" w:eastAsia="宋体" w:cs="Arial"/>
                <w:color w:val="auto"/>
                <w:position w:val="0"/>
                <w:sz w:val="21"/>
                <w:szCs w:val="21"/>
                <w:highlight w:val="none"/>
              </w:rPr>
              <w:instrText xml:space="preserve">,√)</w:instrText>
            </w:r>
            <w:r>
              <w:rPr>
                <w:rFonts w:hint="default" w:ascii="Arial" w:hAnsi="Arial" w:eastAsia="宋体" w:cs="Arial"/>
                <w:color w:val="auto"/>
                <w:sz w:val="21"/>
                <w:szCs w:val="21"/>
                <w:highlight w:val="none"/>
              </w:rPr>
              <w:fldChar w:fldCharType="end"/>
            </w:r>
          </w:p>
        </w:tc>
        <w:tc>
          <w:tcPr>
            <w:tcW w:w="1113"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PrEx>
        <w:trPr>
          <w:trHeight w:val="340" w:hRule="atLeast"/>
          <w:jc w:val="center"/>
        </w:trPr>
        <w:tc>
          <w:tcPr>
            <w:tcW w:w="412" w:type="dxa"/>
            <w:vMerge w:val="continue"/>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p>
        </w:tc>
        <w:tc>
          <w:tcPr>
            <w:tcW w:w="1626"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理化特性</w:t>
            </w:r>
          </w:p>
        </w:tc>
        <w:tc>
          <w:tcPr>
            <w:tcW w:w="5852" w:type="dxa"/>
            <w:gridSpan w:val="5"/>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见表5.3-3</w:t>
            </w:r>
          </w:p>
        </w:tc>
        <w:tc>
          <w:tcPr>
            <w:tcW w:w="1113"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同附录 C</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PrEx>
        <w:trPr>
          <w:trHeight w:val="340" w:hRule="atLeast"/>
          <w:jc w:val="center"/>
        </w:trPr>
        <w:tc>
          <w:tcPr>
            <w:tcW w:w="412" w:type="dxa"/>
            <w:vMerge w:val="continue"/>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p>
        </w:tc>
        <w:tc>
          <w:tcPr>
            <w:tcW w:w="1626" w:type="dxa"/>
            <w:vMerge w:val="restart"/>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现状监测点位</w:t>
            </w:r>
          </w:p>
        </w:tc>
        <w:tc>
          <w:tcPr>
            <w:tcW w:w="1374"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p>
        </w:tc>
        <w:tc>
          <w:tcPr>
            <w:tcW w:w="1487"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占地范围内</w:t>
            </w:r>
          </w:p>
        </w:tc>
        <w:tc>
          <w:tcPr>
            <w:tcW w:w="2210" w:type="dxa"/>
            <w:gridSpan w:val="2"/>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占地范围外</w:t>
            </w:r>
          </w:p>
        </w:tc>
        <w:tc>
          <w:tcPr>
            <w:tcW w:w="781"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深度</w:t>
            </w:r>
          </w:p>
        </w:tc>
        <w:tc>
          <w:tcPr>
            <w:tcW w:w="1113" w:type="dxa"/>
            <w:vMerge w:val="restart"/>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p>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点位布置图</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412" w:type="dxa"/>
            <w:vMerge w:val="continue"/>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p>
        </w:tc>
        <w:tc>
          <w:tcPr>
            <w:tcW w:w="1626" w:type="dxa"/>
            <w:vMerge w:val="continue"/>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p>
        </w:tc>
        <w:tc>
          <w:tcPr>
            <w:tcW w:w="1374"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表层样点数</w:t>
            </w:r>
          </w:p>
        </w:tc>
        <w:tc>
          <w:tcPr>
            <w:tcW w:w="1487"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3</w:t>
            </w:r>
          </w:p>
        </w:tc>
        <w:tc>
          <w:tcPr>
            <w:tcW w:w="2210" w:type="dxa"/>
            <w:gridSpan w:val="2"/>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0</w:t>
            </w:r>
          </w:p>
        </w:tc>
        <w:tc>
          <w:tcPr>
            <w:tcW w:w="781"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0.2m</w:t>
            </w:r>
          </w:p>
        </w:tc>
        <w:tc>
          <w:tcPr>
            <w:tcW w:w="1113" w:type="dxa"/>
            <w:vMerge w:val="continue"/>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412" w:type="dxa"/>
            <w:vMerge w:val="continue"/>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p>
        </w:tc>
        <w:tc>
          <w:tcPr>
            <w:tcW w:w="1626" w:type="dxa"/>
            <w:vMerge w:val="continue"/>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p>
        </w:tc>
        <w:tc>
          <w:tcPr>
            <w:tcW w:w="1374"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柱状样点数</w:t>
            </w:r>
          </w:p>
        </w:tc>
        <w:tc>
          <w:tcPr>
            <w:tcW w:w="1487"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0</w:t>
            </w:r>
          </w:p>
        </w:tc>
        <w:tc>
          <w:tcPr>
            <w:tcW w:w="2210" w:type="dxa"/>
            <w:gridSpan w:val="2"/>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0</w:t>
            </w:r>
          </w:p>
        </w:tc>
        <w:tc>
          <w:tcPr>
            <w:tcW w:w="781"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highlight w:val="none"/>
                <w:lang w:val="en-US" w:eastAsia="zh-CN"/>
              </w:rPr>
              <w:t>--</w:t>
            </w:r>
          </w:p>
        </w:tc>
        <w:tc>
          <w:tcPr>
            <w:tcW w:w="1113" w:type="dxa"/>
            <w:vMerge w:val="continue"/>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412" w:type="dxa"/>
            <w:vMerge w:val="continue"/>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p>
        </w:tc>
        <w:tc>
          <w:tcPr>
            <w:tcW w:w="1626"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现状监测因子</w:t>
            </w:r>
          </w:p>
        </w:tc>
        <w:tc>
          <w:tcPr>
            <w:tcW w:w="5852" w:type="dxa"/>
            <w:gridSpan w:val="5"/>
            <w:vAlign w:val="center"/>
          </w:tcPr>
          <w:p>
            <w:pPr>
              <w:pStyle w:val="63"/>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GB 15618</w:t>
            </w:r>
            <w:r>
              <w:rPr>
                <w:rFonts w:hint="default" w:ascii="Arial" w:hAnsi="Arial" w:eastAsia="宋体" w:cs="Arial"/>
                <w:color w:val="auto"/>
                <w:sz w:val="21"/>
                <w:szCs w:val="21"/>
                <w:highlight w:val="none"/>
              </w:rPr>
              <w:fldChar w:fldCharType="begin"/>
            </w:r>
            <w:r>
              <w:rPr>
                <w:rFonts w:hint="default" w:ascii="Arial" w:hAnsi="Arial" w:eastAsia="宋体" w:cs="Arial"/>
                <w:color w:val="auto"/>
                <w:sz w:val="21"/>
                <w:szCs w:val="21"/>
                <w:highlight w:val="none"/>
              </w:rPr>
              <w:instrText xml:space="preserve"> eq \o\ac(</w:instrText>
            </w:r>
            <w:r>
              <w:rPr>
                <w:rFonts w:hint="default" w:ascii="Arial" w:hAnsi="Arial" w:eastAsia="宋体" w:cs="Arial"/>
                <w:color w:val="auto"/>
                <w:position w:val="-4"/>
                <w:sz w:val="21"/>
                <w:szCs w:val="21"/>
                <w:highlight w:val="none"/>
              </w:rPr>
              <w:instrText xml:space="preserve">□</w:instrText>
            </w:r>
            <w:r>
              <w:rPr>
                <w:rFonts w:hint="default" w:ascii="Arial" w:hAnsi="Arial" w:eastAsia="宋体" w:cs="Arial"/>
                <w:color w:val="auto"/>
                <w:position w:val="-4"/>
                <w:sz w:val="21"/>
                <w:szCs w:val="21"/>
                <w:highlight w:val="none"/>
                <w:lang w:eastAsia="zh-CN"/>
              </w:rPr>
              <w:instrText xml:space="preserve">,</w:instrText>
            </w:r>
            <w:r>
              <w:rPr>
                <w:rFonts w:hint="default" w:ascii="Arial" w:hAnsi="Arial" w:eastAsia="宋体" w:cs="Arial"/>
                <w:color w:val="auto"/>
                <w:position w:val="0"/>
                <w:sz w:val="21"/>
                <w:szCs w:val="21"/>
                <w:highlight w:val="none"/>
                <w:lang w:eastAsia="zh-CN"/>
              </w:rPr>
              <w:instrText xml:space="preserve">√</w:instrText>
            </w:r>
            <w:r>
              <w:rPr>
                <w:rFonts w:hint="default" w:ascii="Arial" w:hAnsi="Arial" w:eastAsia="宋体" w:cs="Arial"/>
                <w:color w:val="auto"/>
                <w:position w:val="0"/>
                <w:sz w:val="21"/>
                <w:szCs w:val="21"/>
                <w:highlight w:val="none"/>
              </w:rPr>
              <w:instrText xml:space="preserve">)</w:instrText>
            </w:r>
            <w:r>
              <w:rPr>
                <w:rFonts w:hint="default" w:ascii="Arial" w:hAnsi="Arial" w:eastAsia="宋体" w:cs="Arial"/>
                <w:color w:val="auto"/>
                <w:sz w:val="21"/>
                <w:szCs w:val="21"/>
                <w:highlight w:val="none"/>
              </w:rPr>
              <w:fldChar w:fldCharType="end"/>
            </w:r>
            <w:r>
              <w:rPr>
                <w:rFonts w:hint="default" w:ascii="Arial" w:hAnsi="Arial" w:eastAsia="宋体" w:cs="Arial"/>
                <w:color w:val="auto"/>
                <w:sz w:val="21"/>
                <w:szCs w:val="21"/>
                <w:highlight w:val="none"/>
              </w:rPr>
              <w:t>；GB 36600□；表D.1□；表 D.2□；其他（）</w:t>
            </w:r>
          </w:p>
        </w:tc>
        <w:tc>
          <w:tcPr>
            <w:tcW w:w="1113"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40" w:hRule="atLeast"/>
          <w:jc w:val="center"/>
        </w:trPr>
        <w:tc>
          <w:tcPr>
            <w:tcW w:w="412" w:type="dxa"/>
            <w:vMerge w:val="restart"/>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现状评</w:t>
            </w:r>
          </w:p>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价</w:t>
            </w:r>
          </w:p>
        </w:tc>
        <w:tc>
          <w:tcPr>
            <w:tcW w:w="1626"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评价因子</w:t>
            </w:r>
          </w:p>
        </w:tc>
        <w:tc>
          <w:tcPr>
            <w:tcW w:w="5852" w:type="dxa"/>
            <w:gridSpan w:val="5"/>
            <w:vAlign w:val="center"/>
          </w:tcPr>
          <w:p>
            <w:pPr>
              <w:pStyle w:val="63"/>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满足《土壤环境质量 农用地土壤污染风险管控标准（试行）》（GB 15618-2018）表1农用地土壤污染风险筛选值（基本项目）--“其他”标准</w:t>
            </w:r>
          </w:p>
        </w:tc>
        <w:tc>
          <w:tcPr>
            <w:tcW w:w="1113"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PrEx>
        <w:trPr>
          <w:trHeight w:val="340" w:hRule="atLeast"/>
          <w:jc w:val="center"/>
        </w:trPr>
        <w:tc>
          <w:tcPr>
            <w:tcW w:w="412" w:type="dxa"/>
            <w:vMerge w:val="continue"/>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p>
        </w:tc>
        <w:tc>
          <w:tcPr>
            <w:tcW w:w="1626"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评价标准</w:t>
            </w:r>
          </w:p>
        </w:tc>
        <w:tc>
          <w:tcPr>
            <w:tcW w:w="5852" w:type="dxa"/>
            <w:gridSpan w:val="5"/>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GB 15618</w:t>
            </w:r>
            <w:r>
              <w:rPr>
                <w:rFonts w:hint="default" w:ascii="Arial" w:hAnsi="Arial" w:eastAsia="宋体" w:cs="Arial"/>
                <w:color w:val="auto"/>
                <w:sz w:val="21"/>
                <w:szCs w:val="21"/>
                <w:highlight w:val="none"/>
              </w:rPr>
              <w:sym w:font="Wingdings 2" w:char="00A3"/>
            </w:r>
            <w:r>
              <w:rPr>
                <w:rFonts w:hint="default" w:ascii="Arial" w:hAnsi="Arial" w:eastAsia="宋体" w:cs="Arial"/>
                <w:color w:val="auto"/>
                <w:sz w:val="21"/>
                <w:szCs w:val="21"/>
                <w:highlight w:val="none"/>
              </w:rPr>
              <w:t>；GB 36600</w:t>
            </w:r>
            <w:r>
              <w:rPr>
                <w:rFonts w:hint="default" w:ascii="Arial" w:hAnsi="Arial" w:eastAsia="宋体" w:cs="Arial"/>
                <w:color w:val="auto"/>
                <w:sz w:val="21"/>
                <w:szCs w:val="21"/>
                <w:highlight w:val="none"/>
              </w:rPr>
              <w:fldChar w:fldCharType="begin"/>
            </w:r>
            <w:r>
              <w:rPr>
                <w:rFonts w:hint="default" w:ascii="Arial" w:hAnsi="Arial" w:eastAsia="宋体" w:cs="Arial"/>
                <w:color w:val="auto"/>
                <w:sz w:val="21"/>
                <w:szCs w:val="21"/>
                <w:highlight w:val="none"/>
              </w:rPr>
              <w:instrText xml:space="preserve"> eq \o\ac(</w:instrText>
            </w:r>
            <w:r>
              <w:rPr>
                <w:rFonts w:hint="default" w:ascii="Arial" w:hAnsi="Arial" w:eastAsia="宋体" w:cs="Arial"/>
                <w:color w:val="auto"/>
                <w:position w:val="-4"/>
                <w:sz w:val="21"/>
                <w:szCs w:val="21"/>
                <w:highlight w:val="none"/>
              </w:rPr>
              <w:instrText xml:space="preserve">□</w:instrText>
            </w:r>
            <w:r>
              <w:rPr>
                <w:rFonts w:hint="default" w:ascii="Arial" w:hAnsi="Arial" w:eastAsia="宋体" w:cs="Arial"/>
                <w:color w:val="auto"/>
                <w:position w:val="-4"/>
                <w:sz w:val="21"/>
                <w:szCs w:val="21"/>
                <w:highlight w:val="none"/>
                <w:lang w:eastAsia="zh-CN"/>
              </w:rPr>
              <w:instrText xml:space="preserve">,</w:instrText>
            </w:r>
            <w:r>
              <w:rPr>
                <w:rFonts w:hint="default" w:ascii="Arial" w:hAnsi="Arial" w:eastAsia="宋体" w:cs="Arial"/>
                <w:color w:val="auto"/>
                <w:position w:val="0"/>
                <w:sz w:val="21"/>
                <w:szCs w:val="21"/>
                <w:highlight w:val="none"/>
                <w:lang w:eastAsia="zh-CN"/>
              </w:rPr>
              <w:instrText xml:space="preserve">√</w:instrText>
            </w:r>
            <w:r>
              <w:rPr>
                <w:rFonts w:hint="default" w:ascii="Arial" w:hAnsi="Arial" w:eastAsia="宋体" w:cs="Arial"/>
                <w:color w:val="auto"/>
                <w:position w:val="0"/>
                <w:sz w:val="21"/>
                <w:szCs w:val="21"/>
                <w:highlight w:val="none"/>
              </w:rPr>
              <w:instrText xml:space="preserve">)</w:instrText>
            </w:r>
            <w:r>
              <w:rPr>
                <w:rFonts w:hint="default" w:ascii="Arial" w:hAnsi="Arial" w:eastAsia="宋体" w:cs="Arial"/>
                <w:color w:val="auto"/>
                <w:sz w:val="21"/>
                <w:szCs w:val="21"/>
                <w:highlight w:val="none"/>
              </w:rPr>
              <w:fldChar w:fldCharType="end"/>
            </w:r>
            <w:r>
              <w:rPr>
                <w:rFonts w:hint="default" w:ascii="Arial" w:hAnsi="Arial" w:eastAsia="宋体" w:cs="Arial"/>
                <w:color w:val="auto"/>
                <w:sz w:val="21"/>
                <w:szCs w:val="21"/>
                <w:highlight w:val="none"/>
              </w:rPr>
              <w:t>；表D.1□；表 D.2□；其他（）</w:t>
            </w:r>
          </w:p>
        </w:tc>
        <w:tc>
          <w:tcPr>
            <w:tcW w:w="1113"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PrEx>
        <w:trPr>
          <w:trHeight w:val="340" w:hRule="atLeast"/>
          <w:jc w:val="center"/>
        </w:trPr>
        <w:tc>
          <w:tcPr>
            <w:tcW w:w="412" w:type="dxa"/>
            <w:vMerge w:val="continue"/>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p>
        </w:tc>
        <w:tc>
          <w:tcPr>
            <w:tcW w:w="1626"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现状评价结论</w:t>
            </w:r>
          </w:p>
        </w:tc>
        <w:tc>
          <w:tcPr>
            <w:tcW w:w="5852" w:type="dxa"/>
            <w:gridSpan w:val="5"/>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lang w:eastAsia="zh-CN"/>
              </w:rPr>
            </w:pPr>
            <w:r>
              <w:rPr>
                <w:rFonts w:hint="default" w:ascii="Arial" w:hAnsi="Arial" w:eastAsia="宋体" w:cs="Arial"/>
                <w:color w:val="auto"/>
                <w:sz w:val="21"/>
                <w:szCs w:val="21"/>
                <w:highlight w:val="none"/>
              </w:rPr>
              <w:t>满足</w:t>
            </w:r>
            <w:r>
              <w:rPr>
                <w:rFonts w:hint="default" w:ascii="Arial" w:hAnsi="Arial" w:eastAsia="宋体" w:cs="Arial"/>
                <w:color w:val="auto"/>
                <w:sz w:val="21"/>
                <w:szCs w:val="21"/>
                <w:highlight w:val="none"/>
                <w:lang w:eastAsia="zh-CN"/>
              </w:rPr>
              <w:t>《土壤环境质量 农用地土壤污染风险管控标准（试行）》（GB 15618-2018）表1农用地土壤污染风险筛选值（基本项目）--“其他”标准</w:t>
            </w:r>
          </w:p>
        </w:tc>
        <w:tc>
          <w:tcPr>
            <w:tcW w:w="1113"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PrEx>
        <w:trPr>
          <w:trHeight w:val="340" w:hRule="atLeast"/>
          <w:jc w:val="center"/>
        </w:trPr>
        <w:tc>
          <w:tcPr>
            <w:tcW w:w="412" w:type="dxa"/>
            <w:vMerge w:val="restart"/>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影响预测</w:t>
            </w:r>
          </w:p>
        </w:tc>
        <w:tc>
          <w:tcPr>
            <w:tcW w:w="1626"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预测因子</w:t>
            </w:r>
          </w:p>
        </w:tc>
        <w:tc>
          <w:tcPr>
            <w:tcW w:w="5852" w:type="dxa"/>
            <w:gridSpan w:val="5"/>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w:t>
            </w:r>
          </w:p>
        </w:tc>
        <w:tc>
          <w:tcPr>
            <w:tcW w:w="1113"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PrEx>
        <w:trPr>
          <w:trHeight w:val="340" w:hRule="atLeast"/>
          <w:jc w:val="center"/>
        </w:trPr>
        <w:tc>
          <w:tcPr>
            <w:tcW w:w="412" w:type="dxa"/>
            <w:vMerge w:val="continue"/>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p>
        </w:tc>
        <w:tc>
          <w:tcPr>
            <w:tcW w:w="1626"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预测方法</w:t>
            </w:r>
          </w:p>
        </w:tc>
        <w:tc>
          <w:tcPr>
            <w:tcW w:w="5852" w:type="dxa"/>
            <w:gridSpan w:val="5"/>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附录</w:t>
            </w:r>
            <w:r>
              <w:rPr>
                <w:rFonts w:hint="default" w:ascii="Arial" w:hAnsi="Arial" w:eastAsia="宋体" w:cs="Arial"/>
                <w:color w:val="auto"/>
                <w:spacing w:val="-46"/>
                <w:sz w:val="21"/>
                <w:szCs w:val="21"/>
                <w:highlight w:val="none"/>
              </w:rPr>
              <w:t xml:space="preserve"> </w:t>
            </w:r>
            <w:r>
              <w:rPr>
                <w:rFonts w:hint="default" w:ascii="Arial" w:hAnsi="Arial" w:eastAsia="宋体" w:cs="Arial"/>
                <w:color w:val="auto"/>
                <w:sz w:val="21"/>
                <w:szCs w:val="21"/>
                <w:highlight w:val="none"/>
              </w:rPr>
              <w:t>E□；附录</w:t>
            </w:r>
            <w:r>
              <w:rPr>
                <w:rFonts w:hint="default" w:ascii="Arial" w:hAnsi="Arial" w:eastAsia="宋体" w:cs="Arial"/>
                <w:color w:val="auto"/>
                <w:spacing w:val="-45"/>
                <w:sz w:val="21"/>
                <w:szCs w:val="21"/>
                <w:highlight w:val="none"/>
              </w:rPr>
              <w:t xml:space="preserve"> </w:t>
            </w:r>
            <w:r>
              <w:rPr>
                <w:rFonts w:hint="default" w:ascii="Arial" w:hAnsi="Arial" w:eastAsia="宋体" w:cs="Arial"/>
                <w:color w:val="auto"/>
                <w:sz w:val="21"/>
                <w:szCs w:val="21"/>
                <w:highlight w:val="none"/>
              </w:rPr>
              <w:t>F□；其他（定性分析）</w:t>
            </w:r>
          </w:p>
        </w:tc>
        <w:tc>
          <w:tcPr>
            <w:tcW w:w="1113"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PrEx>
        <w:trPr>
          <w:trHeight w:val="340" w:hRule="atLeast"/>
          <w:jc w:val="center"/>
        </w:trPr>
        <w:tc>
          <w:tcPr>
            <w:tcW w:w="412" w:type="dxa"/>
            <w:vMerge w:val="continue"/>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p>
        </w:tc>
        <w:tc>
          <w:tcPr>
            <w:tcW w:w="1626"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预测分析内容</w:t>
            </w:r>
          </w:p>
        </w:tc>
        <w:tc>
          <w:tcPr>
            <w:tcW w:w="5852" w:type="dxa"/>
            <w:gridSpan w:val="5"/>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影响范围（本场区内）</w:t>
            </w:r>
          </w:p>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影响程度（较小）</w:t>
            </w:r>
          </w:p>
        </w:tc>
        <w:tc>
          <w:tcPr>
            <w:tcW w:w="1113"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PrEx>
        <w:trPr>
          <w:trHeight w:val="340" w:hRule="atLeast"/>
          <w:jc w:val="center"/>
        </w:trPr>
        <w:tc>
          <w:tcPr>
            <w:tcW w:w="412" w:type="dxa"/>
            <w:vMerge w:val="continue"/>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p>
        </w:tc>
        <w:tc>
          <w:tcPr>
            <w:tcW w:w="1626"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预测结论</w:t>
            </w:r>
          </w:p>
        </w:tc>
        <w:tc>
          <w:tcPr>
            <w:tcW w:w="5852" w:type="dxa"/>
            <w:gridSpan w:val="5"/>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达标结论：a）</w:t>
            </w:r>
            <w:r>
              <w:rPr>
                <w:rFonts w:hint="default" w:ascii="Arial" w:hAnsi="Arial" w:eastAsia="宋体" w:cs="Arial"/>
                <w:color w:val="auto"/>
                <w:sz w:val="21"/>
                <w:szCs w:val="21"/>
                <w:highlight w:val="none"/>
              </w:rPr>
              <w:fldChar w:fldCharType="begin"/>
            </w:r>
            <w:r>
              <w:rPr>
                <w:rFonts w:hint="default" w:ascii="Arial" w:hAnsi="Arial" w:eastAsia="宋体" w:cs="Arial"/>
                <w:color w:val="auto"/>
                <w:sz w:val="21"/>
                <w:szCs w:val="21"/>
                <w:highlight w:val="none"/>
              </w:rPr>
              <w:instrText xml:space="preserve"> eq \o\ac(</w:instrText>
            </w:r>
            <w:r>
              <w:rPr>
                <w:rFonts w:hint="default" w:ascii="Arial" w:hAnsi="Arial" w:eastAsia="宋体" w:cs="Arial"/>
                <w:color w:val="auto"/>
                <w:position w:val="-4"/>
                <w:sz w:val="21"/>
                <w:szCs w:val="21"/>
                <w:highlight w:val="none"/>
              </w:rPr>
              <w:instrText xml:space="preserve">□</w:instrText>
            </w:r>
            <w:r>
              <w:rPr>
                <w:rFonts w:hint="default" w:ascii="Arial" w:hAnsi="Arial" w:eastAsia="宋体" w:cs="Arial"/>
                <w:color w:val="auto"/>
                <w:position w:val="0"/>
                <w:sz w:val="21"/>
                <w:szCs w:val="21"/>
                <w:highlight w:val="none"/>
              </w:rPr>
              <w:instrText xml:space="preserve">,√)</w:instrText>
            </w:r>
            <w:r>
              <w:rPr>
                <w:rFonts w:hint="default" w:ascii="Arial" w:hAnsi="Arial" w:eastAsia="宋体" w:cs="Arial"/>
                <w:color w:val="auto"/>
                <w:sz w:val="21"/>
                <w:szCs w:val="21"/>
                <w:highlight w:val="none"/>
              </w:rPr>
              <w:fldChar w:fldCharType="end"/>
            </w:r>
            <w:r>
              <w:rPr>
                <w:rFonts w:hint="default" w:ascii="Arial" w:hAnsi="Arial" w:eastAsia="宋体" w:cs="Arial"/>
                <w:color w:val="auto"/>
                <w:sz w:val="21"/>
                <w:szCs w:val="21"/>
                <w:highlight w:val="none"/>
              </w:rPr>
              <w:t>；b）□；c）□</w:t>
            </w:r>
          </w:p>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不达标结论：a）□；b）□</w:t>
            </w:r>
          </w:p>
        </w:tc>
        <w:tc>
          <w:tcPr>
            <w:tcW w:w="1113"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PrEx>
        <w:trPr>
          <w:trHeight w:val="340" w:hRule="atLeast"/>
          <w:jc w:val="center"/>
        </w:trPr>
        <w:tc>
          <w:tcPr>
            <w:tcW w:w="412" w:type="dxa"/>
            <w:vMerge w:val="restart"/>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防治措</w:t>
            </w:r>
          </w:p>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施</w:t>
            </w:r>
          </w:p>
        </w:tc>
        <w:tc>
          <w:tcPr>
            <w:tcW w:w="1626"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防控措施</w:t>
            </w:r>
          </w:p>
        </w:tc>
        <w:tc>
          <w:tcPr>
            <w:tcW w:w="5852" w:type="dxa"/>
            <w:gridSpan w:val="5"/>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土壤环境质量现状保障</w:t>
            </w:r>
            <w:r>
              <w:rPr>
                <w:rFonts w:hint="default" w:ascii="Arial" w:hAnsi="Arial" w:eastAsia="宋体" w:cs="Arial"/>
                <w:color w:val="auto"/>
                <w:sz w:val="21"/>
                <w:szCs w:val="21"/>
                <w:highlight w:val="none"/>
              </w:rPr>
              <w:fldChar w:fldCharType="begin"/>
            </w:r>
            <w:r>
              <w:rPr>
                <w:rFonts w:hint="default" w:ascii="Arial" w:hAnsi="Arial" w:eastAsia="宋体" w:cs="Arial"/>
                <w:color w:val="auto"/>
                <w:sz w:val="21"/>
                <w:szCs w:val="21"/>
                <w:highlight w:val="none"/>
              </w:rPr>
              <w:instrText xml:space="preserve"> eq \o\ac(</w:instrText>
            </w:r>
            <w:r>
              <w:rPr>
                <w:rFonts w:hint="default" w:ascii="Arial" w:hAnsi="Arial" w:eastAsia="宋体" w:cs="Arial"/>
                <w:color w:val="auto"/>
                <w:position w:val="-4"/>
                <w:sz w:val="21"/>
                <w:szCs w:val="21"/>
                <w:highlight w:val="none"/>
              </w:rPr>
              <w:instrText xml:space="preserve">□</w:instrText>
            </w:r>
            <w:r>
              <w:rPr>
                <w:rFonts w:hint="default" w:ascii="Arial" w:hAnsi="Arial" w:eastAsia="宋体" w:cs="Arial"/>
                <w:color w:val="auto"/>
                <w:position w:val="0"/>
                <w:sz w:val="21"/>
                <w:szCs w:val="21"/>
                <w:highlight w:val="none"/>
              </w:rPr>
              <w:instrText xml:space="preserve">,√)</w:instrText>
            </w:r>
            <w:r>
              <w:rPr>
                <w:rFonts w:hint="default" w:ascii="Arial" w:hAnsi="Arial" w:eastAsia="宋体" w:cs="Arial"/>
                <w:color w:val="auto"/>
                <w:sz w:val="21"/>
                <w:szCs w:val="21"/>
                <w:highlight w:val="none"/>
              </w:rPr>
              <w:fldChar w:fldCharType="end"/>
            </w:r>
            <w:r>
              <w:rPr>
                <w:rFonts w:hint="default" w:ascii="Arial" w:hAnsi="Arial" w:eastAsia="宋体" w:cs="Arial"/>
                <w:color w:val="auto"/>
                <w:sz w:val="21"/>
                <w:szCs w:val="21"/>
                <w:highlight w:val="none"/>
              </w:rPr>
              <w:t>；源头控制</w:t>
            </w:r>
            <w:r>
              <w:rPr>
                <w:rFonts w:hint="default" w:ascii="Arial" w:hAnsi="Arial" w:eastAsia="宋体" w:cs="Arial"/>
                <w:color w:val="auto"/>
                <w:sz w:val="21"/>
                <w:szCs w:val="21"/>
                <w:highlight w:val="none"/>
              </w:rPr>
              <w:fldChar w:fldCharType="begin"/>
            </w:r>
            <w:r>
              <w:rPr>
                <w:rFonts w:hint="default" w:ascii="Arial" w:hAnsi="Arial" w:eastAsia="宋体" w:cs="Arial"/>
                <w:color w:val="auto"/>
                <w:sz w:val="21"/>
                <w:szCs w:val="21"/>
                <w:highlight w:val="none"/>
              </w:rPr>
              <w:instrText xml:space="preserve"> eq \o\ac(</w:instrText>
            </w:r>
            <w:r>
              <w:rPr>
                <w:rFonts w:hint="default" w:ascii="Arial" w:hAnsi="Arial" w:eastAsia="宋体" w:cs="Arial"/>
                <w:color w:val="auto"/>
                <w:position w:val="-4"/>
                <w:sz w:val="21"/>
                <w:szCs w:val="21"/>
                <w:highlight w:val="none"/>
              </w:rPr>
              <w:instrText xml:space="preserve">□</w:instrText>
            </w:r>
            <w:r>
              <w:rPr>
                <w:rFonts w:hint="default" w:ascii="Arial" w:hAnsi="Arial" w:eastAsia="宋体" w:cs="Arial"/>
                <w:color w:val="auto"/>
                <w:position w:val="0"/>
                <w:sz w:val="21"/>
                <w:szCs w:val="21"/>
                <w:highlight w:val="none"/>
              </w:rPr>
              <w:instrText xml:space="preserve">,√)</w:instrText>
            </w:r>
            <w:r>
              <w:rPr>
                <w:rFonts w:hint="default" w:ascii="Arial" w:hAnsi="Arial" w:eastAsia="宋体" w:cs="Arial"/>
                <w:color w:val="auto"/>
                <w:sz w:val="21"/>
                <w:szCs w:val="21"/>
                <w:highlight w:val="none"/>
              </w:rPr>
              <w:fldChar w:fldCharType="end"/>
            </w:r>
            <w:r>
              <w:rPr>
                <w:rFonts w:hint="default" w:ascii="Arial" w:hAnsi="Arial" w:eastAsia="宋体" w:cs="Arial"/>
                <w:color w:val="auto"/>
                <w:sz w:val="21"/>
                <w:szCs w:val="21"/>
                <w:highlight w:val="none"/>
              </w:rPr>
              <w:t>；过程防控</w:t>
            </w:r>
            <w:r>
              <w:rPr>
                <w:rFonts w:hint="default" w:ascii="Arial" w:hAnsi="Arial" w:eastAsia="宋体" w:cs="Arial"/>
                <w:color w:val="auto"/>
                <w:sz w:val="21"/>
                <w:szCs w:val="21"/>
                <w:highlight w:val="none"/>
              </w:rPr>
              <w:fldChar w:fldCharType="begin"/>
            </w:r>
            <w:r>
              <w:rPr>
                <w:rFonts w:hint="default" w:ascii="Arial" w:hAnsi="Arial" w:eastAsia="宋体" w:cs="Arial"/>
                <w:color w:val="auto"/>
                <w:sz w:val="21"/>
                <w:szCs w:val="21"/>
                <w:highlight w:val="none"/>
              </w:rPr>
              <w:instrText xml:space="preserve"> eq \o\ac(</w:instrText>
            </w:r>
            <w:r>
              <w:rPr>
                <w:rFonts w:hint="default" w:ascii="Arial" w:hAnsi="Arial" w:eastAsia="宋体" w:cs="Arial"/>
                <w:color w:val="auto"/>
                <w:position w:val="-4"/>
                <w:sz w:val="21"/>
                <w:szCs w:val="21"/>
                <w:highlight w:val="none"/>
              </w:rPr>
              <w:instrText xml:space="preserve">□</w:instrText>
            </w:r>
            <w:r>
              <w:rPr>
                <w:rFonts w:hint="default" w:ascii="Arial" w:hAnsi="Arial" w:eastAsia="宋体" w:cs="Arial"/>
                <w:color w:val="auto"/>
                <w:position w:val="0"/>
                <w:sz w:val="21"/>
                <w:szCs w:val="21"/>
                <w:highlight w:val="none"/>
              </w:rPr>
              <w:instrText xml:space="preserve">,√)</w:instrText>
            </w:r>
            <w:r>
              <w:rPr>
                <w:rFonts w:hint="default" w:ascii="Arial" w:hAnsi="Arial" w:eastAsia="宋体" w:cs="Arial"/>
                <w:color w:val="auto"/>
                <w:sz w:val="21"/>
                <w:szCs w:val="21"/>
                <w:highlight w:val="none"/>
              </w:rPr>
              <w:fldChar w:fldCharType="end"/>
            </w:r>
            <w:r>
              <w:rPr>
                <w:rFonts w:hint="default" w:ascii="Arial" w:hAnsi="Arial" w:eastAsia="宋体" w:cs="Arial"/>
                <w:color w:val="auto"/>
                <w:sz w:val="21"/>
                <w:szCs w:val="21"/>
                <w:highlight w:val="none"/>
              </w:rPr>
              <w:t>；其他（）</w:t>
            </w:r>
          </w:p>
        </w:tc>
        <w:tc>
          <w:tcPr>
            <w:tcW w:w="1113"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PrEx>
        <w:trPr>
          <w:trHeight w:val="340" w:hRule="atLeast"/>
          <w:jc w:val="center"/>
        </w:trPr>
        <w:tc>
          <w:tcPr>
            <w:tcW w:w="412" w:type="dxa"/>
            <w:vMerge w:val="continue"/>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p>
        </w:tc>
        <w:tc>
          <w:tcPr>
            <w:tcW w:w="1626" w:type="dxa"/>
            <w:vMerge w:val="restart"/>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跟踪监测</w:t>
            </w:r>
          </w:p>
        </w:tc>
        <w:tc>
          <w:tcPr>
            <w:tcW w:w="2861" w:type="dxa"/>
            <w:gridSpan w:val="2"/>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监测点数</w:t>
            </w:r>
          </w:p>
        </w:tc>
        <w:tc>
          <w:tcPr>
            <w:tcW w:w="1576"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监测指标</w:t>
            </w:r>
          </w:p>
        </w:tc>
        <w:tc>
          <w:tcPr>
            <w:tcW w:w="1415" w:type="dxa"/>
            <w:gridSpan w:val="2"/>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监测频次</w:t>
            </w:r>
          </w:p>
        </w:tc>
        <w:tc>
          <w:tcPr>
            <w:tcW w:w="1113" w:type="dxa"/>
            <w:vMerge w:val="restart"/>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PrEx>
        <w:trPr>
          <w:trHeight w:val="340" w:hRule="atLeast"/>
          <w:jc w:val="center"/>
        </w:trPr>
        <w:tc>
          <w:tcPr>
            <w:tcW w:w="412" w:type="dxa"/>
            <w:vMerge w:val="continue"/>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p>
        </w:tc>
        <w:tc>
          <w:tcPr>
            <w:tcW w:w="1626" w:type="dxa"/>
            <w:vMerge w:val="continue"/>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p>
        </w:tc>
        <w:tc>
          <w:tcPr>
            <w:tcW w:w="2861" w:type="dxa"/>
            <w:gridSpan w:val="2"/>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highlight w:val="none"/>
                <w:lang w:val="en-US" w:eastAsia="zh-CN"/>
              </w:rPr>
              <w:t>--</w:t>
            </w:r>
          </w:p>
        </w:tc>
        <w:tc>
          <w:tcPr>
            <w:tcW w:w="1576"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highlight w:val="none"/>
                <w:lang w:val="en-US" w:eastAsia="zh-CN"/>
              </w:rPr>
              <w:t>--</w:t>
            </w:r>
          </w:p>
        </w:tc>
        <w:tc>
          <w:tcPr>
            <w:tcW w:w="1415" w:type="dxa"/>
            <w:gridSpan w:val="2"/>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highlight w:val="none"/>
                <w:lang w:val="en-US" w:eastAsia="zh-CN"/>
              </w:rPr>
              <w:t>--</w:t>
            </w:r>
          </w:p>
        </w:tc>
        <w:tc>
          <w:tcPr>
            <w:tcW w:w="1113" w:type="dxa"/>
            <w:vMerge w:val="continue"/>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PrEx>
        <w:trPr>
          <w:trHeight w:val="340" w:hRule="atLeast"/>
          <w:jc w:val="center"/>
        </w:trPr>
        <w:tc>
          <w:tcPr>
            <w:tcW w:w="412" w:type="dxa"/>
            <w:vMerge w:val="continue"/>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p>
        </w:tc>
        <w:tc>
          <w:tcPr>
            <w:tcW w:w="1626"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信息公开指标</w:t>
            </w:r>
          </w:p>
        </w:tc>
        <w:tc>
          <w:tcPr>
            <w:tcW w:w="5852" w:type="dxa"/>
            <w:gridSpan w:val="5"/>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项目土壤监测计划</w:t>
            </w:r>
          </w:p>
        </w:tc>
        <w:tc>
          <w:tcPr>
            <w:tcW w:w="1113" w:type="dxa"/>
            <w:vMerge w:val="continue"/>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PrEx>
        <w:trPr>
          <w:trHeight w:val="340" w:hRule="atLeast"/>
          <w:jc w:val="center"/>
        </w:trPr>
        <w:tc>
          <w:tcPr>
            <w:tcW w:w="2038" w:type="dxa"/>
            <w:gridSpan w:val="2"/>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评价结论</w:t>
            </w:r>
          </w:p>
        </w:tc>
        <w:tc>
          <w:tcPr>
            <w:tcW w:w="5852" w:type="dxa"/>
            <w:gridSpan w:val="5"/>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本项目对土壤环境影响较小，在可接受范围内，建设可行</w:t>
            </w:r>
          </w:p>
        </w:tc>
        <w:tc>
          <w:tcPr>
            <w:tcW w:w="1113"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sz w:val="21"/>
                <w:szCs w:val="21"/>
                <w:highlight w:val="none"/>
              </w:rPr>
            </w:pP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PrEx>
        <w:trPr>
          <w:trHeight w:val="340" w:hRule="atLeast"/>
          <w:jc w:val="center"/>
        </w:trPr>
        <w:tc>
          <w:tcPr>
            <w:tcW w:w="9003" w:type="dxa"/>
            <w:gridSpan w:val="8"/>
            <w:vAlign w:val="center"/>
          </w:tcPr>
          <w:p>
            <w:pPr>
              <w:pStyle w:val="63"/>
              <w:keepNext w:val="0"/>
              <w:keepLines w:val="0"/>
              <w:pageBreakBefore w:val="0"/>
              <w:widowControl w:val="0"/>
              <w:kinsoku/>
              <w:wordWrap/>
              <w:overflowPunct/>
              <w:topLinePunct/>
              <w:autoSpaceDE w:val="0"/>
              <w:autoSpaceDN/>
              <w:bidi w:val="0"/>
              <w:adjustRightInd/>
              <w:snapToGrid/>
              <w:jc w:val="both"/>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注 1：“□”为勾选项，可√；“（ ）”为内容填写项；“备注”为其他补充内容。</w:t>
            </w:r>
          </w:p>
          <w:p>
            <w:pPr>
              <w:pStyle w:val="63"/>
              <w:keepNext w:val="0"/>
              <w:keepLines w:val="0"/>
              <w:pageBreakBefore w:val="0"/>
              <w:widowControl w:val="0"/>
              <w:kinsoku/>
              <w:wordWrap/>
              <w:overflowPunct/>
              <w:topLinePunct/>
              <w:autoSpaceDE w:val="0"/>
              <w:autoSpaceDN/>
              <w:bidi w:val="0"/>
              <w:adjustRightInd/>
              <w:snapToGrid/>
              <w:jc w:val="both"/>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注 2：需要分别开展土壤环境影响评级工作的，分别填写自查表。</w:t>
            </w:r>
          </w:p>
        </w:tc>
      </w:tr>
    </w:tbl>
    <w:p>
      <w:pPr>
        <w:pStyle w:val="5"/>
        <w:rPr>
          <w:rFonts w:hint="default" w:ascii="Arial" w:hAnsi="Arial" w:eastAsia="宋体" w:cs="Arial"/>
          <w:color w:val="auto"/>
          <w:highlight w:val="none"/>
        </w:rPr>
      </w:pPr>
      <w:bookmarkStart w:id="379" w:name="_Toc22444"/>
      <w:r>
        <w:rPr>
          <w:rFonts w:hint="default" w:ascii="Arial" w:hAnsi="Arial" w:eastAsia="宋体" w:cs="Arial"/>
          <w:color w:val="auto"/>
          <w:highlight w:val="none"/>
        </w:rPr>
        <w:t>5.6运营期声环境影响分析</w:t>
      </w:r>
      <w:bookmarkEnd w:id="375"/>
      <w:bookmarkEnd w:id="376"/>
      <w:bookmarkEnd w:id="379"/>
    </w:p>
    <w:p>
      <w:pPr>
        <w:pStyle w:val="6"/>
        <w:rPr>
          <w:rFonts w:hint="default" w:ascii="Arial" w:hAnsi="Arial" w:eastAsia="宋体" w:cs="Arial"/>
          <w:color w:val="auto"/>
          <w:highlight w:val="none"/>
        </w:rPr>
      </w:pPr>
      <w:bookmarkStart w:id="380" w:name="_Toc22195"/>
      <w:r>
        <w:rPr>
          <w:rFonts w:hint="default" w:ascii="Arial" w:hAnsi="Arial" w:eastAsia="宋体" w:cs="Arial"/>
          <w:color w:val="auto"/>
          <w:highlight w:val="none"/>
        </w:rPr>
        <w:t>5.6.1主要声源源强</w:t>
      </w:r>
      <w:bookmarkEnd w:id="380"/>
    </w:p>
    <w:p>
      <w:pPr>
        <w:ind w:firstLine="480"/>
        <w:rPr>
          <w:rFonts w:hint="default" w:ascii="Arial" w:hAnsi="Arial" w:eastAsia="宋体" w:cs="Arial"/>
          <w:color w:val="auto"/>
          <w:highlight w:val="none"/>
        </w:rPr>
      </w:pPr>
      <w:r>
        <w:rPr>
          <w:rFonts w:hint="default" w:ascii="Arial" w:hAnsi="Arial" w:eastAsia="宋体" w:cs="Arial"/>
          <w:color w:val="auto"/>
          <w:highlight w:val="none"/>
        </w:rPr>
        <w:t>本项目的噪声产生源强情况见下表。</w:t>
      </w:r>
    </w:p>
    <w:p>
      <w:pPr>
        <w:pStyle w:val="8"/>
        <w:rPr>
          <w:rFonts w:hint="default" w:ascii="Arial" w:hAnsi="Arial" w:eastAsia="宋体" w:cs="Arial"/>
          <w:color w:val="auto"/>
          <w:highlight w:val="none"/>
        </w:rPr>
      </w:pPr>
      <w:r>
        <w:rPr>
          <w:rFonts w:hint="default" w:ascii="Arial" w:hAnsi="Arial" w:eastAsia="宋体" w:cs="Arial"/>
          <w:color w:val="auto"/>
          <w:highlight w:val="none"/>
        </w:rPr>
        <w:t>表</w:t>
      </w:r>
      <w:r>
        <w:rPr>
          <w:rFonts w:hint="default" w:ascii="Arial" w:hAnsi="Arial" w:eastAsia="宋体" w:cs="Arial"/>
          <w:color w:val="auto"/>
          <w:highlight w:val="none"/>
          <w:lang w:val="en-US" w:eastAsia="zh-CN"/>
        </w:rPr>
        <w:t>5.6-1</w:t>
      </w:r>
      <w:r>
        <w:rPr>
          <w:rFonts w:hint="default" w:ascii="Arial" w:hAnsi="Arial" w:eastAsia="宋体" w:cs="Arial"/>
          <w:color w:val="auto"/>
          <w:highlight w:val="none"/>
        </w:rPr>
        <w:t xml:space="preserve">    噪声产生源强一览表</w:t>
      </w:r>
    </w:p>
    <w:tbl>
      <w:tblPr>
        <w:tblStyle w:val="39"/>
        <w:tblW w:w="9014" w:type="dxa"/>
        <w:jc w:val="center"/>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Layout w:type="fixed"/>
        <w:tblCellMar>
          <w:top w:w="0" w:type="dxa"/>
          <w:left w:w="0" w:type="dxa"/>
          <w:bottom w:w="0" w:type="dxa"/>
          <w:right w:w="0" w:type="dxa"/>
        </w:tblCellMar>
      </w:tblPr>
      <w:tblGrid>
        <w:gridCol w:w="442"/>
        <w:gridCol w:w="1154"/>
        <w:gridCol w:w="1234"/>
        <w:gridCol w:w="1191"/>
        <w:gridCol w:w="2426"/>
        <w:gridCol w:w="1071"/>
        <w:gridCol w:w="1496"/>
      </w:tblGrid>
      <w:tr>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PrEx>
        <w:trPr>
          <w:trHeight w:val="340" w:hRule="atLeast"/>
          <w:tblHeader/>
          <w:jc w:val="center"/>
        </w:trPr>
        <w:tc>
          <w:tcPr>
            <w:tcW w:w="431"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序号</w:t>
            </w:r>
          </w:p>
        </w:tc>
        <w:tc>
          <w:tcPr>
            <w:tcW w:w="2328" w:type="dxa"/>
            <w:gridSpan w:val="2"/>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噪声源</w:t>
            </w:r>
          </w:p>
        </w:tc>
        <w:tc>
          <w:tcPr>
            <w:tcW w:w="1161"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数量</w:t>
            </w:r>
          </w:p>
        </w:tc>
        <w:tc>
          <w:tcPr>
            <w:tcW w:w="2365"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治理措施</w:t>
            </w:r>
          </w:p>
        </w:tc>
        <w:tc>
          <w:tcPr>
            <w:tcW w:w="1044"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源强dB(A)</w:t>
            </w:r>
          </w:p>
        </w:tc>
        <w:tc>
          <w:tcPr>
            <w:tcW w:w="1458"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排放强度dB(A)</w:t>
            </w:r>
          </w:p>
        </w:tc>
      </w:tr>
      <w:tr>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340" w:hRule="atLeast"/>
          <w:jc w:val="center"/>
        </w:trPr>
        <w:tc>
          <w:tcPr>
            <w:tcW w:w="431"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1</w:t>
            </w:r>
          </w:p>
        </w:tc>
        <w:tc>
          <w:tcPr>
            <w:tcW w:w="1125"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牛舍</w:t>
            </w:r>
          </w:p>
        </w:tc>
        <w:tc>
          <w:tcPr>
            <w:tcW w:w="1203"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降温风扇</w:t>
            </w:r>
          </w:p>
        </w:tc>
        <w:tc>
          <w:tcPr>
            <w:tcW w:w="1161"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highlight w:val="none"/>
                <w:lang w:val="en-US" w:eastAsia="zh-CN"/>
              </w:rPr>
              <w:t>25</w:t>
            </w:r>
          </w:p>
        </w:tc>
        <w:tc>
          <w:tcPr>
            <w:tcW w:w="2365"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置于室内</w:t>
            </w:r>
          </w:p>
        </w:tc>
        <w:tc>
          <w:tcPr>
            <w:tcW w:w="1044"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50</w:t>
            </w:r>
          </w:p>
        </w:tc>
        <w:tc>
          <w:tcPr>
            <w:tcW w:w="1458"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40</w:t>
            </w:r>
          </w:p>
        </w:tc>
      </w:tr>
      <w:tr>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340" w:hRule="atLeast"/>
          <w:jc w:val="center"/>
        </w:trPr>
        <w:tc>
          <w:tcPr>
            <w:tcW w:w="431"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highlight w:val="none"/>
                <w:lang w:val="en-US" w:eastAsia="zh-CN"/>
              </w:rPr>
              <w:t>2</w:t>
            </w:r>
          </w:p>
        </w:tc>
        <w:tc>
          <w:tcPr>
            <w:tcW w:w="1125"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饲料配料</w:t>
            </w:r>
          </w:p>
        </w:tc>
        <w:tc>
          <w:tcPr>
            <w:tcW w:w="1203"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highlight w:val="none"/>
              </w:rPr>
            </w:pPr>
            <w:r>
              <w:rPr>
                <w:rFonts w:hint="default" w:ascii="Arial" w:hAnsi="Arial" w:eastAsia="宋体" w:cs="Arial"/>
                <w:color w:val="auto"/>
                <w:kern w:val="2"/>
                <w:sz w:val="21"/>
                <w:szCs w:val="22"/>
                <w:highlight w:val="none"/>
                <w:lang w:val="en-US" w:eastAsia="zh-CN" w:bidi="ar-SA"/>
              </w:rPr>
              <w:t>TMR日粮搅拌机</w:t>
            </w:r>
          </w:p>
        </w:tc>
        <w:tc>
          <w:tcPr>
            <w:tcW w:w="1161"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highlight w:val="none"/>
                <w:lang w:val="en-US" w:eastAsia="zh-CN"/>
              </w:rPr>
              <w:t>8</w:t>
            </w:r>
          </w:p>
        </w:tc>
        <w:tc>
          <w:tcPr>
            <w:tcW w:w="2365"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基础减振、建筑隔声</w:t>
            </w:r>
          </w:p>
        </w:tc>
        <w:tc>
          <w:tcPr>
            <w:tcW w:w="1044"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85</w:t>
            </w:r>
          </w:p>
        </w:tc>
        <w:tc>
          <w:tcPr>
            <w:tcW w:w="1458"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rPr>
              <w:t>60</w:t>
            </w:r>
          </w:p>
        </w:tc>
      </w:tr>
      <w:tr>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340" w:hRule="atLeast"/>
          <w:jc w:val="center"/>
        </w:trPr>
        <w:tc>
          <w:tcPr>
            <w:tcW w:w="431"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highlight w:val="none"/>
                <w:lang w:val="en-US" w:eastAsia="zh-CN"/>
              </w:rPr>
              <w:t>3</w:t>
            </w:r>
          </w:p>
        </w:tc>
        <w:tc>
          <w:tcPr>
            <w:tcW w:w="1125"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highlight w:val="none"/>
              </w:rPr>
              <w:t>移动声源</w:t>
            </w:r>
          </w:p>
        </w:tc>
        <w:tc>
          <w:tcPr>
            <w:tcW w:w="1203"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highlight w:val="none"/>
              </w:rPr>
              <w:t>装载机</w:t>
            </w:r>
          </w:p>
        </w:tc>
        <w:tc>
          <w:tcPr>
            <w:tcW w:w="1161"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highlight w:val="none"/>
                <w:lang w:val="en-US" w:eastAsia="zh-CN"/>
              </w:rPr>
              <w:t>8</w:t>
            </w:r>
          </w:p>
        </w:tc>
        <w:tc>
          <w:tcPr>
            <w:tcW w:w="2365"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highlight w:val="none"/>
              </w:rPr>
              <w:t>选用低噪声设备，定期维护保养</w:t>
            </w:r>
          </w:p>
        </w:tc>
        <w:tc>
          <w:tcPr>
            <w:tcW w:w="1044"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highlight w:val="none"/>
              </w:rPr>
              <w:t>85</w:t>
            </w:r>
          </w:p>
        </w:tc>
        <w:tc>
          <w:tcPr>
            <w:tcW w:w="1458"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highlight w:val="none"/>
              </w:rPr>
              <w:t>75</w:t>
            </w:r>
          </w:p>
        </w:tc>
      </w:tr>
      <w:tr>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PrEx>
        <w:trPr>
          <w:trHeight w:val="340" w:hRule="atLeast"/>
          <w:jc w:val="center"/>
        </w:trPr>
        <w:tc>
          <w:tcPr>
            <w:tcW w:w="431"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highlight w:val="none"/>
                <w:lang w:val="en-US" w:eastAsia="zh-CN"/>
              </w:rPr>
              <w:t>4</w:t>
            </w:r>
          </w:p>
        </w:tc>
        <w:tc>
          <w:tcPr>
            <w:tcW w:w="1125"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highlight w:val="none"/>
              </w:rPr>
              <w:t>水泵室</w:t>
            </w:r>
          </w:p>
        </w:tc>
        <w:tc>
          <w:tcPr>
            <w:tcW w:w="1203"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highlight w:val="none"/>
              </w:rPr>
              <w:t>水泵</w:t>
            </w:r>
          </w:p>
        </w:tc>
        <w:tc>
          <w:tcPr>
            <w:tcW w:w="1161"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highlight w:val="none"/>
              </w:rPr>
              <w:t>2</w:t>
            </w:r>
          </w:p>
        </w:tc>
        <w:tc>
          <w:tcPr>
            <w:tcW w:w="2365"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highlight w:val="none"/>
              </w:rPr>
              <w:t>基础减振、建筑隔声</w:t>
            </w:r>
          </w:p>
        </w:tc>
        <w:tc>
          <w:tcPr>
            <w:tcW w:w="1044"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highlight w:val="none"/>
              </w:rPr>
              <w:t>85</w:t>
            </w:r>
          </w:p>
        </w:tc>
        <w:tc>
          <w:tcPr>
            <w:tcW w:w="1458"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highlight w:val="none"/>
              </w:rPr>
              <w:t>65</w:t>
            </w:r>
          </w:p>
        </w:tc>
      </w:tr>
    </w:tbl>
    <w:p>
      <w:pPr>
        <w:ind w:firstLine="480"/>
        <w:rPr>
          <w:rFonts w:hint="default" w:ascii="Arial" w:hAnsi="Arial" w:eastAsia="宋体" w:cs="Arial"/>
          <w:color w:val="auto"/>
          <w:highlight w:val="none"/>
        </w:rPr>
      </w:pPr>
      <w:r>
        <w:rPr>
          <w:rFonts w:hint="default" w:ascii="Arial" w:hAnsi="Arial" w:eastAsia="宋体" w:cs="Arial"/>
          <w:color w:val="auto"/>
          <w:highlight w:val="none"/>
        </w:rPr>
        <w:t>本项目在选用低噪声新型设备基础上，将生产设备安置在厂房内，并对设备进行基础减振、封闭门窗等，可使噪声排放减少20~25dB(A)</w:t>
      </w:r>
    </w:p>
    <w:p>
      <w:pPr>
        <w:pStyle w:val="6"/>
        <w:rPr>
          <w:rFonts w:hint="default" w:ascii="Arial" w:hAnsi="Arial" w:eastAsia="宋体" w:cs="Arial"/>
          <w:color w:val="auto"/>
          <w:highlight w:val="none"/>
        </w:rPr>
      </w:pPr>
      <w:bookmarkStart w:id="381" w:name="_Toc26895"/>
      <w:r>
        <w:rPr>
          <w:rFonts w:hint="default" w:ascii="Arial" w:hAnsi="Arial" w:eastAsia="宋体" w:cs="Arial"/>
          <w:color w:val="auto"/>
          <w:highlight w:val="none"/>
        </w:rPr>
        <w:t>5.6.2声环境预测方法</w:t>
      </w:r>
      <w:bookmarkEnd w:id="381"/>
    </w:p>
    <w:p>
      <w:pPr>
        <w:ind w:firstLine="480"/>
        <w:rPr>
          <w:rFonts w:hint="default" w:ascii="Arial" w:hAnsi="Arial" w:eastAsia="宋体" w:cs="Arial"/>
          <w:color w:val="auto"/>
          <w:highlight w:val="none"/>
        </w:rPr>
      </w:pPr>
      <w:bookmarkStart w:id="382" w:name="_Toc241406780"/>
      <w:bookmarkStart w:id="383" w:name="_Toc255298748"/>
      <w:bookmarkStart w:id="384" w:name="_Toc253320781"/>
      <w:r>
        <w:rPr>
          <w:rFonts w:hint="default" w:ascii="Arial" w:hAnsi="Arial" w:eastAsia="宋体" w:cs="Arial"/>
          <w:color w:val="auto"/>
          <w:highlight w:val="none"/>
        </w:rPr>
        <w:t>本次环境噪声预测，采用《环境影响评价技术导则 声环境》（HJ2.4-2009）中的工业噪声预测模式，主要是对拟建项目噪声源对厂界的影响进行预测，厂界以现状监测点为预测点。预测模式如下：</w:t>
      </w:r>
    </w:p>
    <w:p>
      <w:pPr>
        <w:ind w:firstLine="480"/>
        <w:rPr>
          <w:rFonts w:hint="default" w:ascii="Arial" w:hAnsi="Arial" w:eastAsia="宋体" w:cs="Arial"/>
          <w:color w:val="auto"/>
          <w:highlight w:val="none"/>
        </w:rPr>
      </w:pPr>
      <w:r>
        <w:rPr>
          <w:rFonts w:hint="default" w:ascii="Arial" w:hAnsi="Arial" w:eastAsia="宋体" w:cs="Arial"/>
          <w:color w:val="auto"/>
          <w:highlight w:val="none"/>
        </w:rPr>
        <w:t>1）单个室外的点声源在预测点产生的声级计算公式</w:t>
      </w:r>
    </w:p>
    <w:p>
      <w:pPr>
        <w:ind w:firstLine="480"/>
        <w:rPr>
          <w:rFonts w:hint="default" w:ascii="Arial" w:hAnsi="Arial" w:eastAsia="宋体" w:cs="Arial"/>
          <w:color w:val="auto"/>
          <w:highlight w:val="none"/>
        </w:rPr>
      </w:pPr>
      <w:r>
        <w:rPr>
          <w:rFonts w:hint="default" w:ascii="Arial" w:hAnsi="Arial" w:eastAsia="宋体" w:cs="Arial"/>
          <w:color w:val="auto"/>
          <w:highlight w:val="none"/>
        </w:rPr>
        <w:t>相同方向预测点位置的倍频带声压级L</w:t>
      </w:r>
      <w:r>
        <w:rPr>
          <w:rFonts w:hint="default" w:ascii="Arial" w:hAnsi="Arial" w:eastAsia="宋体" w:cs="Arial"/>
          <w:color w:val="auto"/>
          <w:highlight w:val="none"/>
          <w:vertAlign w:val="subscript"/>
        </w:rPr>
        <w:t>P</w:t>
      </w:r>
      <w:r>
        <w:rPr>
          <w:rFonts w:hint="default" w:ascii="Arial" w:hAnsi="Arial" w:eastAsia="宋体" w:cs="Arial"/>
          <w:color w:val="auto"/>
          <w:highlight w:val="none"/>
        </w:rPr>
        <w:t>(r)计算公式：</w:t>
      </w:r>
    </w:p>
    <w:p>
      <w:pPr>
        <w:ind w:firstLine="0" w:firstLineChars="0"/>
        <w:jc w:val="center"/>
        <w:rPr>
          <w:rFonts w:hint="default" w:ascii="Arial" w:hAnsi="Arial" w:eastAsia="宋体" w:cs="Arial"/>
          <w:color w:val="auto"/>
          <w:highlight w:val="none"/>
        </w:rPr>
      </w:pPr>
      <w:r>
        <w:rPr>
          <w:rFonts w:hint="default" w:ascii="Arial" w:hAnsi="Arial" w:eastAsia="宋体" w:cs="Arial"/>
          <w:color w:val="auto"/>
          <w:position w:val="-14"/>
          <w:highlight w:val="none"/>
        </w:rPr>
        <w:object>
          <v:shape id="_x0000_i1028" o:spt="75" type="#_x0000_t75" style="height:26.5pt;width:93.75pt;" o:ole="t" filled="f" o:preferrelative="t" stroked="f" coordsize="21600,21600">
            <v:path/>
            <v:fill on="f" focussize="0,0"/>
            <v:stroke on="f" joinstyle="miter"/>
            <v:imagedata r:id="rId50" o:title=""/>
            <o:lock v:ext="edit" aspectratio="t"/>
            <w10:wrap type="none"/>
            <w10:anchorlock/>
          </v:shape>
          <o:OLEObject Type="Embed" ProgID="Equation.3" ShapeID="_x0000_i1028" DrawAspect="Content" ObjectID="_1468075731" r:id="rId49">
            <o:LockedField>false</o:LockedField>
          </o:OLEObject>
        </w:object>
      </w:r>
    </w:p>
    <w:p>
      <w:pPr>
        <w:ind w:firstLine="0" w:firstLineChars="0"/>
        <w:jc w:val="center"/>
        <w:rPr>
          <w:rFonts w:hint="default" w:ascii="Arial" w:hAnsi="Arial" w:eastAsia="宋体" w:cs="Arial"/>
          <w:color w:val="auto"/>
          <w:highlight w:val="none"/>
        </w:rPr>
      </w:pPr>
      <w:r>
        <w:rPr>
          <w:rFonts w:hint="default" w:ascii="Arial" w:hAnsi="Arial" w:eastAsia="宋体" w:cs="Arial"/>
          <w:color w:val="auto"/>
          <w:position w:val="-14"/>
          <w:highlight w:val="none"/>
        </w:rPr>
        <w:object>
          <v:shape id="_x0000_i1029" o:spt="75" type="#_x0000_t75" style="height:26.5pt;width:169.15pt;" o:ole="t" filled="f" o:preferrelative="t" stroked="f" coordsize="21600,21600">
            <v:path/>
            <v:fill on="f" focussize="0,0"/>
            <v:stroke on="f" joinstyle="miter"/>
            <v:imagedata r:id="rId52" o:title=""/>
            <o:lock v:ext="edit" aspectratio="t"/>
            <w10:wrap type="none"/>
            <w10:anchorlock/>
          </v:shape>
          <o:OLEObject Type="Embed" ProgID="Equation.3" ShapeID="_x0000_i1029" DrawAspect="Content" ObjectID="_1468075732" r:id="rId51">
            <o:LockedField>false</o:LockedField>
          </o:OLEObject>
        </w:object>
      </w:r>
    </w:p>
    <w:p>
      <w:pPr>
        <w:ind w:firstLine="480"/>
        <w:rPr>
          <w:rFonts w:hint="default" w:ascii="Arial" w:hAnsi="Arial" w:eastAsia="宋体" w:cs="Arial"/>
          <w:color w:val="auto"/>
          <w:highlight w:val="none"/>
        </w:rPr>
      </w:pPr>
      <w:r>
        <w:rPr>
          <w:rFonts w:hint="default" w:ascii="Arial" w:hAnsi="Arial" w:eastAsia="宋体" w:cs="Arial"/>
          <w:color w:val="auto"/>
          <w:highlight w:val="none"/>
        </w:rPr>
        <w:t>式中：</w:t>
      </w:r>
    </w:p>
    <w:p>
      <w:pPr>
        <w:ind w:firstLine="480"/>
        <w:rPr>
          <w:rFonts w:hint="default" w:ascii="Arial" w:hAnsi="Arial" w:eastAsia="宋体" w:cs="Arial"/>
          <w:color w:val="auto"/>
          <w:highlight w:val="none"/>
        </w:rPr>
      </w:pPr>
      <w:r>
        <w:rPr>
          <w:rFonts w:hint="default" w:ascii="Arial" w:hAnsi="Arial" w:eastAsia="宋体" w:cs="Arial"/>
          <w:color w:val="auto"/>
          <w:highlight w:val="none"/>
        </w:rPr>
        <w:t>L</w:t>
      </w:r>
      <w:r>
        <w:rPr>
          <w:rFonts w:hint="default" w:ascii="Arial" w:hAnsi="Arial" w:eastAsia="宋体" w:cs="Arial"/>
          <w:color w:val="auto"/>
          <w:highlight w:val="none"/>
          <w:vertAlign w:val="subscript"/>
        </w:rPr>
        <w:t>p(r0)</w:t>
      </w:r>
      <w:r>
        <w:rPr>
          <w:rFonts w:hint="default" w:ascii="Arial" w:hAnsi="Arial" w:eastAsia="宋体" w:cs="Arial"/>
          <w:color w:val="auto"/>
          <w:highlight w:val="none"/>
        </w:rPr>
        <w:t>—靠近声源处某点的倍频带声压级，dB；</w:t>
      </w:r>
    </w:p>
    <w:p>
      <w:pPr>
        <w:ind w:firstLine="480"/>
        <w:rPr>
          <w:rFonts w:hint="default" w:ascii="Arial" w:hAnsi="Arial" w:eastAsia="宋体" w:cs="Arial"/>
          <w:color w:val="auto"/>
          <w:highlight w:val="none"/>
        </w:rPr>
      </w:pPr>
      <w:r>
        <w:rPr>
          <w:rFonts w:hint="default" w:ascii="Arial" w:hAnsi="Arial" w:eastAsia="宋体" w:cs="Arial"/>
          <w:color w:val="auto"/>
          <w:highlight w:val="none"/>
        </w:rPr>
        <w:t>A—倍频带衰减，dB；</w:t>
      </w:r>
    </w:p>
    <w:p>
      <w:pPr>
        <w:ind w:firstLine="480"/>
        <w:rPr>
          <w:rFonts w:hint="default" w:ascii="Arial" w:hAnsi="Arial" w:eastAsia="宋体" w:cs="Arial"/>
          <w:color w:val="auto"/>
          <w:highlight w:val="none"/>
        </w:rPr>
      </w:pPr>
      <w:r>
        <w:rPr>
          <w:rFonts w:hint="default" w:ascii="Arial" w:hAnsi="Arial" w:eastAsia="宋体" w:cs="Arial"/>
          <w:color w:val="auto"/>
          <w:highlight w:val="none"/>
        </w:rPr>
        <w:t>A</w:t>
      </w:r>
      <w:r>
        <w:rPr>
          <w:rFonts w:hint="default" w:ascii="Arial" w:hAnsi="Arial" w:eastAsia="宋体" w:cs="Arial"/>
          <w:color w:val="auto"/>
          <w:highlight w:val="none"/>
          <w:vertAlign w:val="subscript"/>
        </w:rPr>
        <w:t>div</w:t>
      </w:r>
      <w:r>
        <w:rPr>
          <w:rFonts w:hint="default" w:ascii="Arial" w:hAnsi="Arial" w:eastAsia="宋体" w:cs="Arial"/>
          <w:color w:val="auto"/>
          <w:highlight w:val="none"/>
        </w:rPr>
        <w:t>—几何发散引起的倍频带衰减，dB；</w:t>
      </w:r>
    </w:p>
    <w:p>
      <w:pPr>
        <w:ind w:firstLine="480"/>
        <w:rPr>
          <w:rFonts w:hint="default" w:ascii="Arial" w:hAnsi="Arial" w:eastAsia="宋体" w:cs="Arial"/>
          <w:color w:val="auto"/>
          <w:highlight w:val="none"/>
        </w:rPr>
      </w:pPr>
      <w:r>
        <w:rPr>
          <w:rFonts w:hint="default" w:ascii="Arial" w:hAnsi="Arial" w:eastAsia="宋体" w:cs="Arial"/>
          <w:color w:val="auto"/>
          <w:highlight w:val="none"/>
        </w:rPr>
        <w:t>A</w:t>
      </w:r>
      <w:r>
        <w:rPr>
          <w:rFonts w:hint="default" w:ascii="Arial" w:hAnsi="Arial" w:eastAsia="宋体" w:cs="Arial"/>
          <w:color w:val="auto"/>
          <w:highlight w:val="none"/>
          <w:vertAlign w:val="subscript"/>
        </w:rPr>
        <w:t>atm</w:t>
      </w:r>
      <w:r>
        <w:rPr>
          <w:rFonts w:hint="default" w:ascii="Arial" w:hAnsi="Arial" w:eastAsia="宋体" w:cs="Arial"/>
          <w:color w:val="auto"/>
          <w:highlight w:val="none"/>
        </w:rPr>
        <w:t>—大气吸收引起的倍频带衰减，dB；</w:t>
      </w:r>
    </w:p>
    <w:p>
      <w:pPr>
        <w:ind w:firstLine="480"/>
        <w:rPr>
          <w:rFonts w:hint="default" w:ascii="Arial" w:hAnsi="Arial" w:eastAsia="宋体" w:cs="Arial"/>
          <w:color w:val="auto"/>
          <w:highlight w:val="none"/>
        </w:rPr>
      </w:pPr>
      <w:r>
        <w:rPr>
          <w:rFonts w:hint="default" w:ascii="Arial" w:hAnsi="Arial" w:eastAsia="宋体" w:cs="Arial"/>
          <w:color w:val="auto"/>
          <w:highlight w:val="none"/>
        </w:rPr>
        <w:t>A</w:t>
      </w:r>
      <w:r>
        <w:rPr>
          <w:rFonts w:hint="default" w:ascii="Arial" w:hAnsi="Arial" w:eastAsia="宋体" w:cs="Arial"/>
          <w:color w:val="auto"/>
          <w:highlight w:val="none"/>
          <w:vertAlign w:val="subscript"/>
        </w:rPr>
        <w:t>gr</w:t>
      </w:r>
      <w:r>
        <w:rPr>
          <w:rFonts w:hint="default" w:ascii="Arial" w:hAnsi="Arial" w:eastAsia="宋体" w:cs="Arial"/>
          <w:color w:val="auto"/>
          <w:highlight w:val="none"/>
        </w:rPr>
        <w:t>—地面效应引起的倍频带衰减，dB；</w:t>
      </w:r>
    </w:p>
    <w:p>
      <w:pPr>
        <w:ind w:firstLine="480"/>
        <w:rPr>
          <w:rFonts w:hint="default" w:ascii="Arial" w:hAnsi="Arial" w:eastAsia="宋体" w:cs="Arial"/>
          <w:color w:val="auto"/>
          <w:highlight w:val="none"/>
        </w:rPr>
      </w:pPr>
      <w:r>
        <w:rPr>
          <w:rFonts w:hint="default" w:ascii="Arial" w:hAnsi="Arial" w:eastAsia="宋体" w:cs="Arial"/>
          <w:color w:val="auto"/>
          <w:highlight w:val="none"/>
        </w:rPr>
        <w:t>A</w:t>
      </w:r>
      <w:r>
        <w:rPr>
          <w:rFonts w:hint="default" w:ascii="Arial" w:hAnsi="Arial" w:eastAsia="宋体" w:cs="Arial"/>
          <w:color w:val="auto"/>
          <w:highlight w:val="none"/>
          <w:vertAlign w:val="subscript"/>
        </w:rPr>
        <w:t>bar</w:t>
      </w:r>
      <w:r>
        <w:rPr>
          <w:rFonts w:hint="default" w:ascii="Arial" w:hAnsi="Arial" w:eastAsia="宋体" w:cs="Arial"/>
          <w:color w:val="auto"/>
          <w:highlight w:val="none"/>
        </w:rPr>
        <w:t>—声屏障引起的倍频带衰减，dB；</w:t>
      </w:r>
    </w:p>
    <w:p>
      <w:pPr>
        <w:ind w:firstLine="480"/>
        <w:rPr>
          <w:rFonts w:hint="default" w:ascii="Arial" w:hAnsi="Arial" w:eastAsia="宋体" w:cs="Arial"/>
          <w:color w:val="auto"/>
          <w:highlight w:val="none"/>
        </w:rPr>
      </w:pPr>
      <w:r>
        <w:rPr>
          <w:rFonts w:hint="default" w:ascii="Arial" w:hAnsi="Arial" w:eastAsia="宋体" w:cs="Arial"/>
          <w:color w:val="auto"/>
          <w:highlight w:val="none"/>
        </w:rPr>
        <w:t>A</w:t>
      </w:r>
      <w:r>
        <w:rPr>
          <w:rFonts w:hint="default" w:ascii="Arial" w:hAnsi="Arial" w:eastAsia="宋体" w:cs="Arial"/>
          <w:color w:val="auto"/>
          <w:highlight w:val="none"/>
          <w:vertAlign w:val="subscript"/>
        </w:rPr>
        <w:t>misc</w:t>
      </w:r>
      <w:r>
        <w:rPr>
          <w:rFonts w:hint="default" w:ascii="Arial" w:hAnsi="Arial" w:eastAsia="宋体" w:cs="Arial"/>
          <w:color w:val="auto"/>
          <w:highlight w:val="none"/>
        </w:rPr>
        <w:t>—其他多方面效应引起的倍频带衰减，dB。</w:t>
      </w:r>
    </w:p>
    <w:p>
      <w:pPr>
        <w:ind w:firstLine="480"/>
        <w:rPr>
          <w:rFonts w:hint="default" w:ascii="Arial" w:hAnsi="Arial" w:eastAsia="宋体" w:cs="Arial"/>
          <w:color w:val="auto"/>
          <w:highlight w:val="none"/>
        </w:rPr>
      </w:pPr>
      <w:r>
        <w:rPr>
          <w:rFonts w:hint="default" w:ascii="Arial" w:hAnsi="Arial" w:eastAsia="宋体" w:cs="Arial"/>
          <w:color w:val="auto"/>
          <w:highlight w:val="none"/>
        </w:rPr>
        <w:t>2）室内声源等效室外声源声功率级计算方法</w:t>
      </w:r>
    </w:p>
    <w:p>
      <w:pPr>
        <w:ind w:firstLine="480"/>
        <w:rPr>
          <w:rFonts w:hint="default" w:ascii="Arial" w:hAnsi="Arial" w:eastAsia="宋体" w:cs="Arial"/>
          <w:color w:val="auto"/>
          <w:highlight w:val="none"/>
        </w:rPr>
      </w:pPr>
      <w:r>
        <w:rPr>
          <w:rFonts w:hint="default" w:ascii="Arial" w:hAnsi="Arial" w:eastAsia="宋体" w:cs="Arial"/>
          <w:color w:val="auto"/>
          <w:highlight w:val="none"/>
        </w:rPr>
        <w:t>室外的倍频带声压级</w:t>
      </w:r>
    </w:p>
    <w:p>
      <w:pPr>
        <w:ind w:firstLine="0" w:firstLineChars="0"/>
        <w:jc w:val="center"/>
        <w:rPr>
          <w:rFonts w:hint="default" w:ascii="Arial" w:hAnsi="Arial" w:eastAsia="宋体" w:cs="Arial"/>
          <w:color w:val="auto"/>
          <w:highlight w:val="none"/>
        </w:rPr>
      </w:pPr>
      <w:r>
        <w:rPr>
          <w:rFonts w:hint="default" w:ascii="Arial" w:hAnsi="Arial" w:eastAsia="宋体" w:cs="Arial"/>
          <w:color w:val="auto"/>
          <w:position w:val="-14"/>
          <w:highlight w:val="none"/>
        </w:rPr>
        <w:object>
          <v:shape id="_x0000_i1030" o:spt="75" type="#_x0000_t75" style="height:21.75pt;width:102.55pt;" o:ole="t" filled="f" o:preferrelative="t" stroked="f" coordsize="21600,21600">
            <v:path/>
            <v:fill on="f" focussize="0,0"/>
            <v:stroke on="f" joinstyle="miter"/>
            <v:imagedata r:id="rId54" o:title=""/>
            <o:lock v:ext="edit" aspectratio="t"/>
            <w10:wrap type="none"/>
            <w10:anchorlock/>
          </v:shape>
          <o:OLEObject Type="Embed" ProgID="Equation.3" ShapeID="_x0000_i1030" DrawAspect="Content" ObjectID="_1468075733" r:id="rId53">
            <o:LockedField>false</o:LockedField>
          </o:OLEObject>
        </w:object>
      </w:r>
    </w:p>
    <w:p>
      <w:pPr>
        <w:ind w:firstLine="480"/>
        <w:rPr>
          <w:rFonts w:hint="default" w:ascii="Arial" w:hAnsi="Arial" w:eastAsia="宋体" w:cs="Arial"/>
          <w:color w:val="auto"/>
          <w:highlight w:val="none"/>
        </w:rPr>
      </w:pPr>
      <w:r>
        <w:rPr>
          <w:rFonts w:hint="default" w:ascii="Arial" w:hAnsi="Arial" w:eastAsia="宋体" w:cs="Arial"/>
          <w:color w:val="auto"/>
          <w:highlight w:val="none"/>
        </w:rPr>
        <w:t>式中：</w:t>
      </w:r>
    </w:p>
    <w:p>
      <w:pPr>
        <w:ind w:firstLine="480"/>
        <w:rPr>
          <w:rFonts w:hint="default" w:ascii="Arial" w:hAnsi="Arial" w:eastAsia="宋体" w:cs="Arial"/>
          <w:color w:val="auto"/>
          <w:highlight w:val="none"/>
        </w:rPr>
      </w:pPr>
      <w:r>
        <w:rPr>
          <w:rFonts w:hint="default" w:ascii="Arial" w:hAnsi="Arial" w:eastAsia="宋体" w:cs="Arial"/>
          <w:color w:val="auto"/>
          <w:highlight w:val="none"/>
        </w:rPr>
        <w:t>TL—隔墙（或窗户）倍频带的隔声量，dB。</w:t>
      </w:r>
    </w:p>
    <w:p>
      <w:pPr>
        <w:ind w:firstLine="480"/>
        <w:rPr>
          <w:rFonts w:hint="default" w:ascii="Arial" w:hAnsi="Arial" w:eastAsia="宋体" w:cs="Arial"/>
          <w:color w:val="auto"/>
          <w:highlight w:val="none"/>
        </w:rPr>
      </w:pPr>
      <w:r>
        <w:rPr>
          <w:rFonts w:hint="default" w:ascii="Arial" w:hAnsi="Arial" w:eastAsia="宋体" w:cs="Arial"/>
          <w:color w:val="auto"/>
          <w:highlight w:val="none"/>
        </w:rPr>
        <w:t>某一室内声源靠近围护结构处产生的倍频带声压级</w:t>
      </w:r>
    </w:p>
    <w:p>
      <w:pPr>
        <w:spacing w:line="360" w:lineRule="auto"/>
        <w:ind w:firstLine="0" w:firstLineChars="0"/>
        <w:jc w:val="center"/>
        <w:rPr>
          <w:rFonts w:hint="default" w:ascii="Arial" w:hAnsi="Arial" w:eastAsia="宋体" w:cs="Arial"/>
          <w:color w:val="auto"/>
          <w:highlight w:val="none"/>
        </w:rPr>
      </w:pPr>
      <w:r>
        <w:rPr>
          <w:rFonts w:hint="default" w:ascii="Arial" w:hAnsi="Arial" w:eastAsia="宋体" w:cs="Arial"/>
          <w:color w:val="auto"/>
          <w:position w:val="-24"/>
          <w:highlight w:val="none"/>
        </w:rPr>
        <w:object>
          <v:shape id="_x0000_i1031" o:spt="75" type="#_x0000_t75" style="height:30.55pt;width:139.25pt;" o:ole="t" filled="f" o:preferrelative="t" stroked="f" coordsize="21600,21600">
            <v:path/>
            <v:fill on="f" focussize="0,0"/>
            <v:stroke on="f" joinstyle="miter"/>
            <v:imagedata r:id="rId56" o:title=""/>
            <o:lock v:ext="edit" aspectratio="t"/>
            <w10:wrap type="none"/>
            <w10:anchorlock/>
          </v:shape>
          <o:OLEObject Type="Embed" ProgID="Equation.3" ShapeID="_x0000_i1031" DrawAspect="Content" ObjectID="_1468075734" r:id="rId55">
            <o:LockedField>false</o:LockedField>
          </o:OLEObject>
        </w:object>
      </w:r>
    </w:p>
    <w:p>
      <w:pPr>
        <w:ind w:firstLine="480"/>
        <w:rPr>
          <w:rFonts w:hint="default" w:ascii="Arial" w:hAnsi="Arial" w:eastAsia="宋体" w:cs="Arial"/>
          <w:color w:val="auto"/>
          <w:highlight w:val="none"/>
        </w:rPr>
      </w:pPr>
      <w:r>
        <w:rPr>
          <w:rFonts w:hint="default" w:ascii="Arial" w:hAnsi="Arial" w:eastAsia="宋体" w:cs="Arial"/>
          <w:color w:val="auto"/>
          <w:highlight w:val="none"/>
        </w:rPr>
        <w:t>式中：</w:t>
      </w:r>
    </w:p>
    <w:p>
      <w:pPr>
        <w:ind w:firstLine="480"/>
        <w:rPr>
          <w:rFonts w:hint="default" w:ascii="Arial" w:hAnsi="Arial" w:eastAsia="宋体" w:cs="Arial"/>
          <w:color w:val="auto"/>
          <w:highlight w:val="none"/>
        </w:rPr>
      </w:pPr>
      <w:r>
        <w:rPr>
          <w:rFonts w:hint="default" w:ascii="Arial" w:hAnsi="Arial" w:eastAsia="宋体" w:cs="Arial"/>
          <w:color w:val="auto"/>
          <w:highlight w:val="none"/>
        </w:rPr>
        <w:t>Q—指向性因数；</w:t>
      </w:r>
    </w:p>
    <w:p>
      <w:pPr>
        <w:ind w:firstLine="480"/>
        <w:rPr>
          <w:rFonts w:hint="default" w:ascii="Arial" w:hAnsi="Arial" w:eastAsia="宋体" w:cs="Arial"/>
          <w:color w:val="auto"/>
          <w:highlight w:val="none"/>
        </w:rPr>
      </w:pPr>
      <w:r>
        <w:rPr>
          <w:rFonts w:hint="default" w:ascii="Arial" w:hAnsi="Arial" w:eastAsia="宋体" w:cs="Arial"/>
          <w:color w:val="auto"/>
          <w:highlight w:val="none"/>
        </w:rPr>
        <w:t>R—房间常数；</w:t>
      </w:r>
    </w:p>
    <w:p>
      <w:pPr>
        <w:ind w:firstLine="480"/>
        <w:rPr>
          <w:rFonts w:hint="default" w:ascii="Arial" w:hAnsi="Arial" w:eastAsia="宋体" w:cs="Arial"/>
          <w:color w:val="auto"/>
          <w:highlight w:val="none"/>
        </w:rPr>
      </w:pPr>
      <w:r>
        <w:rPr>
          <w:rFonts w:hint="default" w:ascii="Arial" w:hAnsi="Arial" w:eastAsia="宋体" w:cs="Arial"/>
          <w:color w:val="auto"/>
          <w:highlight w:val="none"/>
        </w:rPr>
        <w:t>r—声源在靠近围护结构某点处的距离，m。</w:t>
      </w:r>
    </w:p>
    <w:p>
      <w:pPr>
        <w:ind w:firstLine="480"/>
        <w:rPr>
          <w:rFonts w:hint="default" w:ascii="Arial" w:hAnsi="Arial" w:eastAsia="宋体" w:cs="Arial"/>
          <w:color w:val="auto"/>
          <w:highlight w:val="none"/>
        </w:rPr>
      </w:pPr>
      <w:r>
        <w:rPr>
          <w:rFonts w:hint="default" w:ascii="Arial" w:hAnsi="Arial" w:eastAsia="宋体" w:cs="Arial"/>
          <w:color w:val="auto"/>
          <w:highlight w:val="none"/>
        </w:rPr>
        <w:t>室内声源在围护结构处产生的i倍频带叠加声压级：</w:t>
      </w:r>
    </w:p>
    <w:p>
      <w:pPr>
        <w:spacing w:line="360" w:lineRule="auto"/>
        <w:ind w:firstLine="0" w:firstLineChars="0"/>
        <w:jc w:val="center"/>
        <w:rPr>
          <w:rFonts w:hint="default" w:ascii="Arial" w:hAnsi="Arial" w:eastAsia="宋体" w:cs="Arial"/>
          <w:color w:val="auto"/>
          <w:highlight w:val="none"/>
        </w:rPr>
      </w:pPr>
      <w:r>
        <w:rPr>
          <w:rFonts w:hint="default" w:ascii="Arial" w:hAnsi="Arial" w:eastAsia="宋体" w:cs="Arial"/>
          <w:color w:val="auto"/>
          <w:position w:val="-30"/>
          <w:highlight w:val="none"/>
        </w:rPr>
        <w:object>
          <v:shape id="_x0000_i1032" o:spt="75" type="#_x0000_t75" style="height:36.7pt;width:133.15pt;" o:ole="t" filled="f" o:preferrelative="t" stroked="f" coordsize="21600,21600">
            <v:path/>
            <v:fill on="f" focussize="0,0"/>
            <v:stroke on="f" joinstyle="miter"/>
            <v:imagedata r:id="rId58" o:title=""/>
            <o:lock v:ext="edit" aspectratio="t"/>
            <w10:wrap type="none"/>
            <w10:anchorlock/>
          </v:shape>
          <o:OLEObject Type="Embed" ProgID="Equation.3" ShapeID="_x0000_i1032" DrawAspect="Content" ObjectID="_1468075735" r:id="rId57">
            <o:LockedField>false</o:LockedField>
          </o:OLEObject>
        </w:object>
      </w:r>
    </w:p>
    <w:p>
      <w:pPr>
        <w:ind w:firstLine="480"/>
        <w:rPr>
          <w:rFonts w:hint="default" w:ascii="Arial" w:hAnsi="Arial" w:eastAsia="宋体" w:cs="Arial"/>
          <w:color w:val="auto"/>
          <w:highlight w:val="none"/>
        </w:rPr>
      </w:pPr>
      <w:r>
        <w:rPr>
          <w:rFonts w:hint="default" w:ascii="Arial" w:hAnsi="Arial" w:eastAsia="宋体" w:cs="Arial"/>
          <w:color w:val="auto"/>
          <w:highlight w:val="none"/>
        </w:rPr>
        <w:t>式中：</w:t>
      </w:r>
    </w:p>
    <w:p>
      <w:pPr>
        <w:ind w:firstLine="480"/>
        <w:rPr>
          <w:rFonts w:hint="default" w:ascii="Arial" w:hAnsi="Arial" w:eastAsia="宋体" w:cs="Arial"/>
          <w:color w:val="auto"/>
          <w:highlight w:val="none"/>
        </w:rPr>
      </w:pPr>
      <w:bookmarkStart w:id="385" w:name="_Toc471227766"/>
      <w:r>
        <w:rPr>
          <w:rFonts w:hint="default" w:ascii="Arial" w:hAnsi="Arial" w:eastAsia="宋体" w:cs="Arial"/>
          <w:color w:val="auto"/>
          <w:highlight w:val="none"/>
        </w:rPr>
        <w:t>Lp1i(T)—靠近围护结构处室内N个声源i倍频带的叠加声压级，dB；</w:t>
      </w:r>
      <w:bookmarkEnd w:id="385"/>
    </w:p>
    <w:p>
      <w:pPr>
        <w:ind w:firstLine="480"/>
        <w:rPr>
          <w:rFonts w:hint="default" w:ascii="Arial" w:hAnsi="Arial" w:eastAsia="宋体" w:cs="Arial"/>
          <w:color w:val="auto"/>
          <w:highlight w:val="none"/>
        </w:rPr>
      </w:pPr>
      <w:r>
        <w:rPr>
          <w:rFonts w:hint="default" w:ascii="Arial" w:hAnsi="Arial" w:eastAsia="宋体" w:cs="Arial"/>
          <w:color w:val="auto"/>
          <w:highlight w:val="none"/>
        </w:rPr>
        <w:t>L</w:t>
      </w:r>
      <w:r>
        <w:rPr>
          <w:rFonts w:hint="default" w:ascii="Arial" w:hAnsi="Arial" w:eastAsia="宋体" w:cs="Arial"/>
          <w:color w:val="auto"/>
          <w:highlight w:val="none"/>
          <w:vertAlign w:val="subscript"/>
        </w:rPr>
        <w:t>p1ij</w:t>
      </w:r>
      <w:r>
        <w:rPr>
          <w:rFonts w:hint="default" w:ascii="Arial" w:hAnsi="Arial" w:eastAsia="宋体" w:cs="Arial"/>
          <w:color w:val="auto"/>
          <w:highlight w:val="none"/>
        </w:rPr>
        <w:t>—室内j声源i倍频带的声压级，dB；</w:t>
      </w:r>
    </w:p>
    <w:p>
      <w:pPr>
        <w:ind w:firstLine="480"/>
        <w:rPr>
          <w:rFonts w:hint="default" w:ascii="Arial" w:hAnsi="Arial" w:eastAsia="宋体" w:cs="Arial"/>
          <w:color w:val="auto"/>
          <w:highlight w:val="none"/>
        </w:rPr>
      </w:pPr>
      <w:r>
        <w:rPr>
          <w:rFonts w:hint="default" w:ascii="Arial" w:hAnsi="Arial" w:eastAsia="宋体" w:cs="Arial"/>
          <w:color w:val="auto"/>
          <w:highlight w:val="none"/>
        </w:rPr>
        <w:t>N—室内声源总数。</w:t>
      </w:r>
    </w:p>
    <w:p>
      <w:pPr>
        <w:ind w:firstLine="480"/>
        <w:rPr>
          <w:rFonts w:hint="default" w:ascii="Arial" w:hAnsi="Arial" w:eastAsia="宋体" w:cs="Arial"/>
          <w:color w:val="auto"/>
          <w:highlight w:val="none"/>
        </w:rPr>
      </w:pPr>
      <w:r>
        <w:rPr>
          <w:rFonts w:hint="default" w:ascii="Arial" w:hAnsi="Arial" w:eastAsia="宋体" w:cs="Arial"/>
          <w:color w:val="auto"/>
          <w:highlight w:val="none"/>
        </w:rPr>
        <w:t>3）噪声贡献值计算</w:t>
      </w:r>
    </w:p>
    <w:p>
      <w:pPr>
        <w:ind w:firstLine="480"/>
        <w:rPr>
          <w:rFonts w:hint="default" w:ascii="Arial" w:hAnsi="Arial" w:eastAsia="宋体" w:cs="Arial"/>
          <w:color w:val="auto"/>
          <w:highlight w:val="none"/>
        </w:rPr>
      </w:pPr>
      <w:r>
        <w:rPr>
          <w:rFonts w:hint="default" w:ascii="Arial" w:hAnsi="Arial" w:eastAsia="宋体" w:cs="Arial"/>
          <w:color w:val="auto"/>
          <w:highlight w:val="none"/>
        </w:rPr>
        <w:t>拟建项目声源对预测点产生的贡献值为：</w:t>
      </w:r>
    </w:p>
    <w:p>
      <w:pPr>
        <w:spacing w:line="360" w:lineRule="auto"/>
        <w:ind w:firstLine="0" w:firstLineChars="0"/>
        <w:jc w:val="center"/>
        <w:rPr>
          <w:rFonts w:hint="default" w:ascii="Arial" w:hAnsi="Arial" w:eastAsia="宋体" w:cs="Arial"/>
          <w:color w:val="auto"/>
          <w:highlight w:val="none"/>
        </w:rPr>
      </w:pPr>
      <w:r>
        <w:rPr>
          <w:rFonts w:hint="default" w:ascii="Arial" w:hAnsi="Arial" w:eastAsia="宋体" w:cs="Arial"/>
          <w:color w:val="auto"/>
          <w:position w:val="-34"/>
          <w:highlight w:val="none"/>
        </w:rPr>
        <w:object>
          <v:shape id="_x0000_i1033" o:spt="75" type="#_x0000_t75" style="height:41.45pt;width:205.15pt;" o:ole="t" filled="f" o:preferrelative="t" stroked="f" coordsize="21600,21600">
            <v:path/>
            <v:fill on="f" focussize="0,0"/>
            <v:stroke on="f" joinstyle="miter"/>
            <v:imagedata r:id="rId60" o:title=""/>
            <o:lock v:ext="edit" aspectratio="t"/>
            <w10:wrap type="none"/>
            <w10:anchorlock/>
          </v:shape>
          <o:OLEObject Type="Embed" ProgID="Equation.3" ShapeID="_x0000_i1033" DrawAspect="Content" ObjectID="_1468075736" r:id="rId59">
            <o:LockedField>false</o:LockedField>
          </o:OLEObject>
        </w:object>
      </w:r>
    </w:p>
    <w:p>
      <w:pPr>
        <w:ind w:firstLine="480"/>
        <w:rPr>
          <w:rFonts w:hint="default" w:ascii="Arial" w:hAnsi="Arial" w:eastAsia="宋体" w:cs="Arial"/>
          <w:color w:val="auto"/>
          <w:highlight w:val="none"/>
        </w:rPr>
      </w:pPr>
      <w:r>
        <w:rPr>
          <w:rFonts w:hint="default" w:ascii="Arial" w:hAnsi="Arial" w:eastAsia="宋体" w:cs="Arial"/>
          <w:color w:val="auto"/>
          <w:highlight w:val="none"/>
        </w:rPr>
        <w:t>式中：</w:t>
      </w:r>
    </w:p>
    <w:p>
      <w:pPr>
        <w:ind w:firstLine="480"/>
        <w:rPr>
          <w:rFonts w:hint="default" w:ascii="Arial" w:hAnsi="Arial" w:eastAsia="宋体" w:cs="Arial"/>
          <w:color w:val="auto"/>
          <w:highlight w:val="none"/>
        </w:rPr>
      </w:pPr>
      <w:r>
        <w:rPr>
          <w:rFonts w:hint="default" w:ascii="Arial" w:hAnsi="Arial" w:eastAsia="宋体" w:cs="Arial"/>
          <w:color w:val="auto"/>
          <w:highlight w:val="none"/>
        </w:rPr>
        <w:t>t</w:t>
      </w:r>
      <w:r>
        <w:rPr>
          <w:rFonts w:hint="default" w:ascii="Arial" w:hAnsi="Arial" w:eastAsia="宋体" w:cs="Arial"/>
          <w:color w:val="auto"/>
          <w:highlight w:val="none"/>
          <w:vertAlign w:val="subscript"/>
        </w:rPr>
        <w:t>j</w:t>
      </w:r>
      <w:r>
        <w:rPr>
          <w:rFonts w:hint="default" w:ascii="Arial" w:hAnsi="Arial" w:eastAsia="宋体" w:cs="Arial"/>
          <w:color w:val="auto"/>
          <w:highlight w:val="none"/>
        </w:rPr>
        <w:t>—在T时间内j声源工作时间，s；</w:t>
      </w:r>
    </w:p>
    <w:p>
      <w:pPr>
        <w:ind w:firstLine="480"/>
        <w:rPr>
          <w:rFonts w:hint="default" w:ascii="Arial" w:hAnsi="Arial" w:eastAsia="宋体" w:cs="Arial"/>
          <w:color w:val="auto"/>
          <w:highlight w:val="none"/>
        </w:rPr>
      </w:pPr>
      <w:r>
        <w:rPr>
          <w:rFonts w:hint="default" w:ascii="Arial" w:hAnsi="Arial" w:eastAsia="宋体" w:cs="Arial"/>
          <w:color w:val="auto"/>
          <w:highlight w:val="none"/>
        </w:rPr>
        <w:t>t</w:t>
      </w:r>
      <w:r>
        <w:rPr>
          <w:rFonts w:hint="default" w:ascii="Arial" w:hAnsi="Arial" w:eastAsia="宋体" w:cs="Arial"/>
          <w:color w:val="auto"/>
          <w:highlight w:val="none"/>
          <w:vertAlign w:val="subscript"/>
        </w:rPr>
        <w:t>i</w:t>
      </w:r>
      <w:r>
        <w:rPr>
          <w:rFonts w:hint="default" w:ascii="Arial" w:hAnsi="Arial" w:eastAsia="宋体" w:cs="Arial"/>
          <w:color w:val="auto"/>
          <w:highlight w:val="none"/>
        </w:rPr>
        <w:t>—在T时间内i声源工作时间，s；</w:t>
      </w:r>
    </w:p>
    <w:p>
      <w:pPr>
        <w:ind w:firstLine="480"/>
        <w:rPr>
          <w:rFonts w:hint="default" w:ascii="Arial" w:hAnsi="Arial" w:eastAsia="宋体" w:cs="Arial"/>
          <w:color w:val="auto"/>
          <w:highlight w:val="none"/>
        </w:rPr>
      </w:pPr>
      <w:r>
        <w:rPr>
          <w:rFonts w:hint="default" w:ascii="Arial" w:hAnsi="Arial" w:eastAsia="宋体" w:cs="Arial"/>
          <w:color w:val="auto"/>
          <w:highlight w:val="none"/>
        </w:rPr>
        <w:t>T—用于计算等效声级的时间，s；</w:t>
      </w:r>
    </w:p>
    <w:p>
      <w:pPr>
        <w:ind w:firstLine="480"/>
        <w:rPr>
          <w:rFonts w:hint="default" w:ascii="Arial" w:hAnsi="Arial" w:eastAsia="宋体" w:cs="Arial"/>
          <w:color w:val="auto"/>
          <w:highlight w:val="none"/>
        </w:rPr>
      </w:pPr>
      <w:r>
        <w:rPr>
          <w:rFonts w:hint="default" w:ascii="Arial" w:hAnsi="Arial" w:eastAsia="宋体" w:cs="Arial"/>
          <w:color w:val="auto"/>
          <w:highlight w:val="none"/>
        </w:rPr>
        <w:t>N—室外声源个数；</w:t>
      </w:r>
    </w:p>
    <w:p>
      <w:pPr>
        <w:ind w:firstLine="480"/>
        <w:rPr>
          <w:rFonts w:hint="default" w:ascii="Arial" w:hAnsi="Arial" w:eastAsia="宋体" w:cs="Arial"/>
          <w:color w:val="auto"/>
          <w:highlight w:val="none"/>
        </w:rPr>
      </w:pPr>
      <w:r>
        <w:rPr>
          <w:rFonts w:hint="default" w:ascii="Arial" w:hAnsi="Arial" w:eastAsia="宋体" w:cs="Arial"/>
          <w:color w:val="auto"/>
          <w:highlight w:val="none"/>
        </w:rPr>
        <w:t>M—等效室外声源个数。</w:t>
      </w:r>
    </w:p>
    <w:p>
      <w:pPr>
        <w:ind w:firstLine="480"/>
        <w:rPr>
          <w:rFonts w:hint="default" w:ascii="Arial" w:hAnsi="Arial" w:eastAsia="宋体" w:cs="Arial"/>
          <w:color w:val="auto"/>
          <w:highlight w:val="none"/>
        </w:rPr>
      </w:pPr>
      <w:r>
        <w:rPr>
          <w:rFonts w:hint="default" w:ascii="Arial" w:hAnsi="Arial" w:eastAsia="宋体" w:cs="Arial"/>
          <w:color w:val="auto"/>
          <w:highlight w:val="none"/>
        </w:rPr>
        <w:t>4）预测值计算</w:t>
      </w:r>
    </w:p>
    <w:p>
      <w:pPr>
        <w:ind w:firstLine="480"/>
        <w:rPr>
          <w:rFonts w:hint="default" w:ascii="Arial" w:hAnsi="Arial" w:eastAsia="宋体" w:cs="Arial"/>
          <w:color w:val="auto"/>
          <w:highlight w:val="none"/>
        </w:rPr>
      </w:pPr>
      <w:r>
        <w:rPr>
          <w:rFonts w:hint="default" w:ascii="Arial" w:hAnsi="Arial" w:eastAsia="宋体" w:cs="Arial"/>
          <w:color w:val="auto"/>
          <w:highlight w:val="none"/>
        </w:rPr>
        <w:t>建设项目声源在预测点产生的等效声级贡献值（L</w:t>
      </w:r>
      <w:r>
        <w:rPr>
          <w:rFonts w:hint="default" w:ascii="Arial" w:hAnsi="Arial" w:eastAsia="宋体" w:cs="Arial"/>
          <w:color w:val="auto"/>
          <w:highlight w:val="none"/>
          <w:vertAlign w:val="subscript"/>
        </w:rPr>
        <w:t>eqg</w:t>
      </w:r>
      <w:r>
        <w:rPr>
          <w:rFonts w:hint="default" w:ascii="Arial" w:hAnsi="Arial" w:eastAsia="宋体" w:cs="Arial"/>
          <w:color w:val="auto"/>
          <w:highlight w:val="none"/>
        </w:rPr>
        <w:t>）计算公式：</w:t>
      </w:r>
    </w:p>
    <w:p>
      <w:pPr>
        <w:spacing w:line="360" w:lineRule="auto"/>
        <w:ind w:firstLine="0" w:firstLineChars="0"/>
        <w:jc w:val="center"/>
        <w:rPr>
          <w:rFonts w:hint="default" w:ascii="Arial" w:hAnsi="Arial" w:eastAsia="宋体" w:cs="Arial"/>
          <w:color w:val="auto"/>
          <w:highlight w:val="none"/>
        </w:rPr>
      </w:pPr>
      <w:r>
        <w:rPr>
          <w:rFonts w:hint="default" w:ascii="Arial" w:hAnsi="Arial" w:eastAsia="宋体" w:cs="Arial"/>
          <w:color w:val="auto"/>
          <w:position w:val="-30"/>
          <w:highlight w:val="none"/>
        </w:rPr>
        <w:object>
          <v:shape id="_x0000_i1034" o:spt="75" type="#_x0000_t75" style="height:36.7pt;width:133.8pt;" o:ole="t" filled="f" o:preferrelative="t" stroked="f" coordsize="21600,21600">
            <v:path/>
            <v:fill on="f" focussize="0,0"/>
            <v:stroke on="f" joinstyle="miter"/>
            <v:imagedata r:id="rId62" o:title=""/>
            <o:lock v:ext="edit" aspectratio="t"/>
            <w10:wrap type="none"/>
            <w10:anchorlock/>
          </v:shape>
          <o:OLEObject Type="Embed" ProgID="Equation.3" ShapeID="_x0000_i1034" DrawAspect="Content" ObjectID="_1468075737" r:id="rId61">
            <o:LockedField>false</o:LockedField>
          </o:OLEObject>
        </w:object>
      </w:r>
    </w:p>
    <w:p>
      <w:pPr>
        <w:ind w:firstLine="480"/>
        <w:rPr>
          <w:rFonts w:hint="default" w:ascii="Arial" w:hAnsi="Arial" w:eastAsia="宋体" w:cs="Arial"/>
          <w:color w:val="auto"/>
          <w:highlight w:val="none"/>
        </w:rPr>
      </w:pPr>
      <w:r>
        <w:rPr>
          <w:rFonts w:hint="default" w:ascii="Arial" w:hAnsi="Arial" w:eastAsia="宋体" w:cs="Arial"/>
          <w:color w:val="auto"/>
          <w:highlight w:val="none"/>
        </w:rPr>
        <w:t>式中：</w:t>
      </w:r>
    </w:p>
    <w:p>
      <w:pPr>
        <w:ind w:firstLine="480"/>
        <w:rPr>
          <w:rFonts w:hint="default" w:ascii="Arial" w:hAnsi="Arial" w:eastAsia="宋体" w:cs="Arial"/>
          <w:color w:val="auto"/>
          <w:highlight w:val="none"/>
        </w:rPr>
      </w:pPr>
      <w:bookmarkStart w:id="386" w:name="_Toc471227767"/>
      <w:r>
        <w:rPr>
          <w:rFonts w:hint="default" w:ascii="Arial" w:hAnsi="Arial" w:eastAsia="宋体" w:cs="Arial"/>
          <w:color w:val="auto"/>
          <w:highlight w:val="none"/>
        </w:rPr>
        <w:t>L</w:t>
      </w:r>
      <w:r>
        <w:rPr>
          <w:rFonts w:hint="default" w:ascii="Arial" w:hAnsi="Arial" w:eastAsia="宋体" w:cs="Arial"/>
          <w:color w:val="auto"/>
          <w:highlight w:val="none"/>
          <w:vertAlign w:val="subscript"/>
        </w:rPr>
        <w:t>eqg</w:t>
      </w:r>
      <w:r>
        <w:rPr>
          <w:rFonts w:hint="default" w:ascii="Arial" w:hAnsi="Arial" w:eastAsia="宋体" w:cs="Arial"/>
          <w:color w:val="auto"/>
          <w:highlight w:val="none"/>
        </w:rPr>
        <w:t>—建设项目声源在预测点的等效声级贡献值，dB(A)；</w:t>
      </w:r>
      <w:bookmarkEnd w:id="386"/>
    </w:p>
    <w:p>
      <w:pPr>
        <w:ind w:firstLine="480"/>
        <w:rPr>
          <w:rFonts w:hint="default" w:ascii="Arial" w:hAnsi="Arial" w:eastAsia="宋体" w:cs="Arial"/>
          <w:color w:val="auto"/>
          <w:highlight w:val="none"/>
        </w:rPr>
      </w:pPr>
      <w:r>
        <w:rPr>
          <w:rFonts w:hint="default" w:ascii="Arial" w:hAnsi="Arial" w:eastAsia="宋体" w:cs="Arial"/>
          <w:color w:val="auto"/>
          <w:highlight w:val="none"/>
        </w:rPr>
        <w:t>L</w:t>
      </w:r>
      <w:r>
        <w:rPr>
          <w:rFonts w:hint="default" w:ascii="Arial" w:hAnsi="Arial" w:eastAsia="宋体" w:cs="Arial"/>
          <w:color w:val="auto"/>
          <w:highlight w:val="none"/>
          <w:vertAlign w:val="subscript"/>
        </w:rPr>
        <w:t>Ai</w:t>
      </w:r>
      <w:r>
        <w:rPr>
          <w:rFonts w:hint="default" w:ascii="Arial" w:hAnsi="Arial" w:eastAsia="宋体" w:cs="Arial"/>
          <w:color w:val="auto"/>
          <w:highlight w:val="none"/>
        </w:rPr>
        <w:t>—i声源在预测点产生的A声级，dB(A)；</w:t>
      </w:r>
    </w:p>
    <w:p>
      <w:pPr>
        <w:ind w:firstLine="480"/>
        <w:rPr>
          <w:rFonts w:hint="default" w:ascii="Arial" w:hAnsi="Arial" w:eastAsia="宋体" w:cs="Arial"/>
          <w:color w:val="auto"/>
          <w:highlight w:val="none"/>
        </w:rPr>
      </w:pPr>
      <w:r>
        <w:rPr>
          <w:rFonts w:hint="default" w:ascii="Arial" w:hAnsi="Arial" w:eastAsia="宋体" w:cs="Arial"/>
          <w:color w:val="auto"/>
          <w:highlight w:val="none"/>
        </w:rPr>
        <w:t>T—预测计算的时间段，s；</w:t>
      </w:r>
    </w:p>
    <w:p>
      <w:pPr>
        <w:ind w:firstLine="480"/>
        <w:rPr>
          <w:rFonts w:hint="default" w:ascii="Arial" w:hAnsi="Arial" w:eastAsia="宋体" w:cs="Arial"/>
          <w:color w:val="auto"/>
          <w:highlight w:val="none"/>
        </w:rPr>
      </w:pPr>
      <w:r>
        <w:rPr>
          <w:rFonts w:hint="default" w:ascii="Arial" w:hAnsi="Arial" w:eastAsia="宋体" w:cs="Arial"/>
          <w:color w:val="auto"/>
          <w:highlight w:val="none"/>
        </w:rPr>
        <w:t>t</w:t>
      </w:r>
      <w:r>
        <w:rPr>
          <w:rFonts w:hint="default" w:ascii="Arial" w:hAnsi="Arial" w:eastAsia="宋体" w:cs="Arial"/>
          <w:color w:val="auto"/>
          <w:highlight w:val="none"/>
          <w:vertAlign w:val="subscript"/>
        </w:rPr>
        <w:t>i</w:t>
      </w:r>
      <w:r>
        <w:rPr>
          <w:rFonts w:hint="default" w:ascii="Arial" w:hAnsi="Arial" w:eastAsia="宋体" w:cs="Arial"/>
          <w:color w:val="auto"/>
          <w:highlight w:val="none"/>
        </w:rPr>
        <w:t>—i声源在T时段内的运行时间，s。</w:t>
      </w:r>
    </w:p>
    <w:p>
      <w:pPr>
        <w:ind w:firstLine="480"/>
        <w:rPr>
          <w:rFonts w:hint="default" w:ascii="Arial" w:hAnsi="Arial" w:eastAsia="宋体" w:cs="Arial"/>
          <w:color w:val="auto"/>
          <w:highlight w:val="none"/>
        </w:rPr>
      </w:pPr>
      <w:r>
        <w:rPr>
          <w:rFonts w:hint="default" w:ascii="Arial" w:hAnsi="Arial" w:eastAsia="宋体" w:cs="Arial"/>
          <w:color w:val="auto"/>
          <w:highlight w:val="none"/>
        </w:rPr>
        <w:t>预测点的预测等效声级（L</w:t>
      </w:r>
      <w:r>
        <w:rPr>
          <w:rFonts w:hint="default" w:ascii="Arial" w:hAnsi="Arial" w:eastAsia="宋体" w:cs="Arial"/>
          <w:color w:val="auto"/>
          <w:highlight w:val="none"/>
          <w:vertAlign w:val="subscript"/>
        </w:rPr>
        <w:t>eq</w:t>
      </w:r>
      <w:r>
        <w:rPr>
          <w:rFonts w:hint="default" w:ascii="Arial" w:hAnsi="Arial" w:eastAsia="宋体" w:cs="Arial"/>
          <w:color w:val="auto"/>
          <w:highlight w:val="none"/>
        </w:rPr>
        <w:t>）计算公式：</w:t>
      </w:r>
    </w:p>
    <w:p>
      <w:pPr>
        <w:spacing w:line="360" w:lineRule="auto"/>
        <w:ind w:firstLine="0" w:firstLineChars="0"/>
        <w:jc w:val="center"/>
        <w:rPr>
          <w:rFonts w:hint="default" w:ascii="Arial" w:hAnsi="Arial" w:eastAsia="宋体" w:cs="Arial"/>
          <w:color w:val="auto"/>
          <w:highlight w:val="none"/>
        </w:rPr>
      </w:pPr>
      <w:r>
        <w:rPr>
          <w:rFonts w:hint="default" w:ascii="Arial" w:hAnsi="Arial" w:eastAsia="宋体" w:cs="Arial"/>
          <w:color w:val="auto"/>
          <w:highlight w:val="none"/>
        </w:rPr>
        <w:object>
          <v:shape id="_x0000_i1035" o:spt="75" type="#_x0000_t75" style="height:26.5pt;width:139.25pt;" o:ole="t" filled="f" o:preferrelative="t" stroked="f" coordsize="21600,21600">
            <v:path/>
            <v:fill on="f" focussize="0,0"/>
            <v:stroke on="f" joinstyle="miter"/>
            <v:imagedata r:id="rId64" o:title=""/>
            <o:lock v:ext="edit" aspectratio="t"/>
            <w10:wrap type="none"/>
            <w10:anchorlock/>
          </v:shape>
          <o:OLEObject Type="Embed" ProgID="Equation.3" ShapeID="_x0000_i1035" DrawAspect="Content" ObjectID="_1468075738" r:id="rId63">
            <o:LockedField>false</o:LockedField>
          </o:OLEObject>
        </w:object>
      </w:r>
    </w:p>
    <w:p>
      <w:pPr>
        <w:ind w:firstLine="480"/>
        <w:rPr>
          <w:rFonts w:hint="default" w:ascii="Arial" w:hAnsi="Arial" w:eastAsia="宋体" w:cs="Arial"/>
          <w:color w:val="auto"/>
          <w:highlight w:val="none"/>
        </w:rPr>
      </w:pPr>
      <w:r>
        <w:rPr>
          <w:rFonts w:hint="default" w:ascii="Arial" w:hAnsi="Arial" w:eastAsia="宋体" w:cs="Arial"/>
          <w:color w:val="auto"/>
          <w:highlight w:val="none"/>
        </w:rPr>
        <w:t>式中：</w:t>
      </w:r>
    </w:p>
    <w:p>
      <w:pPr>
        <w:ind w:firstLine="480"/>
        <w:rPr>
          <w:rFonts w:hint="default" w:ascii="Arial" w:hAnsi="Arial" w:eastAsia="宋体" w:cs="Arial"/>
          <w:color w:val="auto"/>
          <w:highlight w:val="none"/>
        </w:rPr>
      </w:pPr>
      <w:bookmarkStart w:id="387" w:name="_Toc471227768"/>
      <w:r>
        <w:rPr>
          <w:rFonts w:hint="default" w:ascii="Arial" w:hAnsi="Arial" w:eastAsia="宋体" w:cs="Arial"/>
          <w:color w:val="auto"/>
          <w:highlight w:val="none"/>
        </w:rPr>
        <w:t>L</w:t>
      </w:r>
      <w:r>
        <w:rPr>
          <w:rFonts w:hint="default" w:ascii="Arial" w:hAnsi="Arial" w:eastAsia="宋体" w:cs="Arial"/>
          <w:color w:val="auto"/>
          <w:highlight w:val="none"/>
          <w:vertAlign w:val="subscript"/>
        </w:rPr>
        <w:t>eqg</w:t>
      </w:r>
      <w:r>
        <w:rPr>
          <w:rFonts w:hint="default" w:ascii="Arial" w:hAnsi="Arial" w:eastAsia="宋体" w:cs="Arial"/>
          <w:color w:val="auto"/>
          <w:highlight w:val="none"/>
        </w:rPr>
        <w:t>—建设项目声源在预测点的等效声级贡献值，dB(A)；</w:t>
      </w:r>
      <w:bookmarkEnd w:id="387"/>
    </w:p>
    <w:p>
      <w:pPr>
        <w:ind w:firstLine="480"/>
        <w:rPr>
          <w:rFonts w:hint="default" w:ascii="Arial" w:hAnsi="Arial" w:eastAsia="宋体" w:cs="Arial"/>
          <w:color w:val="auto"/>
          <w:highlight w:val="none"/>
        </w:rPr>
      </w:pPr>
      <w:r>
        <w:rPr>
          <w:rFonts w:hint="default" w:ascii="Arial" w:hAnsi="Arial" w:eastAsia="宋体" w:cs="Arial"/>
          <w:color w:val="auto"/>
          <w:highlight w:val="none"/>
        </w:rPr>
        <w:t>L</w:t>
      </w:r>
      <w:r>
        <w:rPr>
          <w:rFonts w:hint="default" w:ascii="Arial" w:hAnsi="Arial" w:eastAsia="宋体" w:cs="Arial"/>
          <w:color w:val="auto"/>
          <w:highlight w:val="none"/>
          <w:vertAlign w:val="subscript"/>
        </w:rPr>
        <w:t>eqb</w:t>
      </w:r>
      <w:r>
        <w:rPr>
          <w:rFonts w:hint="default" w:ascii="Arial" w:hAnsi="Arial" w:eastAsia="宋体" w:cs="Arial"/>
          <w:color w:val="auto"/>
          <w:highlight w:val="none"/>
        </w:rPr>
        <w:t>—预测点的背景值，dB(A)。</w:t>
      </w:r>
      <w:bookmarkEnd w:id="382"/>
      <w:bookmarkEnd w:id="383"/>
      <w:bookmarkEnd w:id="384"/>
    </w:p>
    <w:p>
      <w:pPr>
        <w:pStyle w:val="6"/>
        <w:rPr>
          <w:rFonts w:hint="default" w:ascii="Arial" w:hAnsi="Arial" w:eastAsia="宋体" w:cs="Arial"/>
          <w:color w:val="auto"/>
          <w:highlight w:val="none"/>
        </w:rPr>
      </w:pPr>
      <w:bookmarkStart w:id="388" w:name="_Toc282785319"/>
      <w:bookmarkStart w:id="389" w:name="_Toc307566446"/>
      <w:bookmarkStart w:id="390" w:name="_Toc305308424"/>
      <w:bookmarkStart w:id="391" w:name="_Toc414022750"/>
      <w:bookmarkStart w:id="392" w:name="_Toc137236015"/>
      <w:bookmarkStart w:id="393" w:name="_Toc259456491"/>
      <w:bookmarkStart w:id="394" w:name="_Toc286164661"/>
      <w:bookmarkStart w:id="395" w:name="_Toc138493289"/>
      <w:bookmarkStart w:id="396" w:name="_Toc303002840"/>
      <w:bookmarkStart w:id="397" w:name="_Toc282796700"/>
      <w:bookmarkStart w:id="398" w:name="_Toc255298766"/>
      <w:bookmarkStart w:id="399" w:name="_Toc305323632"/>
      <w:bookmarkStart w:id="400" w:name="_Toc265744683"/>
      <w:bookmarkStart w:id="401" w:name="_Toc304736413"/>
      <w:bookmarkStart w:id="402" w:name="_Toc347089996"/>
      <w:bookmarkStart w:id="403" w:name="_Toc259614279"/>
      <w:bookmarkStart w:id="404" w:name="_Toc414022975"/>
      <w:bookmarkStart w:id="405" w:name="_Toc259614486"/>
      <w:bookmarkStart w:id="406" w:name="_Toc307561327"/>
      <w:bookmarkStart w:id="407" w:name="_Toc289249108"/>
      <w:bookmarkStart w:id="408" w:name="_Toc304537901"/>
      <w:bookmarkStart w:id="409" w:name="_Toc439090908"/>
      <w:bookmarkStart w:id="410" w:name="_Toc41476807"/>
      <w:bookmarkStart w:id="411" w:name="_Toc20694"/>
      <w:r>
        <w:rPr>
          <w:rFonts w:hint="default" w:ascii="Arial" w:hAnsi="Arial" w:eastAsia="宋体" w:cs="Arial"/>
          <w:color w:val="auto"/>
          <w:highlight w:val="none"/>
        </w:rPr>
        <w:t>5.6.3声环境预测结果</w:t>
      </w:r>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r>
        <w:rPr>
          <w:rFonts w:hint="default" w:ascii="Arial" w:hAnsi="Arial" w:eastAsia="宋体" w:cs="Arial"/>
          <w:color w:val="auto"/>
          <w:highlight w:val="none"/>
        </w:rPr>
        <w:t>及结论</w:t>
      </w:r>
      <w:bookmarkEnd w:id="410"/>
      <w:bookmarkEnd w:id="411"/>
    </w:p>
    <w:p>
      <w:pPr>
        <w:ind w:firstLine="480"/>
        <w:rPr>
          <w:rFonts w:hint="default" w:ascii="Arial" w:hAnsi="Arial" w:eastAsia="宋体" w:cs="Arial"/>
          <w:color w:val="auto"/>
          <w:szCs w:val="24"/>
          <w:highlight w:val="none"/>
        </w:rPr>
      </w:pPr>
      <w:r>
        <w:rPr>
          <w:rFonts w:hint="default" w:ascii="Arial" w:hAnsi="Arial" w:eastAsia="宋体" w:cs="Arial"/>
          <w:color w:val="auto"/>
          <w:szCs w:val="24"/>
          <w:highlight w:val="none"/>
        </w:rPr>
        <w:t>根据《环境影响评价技术导则声环境》（HJ2.4-2009）规定，本项目为新建项目，预测厂界噪声时直接以工程噪声贡献值为评价量，不在叠加现状噪声背景值。</w:t>
      </w:r>
    </w:p>
    <w:p>
      <w:pPr>
        <w:ind w:firstLine="480"/>
        <w:rPr>
          <w:rFonts w:hint="default" w:ascii="Arial" w:hAnsi="Arial" w:eastAsia="宋体" w:cs="Arial"/>
          <w:color w:val="auto"/>
          <w:szCs w:val="24"/>
          <w:highlight w:val="none"/>
        </w:rPr>
      </w:pPr>
      <w:r>
        <w:rPr>
          <w:rFonts w:hint="default" w:ascii="Arial" w:hAnsi="Arial" w:eastAsia="宋体" w:cs="Arial"/>
          <w:color w:val="auto"/>
          <w:szCs w:val="24"/>
          <w:highlight w:val="none"/>
        </w:rPr>
        <w:t>结合项目场区平面布置图，经噪声衰减和叠加公式计算，工程运营期主要噪声源对厂界的影响结果见表5.6-2。</w:t>
      </w:r>
    </w:p>
    <w:p>
      <w:pPr>
        <w:pStyle w:val="8"/>
        <w:rPr>
          <w:rFonts w:hint="default" w:ascii="Arial" w:hAnsi="Arial" w:eastAsia="宋体" w:cs="Arial"/>
          <w:color w:val="auto"/>
          <w:sz w:val="24"/>
          <w:szCs w:val="24"/>
          <w:highlight w:val="none"/>
        </w:rPr>
      </w:pPr>
      <w:r>
        <w:rPr>
          <w:rFonts w:hint="default" w:ascii="Arial" w:hAnsi="Arial" w:eastAsia="宋体" w:cs="Arial"/>
          <w:color w:val="auto"/>
          <w:sz w:val="24"/>
          <w:szCs w:val="24"/>
          <w:highlight w:val="none"/>
        </w:rPr>
        <w:t>表5.6-2    设备噪声预测结果      单位：dB（A）</w:t>
      </w:r>
    </w:p>
    <w:tbl>
      <w:tblPr>
        <w:tblStyle w:val="39"/>
        <w:tblW w:w="9003" w:type="dxa"/>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0" w:type="dxa"/>
          <w:bottom w:w="0" w:type="dxa"/>
          <w:right w:w="0" w:type="dxa"/>
        </w:tblCellMar>
      </w:tblPr>
      <w:tblGrid>
        <w:gridCol w:w="2386"/>
        <w:gridCol w:w="1654"/>
        <w:gridCol w:w="1654"/>
        <w:gridCol w:w="1654"/>
        <w:gridCol w:w="1655"/>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cantSplit/>
          <w:trHeight w:val="340" w:hRule="atLeast"/>
          <w:jc w:val="center"/>
        </w:trPr>
        <w:tc>
          <w:tcPr>
            <w:tcW w:w="2386" w:type="dxa"/>
          </w:tcPr>
          <w:p>
            <w:pPr>
              <w:pStyle w:val="63"/>
              <w:rPr>
                <w:rFonts w:hint="default" w:ascii="Arial" w:hAnsi="Arial" w:eastAsia="宋体" w:cs="Arial"/>
                <w:color w:val="auto"/>
                <w:kern w:val="0"/>
                <w:szCs w:val="21"/>
                <w:highlight w:val="none"/>
              </w:rPr>
            </w:pPr>
            <w:r>
              <w:rPr>
                <w:rFonts w:hint="default" w:ascii="Arial" w:hAnsi="Arial" w:eastAsia="宋体" w:cs="Arial"/>
                <w:color w:val="auto"/>
                <w:kern w:val="0"/>
                <w:szCs w:val="21"/>
                <w:highlight w:val="none"/>
              </w:rPr>
              <w:t>预测内容</w:t>
            </w:r>
          </w:p>
        </w:tc>
        <w:tc>
          <w:tcPr>
            <w:tcW w:w="1654" w:type="dxa"/>
            <w:vAlign w:val="center"/>
          </w:tcPr>
          <w:p>
            <w:pPr>
              <w:pStyle w:val="63"/>
              <w:rPr>
                <w:rFonts w:hint="default" w:ascii="Arial" w:hAnsi="Arial" w:eastAsia="宋体" w:cs="Arial"/>
                <w:color w:val="auto"/>
                <w:highlight w:val="none"/>
              </w:rPr>
            </w:pPr>
            <w:r>
              <w:rPr>
                <w:rFonts w:hint="default" w:ascii="Arial" w:hAnsi="Arial" w:eastAsia="宋体" w:cs="Arial"/>
                <w:color w:val="auto"/>
                <w:kern w:val="0"/>
                <w:szCs w:val="21"/>
                <w:highlight w:val="none"/>
              </w:rPr>
              <w:t>东厂界</w:t>
            </w:r>
          </w:p>
        </w:tc>
        <w:tc>
          <w:tcPr>
            <w:tcW w:w="1654" w:type="dxa"/>
          </w:tcPr>
          <w:p>
            <w:pPr>
              <w:pStyle w:val="63"/>
              <w:rPr>
                <w:rFonts w:hint="default" w:ascii="Arial" w:hAnsi="Arial" w:eastAsia="宋体" w:cs="Arial"/>
                <w:color w:val="auto"/>
                <w:highlight w:val="none"/>
              </w:rPr>
            </w:pPr>
            <w:r>
              <w:rPr>
                <w:rFonts w:hint="default" w:ascii="Arial" w:hAnsi="Arial" w:eastAsia="宋体" w:cs="Arial"/>
                <w:color w:val="auto"/>
                <w:kern w:val="0"/>
                <w:szCs w:val="21"/>
                <w:highlight w:val="none"/>
              </w:rPr>
              <w:t>南厂界</w:t>
            </w:r>
          </w:p>
        </w:tc>
        <w:tc>
          <w:tcPr>
            <w:tcW w:w="1654" w:type="dxa"/>
          </w:tcPr>
          <w:p>
            <w:pPr>
              <w:pStyle w:val="63"/>
              <w:rPr>
                <w:rFonts w:hint="default" w:ascii="Arial" w:hAnsi="Arial" w:eastAsia="宋体" w:cs="Arial"/>
                <w:color w:val="auto"/>
                <w:highlight w:val="none"/>
              </w:rPr>
            </w:pPr>
            <w:r>
              <w:rPr>
                <w:rFonts w:hint="default" w:ascii="Arial" w:hAnsi="Arial" w:eastAsia="宋体" w:cs="Arial"/>
                <w:color w:val="auto"/>
                <w:kern w:val="0"/>
                <w:szCs w:val="21"/>
                <w:highlight w:val="none"/>
              </w:rPr>
              <w:t>西厂界</w:t>
            </w:r>
          </w:p>
        </w:tc>
        <w:tc>
          <w:tcPr>
            <w:tcW w:w="1655" w:type="dxa"/>
            <w:vAlign w:val="center"/>
          </w:tcPr>
          <w:p>
            <w:pPr>
              <w:pStyle w:val="63"/>
              <w:rPr>
                <w:rFonts w:hint="default" w:ascii="Arial" w:hAnsi="Arial" w:eastAsia="宋体" w:cs="Arial"/>
                <w:color w:val="auto"/>
                <w:highlight w:val="none"/>
              </w:rPr>
            </w:pPr>
            <w:r>
              <w:rPr>
                <w:rFonts w:hint="default" w:ascii="Arial" w:hAnsi="Arial" w:eastAsia="宋体" w:cs="Arial"/>
                <w:color w:val="auto"/>
                <w:kern w:val="0"/>
                <w:szCs w:val="21"/>
                <w:highlight w:val="none"/>
              </w:rPr>
              <w:t>北厂界</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cantSplit/>
          <w:trHeight w:val="340" w:hRule="atLeast"/>
          <w:jc w:val="center"/>
        </w:trPr>
        <w:tc>
          <w:tcPr>
            <w:tcW w:w="2386" w:type="dxa"/>
          </w:tcPr>
          <w:p>
            <w:pPr>
              <w:pStyle w:val="63"/>
              <w:rPr>
                <w:rFonts w:hint="default" w:ascii="Arial" w:hAnsi="Arial" w:eastAsia="宋体" w:cs="Arial"/>
                <w:color w:val="auto"/>
                <w:kern w:val="0"/>
                <w:szCs w:val="21"/>
                <w:highlight w:val="none"/>
              </w:rPr>
            </w:pPr>
            <w:r>
              <w:rPr>
                <w:rFonts w:hint="default" w:ascii="Arial" w:hAnsi="Arial" w:eastAsia="宋体" w:cs="Arial"/>
                <w:color w:val="auto"/>
                <w:kern w:val="0"/>
                <w:szCs w:val="21"/>
                <w:highlight w:val="none"/>
              </w:rPr>
              <w:t>贡献值</w:t>
            </w:r>
          </w:p>
        </w:tc>
        <w:tc>
          <w:tcPr>
            <w:tcW w:w="1654" w:type="dxa"/>
            <w:vAlign w:val="center"/>
          </w:tcPr>
          <w:p>
            <w:pPr>
              <w:pStyle w:val="63"/>
              <w:rPr>
                <w:rFonts w:hint="default" w:ascii="Arial" w:hAnsi="Arial" w:eastAsia="宋体" w:cs="Arial"/>
                <w:color w:val="auto"/>
                <w:kern w:val="0"/>
                <w:szCs w:val="21"/>
                <w:highlight w:val="none"/>
                <w:lang w:val="en-US" w:eastAsia="zh-CN"/>
              </w:rPr>
            </w:pPr>
            <w:r>
              <w:rPr>
                <w:rFonts w:hint="default" w:ascii="Arial" w:hAnsi="Arial" w:eastAsia="宋体" w:cs="Arial"/>
                <w:color w:val="auto"/>
                <w:kern w:val="0"/>
                <w:szCs w:val="21"/>
                <w:highlight w:val="none"/>
                <w:lang w:val="en-US" w:eastAsia="zh-CN"/>
              </w:rPr>
              <w:t>35.7</w:t>
            </w:r>
          </w:p>
        </w:tc>
        <w:tc>
          <w:tcPr>
            <w:tcW w:w="1654" w:type="dxa"/>
          </w:tcPr>
          <w:p>
            <w:pPr>
              <w:pStyle w:val="63"/>
              <w:rPr>
                <w:rFonts w:hint="default" w:ascii="Arial" w:hAnsi="Arial" w:eastAsia="宋体" w:cs="Arial"/>
                <w:color w:val="auto"/>
                <w:kern w:val="0"/>
                <w:szCs w:val="21"/>
                <w:highlight w:val="none"/>
                <w:lang w:val="en-US" w:eastAsia="zh-CN"/>
              </w:rPr>
            </w:pPr>
            <w:r>
              <w:rPr>
                <w:rFonts w:hint="default" w:ascii="Arial" w:hAnsi="Arial" w:eastAsia="宋体" w:cs="Arial"/>
                <w:color w:val="auto"/>
                <w:kern w:val="0"/>
                <w:szCs w:val="21"/>
                <w:highlight w:val="none"/>
                <w:lang w:val="en-US" w:eastAsia="zh-CN"/>
              </w:rPr>
              <w:t>33.9</w:t>
            </w:r>
          </w:p>
        </w:tc>
        <w:tc>
          <w:tcPr>
            <w:tcW w:w="1654" w:type="dxa"/>
          </w:tcPr>
          <w:p>
            <w:pPr>
              <w:pStyle w:val="63"/>
              <w:rPr>
                <w:rFonts w:hint="default" w:ascii="Arial" w:hAnsi="Arial" w:eastAsia="宋体" w:cs="Arial"/>
                <w:color w:val="auto"/>
                <w:kern w:val="0"/>
                <w:szCs w:val="21"/>
                <w:highlight w:val="none"/>
                <w:lang w:val="en-US" w:eastAsia="zh-CN"/>
              </w:rPr>
            </w:pPr>
            <w:r>
              <w:rPr>
                <w:rFonts w:hint="default" w:ascii="Arial" w:hAnsi="Arial" w:eastAsia="宋体" w:cs="Arial"/>
                <w:color w:val="auto"/>
                <w:kern w:val="0"/>
                <w:szCs w:val="21"/>
                <w:highlight w:val="none"/>
                <w:lang w:val="en-US" w:eastAsia="zh-CN"/>
              </w:rPr>
              <w:t>37.1</w:t>
            </w:r>
          </w:p>
        </w:tc>
        <w:tc>
          <w:tcPr>
            <w:tcW w:w="1655" w:type="dxa"/>
            <w:vAlign w:val="center"/>
          </w:tcPr>
          <w:p>
            <w:pPr>
              <w:pStyle w:val="63"/>
              <w:rPr>
                <w:rFonts w:hint="default" w:ascii="Arial" w:hAnsi="Arial" w:eastAsia="宋体" w:cs="Arial"/>
                <w:color w:val="auto"/>
                <w:kern w:val="0"/>
                <w:szCs w:val="21"/>
                <w:highlight w:val="none"/>
                <w:lang w:val="en-US" w:eastAsia="zh-CN"/>
              </w:rPr>
            </w:pPr>
            <w:r>
              <w:rPr>
                <w:rFonts w:hint="default" w:ascii="Arial" w:hAnsi="Arial" w:eastAsia="宋体" w:cs="Arial"/>
                <w:color w:val="auto"/>
                <w:kern w:val="0"/>
                <w:szCs w:val="21"/>
                <w:highlight w:val="none"/>
                <w:lang w:val="en-US" w:eastAsia="zh-CN"/>
              </w:rPr>
              <w:t>37.6</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cantSplit/>
          <w:trHeight w:val="340" w:hRule="atLeast"/>
          <w:jc w:val="center"/>
        </w:trPr>
        <w:tc>
          <w:tcPr>
            <w:tcW w:w="9003" w:type="dxa"/>
            <w:gridSpan w:val="5"/>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《工业企业厂界环境噪声排放标准》（GB12348-2008）2类标准</w:t>
            </w:r>
          </w:p>
          <w:p>
            <w:pPr>
              <w:pStyle w:val="63"/>
              <w:rPr>
                <w:rFonts w:hint="default" w:ascii="Arial" w:hAnsi="Arial" w:eastAsia="宋体" w:cs="Arial"/>
                <w:color w:val="auto"/>
                <w:highlight w:val="none"/>
                <w:lang w:eastAsia="zh-CN"/>
              </w:rPr>
            </w:pPr>
            <w:r>
              <w:rPr>
                <w:rFonts w:hint="default" w:ascii="Arial" w:hAnsi="Arial" w:eastAsia="宋体" w:cs="Arial"/>
                <w:color w:val="auto"/>
                <w:highlight w:val="none"/>
              </w:rPr>
              <w:t>昼间：6</w:t>
            </w:r>
            <w:r>
              <w:rPr>
                <w:rFonts w:hint="default" w:ascii="Arial" w:hAnsi="Arial" w:eastAsia="宋体" w:cs="Arial"/>
                <w:color w:val="auto"/>
                <w:highlight w:val="none"/>
                <w:lang w:val="en-US" w:eastAsia="zh-CN"/>
              </w:rPr>
              <w:t>0</w:t>
            </w:r>
            <w:r>
              <w:rPr>
                <w:rFonts w:hint="default" w:ascii="Arial" w:hAnsi="Arial" w:eastAsia="宋体" w:cs="Arial"/>
                <w:color w:val="auto"/>
                <w:highlight w:val="none"/>
                <w:lang w:eastAsia="zh-CN"/>
              </w:rPr>
              <w:t>、</w:t>
            </w:r>
            <w:r>
              <w:rPr>
                <w:rFonts w:hint="default" w:ascii="Arial" w:hAnsi="Arial" w:eastAsia="宋体" w:cs="Arial"/>
                <w:color w:val="auto"/>
                <w:highlight w:val="none"/>
              </w:rPr>
              <w:t>夜间：5</w:t>
            </w:r>
            <w:r>
              <w:rPr>
                <w:rFonts w:hint="default" w:ascii="Arial" w:hAnsi="Arial" w:eastAsia="宋体" w:cs="Arial"/>
                <w:color w:val="auto"/>
                <w:highlight w:val="none"/>
                <w:lang w:val="en-US" w:eastAsia="zh-CN"/>
              </w:rPr>
              <w:t>0</w:t>
            </w:r>
          </w:p>
        </w:tc>
      </w:tr>
    </w:tbl>
    <w:p>
      <w:pPr>
        <w:ind w:firstLine="480"/>
        <w:rPr>
          <w:rFonts w:hint="default" w:ascii="Arial" w:hAnsi="Arial" w:eastAsia="宋体" w:cs="Arial"/>
          <w:color w:val="auto"/>
          <w:highlight w:val="none"/>
        </w:rPr>
      </w:pPr>
      <w:r>
        <w:rPr>
          <w:rFonts w:hint="default" w:ascii="Arial" w:hAnsi="Arial" w:eastAsia="宋体" w:cs="Arial"/>
          <w:color w:val="auto"/>
          <w:highlight w:val="none"/>
        </w:rPr>
        <w:t>由上表可以看出，建设项目投产后，项目噪声经隔声及距离衰减后，项目运营期四周厂界的噪声预测值为</w:t>
      </w:r>
      <w:r>
        <w:rPr>
          <w:rFonts w:hint="default" w:ascii="Arial" w:hAnsi="Arial" w:eastAsia="宋体" w:cs="Arial"/>
          <w:color w:val="auto"/>
          <w:highlight w:val="none"/>
          <w:lang w:val="en-US" w:eastAsia="zh-CN"/>
        </w:rPr>
        <w:t>33.9</w:t>
      </w:r>
      <w:r>
        <w:rPr>
          <w:rFonts w:hint="default" w:ascii="Arial" w:hAnsi="Arial" w:eastAsia="宋体" w:cs="Arial"/>
          <w:color w:val="auto"/>
          <w:highlight w:val="none"/>
        </w:rPr>
        <w:t>~</w:t>
      </w:r>
      <w:r>
        <w:rPr>
          <w:rFonts w:hint="default" w:ascii="Arial" w:hAnsi="Arial" w:eastAsia="宋体" w:cs="Arial"/>
          <w:color w:val="auto"/>
          <w:highlight w:val="none"/>
          <w:lang w:val="en-US" w:eastAsia="zh-CN"/>
        </w:rPr>
        <w:t>37.6</w:t>
      </w:r>
      <w:r>
        <w:rPr>
          <w:rFonts w:hint="default" w:ascii="Arial" w:hAnsi="Arial" w:eastAsia="宋体" w:cs="Arial"/>
          <w:color w:val="auto"/>
          <w:highlight w:val="none"/>
        </w:rPr>
        <w:t>dB（A），项目厂界均能满足《工业企业厂界噪声排放标准》（GB12348-2008）中2类标准要求，拟建项目声环境评价范围内（200m）无声环境敏感点，不会产生声环境产生影响。</w:t>
      </w:r>
    </w:p>
    <w:p>
      <w:pPr>
        <w:pStyle w:val="5"/>
        <w:rPr>
          <w:rFonts w:hint="default" w:ascii="Arial" w:hAnsi="Arial" w:eastAsia="宋体" w:cs="Arial"/>
          <w:color w:val="auto"/>
          <w:highlight w:val="none"/>
        </w:rPr>
      </w:pPr>
      <w:bookmarkStart w:id="412" w:name="_Toc494206332"/>
      <w:bookmarkStart w:id="413" w:name="_Toc530642956"/>
      <w:bookmarkStart w:id="414" w:name="_Toc5469"/>
      <w:r>
        <w:rPr>
          <w:rFonts w:hint="default" w:ascii="Arial" w:hAnsi="Arial" w:eastAsia="宋体" w:cs="Arial"/>
          <w:color w:val="auto"/>
          <w:highlight w:val="none"/>
        </w:rPr>
        <w:t>5.7运营期固体废物环境影响分析</w:t>
      </w:r>
      <w:bookmarkEnd w:id="412"/>
      <w:bookmarkEnd w:id="413"/>
      <w:bookmarkEnd w:id="414"/>
    </w:p>
    <w:p>
      <w:pPr>
        <w:pStyle w:val="6"/>
        <w:rPr>
          <w:rFonts w:hint="default" w:ascii="Arial" w:hAnsi="Arial" w:eastAsia="宋体" w:cs="Arial"/>
          <w:color w:val="auto"/>
          <w:highlight w:val="none"/>
        </w:rPr>
      </w:pPr>
      <w:bookmarkStart w:id="415" w:name="_Toc2783"/>
      <w:r>
        <w:rPr>
          <w:rFonts w:hint="default" w:ascii="Arial" w:hAnsi="Arial" w:eastAsia="宋体" w:cs="Arial"/>
          <w:color w:val="auto"/>
          <w:highlight w:val="none"/>
        </w:rPr>
        <w:t>5.7.1固体废物环境影响特点</w:t>
      </w:r>
      <w:bookmarkEnd w:id="415"/>
    </w:p>
    <w:p>
      <w:pPr>
        <w:ind w:firstLine="480"/>
        <w:rPr>
          <w:rFonts w:hint="default" w:ascii="Arial" w:hAnsi="Arial" w:eastAsia="宋体" w:cs="Arial"/>
          <w:color w:val="auto"/>
          <w:highlight w:val="none"/>
        </w:rPr>
      </w:pPr>
      <w:r>
        <w:rPr>
          <w:rFonts w:hint="default" w:ascii="Arial" w:hAnsi="Arial" w:eastAsia="宋体" w:cs="Arial"/>
          <w:color w:val="auto"/>
          <w:highlight w:val="none"/>
        </w:rPr>
        <w:t>固体废弃物除直接占用土地和空间外，其对环境的影响将会通过水、气或土壤污染周围环境，因此，固体废弃物既是造成水、大气、土壤污染的“源头”，又是废水、废气处理的“终态物”。</w:t>
      </w:r>
    </w:p>
    <w:p>
      <w:pPr>
        <w:pStyle w:val="6"/>
        <w:rPr>
          <w:rFonts w:hint="default" w:ascii="Arial" w:hAnsi="Arial" w:eastAsia="宋体" w:cs="Arial"/>
          <w:color w:val="auto"/>
          <w:highlight w:val="none"/>
        </w:rPr>
      </w:pPr>
      <w:bookmarkStart w:id="416" w:name="_Toc32008"/>
      <w:r>
        <w:rPr>
          <w:rFonts w:hint="default" w:ascii="Arial" w:hAnsi="Arial" w:eastAsia="宋体" w:cs="Arial"/>
          <w:color w:val="auto"/>
          <w:highlight w:val="none"/>
        </w:rPr>
        <w:t>5.7.2固体废物污染途径</w:t>
      </w:r>
      <w:bookmarkEnd w:id="416"/>
    </w:p>
    <w:p>
      <w:pPr>
        <w:ind w:firstLine="480"/>
        <w:rPr>
          <w:rFonts w:hint="default" w:ascii="Arial" w:hAnsi="Arial" w:eastAsia="宋体" w:cs="Arial"/>
          <w:color w:val="auto"/>
          <w:highlight w:val="none"/>
        </w:rPr>
      </w:pPr>
      <w:r>
        <w:rPr>
          <w:rFonts w:hint="default" w:ascii="Arial" w:hAnsi="Arial" w:eastAsia="宋体" w:cs="Arial"/>
          <w:color w:val="auto"/>
          <w:highlight w:val="none"/>
        </w:rPr>
        <w:t>运营过程中产生的固体废物如处置不当，将会对周围环境造成影响，本工程主要是</w:t>
      </w:r>
      <w:r>
        <w:rPr>
          <w:rFonts w:hint="default" w:ascii="Arial" w:hAnsi="Arial" w:eastAsia="宋体" w:cs="Arial"/>
          <w:color w:val="auto"/>
          <w:highlight w:val="none"/>
          <w:lang w:eastAsia="zh-CN"/>
        </w:rPr>
        <w:t>牛粪便</w:t>
      </w:r>
      <w:r>
        <w:rPr>
          <w:rFonts w:hint="default" w:ascii="Arial" w:hAnsi="Arial" w:eastAsia="宋体" w:cs="Arial"/>
          <w:color w:val="auto"/>
          <w:highlight w:val="none"/>
        </w:rPr>
        <w:t>对周围环境的影响，主要表现在以下方面：</w:t>
      </w:r>
    </w:p>
    <w:p>
      <w:pPr>
        <w:ind w:firstLine="480"/>
        <w:rPr>
          <w:rFonts w:hint="default" w:ascii="Arial" w:hAnsi="Arial" w:eastAsia="宋体" w:cs="Arial"/>
          <w:color w:val="auto"/>
          <w:highlight w:val="none"/>
        </w:rPr>
      </w:pPr>
      <w:r>
        <w:rPr>
          <w:rFonts w:hint="default" w:ascii="Arial" w:hAnsi="Arial" w:eastAsia="宋体" w:cs="Arial"/>
          <w:color w:val="auto"/>
          <w:highlight w:val="none"/>
          <w:lang w:eastAsia="zh-CN"/>
        </w:rPr>
        <w:t>（</w:t>
      </w:r>
      <w:r>
        <w:rPr>
          <w:rFonts w:hint="default" w:ascii="Arial" w:hAnsi="Arial" w:eastAsia="宋体" w:cs="Arial"/>
          <w:color w:val="auto"/>
          <w:highlight w:val="none"/>
          <w:lang w:val="en-US" w:eastAsia="zh-CN"/>
        </w:rPr>
        <w:t>1</w:t>
      </w:r>
      <w:r>
        <w:rPr>
          <w:rFonts w:hint="default" w:ascii="Arial" w:hAnsi="Arial" w:eastAsia="宋体" w:cs="Arial"/>
          <w:color w:val="auto"/>
          <w:highlight w:val="none"/>
          <w:lang w:eastAsia="zh-CN"/>
        </w:rPr>
        <w:t>）</w:t>
      </w:r>
      <w:r>
        <w:rPr>
          <w:rFonts w:hint="default" w:ascii="Arial" w:hAnsi="Arial" w:eastAsia="宋体" w:cs="Arial"/>
          <w:color w:val="auto"/>
          <w:highlight w:val="none"/>
        </w:rPr>
        <w:t>氮磷的污染</w:t>
      </w:r>
    </w:p>
    <w:p>
      <w:pPr>
        <w:ind w:firstLine="480"/>
        <w:rPr>
          <w:rFonts w:hint="default" w:ascii="Arial" w:hAnsi="Arial" w:eastAsia="宋体" w:cs="Arial"/>
          <w:color w:val="auto"/>
          <w:highlight w:val="none"/>
        </w:rPr>
      </w:pPr>
      <w:r>
        <w:rPr>
          <w:rFonts w:hint="default" w:ascii="Arial" w:hAnsi="Arial" w:eastAsia="宋体" w:cs="Arial"/>
          <w:color w:val="auto"/>
          <w:highlight w:val="none"/>
          <w:lang w:eastAsia="zh-CN"/>
        </w:rPr>
        <w:t>牛粪便</w:t>
      </w:r>
      <w:r>
        <w:rPr>
          <w:rFonts w:hint="default" w:ascii="Arial" w:hAnsi="Arial" w:eastAsia="宋体" w:cs="Arial"/>
          <w:color w:val="auto"/>
          <w:highlight w:val="none"/>
        </w:rPr>
        <w:t>中含有大量的氮磷化合物，未经处理的粪便中的一部分氮以氨的形式挥发到大气中，增加了大气中氨的含量，氨可转化为氮氧化物，使空气质量下降，严重时导致酸雨，危害环境。</w:t>
      </w:r>
    </w:p>
    <w:p>
      <w:pPr>
        <w:ind w:firstLine="480"/>
        <w:rPr>
          <w:rFonts w:hint="default" w:ascii="Arial" w:hAnsi="Arial" w:eastAsia="宋体" w:cs="Arial"/>
          <w:color w:val="auto"/>
          <w:highlight w:val="none"/>
        </w:rPr>
      </w:pPr>
      <w:r>
        <w:rPr>
          <w:rFonts w:hint="default" w:ascii="Arial" w:hAnsi="Arial" w:eastAsia="宋体" w:cs="Arial"/>
          <w:color w:val="auto"/>
          <w:highlight w:val="none"/>
        </w:rPr>
        <w:t>畜禽粪便中的氮磷流失量大于化肥氮磷流失量，是造成农村污染的主要原因之一。若不及时清理，就会通过地表径流，汇入地表水体，大量的氮、磷流入会导致水体富营养化。</w:t>
      </w:r>
    </w:p>
    <w:p>
      <w:pPr>
        <w:ind w:firstLine="480"/>
        <w:rPr>
          <w:rFonts w:hint="default" w:ascii="Arial" w:hAnsi="Arial" w:eastAsia="宋体" w:cs="Arial"/>
          <w:color w:val="auto"/>
          <w:highlight w:val="none"/>
        </w:rPr>
      </w:pPr>
      <w:r>
        <w:rPr>
          <w:rFonts w:hint="default" w:ascii="Arial" w:hAnsi="Arial" w:eastAsia="宋体" w:cs="Arial"/>
          <w:color w:val="auto"/>
          <w:highlight w:val="none"/>
        </w:rPr>
        <w:t>畜禽粪便长期堆放，粪便中所含大量含氮化合物在土壤微生物的作用下，通过氨化、硝化等生物化学反应过程，导致土壤中硝酸盐含量增高，间接影响人体健康。</w:t>
      </w:r>
    </w:p>
    <w:p>
      <w:pPr>
        <w:ind w:firstLine="480"/>
        <w:rPr>
          <w:rFonts w:hint="default" w:ascii="Arial" w:hAnsi="Arial" w:eastAsia="宋体" w:cs="Arial"/>
          <w:color w:val="auto"/>
          <w:highlight w:val="none"/>
        </w:rPr>
      </w:pPr>
      <w:r>
        <w:rPr>
          <w:rFonts w:hint="default" w:ascii="Arial" w:hAnsi="Arial" w:eastAsia="宋体" w:cs="Arial"/>
          <w:color w:val="auto"/>
          <w:highlight w:val="none"/>
          <w:lang w:eastAsia="zh-CN"/>
        </w:rPr>
        <w:t>（</w:t>
      </w:r>
      <w:r>
        <w:rPr>
          <w:rFonts w:hint="default" w:ascii="Arial" w:hAnsi="Arial" w:eastAsia="宋体" w:cs="Arial"/>
          <w:color w:val="auto"/>
          <w:highlight w:val="none"/>
          <w:lang w:val="en-US" w:eastAsia="zh-CN"/>
        </w:rPr>
        <w:t>2</w:t>
      </w:r>
      <w:r>
        <w:rPr>
          <w:rFonts w:hint="default" w:ascii="Arial" w:hAnsi="Arial" w:eastAsia="宋体" w:cs="Arial"/>
          <w:color w:val="auto"/>
          <w:highlight w:val="none"/>
          <w:lang w:eastAsia="zh-CN"/>
        </w:rPr>
        <w:t>）</w:t>
      </w:r>
      <w:r>
        <w:rPr>
          <w:rFonts w:hint="default" w:ascii="Arial" w:hAnsi="Arial" w:eastAsia="宋体" w:cs="Arial"/>
          <w:color w:val="auto"/>
          <w:highlight w:val="none"/>
        </w:rPr>
        <w:t>有害病原微生物的污染</w:t>
      </w:r>
    </w:p>
    <w:p>
      <w:pPr>
        <w:ind w:firstLine="480"/>
        <w:rPr>
          <w:rFonts w:hint="default" w:ascii="Arial" w:hAnsi="Arial" w:eastAsia="宋体" w:cs="Arial"/>
          <w:color w:val="auto"/>
          <w:highlight w:val="none"/>
        </w:rPr>
      </w:pPr>
      <w:r>
        <w:rPr>
          <w:rFonts w:hint="default" w:ascii="Arial" w:hAnsi="Arial" w:eastAsia="宋体" w:cs="Arial"/>
          <w:color w:val="auto"/>
          <w:highlight w:val="none"/>
        </w:rPr>
        <w:t>粪便是微生物的主要载体。大量实践表明，由于畜禽粪便的随意堆放，最终会导致畜禽传染病和寄生虫病的蔓延。</w:t>
      </w:r>
    </w:p>
    <w:p>
      <w:pPr>
        <w:pStyle w:val="6"/>
        <w:rPr>
          <w:rFonts w:hint="default" w:ascii="Arial" w:hAnsi="Arial" w:eastAsia="宋体" w:cs="Arial"/>
          <w:color w:val="auto"/>
          <w:highlight w:val="none"/>
        </w:rPr>
      </w:pPr>
      <w:bookmarkStart w:id="417" w:name="_Toc6836"/>
      <w:r>
        <w:rPr>
          <w:rFonts w:hint="default" w:ascii="Arial" w:hAnsi="Arial" w:eastAsia="宋体" w:cs="Arial"/>
          <w:color w:val="auto"/>
          <w:highlight w:val="none"/>
        </w:rPr>
        <w:t>5.7.3固废影响分析</w:t>
      </w:r>
      <w:bookmarkEnd w:id="417"/>
    </w:p>
    <w:p>
      <w:pPr>
        <w:ind w:firstLine="480"/>
        <w:rPr>
          <w:rFonts w:hint="default" w:ascii="Arial" w:hAnsi="Arial" w:eastAsia="宋体" w:cs="Arial"/>
          <w:color w:val="auto"/>
          <w:highlight w:val="none"/>
        </w:rPr>
      </w:pPr>
      <w:r>
        <w:rPr>
          <w:rFonts w:hint="default" w:ascii="Arial" w:hAnsi="Arial" w:eastAsia="宋体" w:cs="Arial"/>
          <w:color w:val="auto"/>
          <w:highlight w:val="none"/>
        </w:rPr>
        <w:t>根据工程分析，项目养殖过程由于疾病等原因产生的</w:t>
      </w:r>
      <w:r>
        <w:rPr>
          <w:rFonts w:hint="default" w:ascii="Arial" w:hAnsi="Arial" w:eastAsia="宋体" w:cs="Arial"/>
          <w:color w:val="auto"/>
          <w:highlight w:val="none"/>
          <w:lang w:eastAsia="zh-CN"/>
        </w:rPr>
        <w:t>病死牛</w:t>
      </w:r>
      <w:r>
        <w:rPr>
          <w:rFonts w:hint="default" w:ascii="Arial" w:hAnsi="Arial" w:eastAsia="宋体" w:cs="Arial"/>
          <w:color w:val="auto"/>
          <w:highlight w:val="none"/>
        </w:rPr>
        <w:t>交由巴彦淖尔市绿之源生物技术发展有限公司进行无害化处理；运营过程产生的医疗废弃物</w:t>
      </w:r>
      <w:r>
        <w:rPr>
          <w:rFonts w:hint="default" w:ascii="Arial" w:hAnsi="Arial" w:eastAsia="宋体" w:cs="Arial"/>
          <w:color w:val="auto"/>
          <w:highlight w:val="none"/>
          <w:lang w:eastAsia="zh-CN"/>
        </w:rPr>
        <w:t>暂存于危险废物暂存间内，</w:t>
      </w:r>
      <w:r>
        <w:rPr>
          <w:rFonts w:hint="default" w:ascii="Arial" w:hAnsi="Arial" w:eastAsia="宋体" w:cs="Arial"/>
          <w:color w:val="auto"/>
          <w:highlight w:val="none"/>
        </w:rPr>
        <w:t>交由有资质单位处理；</w:t>
      </w:r>
      <w:r>
        <w:rPr>
          <w:rFonts w:hint="default" w:ascii="Arial" w:hAnsi="Arial" w:eastAsia="宋体" w:cs="Arial"/>
          <w:color w:val="auto"/>
          <w:highlight w:val="none"/>
          <w:lang w:eastAsia="zh-CN"/>
        </w:rPr>
        <w:t>牛粪便</w:t>
      </w:r>
      <w:r>
        <w:rPr>
          <w:rFonts w:hint="default" w:ascii="Arial" w:hAnsi="Arial" w:eastAsia="宋体" w:cs="Arial"/>
          <w:color w:val="auto"/>
          <w:highlight w:val="none"/>
        </w:rPr>
        <w:t>堆肥后最终作为有机肥进行资源化利用；生活垃圾统一收集后</w:t>
      </w:r>
      <w:r>
        <w:rPr>
          <w:rFonts w:hint="default" w:ascii="Arial" w:hAnsi="Arial" w:eastAsia="宋体" w:cs="Arial"/>
          <w:color w:val="auto"/>
          <w:highlight w:val="none"/>
          <w:lang w:bidi="zh-CN"/>
        </w:rPr>
        <w:t>清运到环卫部门指定的地点集中处理</w:t>
      </w:r>
      <w:r>
        <w:rPr>
          <w:rFonts w:hint="default" w:ascii="Arial" w:hAnsi="Arial" w:eastAsia="宋体" w:cs="Arial"/>
          <w:color w:val="auto"/>
          <w:highlight w:val="none"/>
        </w:rPr>
        <w:t>。</w:t>
      </w:r>
    </w:p>
    <w:p>
      <w:pPr>
        <w:ind w:firstLine="480"/>
        <w:rPr>
          <w:rFonts w:hint="default" w:ascii="Arial" w:hAnsi="Arial" w:eastAsia="宋体" w:cs="Arial"/>
          <w:color w:val="auto"/>
          <w:highlight w:val="none"/>
        </w:rPr>
      </w:pPr>
      <w:r>
        <w:rPr>
          <w:rFonts w:hint="default" w:ascii="Arial" w:hAnsi="Arial" w:eastAsia="宋体" w:cs="Arial"/>
          <w:color w:val="auto"/>
          <w:highlight w:val="none"/>
        </w:rPr>
        <w:t>综合以上分析，拟建项目投产后，产生的固体废物均得到综合利用和有效处置和利用，拟建项目固体废物对周围环境产生的影响较小。</w:t>
      </w:r>
    </w:p>
    <w:p>
      <w:pPr>
        <w:pStyle w:val="5"/>
        <w:rPr>
          <w:rFonts w:hint="default" w:ascii="Arial" w:hAnsi="Arial" w:eastAsia="宋体" w:cs="Arial"/>
          <w:color w:val="auto"/>
          <w:highlight w:val="none"/>
        </w:rPr>
      </w:pPr>
      <w:bookmarkStart w:id="418" w:name="_Toc24743"/>
      <w:r>
        <w:rPr>
          <w:rFonts w:hint="default" w:ascii="Arial" w:hAnsi="Arial" w:eastAsia="宋体" w:cs="Arial"/>
          <w:color w:val="auto"/>
          <w:highlight w:val="none"/>
        </w:rPr>
        <w:t>5.8运营期生态环境影响分析</w:t>
      </w:r>
      <w:bookmarkEnd w:id="418"/>
    </w:p>
    <w:p>
      <w:pPr>
        <w:ind w:firstLine="480"/>
        <w:rPr>
          <w:rFonts w:hint="default" w:ascii="Arial" w:hAnsi="Arial" w:eastAsia="宋体" w:cs="Arial"/>
          <w:color w:val="auto"/>
          <w:highlight w:val="none"/>
        </w:rPr>
      </w:pPr>
      <w:r>
        <w:rPr>
          <w:rFonts w:hint="default" w:ascii="Arial" w:hAnsi="Arial" w:eastAsia="宋体" w:cs="Arial"/>
          <w:color w:val="auto"/>
          <w:highlight w:val="none"/>
        </w:rPr>
        <w:t>运营期对生态环境产生的影响主要表现为对土地利用格局的改变，对动植物的影响，对土壤污染影响。</w:t>
      </w:r>
    </w:p>
    <w:p>
      <w:pPr>
        <w:pStyle w:val="6"/>
        <w:rPr>
          <w:rFonts w:hint="default" w:ascii="Arial" w:hAnsi="Arial" w:eastAsia="宋体" w:cs="Arial"/>
          <w:color w:val="auto"/>
          <w:highlight w:val="none"/>
        </w:rPr>
      </w:pPr>
      <w:bookmarkStart w:id="419" w:name="_Toc32663"/>
      <w:r>
        <w:rPr>
          <w:rFonts w:hint="default" w:ascii="Arial" w:hAnsi="Arial" w:eastAsia="宋体" w:cs="Arial"/>
          <w:color w:val="auto"/>
          <w:highlight w:val="none"/>
        </w:rPr>
        <w:t>5.8.1土地利用影响评价</w:t>
      </w:r>
      <w:bookmarkEnd w:id="419"/>
    </w:p>
    <w:p>
      <w:pPr>
        <w:ind w:firstLine="480"/>
        <w:rPr>
          <w:rFonts w:hint="default" w:ascii="Arial" w:hAnsi="Arial" w:eastAsia="宋体" w:cs="Arial"/>
          <w:color w:val="auto"/>
          <w:highlight w:val="none"/>
        </w:rPr>
      </w:pPr>
      <w:r>
        <w:rPr>
          <w:rFonts w:hint="default" w:ascii="Arial" w:hAnsi="Arial" w:eastAsia="宋体" w:cs="Arial"/>
          <w:color w:val="auto"/>
          <w:highlight w:val="none"/>
        </w:rPr>
        <w:t>项目的建设使土地利用格局发生了变化，这一变化将使区域内局部地块的功能彻底发生改变。项目的建设占用项目所在地大部分为牧草地，使得生态景观更加破碎化，项目区域内生态环境生产能力下降。</w:t>
      </w:r>
    </w:p>
    <w:p>
      <w:pPr>
        <w:pStyle w:val="6"/>
        <w:rPr>
          <w:rFonts w:hint="default" w:ascii="Arial" w:hAnsi="Arial" w:eastAsia="宋体" w:cs="Arial"/>
          <w:color w:val="auto"/>
          <w:highlight w:val="none"/>
        </w:rPr>
      </w:pPr>
      <w:bookmarkStart w:id="420" w:name="_Toc10078"/>
      <w:r>
        <w:rPr>
          <w:rFonts w:hint="default" w:ascii="Arial" w:hAnsi="Arial" w:eastAsia="宋体" w:cs="Arial"/>
          <w:color w:val="auto"/>
          <w:highlight w:val="none"/>
        </w:rPr>
        <w:t>5.8.2对动植物的影响分析</w:t>
      </w:r>
      <w:bookmarkEnd w:id="420"/>
    </w:p>
    <w:p>
      <w:pPr>
        <w:ind w:firstLine="480"/>
        <w:rPr>
          <w:rFonts w:hint="default" w:ascii="Arial" w:hAnsi="Arial" w:eastAsia="宋体" w:cs="Arial"/>
          <w:color w:val="auto"/>
          <w:highlight w:val="none"/>
        </w:rPr>
      </w:pPr>
      <w:r>
        <w:rPr>
          <w:rFonts w:hint="default" w:ascii="Arial" w:hAnsi="Arial" w:eastAsia="宋体" w:cs="Arial"/>
          <w:color w:val="auto"/>
          <w:highlight w:val="none"/>
        </w:rPr>
        <w:t>本项目的建设对部分陆生动物的活动区域、迁移途径、栖息区域、觅食范围等受到一定的限制。但评价区内无野生动物保护区、无国家级、省级保护动物，也不是动物迁徙地带，本项目的建设不会对连通性造成影响，基本不会对动物的生存、迁徙、生育、繁殖产生影响。</w:t>
      </w:r>
    </w:p>
    <w:p>
      <w:pPr>
        <w:pStyle w:val="6"/>
        <w:rPr>
          <w:rFonts w:hint="default" w:ascii="Arial" w:hAnsi="Arial" w:eastAsia="宋体" w:cs="Arial"/>
          <w:color w:val="auto"/>
          <w:highlight w:val="none"/>
        </w:rPr>
      </w:pPr>
      <w:bookmarkStart w:id="421" w:name="_Toc23928"/>
      <w:r>
        <w:rPr>
          <w:rFonts w:hint="default" w:ascii="Arial" w:hAnsi="Arial" w:eastAsia="宋体" w:cs="Arial"/>
          <w:color w:val="auto"/>
          <w:highlight w:val="none"/>
        </w:rPr>
        <w:t>5.8.3对土壤的污染影响分析</w:t>
      </w:r>
      <w:bookmarkEnd w:id="421"/>
    </w:p>
    <w:p>
      <w:pPr>
        <w:ind w:firstLine="480"/>
        <w:rPr>
          <w:rFonts w:hint="default" w:ascii="Arial" w:hAnsi="Arial" w:eastAsia="宋体" w:cs="Arial"/>
          <w:color w:val="auto"/>
          <w:highlight w:val="none"/>
        </w:rPr>
      </w:pPr>
      <w:r>
        <w:rPr>
          <w:rFonts w:hint="default" w:ascii="Arial" w:hAnsi="Arial" w:eastAsia="宋体" w:cs="Arial"/>
          <w:color w:val="auto"/>
          <w:highlight w:val="none"/>
        </w:rPr>
        <w:t>本项目为</w:t>
      </w:r>
      <w:r>
        <w:rPr>
          <w:rFonts w:hint="default" w:ascii="Arial" w:hAnsi="Arial" w:eastAsia="宋体" w:cs="Arial"/>
          <w:color w:val="auto"/>
          <w:highlight w:val="none"/>
          <w:lang w:eastAsia="zh-CN"/>
        </w:rPr>
        <w:t>规模化肉牛养殖项目</w:t>
      </w:r>
      <w:r>
        <w:rPr>
          <w:rFonts w:hint="default" w:ascii="Arial" w:hAnsi="Arial" w:eastAsia="宋体" w:cs="Arial"/>
          <w:color w:val="auto"/>
          <w:highlight w:val="none"/>
        </w:rPr>
        <w:t>，其</w:t>
      </w:r>
      <w:r>
        <w:rPr>
          <w:rFonts w:hint="default" w:ascii="Arial" w:hAnsi="Arial" w:eastAsia="宋体" w:cs="Arial"/>
          <w:color w:val="auto"/>
          <w:highlight w:val="none"/>
          <w:lang w:eastAsia="zh-CN"/>
        </w:rPr>
        <w:t>牛</w:t>
      </w:r>
      <w:r>
        <w:rPr>
          <w:rFonts w:hint="default" w:ascii="Arial" w:hAnsi="Arial" w:eastAsia="宋体" w:cs="Arial"/>
          <w:color w:val="auto"/>
          <w:highlight w:val="none"/>
        </w:rPr>
        <w:t>粪便、尿液等产生的固液废物，全部以堆肥发酵处理。堆肥发酵产生的农肥还田使用在提高当地农灌区土壤有机养分之外，会对当地土壤的理化性质机构发生变化，若堆肥工艺管理不当会使残留的重金属，抗生素类等污染物进入土壤，进而被农作物吸收，间接对人体产生影响。</w:t>
      </w:r>
    </w:p>
    <w:p>
      <w:pPr>
        <w:ind w:firstLine="480"/>
        <w:rPr>
          <w:rFonts w:hint="default" w:ascii="Arial" w:hAnsi="Arial" w:eastAsia="宋体" w:cs="Arial"/>
          <w:color w:val="auto"/>
          <w:highlight w:val="none"/>
        </w:rPr>
      </w:pPr>
      <w:r>
        <w:rPr>
          <w:rFonts w:hint="default" w:ascii="Arial" w:hAnsi="Arial" w:eastAsia="宋体" w:cs="Arial"/>
          <w:color w:val="auto"/>
          <w:highlight w:val="none"/>
        </w:rPr>
        <w:t>本项目对生态环境可能造成的影响分析，建设单位主要采取在牛场周围及场内道路两侧种植对硫化氢等有害气体吸收能力较强的树木，如：杨树等乔木树种，以吸收有害气体，杀灭细菌，降低其在周围环境中的浓度。</w:t>
      </w:r>
    </w:p>
    <w:p>
      <w:pPr>
        <w:ind w:firstLine="480"/>
        <w:rPr>
          <w:rFonts w:hint="default" w:ascii="Arial" w:hAnsi="Arial" w:eastAsia="宋体" w:cs="Arial"/>
          <w:color w:val="auto"/>
          <w:highlight w:val="none"/>
        </w:rPr>
      </w:pPr>
      <w:r>
        <w:rPr>
          <w:rFonts w:hint="default" w:ascii="Arial" w:hAnsi="Arial" w:eastAsia="宋体" w:cs="Arial"/>
          <w:color w:val="auto"/>
          <w:highlight w:val="none"/>
        </w:rPr>
        <w:t>随着工程投入生产，项目提出的绿化工程实施，通过对各区域绿化和植被恢复工作，项目区植被覆盖率明显增加，这将改善区域生态环境和局地小气候，减少风力，提高土壤蓄水保肥能力，有利于自然植被恢复和防止水土流失及土地沙漠化加剧，对区域生态环境产生一定的有利影响。项目排放污染物类型较少，同时均采取相应的防治措施，能够达标排放，对周边农作物影响较小。</w:t>
      </w:r>
    </w:p>
    <w:p>
      <w:pPr>
        <w:ind w:firstLine="480"/>
        <w:rPr>
          <w:rFonts w:hint="default" w:ascii="Arial" w:hAnsi="Arial" w:eastAsia="宋体" w:cs="Arial"/>
          <w:color w:val="auto"/>
          <w:highlight w:val="none"/>
        </w:rPr>
      </w:pPr>
      <w:r>
        <w:rPr>
          <w:rFonts w:hint="default" w:ascii="Arial" w:hAnsi="Arial" w:eastAsia="宋体" w:cs="Arial"/>
          <w:color w:val="auto"/>
          <w:highlight w:val="none"/>
        </w:rPr>
        <w:t>项目通过对区域</w:t>
      </w:r>
      <w:r>
        <w:rPr>
          <w:rFonts w:hint="default" w:ascii="Arial" w:hAnsi="Arial" w:eastAsia="宋体" w:cs="Arial"/>
          <w:color w:val="auto"/>
          <w:highlight w:val="none"/>
          <w:lang w:eastAsia="zh-CN"/>
        </w:rPr>
        <w:t>肉牛</w:t>
      </w:r>
      <w:r>
        <w:rPr>
          <w:rFonts w:hint="default" w:ascii="Arial" w:hAnsi="Arial" w:eastAsia="宋体" w:cs="Arial"/>
          <w:color w:val="auto"/>
          <w:highlight w:val="none"/>
        </w:rPr>
        <w:t>养殖实施集约化管理，并对</w:t>
      </w:r>
      <w:r>
        <w:rPr>
          <w:rFonts w:hint="default" w:ascii="Arial" w:hAnsi="Arial" w:eastAsia="宋体" w:cs="Arial"/>
          <w:color w:val="auto"/>
          <w:highlight w:val="none"/>
          <w:lang w:eastAsia="zh-CN"/>
        </w:rPr>
        <w:t>肉牛</w:t>
      </w:r>
      <w:r>
        <w:rPr>
          <w:rFonts w:hint="default" w:ascii="Arial" w:hAnsi="Arial" w:eastAsia="宋体" w:cs="Arial"/>
          <w:color w:val="auto"/>
          <w:highlight w:val="none"/>
        </w:rPr>
        <w:t>养殖产生的粪污进行减量化、无害化、资源化综合利用，构建</w:t>
      </w:r>
      <w:r>
        <w:rPr>
          <w:rFonts w:hint="default" w:ascii="Arial" w:hAnsi="Arial" w:eastAsia="宋体" w:cs="Arial"/>
          <w:color w:val="auto"/>
          <w:highlight w:val="none"/>
          <w:lang w:eastAsia="zh-CN"/>
        </w:rPr>
        <w:t>肉牛</w:t>
      </w:r>
      <w:r>
        <w:rPr>
          <w:rFonts w:hint="default" w:ascii="Arial" w:hAnsi="Arial" w:eastAsia="宋体" w:cs="Arial"/>
          <w:color w:val="auto"/>
          <w:highlight w:val="none"/>
        </w:rPr>
        <w:t>养殖→肥料→还田还林，对改善项目区域农业生态环境将产生积极作用。</w:t>
      </w:r>
    </w:p>
    <w:p>
      <w:pPr>
        <w:ind w:firstLine="480"/>
        <w:rPr>
          <w:rFonts w:hint="default" w:ascii="Arial" w:hAnsi="Arial" w:eastAsia="宋体" w:cs="Arial"/>
          <w:color w:val="auto"/>
          <w:highlight w:val="none"/>
        </w:rPr>
      </w:pPr>
    </w:p>
    <w:p>
      <w:pPr>
        <w:ind w:firstLine="480"/>
        <w:rPr>
          <w:rFonts w:hint="default" w:ascii="Arial" w:hAnsi="Arial" w:eastAsia="宋体" w:cs="Arial"/>
          <w:color w:val="auto"/>
          <w:highlight w:val="none"/>
        </w:rPr>
        <w:sectPr>
          <w:pgSz w:w="11906" w:h="16838"/>
          <w:pgMar w:top="1418" w:right="1418" w:bottom="1247" w:left="1701" w:header="851" w:footer="680" w:gutter="0"/>
          <w:pgBorders>
            <w:top w:val="none" w:sz="0" w:space="0"/>
            <w:left w:val="none" w:sz="0" w:space="0"/>
            <w:bottom w:val="none" w:sz="0" w:space="0"/>
            <w:right w:val="none" w:sz="0" w:space="0"/>
          </w:pgBorders>
          <w:pgNumType w:fmt="numberInDash"/>
          <w:cols w:space="720" w:num="1"/>
          <w:docGrid w:linePitch="326" w:charSpace="0"/>
        </w:sectPr>
      </w:pPr>
    </w:p>
    <w:p>
      <w:pPr>
        <w:pStyle w:val="4"/>
        <w:pageBreakBefore w:val="0"/>
        <w:widowControl w:val="0"/>
        <w:kinsoku/>
        <w:wordWrap/>
        <w:topLinePunct/>
        <w:bidi w:val="0"/>
        <w:spacing w:line="480" w:lineRule="exact"/>
        <w:rPr>
          <w:rFonts w:hint="default" w:ascii="Arial" w:hAnsi="Arial" w:eastAsia="宋体" w:cs="Arial"/>
          <w:color w:val="auto"/>
          <w:highlight w:val="none"/>
        </w:rPr>
      </w:pPr>
      <w:bookmarkStart w:id="422" w:name="_Toc530642958"/>
      <w:bookmarkStart w:id="423" w:name="_Toc16711"/>
      <w:r>
        <w:rPr>
          <w:rFonts w:hint="default" w:ascii="Arial" w:hAnsi="Arial" w:eastAsia="宋体" w:cs="Arial"/>
          <w:color w:val="auto"/>
          <w:highlight w:val="none"/>
        </w:rPr>
        <w:t>6环境风险评价</w:t>
      </w:r>
      <w:bookmarkEnd w:id="422"/>
      <w:bookmarkEnd w:id="423"/>
    </w:p>
    <w:p>
      <w:pPr>
        <w:pStyle w:val="5"/>
        <w:pageBreakBefore w:val="0"/>
        <w:widowControl w:val="0"/>
        <w:kinsoku/>
        <w:wordWrap/>
        <w:topLinePunct/>
        <w:bidi w:val="0"/>
        <w:spacing w:line="480" w:lineRule="exact"/>
        <w:rPr>
          <w:rFonts w:hint="default" w:ascii="Arial" w:hAnsi="Arial" w:eastAsia="宋体" w:cs="Arial"/>
          <w:color w:val="auto"/>
          <w:highlight w:val="none"/>
        </w:rPr>
      </w:pPr>
      <w:bookmarkStart w:id="424" w:name="_Toc530642959"/>
      <w:bookmarkStart w:id="425" w:name="_Toc6194"/>
      <w:r>
        <w:rPr>
          <w:rFonts w:hint="default" w:ascii="Arial" w:hAnsi="Arial" w:eastAsia="宋体" w:cs="Arial"/>
          <w:color w:val="auto"/>
          <w:highlight w:val="none"/>
        </w:rPr>
        <w:t>6.1风险评价目的</w:t>
      </w:r>
      <w:bookmarkEnd w:id="424"/>
      <w:bookmarkEnd w:id="425"/>
    </w:p>
    <w:p>
      <w:pPr>
        <w:pageBreakBefore w:val="0"/>
        <w:widowControl w:val="0"/>
        <w:kinsoku/>
        <w:wordWrap/>
        <w:topLinePunct/>
        <w:bidi w:val="0"/>
        <w:spacing w:line="480" w:lineRule="exact"/>
        <w:ind w:firstLine="480"/>
        <w:rPr>
          <w:rFonts w:hint="default" w:ascii="Arial" w:hAnsi="Arial" w:eastAsia="宋体" w:cs="Arial"/>
          <w:color w:val="auto"/>
          <w:highlight w:val="none"/>
        </w:rPr>
      </w:pPr>
      <w:r>
        <w:rPr>
          <w:rFonts w:hint="default" w:ascii="Arial" w:hAnsi="Arial" w:eastAsia="宋体" w:cs="Arial"/>
          <w:color w:val="auto"/>
          <w:highlight w:val="none"/>
        </w:rPr>
        <w:t>环境风险评价目的是分析和预测建设项目存在的潜在危险、有害因素，建设项目建设和营运期间可能发生的突发性事件或事故（一般不包括人为破坏和自然灾害），引起有毒有害和易燃易爆等物质泄漏，所造成的人身安全与环境影响和损害程度，提出合理可行的防范、应急与减缓措施，以使建设项目事故率、损失和环境影响达到可以接受水平。</w:t>
      </w:r>
    </w:p>
    <w:p>
      <w:pPr>
        <w:pageBreakBefore w:val="0"/>
        <w:widowControl w:val="0"/>
        <w:kinsoku/>
        <w:wordWrap/>
        <w:topLinePunct/>
        <w:bidi w:val="0"/>
        <w:spacing w:line="480" w:lineRule="exact"/>
        <w:ind w:firstLine="480"/>
        <w:rPr>
          <w:rFonts w:hint="default" w:ascii="Arial" w:hAnsi="Arial" w:eastAsia="宋体" w:cs="Arial"/>
          <w:color w:val="auto"/>
          <w:highlight w:val="none"/>
        </w:rPr>
      </w:pPr>
      <w:bookmarkStart w:id="426" w:name="_Toc4787456"/>
      <w:bookmarkStart w:id="427" w:name="_Toc530642963"/>
      <w:r>
        <w:rPr>
          <w:rFonts w:hint="default" w:ascii="Arial" w:hAnsi="Arial" w:eastAsia="宋体" w:cs="Arial"/>
          <w:color w:val="auto"/>
          <w:szCs w:val="32"/>
          <w:highlight w:val="none"/>
        </w:rPr>
        <w:t>根据《建设项目环境风险评价技术导则》（HJ169-2018），该导则适用于涉及有毒有害和易燃易爆物质的生产、使用、贮运的建设项目可能发生的突发性事故（不包括认为破坏及自然灾害引发的事故）的环境风险评价。</w:t>
      </w:r>
      <w:r>
        <w:rPr>
          <w:rFonts w:hint="default" w:ascii="Arial" w:hAnsi="Arial" w:eastAsia="宋体" w:cs="Arial"/>
          <w:color w:val="auto"/>
          <w:highlight w:val="none"/>
        </w:rPr>
        <w:t>通过分析本工程主要物料的危险特性、毒理毒性及生产设施的特点进行风险识别，分析事故源项和发生概率，提出有针对性的、操作性较强的防范措施，为工程设计和环境管理提供资料和依据，以期达到规避风险，减少危害的目的。</w:t>
      </w:r>
    </w:p>
    <w:p>
      <w:pPr>
        <w:pStyle w:val="5"/>
        <w:pageBreakBefore w:val="0"/>
        <w:widowControl w:val="0"/>
        <w:kinsoku/>
        <w:wordWrap/>
        <w:topLinePunct/>
        <w:bidi w:val="0"/>
        <w:spacing w:line="480" w:lineRule="exact"/>
        <w:rPr>
          <w:rFonts w:hint="default" w:ascii="Arial" w:hAnsi="Arial" w:eastAsia="宋体" w:cs="Arial"/>
          <w:color w:val="auto"/>
          <w:highlight w:val="none"/>
        </w:rPr>
      </w:pPr>
      <w:bookmarkStart w:id="428" w:name="_Toc3674"/>
      <w:r>
        <w:rPr>
          <w:rFonts w:hint="default" w:ascii="Arial" w:hAnsi="Arial" w:eastAsia="宋体" w:cs="Arial"/>
          <w:color w:val="auto"/>
          <w:highlight w:val="none"/>
        </w:rPr>
        <w:t>6.2风险调查</w:t>
      </w:r>
      <w:bookmarkEnd w:id="428"/>
    </w:p>
    <w:p>
      <w:pPr>
        <w:pStyle w:val="6"/>
        <w:pageBreakBefore w:val="0"/>
        <w:widowControl w:val="0"/>
        <w:kinsoku/>
        <w:wordWrap/>
        <w:topLinePunct/>
        <w:bidi w:val="0"/>
        <w:spacing w:line="480" w:lineRule="exact"/>
        <w:rPr>
          <w:rFonts w:hint="default" w:ascii="Arial" w:hAnsi="Arial" w:eastAsia="宋体" w:cs="Arial"/>
          <w:color w:val="auto"/>
          <w:highlight w:val="none"/>
        </w:rPr>
      </w:pPr>
      <w:bookmarkStart w:id="429" w:name="_Toc17106557"/>
      <w:bookmarkStart w:id="430" w:name="_Toc32201"/>
      <w:bookmarkStart w:id="431" w:name="_Toc30041"/>
      <w:r>
        <w:rPr>
          <w:rFonts w:hint="default" w:ascii="Arial" w:hAnsi="Arial" w:eastAsia="宋体" w:cs="Arial"/>
          <w:color w:val="auto"/>
          <w:highlight w:val="none"/>
        </w:rPr>
        <w:t>6.2.1建设项目风险源调查</w:t>
      </w:r>
      <w:bookmarkEnd w:id="429"/>
      <w:bookmarkEnd w:id="430"/>
      <w:bookmarkEnd w:id="431"/>
    </w:p>
    <w:p>
      <w:pPr>
        <w:pageBreakBefore w:val="0"/>
        <w:widowControl w:val="0"/>
        <w:kinsoku/>
        <w:wordWrap/>
        <w:overflowPunct w:val="0"/>
        <w:topLinePunct/>
        <w:autoSpaceDE/>
        <w:bidi w:val="0"/>
        <w:spacing w:line="480" w:lineRule="exact"/>
        <w:ind w:firstLine="480"/>
        <w:rPr>
          <w:rFonts w:hint="default" w:ascii="Arial" w:hAnsi="Arial" w:eastAsia="宋体" w:cs="Arial"/>
          <w:color w:val="auto"/>
          <w:highlight w:val="none"/>
        </w:rPr>
      </w:pPr>
      <w:r>
        <w:rPr>
          <w:rFonts w:hint="default" w:ascii="Arial" w:hAnsi="Arial" w:eastAsia="宋体" w:cs="Arial"/>
          <w:color w:val="auto"/>
          <w:highlight w:val="none"/>
        </w:rPr>
        <w:t>依据《建设项目环境风险评价技术导则》（HJ169-2018），本项目运营期场内不涉及附录B内重点关注的危险物质。</w:t>
      </w:r>
    </w:p>
    <w:p>
      <w:pPr>
        <w:pageBreakBefore w:val="0"/>
        <w:widowControl w:val="0"/>
        <w:kinsoku/>
        <w:wordWrap/>
        <w:topLinePunct/>
        <w:bidi w:val="0"/>
        <w:spacing w:line="480" w:lineRule="exact"/>
        <w:ind w:firstLine="480"/>
        <w:rPr>
          <w:rFonts w:hint="default" w:ascii="Arial" w:hAnsi="Arial" w:eastAsia="宋体" w:cs="Arial"/>
          <w:b/>
          <w:bCs/>
          <w:color w:val="auto"/>
          <w:highlight w:val="none"/>
        </w:rPr>
      </w:pPr>
      <w:r>
        <w:rPr>
          <w:rFonts w:hint="default" w:ascii="Arial" w:hAnsi="Arial" w:eastAsia="宋体" w:cs="Arial"/>
          <w:color w:val="auto"/>
          <w:highlight w:val="none"/>
          <w:lang w:eastAsia="zh-CN"/>
        </w:rPr>
        <w:t>肉牛</w:t>
      </w:r>
      <w:r>
        <w:rPr>
          <w:rFonts w:hint="default" w:ascii="Arial" w:hAnsi="Arial" w:eastAsia="宋体" w:cs="Arial"/>
          <w:color w:val="auto"/>
          <w:highlight w:val="none"/>
        </w:rPr>
        <w:t>养殖过程中，产生的粪污如果处理不当，渗入地下，对区域土壤、地下水环境造成污染隐患，具有一定的环境风险。</w:t>
      </w:r>
    </w:p>
    <w:p>
      <w:pPr>
        <w:pStyle w:val="6"/>
        <w:pageBreakBefore w:val="0"/>
        <w:widowControl w:val="0"/>
        <w:kinsoku/>
        <w:wordWrap/>
        <w:topLinePunct/>
        <w:bidi w:val="0"/>
        <w:spacing w:line="480" w:lineRule="exact"/>
        <w:rPr>
          <w:rFonts w:hint="default" w:ascii="Arial" w:hAnsi="Arial" w:eastAsia="宋体" w:cs="Arial"/>
          <w:color w:val="auto"/>
          <w:highlight w:val="none"/>
        </w:rPr>
      </w:pPr>
      <w:bookmarkStart w:id="432" w:name="_Toc30057"/>
      <w:r>
        <w:rPr>
          <w:rFonts w:hint="default" w:ascii="Arial" w:hAnsi="Arial" w:eastAsia="宋体" w:cs="Arial"/>
          <w:color w:val="auto"/>
          <w:highlight w:val="none"/>
        </w:rPr>
        <w:t>6.2.2环境敏感目标调查</w:t>
      </w:r>
      <w:bookmarkEnd w:id="432"/>
    </w:p>
    <w:p>
      <w:pPr>
        <w:pageBreakBefore w:val="0"/>
        <w:widowControl w:val="0"/>
        <w:kinsoku/>
        <w:wordWrap/>
        <w:topLinePunct/>
        <w:bidi w:val="0"/>
        <w:spacing w:line="480" w:lineRule="exact"/>
        <w:ind w:firstLine="480"/>
        <w:rPr>
          <w:rFonts w:hint="default" w:ascii="Arial" w:hAnsi="Arial" w:eastAsia="宋体" w:cs="Arial"/>
          <w:color w:val="auto"/>
          <w:highlight w:val="none"/>
        </w:rPr>
      </w:pPr>
      <w:bookmarkStart w:id="433" w:name="_Toc17106559"/>
      <w:bookmarkStart w:id="434" w:name="_Toc19973"/>
      <w:r>
        <w:rPr>
          <w:rFonts w:hint="default" w:ascii="Arial" w:hAnsi="Arial" w:eastAsia="宋体" w:cs="Arial"/>
          <w:color w:val="auto"/>
          <w:highlight w:val="none"/>
        </w:rPr>
        <w:t>按照《建设项目环境风险评价技术导则》（HJ169-2018）附录D环境敏感程度（E）分级原则中要求调查5km范围内居住区、医疗卫生、文化教育、科研、行政办公等机构人口总数以及500m范围内人口总数。</w:t>
      </w:r>
    </w:p>
    <w:p>
      <w:pPr>
        <w:pageBreakBefore w:val="0"/>
        <w:widowControl w:val="0"/>
        <w:kinsoku/>
        <w:wordWrap/>
        <w:topLinePunct/>
        <w:bidi w:val="0"/>
        <w:spacing w:line="480" w:lineRule="exact"/>
        <w:ind w:firstLine="480"/>
        <w:rPr>
          <w:rFonts w:hint="default" w:ascii="Arial" w:hAnsi="Arial" w:eastAsia="宋体" w:cs="Arial"/>
          <w:color w:val="auto"/>
          <w:highlight w:val="none"/>
        </w:rPr>
      </w:pPr>
      <w:r>
        <w:rPr>
          <w:rFonts w:hint="default" w:ascii="Arial" w:hAnsi="Arial" w:eastAsia="宋体" w:cs="Arial"/>
          <w:color w:val="auto"/>
          <w:highlight w:val="none"/>
        </w:rPr>
        <w:t>项目选址于</w:t>
      </w:r>
      <w:r>
        <w:rPr>
          <w:rFonts w:hint="default" w:ascii="Arial" w:hAnsi="Arial" w:eastAsia="宋体" w:cs="Arial"/>
          <w:color w:val="auto"/>
          <w:highlight w:val="none"/>
          <w:lang w:eastAsia="zh-CN"/>
        </w:rPr>
        <w:t>内蒙古自治区巴彦淖尔市五原县天吉泰镇二合永村五社</w:t>
      </w:r>
      <w:r>
        <w:rPr>
          <w:rFonts w:hint="default" w:ascii="Arial" w:hAnsi="Arial" w:eastAsia="宋体" w:cs="Arial"/>
          <w:color w:val="auto"/>
          <w:highlight w:val="none"/>
        </w:rPr>
        <w:t>，周边以</w:t>
      </w:r>
      <w:r>
        <w:rPr>
          <w:rFonts w:hint="default" w:ascii="Arial" w:hAnsi="Arial" w:eastAsia="宋体" w:cs="Arial"/>
          <w:color w:val="auto"/>
          <w:highlight w:val="none"/>
          <w:lang w:eastAsia="zh-CN"/>
        </w:rPr>
        <w:t>天然牧草地</w:t>
      </w:r>
      <w:r>
        <w:rPr>
          <w:rFonts w:hint="default" w:ascii="Arial" w:hAnsi="Arial" w:eastAsia="宋体" w:cs="Arial"/>
          <w:color w:val="auto"/>
          <w:highlight w:val="none"/>
        </w:rPr>
        <w:t>为主，5km范围内的环境敏感目标主要为村庄及散户居民，人口总数小于1万人；500m范围内人口数小于500人。</w:t>
      </w:r>
    </w:p>
    <w:p>
      <w:pPr>
        <w:pageBreakBefore w:val="0"/>
        <w:widowControl w:val="0"/>
        <w:kinsoku/>
        <w:wordWrap/>
        <w:topLinePunct/>
        <w:bidi w:val="0"/>
        <w:spacing w:line="480" w:lineRule="exact"/>
        <w:ind w:firstLine="480"/>
        <w:rPr>
          <w:rFonts w:hint="default" w:ascii="Arial" w:hAnsi="Arial" w:eastAsia="宋体" w:cs="Arial"/>
          <w:color w:val="auto"/>
          <w:highlight w:val="none"/>
        </w:rPr>
      </w:pPr>
      <w:r>
        <w:rPr>
          <w:rFonts w:hint="default" w:ascii="Arial" w:hAnsi="Arial" w:eastAsia="宋体" w:cs="Arial"/>
          <w:color w:val="auto"/>
          <w:highlight w:val="none"/>
        </w:rPr>
        <w:t>根据《建设项目环境风险评价技术导则》（HJ 169-2018）附录D表D.6地下水功能敏感性分区，本项目2.5km范围内无集中式饮用水水源准保护区及补给径流区；未划定准保护区的集中式饮用水水源，其保护区以外的补给径流区；6km</w:t>
      </w:r>
      <w:r>
        <w:rPr>
          <w:rFonts w:hint="default" w:ascii="Arial" w:hAnsi="Arial" w:eastAsia="宋体" w:cs="Arial"/>
          <w:color w:val="auto"/>
          <w:highlight w:val="none"/>
          <w:vertAlign w:val="superscript"/>
        </w:rPr>
        <w:t>2</w:t>
      </w:r>
      <w:r>
        <w:rPr>
          <w:rFonts w:hint="default" w:ascii="Arial" w:hAnsi="Arial" w:eastAsia="宋体" w:cs="Arial"/>
          <w:color w:val="auto"/>
          <w:highlight w:val="none"/>
        </w:rPr>
        <w:t>范围内分布有居民饮用水井，因此项目地下水环境敏感程度为较敏感区域。</w:t>
      </w:r>
    </w:p>
    <w:p>
      <w:pPr>
        <w:pStyle w:val="5"/>
        <w:pageBreakBefore w:val="0"/>
        <w:widowControl w:val="0"/>
        <w:kinsoku/>
        <w:wordWrap/>
        <w:topLinePunct/>
        <w:bidi w:val="0"/>
        <w:spacing w:line="480" w:lineRule="exact"/>
        <w:rPr>
          <w:rFonts w:hint="default" w:ascii="Arial" w:hAnsi="Arial" w:eastAsia="宋体" w:cs="Arial"/>
          <w:color w:val="auto"/>
          <w:highlight w:val="none"/>
        </w:rPr>
      </w:pPr>
      <w:bookmarkStart w:id="435" w:name="_Toc25020"/>
      <w:r>
        <w:rPr>
          <w:rFonts w:hint="default" w:ascii="Arial" w:hAnsi="Arial" w:eastAsia="宋体" w:cs="Arial"/>
          <w:color w:val="auto"/>
          <w:highlight w:val="none"/>
        </w:rPr>
        <w:t>6.3</w:t>
      </w:r>
      <w:bookmarkEnd w:id="433"/>
      <w:bookmarkEnd w:id="434"/>
      <w:bookmarkStart w:id="436" w:name="_Toc17106560"/>
      <w:bookmarkStart w:id="437" w:name="_Toc16112"/>
      <w:r>
        <w:rPr>
          <w:rFonts w:hint="default" w:ascii="Arial" w:hAnsi="Arial" w:eastAsia="宋体" w:cs="Arial"/>
          <w:color w:val="auto"/>
          <w:highlight w:val="none"/>
        </w:rPr>
        <w:t>评价等级划分及评价范围</w:t>
      </w:r>
      <w:bookmarkEnd w:id="435"/>
    </w:p>
    <w:p>
      <w:pPr>
        <w:pStyle w:val="6"/>
        <w:pageBreakBefore w:val="0"/>
        <w:widowControl w:val="0"/>
        <w:kinsoku/>
        <w:wordWrap/>
        <w:topLinePunct/>
        <w:bidi w:val="0"/>
        <w:spacing w:line="480" w:lineRule="exact"/>
        <w:rPr>
          <w:rFonts w:hint="default" w:ascii="Arial" w:hAnsi="Arial" w:eastAsia="宋体" w:cs="Arial"/>
          <w:color w:val="auto"/>
          <w:highlight w:val="none"/>
        </w:rPr>
      </w:pPr>
      <w:bookmarkStart w:id="438" w:name="_Toc29740"/>
      <w:r>
        <w:rPr>
          <w:rFonts w:hint="default" w:ascii="Arial" w:hAnsi="Arial" w:eastAsia="宋体" w:cs="Arial"/>
          <w:color w:val="auto"/>
          <w:highlight w:val="none"/>
        </w:rPr>
        <w:t>6.3.1危险物质及工艺系统危险性（P）的分级确定</w:t>
      </w:r>
      <w:bookmarkEnd w:id="436"/>
      <w:bookmarkEnd w:id="437"/>
      <w:bookmarkEnd w:id="438"/>
    </w:p>
    <w:p>
      <w:pPr>
        <w:pageBreakBefore w:val="0"/>
        <w:widowControl w:val="0"/>
        <w:kinsoku/>
        <w:wordWrap/>
        <w:overflowPunct w:val="0"/>
        <w:topLinePunct/>
        <w:autoSpaceDE/>
        <w:bidi w:val="0"/>
        <w:spacing w:line="480" w:lineRule="exact"/>
        <w:ind w:firstLine="480"/>
        <w:rPr>
          <w:rFonts w:hint="default" w:ascii="Arial" w:hAnsi="Arial" w:eastAsia="宋体" w:cs="Arial"/>
          <w:color w:val="auto"/>
          <w:highlight w:val="none"/>
        </w:rPr>
      </w:pPr>
      <w:r>
        <w:rPr>
          <w:rFonts w:hint="default" w:ascii="Arial" w:hAnsi="Arial" w:eastAsia="宋体" w:cs="Arial"/>
          <w:color w:val="auto"/>
          <w:highlight w:val="none"/>
          <w:lang w:eastAsia="zh-CN"/>
        </w:rPr>
        <w:t>（</w:t>
      </w:r>
      <w:r>
        <w:rPr>
          <w:rFonts w:hint="default" w:ascii="Arial" w:hAnsi="Arial" w:eastAsia="宋体" w:cs="Arial"/>
          <w:color w:val="auto"/>
          <w:highlight w:val="none"/>
          <w:lang w:val="en-US" w:eastAsia="zh-CN"/>
        </w:rPr>
        <w:t>1</w:t>
      </w:r>
      <w:r>
        <w:rPr>
          <w:rFonts w:hint="default" w:ascii="Arial" w:hAnsi="Arial" w:eastAsia="宋体" w:cs="Arial"/>
          <w:color w:val="auto"/>
          <w:highlight w:val="none"/>
          <w:lang w:eastAsia="zh-CN"/>
        </w:rPr>
        <w:t>）</w:t>
      </w:r>
      <w:r>
        <w:rPr>
          <w:rFonts w:hint="default" w:ascii="Arial" w:hAnsi="Arial" w:eastAsia="宋体" w:cs="Arial"/>
          <w:color w:val="auto"/>
          <w:highlight w:val="none"/>
        </w:rPr>
        <w:t>危险物质数量与临界量比值（Q）</w:t>
      </w:r>
    </w:p>
    <w:p>
      <w:pPr>
        <w:pageBreakBefore w:val="0"/>
        <w:widowControl w:val="0"/>
        <w:kinsoku/>
        <w:wordWrap/>
        <w:overflowPunct w:val="0"/>
        <w:topLinePunct/>
        <w:autoSpaceDE/>
        <w:bidi w:val="0"/>
        <w:spacing w:line="480" w:lineRule="exact"/>
        <w:ind w:firstLine="480"/>
        <w:rPr>
          <w:rFonts w:hint="default" w:ascii="Arial" w:hAnsi="Arial" w:eastAsia="宋体" w:cs="Arial"/>
          <w:color w:val="auto"/>
          <w:highlight w:val="none"/>
        </w:rPr>
      </w:pPr>
      <w:r>
        <w:rPr>
          <w:rFonts w:hint="default" w:ascii="Arial" w:hAnsi="Arial" w:eastAsia="宋体" w:cs="Arial"/>
          <w:color w:val="auto"/>
          <w:highlight w:val="none"/>
        </w:rPr>
        <w:t>根据《建设项目环境风险评价技术导则》（HJ169-2018）附录B，本项目涉及的危险物质在厂界内的最大存在总量与附录B 中对应临界量的比值情况。</w:t>
      </w:r>
    </w:p>
    <w:p>
      <w:pPr>
        <w:pageBreakBefore w:val="0"/>
        <w:widowControl w:val="0"/>
        <w:kinsoku/>
        <w:wordWrap/>
        <w:overflowPunct w:val="0"/>
        <w:topLinePunct/>
        <w:autoSpaceDE/>
        <w:bidi w:val="0"/>
        <w:spacing w:line="480" w:lineRule="exact"/>
        <w:ind w:firstLine="480"/>
        <w:rPr>
          <w:rFonts w:hint="default" w:ascii="Arial" w:hAnsi="Arial" w:eastAsia="宋体" w:cs="Arial"/>
          <w:color w:val="auto"/>
          <w:highlight w:val="none"/>
        </w:rPr>
      </w:pPr>
      <w:r>
        <w:rPr>
          <w:rFonts w:hint="default" w:ascii="Arial" w:hAnsi="Arial" w:eastAsia="宋体" w:cs="Arial"/>
          <w:color w:val="auto"/>
          <w:highlight w:val="none"/>
        </w:rPr>
        <w:t>涉及多种危险物质，按下式计算物质总量与其临界量比值（Q）。</w:t>
      </w:r>
    </w:p>
    <w:p>
      <w:pPr>
        <w:pageBreakBefore w:val="0"/>
        <w:widowControl w:val="0"/>
        <w:kinsoku/>
        <w:wordWrap/>
        <w:overflowPunct w:val="0"/>
        <w:topLinePunct/>
        <w:autoSpaceDE/>
        <w:bidi w:val="0"/>
        <w:spacing w:line="480" w:lineRule="exact"/>
        <w:ind w:firstLine="0" w:firstLineChars="0"/>
        <w:jc w:val="center"/>
        <w:rPr>
          <w:rFonts w:hint="default" w:ascii="Arial" w:hAnsi="Arial" w:eastAsia="宋体" w:cs="Arial"/>
          <w:color w:val="auto"/>
          <w:highlight w:val="none"/>
        </w:rPr>
      </w:pPr>
      <w:r>
        <w:rPr>
          <w:rFonts w:hint="default" w:ascii="Arial" w:hAnsi="Arial" w:eastAsia="宋体" w:cs="Arial"/>
          <w:color w:val="auto"/>
          <w:highlight w:val="none"/>
        </w:rPr>
        <w:drawing>
          <wp:inline distT="0" distB="0" distL="0" distR="0">
            <wp:extent cx="1440815" cy="431165"/>
            <wp:effectExtent l="0" t="0" r="0" b="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a:xfrm>
                      <a:off x="0" y="0"/>
                      <a:ext cx="1440815" cy="431165"/>
                    </a:xfrm>
                    <a:prstGeom prst="rect">
                      <a:avLst/>
                    </a:prstGeom>
                    <a:noFill/>
                    <a:ln>
                      <a:noFill/>
                    </a:ln>
                  </pic:spPr>
                </pic:pic>
              </a:graphicData>
            </a:graphic>
          </wp:inline>
        </w:drawing>
      </w:r>
    </w:p>
    <w:p>
      <w:pPr>
        <w:pageBreakBefore w:val="0"/>
        <w:widowControl w:val="0"/>
        <w:kinsoku/>
        <w:wordWrap/>
        <w:overflowPunct w:val="0"/>
        <w:topLinePunct/>
        <w:autoSpaceDE/>
        <w:bidi w:val="0"/>
        <w:spacing w:line="480" w:lineRule="exact"/>
        <w:ind w:firstLine="480"/>
        <w:rPr>
          <w:rFonts w:hint="default" w:ascii="Arial" w:hAnsi="Arial" w:eastAsia="宋体" w:cs="Arial"/>
          <w:color w:val="auto"/>
          <w:highlight w:val="none"/>
        </w:rPr>
      </w:pPr>
      <w:r>
        <w:rPr>
          <w:rFonts w:hint="default" w:ascii="Arial" w:hAnsi="Arial" w:eastAsia="宋体" w:cs="Arial"/>
          <w:color w:val="auto"/>
          <w:highlight w:val="none"/>
        </w:rPr>
        <w:t>式中：</w:t>
      </w:r>
    </w:p>
    <w:p>
      <w:pPr>
        <w:pageBreakBefore w:val="0"/>
        <w:widowControl w:val="0"/>
        <w:kinsoku/>
        <w:wordWrap/>
        <w:overflowPunct w:val="0"/>
        <w:topLinePunct/>
        <w:autoSpaceDE/>
        <w:bidi w:val="0"/>
        <w:spacing w:line="480" w:lineRule="exact"/>
        <w:ind w:firstLine="480"/>
        <w:rPr>
          <w:rFonts w:hint="default" w:ascii="Arial" w:hAnsi="Arial" w:eastAsia="宋体" w:cs="Arial"/>
          <w:color w:val="auto"/>
          <w:highlight w:val="none"/>
        </w:rPr>
      </w:pPr>
      <w:r>
        <w:rPr>
          <w:rFonts w:hint="default" w:ascii="Arial" w:hAnsi="Arial" w:eastAsia="宋体" w:cs="Arial"/>
          <w:color w:val="auto"/>
          <w:highlight w:val="none"/>
        </w:rPr>
        <w:t>q</w:t>
      </w:r>
      <w:r>
        <w:rPr>
          <w:rFonts w:hint="default" w:ascii="Arial" w:hAnsi="Arial" w:eastAsia="宋体" w:cs="Arial"/>
          <w:color w:val="auto"/>
          <w:highlight w:val="none"/>
          <w:vertAlign w:val="subscript"/>
        </w:rPr>
        <w:t>1</w:t>
      </w:r>
      <w:r>
        <w:rPr>
          <w:rFonts w:hint="default" w:ascii="Arial" w:hAnsi="Arial" w:eastAsia="宋体" w:cs="Arial"/>
          <w:color w:val="auto"/>
          <w:highlight w:val="none"/>
        </w:rPr>
        <w:t>、q</w:t>
      </w:r>
      <w:r>
        <w:rPr>
          <w:rFonts w:hint="default" w:ascii="Arial" w:hAnsi="Arial" w:eastAsia="宋体" w:cs="Arial"/>
          <w:color w:val="auto"/>
          <w:highlight w:val="none"/>
          <w:vertAlign w:val="subscript"/>
        </w:rPr>
        <w:t>2</w:t>
      </w:r>
      <w:r>
        <w:rPr>
          <w:rFonts w:hint="default" w:ascii="Arial" w:hAnsi="Arial" w:eastAsia="宋体" w:cs="Arial"/>
          <w:color w:val="auto"/>
          <w:highlight w:val="none"/>
        </w:rPr>
        <w:t>、q</w:t>
      </w:r>
      <w:r>
        <w:rPr>
          <w:rFonts w:hint="default" w:ascii="Arial" w:hAnsi="Arial" w:eastAsia="宋体" w:cs="Arial"/>
          <w:color w:val="auto"/>
          <w:highlight w:val="none"/>
          <w:vertAlign w:val="subscript"/>
        </w:rPr>
        <w:t>n</w:t>
      </w:r>
      <w:r>
        <w:rPr>
          <w:rFonts w:hint="default" w:ascii="Arial" w:hAnsi="Arial" w:eastAsia="宋体" w:cs="Arial"/>
          <w:color w:val="auto"/>
          <w:highlight w:val="none"/>
        </w:rPr>
        <w:t>——每种危险物质的最大存在总量，t；</w:t>
      </w:r>
    </w:p>
    <w:p>
      <w:pPr>
        <w:pageBreakBefore w:val="0"/>
        <w:widowControl w:val="0"/>
        <w:kinsoku/>
        <w:wordWrap/>
        <w:overflowPunct w:val="0"/>
        <w:topLinePunct/>
        <w:autoSpaceDE/>
        <w:bidi w:val="0"/>
        <w:spacing w:line="480" w:lineRule="exact"/>
        <w:ind w:firstLine="480"/>
        <w:rPr>
          <w:rFonts w:hint="default" w:ascii="Arial" w:hAnsi="Arial" w:eastAsia="宋体" w:cs="Arial"/>
          <w:color w:val="auto"/>
          <w:highlight w:val="none"/>
        </w:rPr>
      </w:pPr>
      <w:r>
        <w:rPr>
          <w:rFonts w:hint="default" w:ascii="Arial" w:hAnsi="Arial" w:eastAsia="宋体" w:cs="Arial"/>
          <w:color w:val="auto"/>
          <w:highlight w:val="none"/>
        </w:rPr>
        <w:t>Q</w:t>
      </w:r>
      <w:r>
        <w:rPr>
          <w:rFonts w:hint="default" w:ascii="Arial" w:hAnsi="Arial" w:eastAsia="宋体" w:cs="Arial"/>
          <w:color w:val="auto"/>
          <w:highlight w:val="none"/>
          <w:vertAlign w:val="subscript"/>
        </w:rPr>
        <w:t>1</w:t>
      </w:r>
      <w:r>
        <w:rPr>
          <w:rFonts w:hint="default" w:ascii="Arial" w:hAnsi="Arial" w:eastAsia="宋体" w:cs="Arial"/>
          <w:color w:val="auto"/>
          <w:highlight w:val="none"/>
        </w:rPr>
        <w:t>、Q</w:t>
      </w:r>
      <w:r>
        <w:rPr>
          <w:rFonts w:hint="default" w:ascii="Arial" w:hAnsi="Arial" w:eastAsia="宋体" w:cs="Arial"/>
          <w:color w:val="auto"/>
          <w:highlight w:val="none"/>
          <w:vertAlign w:val="subscript"/>
        </w:rPr>
        <w:t>2</w:t>
      </w:r>
      <w:r>
        <w:rPr>
          <w:rFonts w:hint="default" w:ascii="Arial" w:hAnsi="Arial" w:eastAsia="宋体" w:cs="Arial"/>
          <w:color w:val="auto"/>
          <w:highlight w:val="none"/>
        </w:rPr>
        <w:t>、Q</w:t>
      </w:r>
      <w:r>
        <w:rPr>
          <w:rFonts w:hint="default" w:ascii="Arial" w:hAnsi="Arial" w:eastAsia="宋体" w:cs="Arial"/>
          <w:color w:val="auto"/>
          <w:highlight w:val="none"/>
          <w:vertAlign w:val="subscript"/>
        </w:rPr>
        <w:t>n</w:t>
      </w:r>
      <w:r>
        <w:rPr>
          <w:rFonts w:hint="default" w:ascii="Arial" w:hAnsi="Arial" w:eastAsia="宋体" w:cs="Arial"/>
          <w:color w:val="auto"/>
          <w:highlight w:val="none"/>
        </w:rPr>
        <w:t>——每种危险物质的临界量，t。</w:t>
      </w:r>
    </w:p>
    <w:p>
      <w:pPr>
        <w:pageBreakBefore w:val="0"/>
        <w:widowControl w:val="0"/>
        <w:kinsoku/>
        <w:wordWrap/>
        <w:overflowPunct w:val="0"/>
        <w:topLinePunct/>
        <w:autoSpaceDE/>
        <w:bidi w:val="0"/>
        <w:spacing w:line="480" w:lineRule="exact"/>
        <w:ind w:firstLine="480"/>
        <w:rPr>
          <w:rFonts w:hint="default" w:ascii="Arial" w:hAnsi="Arial" w:eastAsia="宋体" w:cs="Arial"/>
          <w:color w:val="auto"/>
          <w:highlight w:val="none"/>
        </w:rPr>
      </w:pPr>
      <w:r>
        <w:rPr>
          <w:rFonts w:hint="default" w:ascii="Arial" w:hAnsi="Arial" w:eastAsia="宋体" w:cs="Arial"/>
          <w:color w:val="auto"/>
          <w:highlight w:val="none"/>
        </w:rPr>
        <w:t>当Q＜1时，该项目环境风险潜势为I。</w:t>
      </w:r>
    </w:p>
    <w:p>
      <w:pPr>
        <w:pageBreakBefore w:val="0"/>
        <w:widowControl w:val="0"/>
        <w:kinsoku/>
        <w:wordWrap/>
        <w:overflowPunct w:val="0"/>
        <w:topLinePunct/>
        <w:autoSpaceDE/>
        <w:bidi w:val="0"/>
        <w:spacing w:line="480" w:lineRule="exact"/>
        <w:ind w:firstLine="480"/>
        <w:rPr>
          <w:rFonts w:hint="default" w:ascii="Arial" w:hAnsi="Arial" w:eastAsia="宋体" w:cs="Arial"/>
          <w:color w:val="auto"/>
          <w:highlight w:val="none"/>
        </w:rPr>
      </w:pPr>
      <w:r>
        <w:rPr>
          <w:rFonts w:hint="default" w:ascii="Arial" w:hAnsi="Arial" w:eastAsia="宋体" w:cs="Arial"/>
          <w:color w:val="auto"/>
          <w:highlight w:val="none"/>
        </w:rPr>
        <w:t>当Q≥1时，将Q值划分为：（1）1≤Q＜10；（2）10≤Q＜100；（3）Q≥100。</w:t>
      </w:r>
    </w:p>
    <w:p>
      <w:pPr>
        <w:pageBreakBefore w:val="0"/>
        <w:widowControl w:val="0"/>
        <w:kinsoku/>
        <w:wordWrap/>
        <w:topLinePunct/>
        <w:bidi w:val="0"/>
        <w:spacing w:line="480" w:lineRule="exact"/>
        <w:ind w:firstLine="480"/>
        <w:rPr>
          <w:rFonts w:hint="default" w:ascii="Arial" w:hAnsi="Arial" w:eastAsia="宋体" w:cs="Arial"/>
          <w:color w:val="auto"/>
          <w:highlight w:val="none"/>
          <w:shd w:val="clear" w:color="auto" w:fill="FFFFFF"/>
        </w:rPr>
      </w:pPr>
      <w:r>
        <w:rPr>
          <w:rFonts w:hint="default" w:ascii="Arial" w:hAnsi="Arial" w:eastAsia="宋体" w:cs="Arial"/>
          <w:color w:val="auto"/>
          <w:highlight w:val="none"/>
        </w:rPr>
        <w:t>项目不涉及《建设项目环境风险评价技术导则》（HJ169-2018）附录B突发环境风险物质，Q＜1时，该项目环境风险潜势为I</w:t>
      </w:r>
      <w:r>
        <w:rPr>
          <w:rFonts w:hint="default" w:ascii="Arial" w:hAnsi="Arial" w:eastAsia="宋体" w:cs="Arial"/>
          <w:color w:val="auto"/>
          <w:highlight w:val="none"/>
          <w:shd w:val="clear" w:color="auto" w:fill="FFFFFF"/>
        </w:rPr>
        <w:t>。</w:t>
      </w:r>
    </w:p>
    <w:p>
      <w:pPr>
        <w:pStyle w:val="6"/>
        <w:pageBreakBefore w:val="0"/>
        <w:widowControl w:val="0"/>
        <w:kinsoku/>
        <w:wordWrap/>
        <w:topLinePunct/>
        <w:bidi w:val="0"/>
        <w:spacing w:line="480" w:lineRule="exact"/>
        <w:rPr>
          <w:rFonts w:hint="default" w:ascii="Arial" w:hAnsi="Arial" w:eastAsia="宋体" w:cs="Arial"/>
          <w:color w:val="auto"/>
          <w:highlight w:val="none"/>
        </w:rPr>
      </w:pPr>
      <w:bookmarkStart w:id="439" w:name="_Toc405365980"/>
      <w:bookmarkStart w:id="440" w:name="_Toc489892353"/>
      <w:bookmarkStart w:id="441" w:name="_Toc6648"/>
      <w:bookmarkStart w:id="442" w:name="_Toc492626842"/>
      <w:bookmarkStart w:id="443" w:name="_Toc17106563"/>
      <w:bookmarkStart w:id="444" w:name="_Toc8146"/>
      <w:r>
        <w:rPr>
          <w:rFonts w:hint="default" w:ascii="Arial" w:hAnsi="Arial" w:eastAsia="宋体" w:cs="Arial"/>
          <w:color w:val="auto"/>
          <w:highlight w:val="none"/>
        </w:rPr>
        <w:t>6.3.2环境影响评价等级</w:t>
      </w:r>
      <w:bookmarkEnd w:id="439"/>
      <w:bookmarkEnd w:id="440"/>
      <w:bookmarkEnd w:id="441"/>
      <w:bookmarkEnd w:id="442"/>
      <w:bookmarkEnd w:id="443"/>
      <w:r>
        <w:rPr>
          <w:rFonts w:hint="default" w:ascii="Arial" w:hAnsi="Arial" w:eastAsia="宋体" w:cs="Arial"/>
          <w:color w:val="auto"/>
          <w:highlight w:val="none"/>
        </w:rPr>
        <w:t>及评价范围</w:t>
      </w:r>
      <w:bookmarkEnd w:id="444"/>
    </w:p>
    <w:p>
      <w:pPr>
        <w:pageBreakBefore w:val="0"/>
        <w:widowControl w:val="0"/>
        <w:kinsoku/>
        <w:wordWrap/>
        <w:overflowPunct w:val="0"/>
        <w:topLinePunct/>
        <w:autoSpaceDE/>
        <w:bidi w:val="0"/>
        <w:spacing w:line="480" w:lineRule="exact"/>
        <w:ind w:firstLine="480"/>
        <w:rPr>
          <w:rFonts w:hint="default" w:ascii="Arial" w:hAnsi="Arial" w:eastAsia="宋体" w:cs="Arial"/>
          <w:color w:val="auto"/>
          <w:highlight w:val="none"/>
        </w:rPr>
      </w:pPr>
      <w:r>
        <w:rPr>
          <w:rFonts w:hint="default" w:ascii="Arial" w:hAnsi="Arial" w:eastAsia="宋体" w:cs="Arial"/>
          <w:color w:val="auto"/>
          <w:highlight w:val="none"/>
        </w:rPr>
        <w:t>根据《建设项目环境风险评价技术导则》（HJ169-2018），环境风险评价工作等级划分为一级、二级、三级、简单分析。根据建设项目涉及的物质及工艺系统危险性和所在地的环境敏感性确定环境风险潜势，按照下表确定评价工作等级。</w:t>
      </w:r>
    </w:p>
    <w:p>
      <w:pPr>
        <w:pStyle w:val="8"/>
        <w:pageBreakBefore w:val="0"/>
        <w:widowControl w:val="0"/>
        <w:kinsoku/>
        <w:wordWrap/>
        <w:topLinePunct/>
        <w:bidi w:val="0"/>
        <w:spacing w:line="480" w:lineRule="exact"/>
        <w:rPr>
          <w:rFonts w:hint="default" w:ascii="Arial" w:hAnsi="Arial" w:eastAsia="宋体" w:cs="Arial"/>
          <w:color w:val="auto"/>
          <w:highlight w:val="none"/>
        </w:rPr>
      </w:pPr>
      <w:r>
        <w:rPr>
          <w:rFonts w:hint="default" w:ascii="Arial" w:hAnsi="Arial" w:eastAsia="宋体" w:cs="Arial"/>
          <w:color w:val="auto"/>
          <w:highlight w:val="none"/>
        </w:rPr>
        <w:t>表6.3-1    环境风险评价工作等级划分表</w:t>
      </w:r>
    </w:p>
    <w:tbl>
      <w:tblPr>
        <w:tblStyle w:val="39"/>
        <w:tblW w:w="9070"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512"/>
        <w:gridCol w:w="1663"/>
        <w:gridCol w:w="1965"/>
        <w:gridCol w:w="2267"/>
        <w:gridCol w:w="1663"/>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12" w:type="dxa"/>
            <w:tcMar>
              <w:left w:w="0" w:type="dxa"/>
              <w:right w:w="0" w:type="dxa"/>
            </w:tcMar>
            <w:vAlign w:val="center"/>
          </w:tcPr>
          <w:p>
            <w:pPr>
              <w:pStyle w:val="63"/>
              <w:pageBreakBefore w:val="0"/>
              <w:widowControl w:val="0"/>
              <w:kinsoku/>
              <w:wordWrap/>
              <w:topLinePunct/>
              <w:bidi w:val="0"/>
              <w:spacing w:line="480" w:lineRule="exact"/>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环境风险潜势</w:t>
            </w:r>
          </w:p>
        </w:tc>
        <w:tc>
          <w:tcPr>
            <w:tcW w:w="1663" w:type="dxa"/>
            <w:tcMar>
              <w:left w:w="0" w:type="dxa"/>
              <w:right w:w="0" w:type="dxa"/>
            </w:tcMar>
            <w:vAlign w:val="center"/>
          </w:tcPr>
          <w:p>
            <w:pPr>
              <w:pStyle w:val="63"/>
              <w:pageBreakBefore w:val="0"/>
              <w:widowControl w:val="0"/>
              <w:kinsoku/>
              <w:wordWrap/>
              <w:topLinePunct/>
              <w:bidi w:val="0"/>
              <w:spacing w:line="480" w:lineRule="exact"/>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fldChar w:fldCharType="begin"/>
            </w:r>
            <w:r>
              <w:rPr>
                <w:rFonts w:hint="default" w:ascii="Arial" w:hAnsi="Arial" w:eastAsia="宋体" w:cs="Arial"/>
                <w:color w:val="auto"/>
                <w:sz w:val="21"/>
                <w:szCs w:val="21"/>
                <w:highlight w:val="none"/>
              </w:rPr>
              <w:instrText xml:space="preserve"> = 4 \* ROMAN \* MERGEFORMAT </w:instrText>
            </w:r>
            <w:r>
              <w:rPr>
                <w:rFonts w:hint="default" w:ascii="Arial" w:hAnsi="Arial" w:eastAsia="宋体" w:cs="Arial"/>
                <w:color w:val="auto"/>
                <w:sz w:val="21"/>
                <w:szCs w:val="21"/>
                <w:highlight w:val="none"/>
              </w:rPr>
              <w:fldChar w:fldCharType="separate"/>
            </w:r>
            <w:r>
              <w:rPr>
                <w:rFonts w:hint="default" w:ascii="Arial" w:hAnsi="Arial" w:eastAsia="宋体" w:cs="Arial"/>
                <w:color w:val="auto"/>
                <w:sz w:val="21"/>
                <w:szCs w:val="21"/>
                <w:highlight w:val="none"/>
              </w:rPr>
              <w:t>IV</w:t>
            </w:r>
            <w:r>
              <w:rPr>
                <w:rFonts w:hint="default" w:ascii="Arial" w:hAnsi="Arial" w:eastAsia="宋体" w:cs="Arial"/>
                <w:color w:val="auto"/>
                <w:sz w:val="21"/>
                <w:szCs w:val="21"/>
                <w:highlight w:val="none"/>
              </w:rPr>
              <w:fldChar w:fldCharType="end"/>
            </w:r>
            <w:r>
              <w:rPr>
                <w:rFonts w:hint="default" w:ascii="Arial" w:hAnsi="Arial" w:eastAsia="宋体" w:cs="Arial"/>
                <w:color w:val="auto"/>
                <w:sz w:val="21"/>
                <w:szCs w:val="21"/>
                <w:highlight w:val="none"/>
              </w:rPr>
              <w:t>、</w:t>
            </w:r>
            <w:r>
              <w:rPr>
                <w:rFonts w:hint="default" w:ascii="Arial" w:hAnsi="Arial" w:eastAsia="宋体" w:cs="Arial"/>
                <w:color w:val="auto"/>
                <w:sz w:val="21"/>
                <w:szCs w:val="21"/>
                <w:highlight w:val="none"/>
              </w:rPr>
              <w:fldChar w:fldCharType="begin"/>
            </w:r>
            <w:r>
              <w:rPr>
                <w:rFonts w:hint="default" w:ascii="Arial" w:hAnsi="Arial" w:eastAsia="宋体" w:cs="Arial"/>
                <w:color w:val="auto"/>
                <w:sz w:val="21"/>
                <w:szCs w:val="21"/>
                <w:highlight w:val="none"/>
              </w:rPr>
              <w:instrText xml:space="preserve"> = 4 \* ROMAN \* MERGEFORMAT </w:instrText>
            </w:r>
            <w:r>
              <w:rPr>
                <w:rFonts w:hint="default" w:ascii="Arial" w:hAnsi="Arial" w:eastAsia="宋体" w:cs="Arial"/>
                <w:color w:val="auto"/>
                <w:sz w:val="21"/>
                <w:szCs w:val="21"/>
                <w:highlight w:val="none"/>
              </w:rPr>
              <w:fldChar w:fldCharType="separate"/>
            </w:r>
            <w:r>
              <w:rPr>
                <w:rFonts w:hint="default" w:ascii="Arial" w:hAnsi="Arial" w:eastAsia="宋体" w:cs="Arial"/>
                <w:color w:val="auto"/>
                <w:sz w:val="21"/>
                <w:szCs w:val="21"/>
                <w:highlight w:val="none"/>
              </w:rPr>
              <w:t>IV</w:t>
            </w:r>
            <w:r>
              <w:rPr>
                <w:rFonts w:hint="default" w:ascii="Arial" w:hAnsi="Arial" w:eastAsia="宋体" w:cs="Arial"/>
                <w:color w:val="auto"/>
                <w:sz w:val="21"/>
                <w:szCs w:val="21"/>
                <w:highlight w:val="none"/>
              </w:rPr>
              <w:fldChar w:fldCharType="end"/>
            </w:r>
            <w:r>
              <w:rPr>
                <w:rFonts w:hint="default" w:ascii="Arial" w:hAnsi="Arial" w:eastAsia="宋体" w:cs="Arial"/>
                <w:color w:val="auto"/>
                <w:sz w:val="21"/>
                <w:szCs w:val="21"/>
                <w:highlight w:val="none"/>
              </w:rPr>
              <w:t>+</w:t>
            </w:r>
          </w:p>
        </w:tc>
        <w:tc>
          <w:tcPr>
            <w:tcW w:w="1965" w:type="dxa"/>
            <w:tcMar>
              <w:left w:w="0" w:type="dxa"/>
              <w:right w:w="0" w:type="dxa"/>
            </w:tcMar>
            <w:vAlign w:val="center"/>
          </w:tcPr>
          <w:p>
            <w:pPr>
              <w:pStyle w:val="63"/>
              <w:pageBreakBefore w:val="0"/>
              <w:widowControl w:val="0"/>
              <w:kinsoku/>
              <w:wordWrap/>
              <w:topLinePunct/>
              <w:bidi w:val="0"/>
              <w:spacing w:line="480" w:lineRule="exact"/>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fldChar w:fldCharType="begin"/>
            </w:r>
            <w:r>
              <w:rPr>
                <w:rFonts w:hint="default" w:ascii="Arial" w:hAnsi="Arial" w:eastAsia="宋体" w:cs="Arial"/>
                <w:color w:val="auto"/>
                <w:sz w:val="21"/>
                <w:szCs w:val="21"/>
                <w:highlight w:val="none"/>
              </w:rPr>
              <w:instrText xml:space="preserve"> = 3 \* ROMAN \* MERGEFORMAT </w:instrText>
            </w:r>
            <w:r>
              <w:rPr>
                <w:rFonts w:hint="default" w:ascii="Arial" w:hAnsi="Arial" w:eastAsia="宋体" w:cs="Arial"/>
                <w:color w:val="auto"/>
                <w:sz w:val="21"/>
                <w:szCs w:val="21"/>
                <w:highlight w:val="none"/>
              </w:rPr>
              <w:fldChar w:fldCharType="separate"/>
            </w:r>
            <w:r>
              <w:rPr>
                <w:rFonts w:hint="default" w:ascii="Arial" w:hAnsi="Arial" w:eastAsia="宋体" w:cs="Arial"/>
                <w:color w:val="auto"/>
                <w:sz w:val="21"/>
                <w:szCs w:val="21"/>
                <w:highlight w:val="none"/>
              </w:rPr>
              <w:t>III</w:t>
            </w:r>
            <w:r>
              <w:rPr>
                <w:rFonts w:hint="default" w:ascii="Arial" w:hAnsi="Arial" w:eastAsia="宋体" w:cs="Arial"/>
                <w:color w:val="auto"/>
                <w:sz w:val="21"/>
                <w:szCs w:val="21"/>
                <w:highlight w:val="none"/>
              </w:rPr>
              <w:fldChar w:fldCharType="end"/>
            </w:r>
          </w:p>
        </w:tc>
        <w:tc>
          <w:tcPr>
            <w:tcW w:w="2267" w:type="dxa"/>
            <w:tcMar>
              <w:left w:w="0" w:type="dxa"/>
              <w:right w:w="0" w:type="dxa"/>
            </w:tcMar>
            <w:vAlign w:val="center"/>
          </w:tcPr>
          <w:p>
            <w:pPr>
              <w:pStyle w:val="63"/>
              <w:pageBreakBefore w:val="0"/>
              <w:widowControl w:val="0"/>
              <w:kinsoku/>
              <w:wordWrap/>
              <w:topLinePunct/>
              <w:bidi w:val="0"/>
              <w:spacing w:line="480" w:lineRule="exact"/>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fldChar w:fldCharType="begin"/>
            </w:r>
            <w:r>
              <w:rPr>
                <w:rFonts w:hint="default" w:ascii="Arial" w:hAnsi="Arial" w:eastAsia="宋体" w:cs="Arial"/>
                <w:color w:val="auto"/>
                <w:sz w:val="21"/>
                <w:szCs w:val="21"/>
                <w:highlight w:val="none"/>
              </w:rPr>
              <w:instrText xml:space="preserve"> = 2 \* ROMAN \* MERGEFORMAT </w:instrText>
            </w:r>
            <w:r>
              <w:rPr>
                <w:rFonts w:hint="default" w:ascii="Arial" w:hAnsi="Arial" w:eastAsia="宋体" w:cs="Arial"/>
                <w:color w:val="auto"/>
                <w:sz w:val="21"/>
                <w:szCs w:val="21"/>
                <w:highlight w:val="none"/>
              </w:rPr>
              <w:fldChar w:fldCharType="separate"/>
            </w:r>
            <w:r>
              <w:rPr>
                <w:rFonts w:hint="default" w:ascii="Arial" w:hAnsi="Arial" w:eastAsia="宋体" w:cs="Arial"/>
                <w:color w:val="auto"/>
                <w:sz w:val="21"/>
                <w:szCs w:val="21"/>
                <w:highlight w:val="none"/>
              </w:rPr>
              <w:t>II</w:t>
            </w:r>
            <w:r>
              <w:rPr>
                <w:rFonts w:hint="default" w:ascii="Arial" w:hAnsi="Arial" w:eastAsia="宋体" w:cs="Arial"/>
                <w:color w:val="auto"/>
                <w:sz w:val="21"/>
                <w:szCs w:val="21"/>
                <w:highlight w:val="none"/>
              </w:rPr>
              <w:fldChar w:fldCharType="end"/>
            </w:r>
          </w:p>
        </w:tc>
        <w:tc>
          <w:tcPr>
            <w:tcW w:w="1663" w:type="dxa"/>
            <w:tcMar>
              <w:left w:w="0" w:type="dxa"/>
              <w:right w:w="0" w:type="dxa"/>
            </w:tcMar>
            <w:vAlign w:val="center"/>
          </w:tcPr>
          <w:p>
            <w:pPr>
              <w:pStyle w:val="63"/>
              <w:pageBreakBefore w:val="0"/>
              <w:widowControl w:val="0"/>
              <w:kinsoku/>
              <w:wordWrap/>
              <w:topLinePunct/>
              <w:bidi w:val="0"/>
              <w:spacing w:line="480" w:lineRule="exact"/>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fldChar w:fldCharType="begin"/>
            </w:r>
            <w:r>
              <w:rPr>
                <w:rFonts w:hint="default" w:ascii="Arial" w:hAnsi="Arial" w:eastAsia="宋体" w:cs="Arial"/>
                <w:color w:val="auto"/>
                <w:sz w:val="21"/>
                <w:szCs w:val="21"/>
                <w:highlight w:val="none"/>
              </w:rPr>
              <w:instrText xml:space="preserve"> = 1 \* ROMAN \* MERGEFORMAT </w:instrText>
            </w:r>
            <w:r>
              <w:rPr>
                <w:rFonts w:hint="default" w:ascii="Arial" w:hAnsi="Arial" w:eastAsia="宋体" w:cs="Arial"/>
                <w:color w:val="auto"/>
                <w:sz w:val="21"/>
                <w:szCs w:val="21"/>
                <w:highlight w:val="none"/>
              </w:rPr>
              <w:fldChar w:fldCharType="separate"/>
            </w:r>
            <w:r>
              <w:rPr>
                <w:rFonts w:hint="default" w:ascii="Arial" w:hAnsi="Arial" w:eastAsia="宋体" w:cs="Arial"/>
                <w:color w:val="auto"/>
                <w:sz w:val="21"/>
                <w:szCs w:val="21"/>
                <w:highlight w:val="none"/>
              </w:rPr>
              <w:t>I</w:t>
            </w:r>
            <w:r>
              <w:rPr>
                <w:rFonts w:hint="default" w:ascii="Arial" w:hAnsi="Arial" w:eastAsia="宋体" w:cs="Arial"/>
                <w:color w:val="auto"/>
                <w:sz w:val="21"/>
                <w:szCs w:val="21"/>
                <w:highlight w:val="none"/>
              </w:rPr>
              <w:fldChar w:fldCharType="end"/>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12" w:type="dxa"/>
            <w:tcMar>
              <w:left w:w="0" w:type="dxa"/>
              <w:right w:w="0" w:type="dxa"/>
            </w:tcMar>
            <w:vAlign w:val="center"/>
          </w:tcPr>
          <w:p>
            <w:pPr>
              <w:pStyle w:val="63"/>
              <w:pageBreakBefore w:val="0"/>
              <w:widowControl w:val="0"/>
              <w:kinsoku/>
              <w:wordWrap/>
              <w:topLinePunct/>
              <w:bidi w:val="0"/>
              <w:spacing w:line="480" w:lineRule="exact"/>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评价工作等级</w:t>
            </w:r>
          </w:p>
        </w:tc>
        <w:tc>
          <w:tcPr>
            <w:tcW w:w="1663" w:type="dxa"/>
            <w:tcMar>
              <w:left w:w="0" w:type="dxa"/>
              <w:right w:w="0" w:type="dxa"/>
            </w:tcMar>
            <w:vAlign w:val="center"/>
          </w:tcPr>
          <w:p>
            <w:pPr>
              <w:pStyle w:val="63"/>
              <w:pageBreakBefore w:val="0"/>
              <w:widowControl w:val="0"/>
              <w:kinsoku/>
              <w:wordWrap/>
              <w:topLinePunct/>
              <w:bidi w:val="0"/>
              <w:spacing w:line="480" w:lineRule="exact"/>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一</w:t>
            </w:r>
          </w:p>
        </w:tc>
        <w:tc>
          <w:tcPr>
            <w:tcW w:w="1965" w:type="dxa"/>
            <w:tcMar>
              <w:left w:w="0" w:type="dxa"/>
              <w:right w:w="0" w:type="dxa"/>
            </w:tcMar>
            <w:vAlign w:val="center"/>
          </w:tcPr>
          <w:p>
            <w:pPr>
              <w:pStyle w:val="63"/>
              <w:pageBreakBefore w:val="0"/>
              <w:widowControl w:val="0"/>
              <w:kinsoku/>
              <w:wordWrap/>
              <w:topLinePunct/>
              <w:bidi w:val="0"/>
              <w:spacing w:line="480" w:lineRule="exact"/>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二</w:t>
            </w:r>
          </w:p>
        </w:tc>
        <w:tc>
          <w:tcPr>
            <w:tcW w:w="2267" w:type="dxa"/>
            <w:tcMar>
              <w:left w:w="0" w:type="dxa"/>
              <w:right w:w="0" w:type="dxa"/>
            </w:tcMar>
            <w:vAlign w:val="center"/>
          </w:tcPr>
          <w:p>
            <w:pPr>
              <w:pStyle w:val="63"/>
              <w:pageBreakBefore w:val="0"/>
              <w:widowControl w:val="0"/>
              <w:kinsoku/>
              <w:wordWrap/>
              <w:topLinePunct/>
              <w:bidi w:val="0"/>
              <w:spacing w:line="480" w:lineRule="exact"/>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三</w:t>
            </w:r>
          </w:p>
        </w:tc>
        <w:tc>
          <w:tcPr>
            <w:tcW w:w="1663" w:type="dxa"/>
            <w:tcMar>
              <w:left w:w="0" w:type="dxa"/>
              <w:right w:w="0" w:type="dxa"/>
            </w:tcMar>
            <w:vAlign w:val="center"/>
          </w:tcPr>
          <w:p>
            <w:pPr>
              <w:pStyle w:val="63"/>
              <w:pageBreakBefore w:val="0"/>
              <w:widowControl w:val="0"/>
              <w:kinsoku/>
              <w:wordWrap/>
              <w:topLinePunct/>
              <w:bidi w:val="0"/>
              <w:spacing w:line="480" w:lineRule="exact"/>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简单分析</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070" w:type="dxa"/>
            <w:gridSpan w:val="5"/>
            <w:tcMar>
              <w:left w:w="0" w:type="dxa"/>
              <w:right w:w="0" w:type="dxa"/>
            </w:tcMar>
            <w:vAlign w:val="center"/>
          </w:tcPr>
          <w:p>
            <w:pPr>
              <w:pStyle w:val="63"/>
              <w:pageBreakBefore w:val="0"/>
              <w:widowControl w:val="0"/>
              <w:kinsoku/>
              <w:wordWrap/>
              <w:topLinePunct/>
              <w:bidi w:val="0"/>
              <w:spacing w:line="480" w:lineRule="exact"/>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简单分析是相对于详细评价工作内容而言，在描述危险物质、环境影响途径、环境危害后果、风险防范措施等方面给出定性的说明</w:t>
            </w:r>
          </w:p>
        </w:tc>
      </w:tr>
      <w:bookmarkEnd w:id="426"/>
    </w:tbl>
    <w:p>
      <w:pPr>
        <w:pageBreakBefore w:val="0"/>
        <w:widowControl w:val="0"/>
        <w:kinsoku/>
        <w:wordWrap/>
        <w:topLinePunct/>
        <w:bidi w:val="0"/>
        <w:spacing w:line="480" w:lineRule="exact"/>
        <w:ind w:firstLine="480"/>
        <w:rPr>
          <w:rFonts w:hint="default" w:ascii="Arial" w:hAnsi="Arial" w:eastAsia="宋体" w:cs="Arial"/>
          <w:color w:val="auto"/>
          <w:highlight w:val="none"/>
        </w:rPr>
      </w:pPr>
      <w:r>
        <w:rPr>
          <w:rFonts w:hint="default" w:ascii="Arial" w:hAnsi="Arial" w:eastAsia="宋体" w:cs="Arial"/>
          <w:color w:val="auto"/>
          <w:highlight w:val="none"/>
        </w:rPr>
        <w:t>由上表可知，本项目环境风险潜势I级，本次环境风险评价等级为简单分析，不设评价范围。根据《建设项目环境风险评价技术导则》（HJ 169-2018）“简单分析是相对于详细评价工作内容而言，在描述危险物质、环境影响途径、环境危害后果、风险防范措施等方面给出定性的说明。</w:t>
      </w:r>
    </w:p>
    <w:p>
      <w:pPr>
        <w:pStyle w:val="5"/>
        <w:pageBreakBefore w:val="0"/>
        <w:widowControl w:val="0"/>
        <w:kinsoku/>
        <w:wordWrap/>
        <w:topLinePunct/>
        <w:bidi w:val="0"/>
        <w:spacing w:line="480" w:lineRule="exact"/>
        <w:rPr>
          <w:rFonts w:hint="default" w:ascii="Arial" w:hAnsi="Arial" w:eastAsia="宋体" w:cs="Arial"/>
          <w:color w:val="auto"/>
          <w:highlight w:val="none"/>
        </w:rPr>
      </w:pPr>
      <w:bookmarkStart w:id="445" w:name="_Toc30830"/>
      <w:r>
        <w:rPr>
          <w:rFonts w:hint="default" w:ascii="Arial" w:hAnsi="Arial" w:eastAsia="宋体" w:cs="Arial"/>
          <w:color w:val="auto"/>
          <w:highlight w:val="none"/>
        </w:rPr>
        <w:t>6.4环境风险分析</w:t>
      </w:r>
      <w:bookmarkEnd w:id="445"/>
    </w:p>
    <w:p>
      <w:pPr>
        <w:pStyle w:val="6"/>
        <w:pageBreakBefore w:val="0"/>
        <w:widowControl w:val="0"/>
        <w:kinsoku/>
        <w:wordWrap/>
        <w:topLinePunct/>
        <w:bidi w:val="0"/>
        <w:spacing w:line="480" w:lineRule="exact"/>
        <w:rPr>
          <w:rFonts w:hint="default" w:ascii="Arial" w:hAnsi="Arial" w:eastAsia="宋体" w:cs="Arial"/>
          <w:color w:val="auto"/>
          <w:highlight w:val="none"/>
        </w:rPr>
      </w:pPr>
      <w:bookmarkStart w:id="446" w:name="_Toc492626837"/>
      <w:bookmarkStart w:id="447" w:name="_Toc919"/>
      <w:bookmarkStart w:id="448" w:name="_Toc405365975"/>
      <w:bookmarkStart w:id="449" w:name="_Toc489892348"/>
      <w:bookmarkStart w:id="450" w:name="_Toc17106565"/>
      <w:bookmarkStart w:id="451" w:name="_Toc3748"/>
      <w:r>
        <w:rPr>
          <w:rFonts w:hint="default" w:ascii="Arial" w:hAnsi="Arial" w:eastAsia="宋体" w:cs="Arial"/>
          <w:color w:val="auto"/>
          <w:highlight w:val="none"/>
        </w:rPr>
        <w:t>6.4.1物质危险性识别</w:t>
      </w:r>
      <w:bookmarkEnd w:id="446"/>
      <w:bookmarkEnd w:id="447"/>
      <w:bookmarkEnd w:id="448"/>
      <w:bookmarkEnd w:id="449"/>
      <w:bookmarkEnd w:id="450"/>
      <w:bookmarkEnd w:id="451"/>
    </w:p>
    <w:p>
      <w:pPr>
        <w:pageBreakBefore w:val="0"/>
        <w:widowControl w:val="0"/>
        <w:kinsoku/>
        <w:wordWrap/>
        <w:overflowPunct w:val="0"/>
        <w:topLinePunct/>
        <w:autoSpaceDE/>
        <w:bidi w:val="0"/>
        <w:spacing w:line="480" w:lineRule="exact"/>
        <w:ind w:firstLine="480"/>
        <w:rPr>
          <w:rFonts w:hint="default" w:ascii="Arial" w:hAnsi="Arial" w:eastAsia="宋体" w:cs="Arial"/>
          <w:color w:val="auto"/>
          <w:highlight w:val="none"/>
        </w:rPr>
      </w:pPr>
      <w:r>
        <w:rPr>
          <w:rFonts w:hint="default" w:ascii="Arial" w:hAnsi="Arial" w:eastAsia="宋体" w:cs="Arial"/>
          <w:color w:val="auto"/>
          <w:highlight w:val="none"/>
        </w:rPr>
        <w:t>根据工程分析，项目所使用的原辅材料不属于《建设项目环境风险评价技术导则》（HJ 169-2018）附录B内重点关注的危险物质。</w:t>
      </w:r>
    </w:p>
    <w:p>
      <w:pPr>
        <w:pStyle w:val="6"/>
        <w:pageBreakBefore w:val="0"/>
        <w:widowControl w:val="0"/>
        <w:kinsoku/>
        <w:wordWrap/>
        <w:topLinePunct/>
        <w:bidi w:val="0"/>
        <w:spacing w:line="480" w:lineRule="exact"/>
        <w:rPr>
          <w:rFonts w:hint="default" w:ascii="Arial" w:hAnsi="Arial" w:eastAsia="宋体" w:cs="Arial"/>
          <w:color w:val="auto"/>
          <w:highlight w:val="none"/>
        </w:rPr>
      </w:pPr>
      <w:bookmarkStart w:id="452" w:name="_Toc5077"/>
      <w:bookmarkStart w:id="453" w:name="_Toc19642"/>
      <w:bookmarkStart w:id="454" w:name="_Toc17106568"/>
      <w:r>
        <w:rPr>
          <w:rFonts w:hint="default" w:ascii="Arial" w:hAnsi="Arial" w:eastAsia="宋体" w:cs="Arial"/>
          <w:color w:val="auto"/>
          <w:highlight w:val="none"/>
        </w:rPr>
        <w:t>6.4.2生产系统危险性识别</w:t>
      </w:r>
      <w:bookmarkEnd w:id="452"/>
    </w:p>
    <w:p>
      <w:pPr>
        <w:pageBreakBefore w:val="0"/>
        <w:widowControl w:val="0"/>
        <w:kinsoku/>
        <w:wordWrap/>
        <w:topLinePunct/>
        <w:bidi w:val="0"/>
        <w:spacing w:line="480" w:lineRule="exact"/>
        <w:ind w:firstLine="480"/>
        <w:rPr>
          <w:rFonts w:hint="default" w:ascii="Arial" w:hAnsi="Arial" w:eastAsia="宋体" w:cs="Arial"/>
          <w:color w:val="auto"/>
          <w:highlight w:val="none"/>
        </w:rPr>
      </w:pPr>
      <w:bookmarkStart w:id="455" w:name="_Toc18033"/>
      <w:r>
        <w:rPr>
          <w:rFonts w:hint="default" w:ascii="Arial" w:hAnsi="Arial" w:eastAsia="宋体" w:cs="Arial"/>
          <w:color w:val="auto"/>
          <w:highlight w:val="none"/>
        </w:rPr>
        <w:t>污染单元</w:t>
      </w:r>
      <w:r>
        <w:rPr>
          <w:rFonts w:hint="default" w:ascii="Arial" w:hAnsi="Arial" w:eastAsia="宋体" w:cs="Arial"/>
          <w:color w:val="auto"/>
          <w:highlight w:val="none"/>
          <w:lang w:eastAsia="zh-CN"/>
        </w:rPr>
        <w:t>堆肥场</w:t>
      </w:r>
      <w:r>
        <w:rPr>
          <w:rFonts w:hint="default" w:ascii="Arial" w:hAnsi="Arial" w:eastAsia="宋体" w:cs="Arial"/>
          <w:color w:val="auto"/>
          <w:highlight w:val="none"/>
        </w:rPr>
        <w:t>的硬化地面、防渗设置出现破损，出现污水渗漏的情况。</w:t>
      </w:r>
    </w:p>
    <w:p>
      <w:pPr>
        <w:pageBreakBefore w:val="0"/>
        <w:widowControl w:val="0"/>
        <w:kinsoku/>
        <w:wordWrap/>
        <w:topLinePunct/>
        <w:bidi w:val="0"/>
        <w:spacing w:line="480" w:lineRule="exact"/>
        <w:ind w:firstLine="480"/>
        <w:rPr>
          <w:rFonts w:hint="default" w:ascii="Arial" w:hAnsi="Arial" w:eastAsia="宋体" w:cs="Arial"/>
          <w:color w:val="auto"/>
          <w:highlight w:val="none"/>
        </w:rPr>
      </w:pPr>
      <w:r>
        <w:rPr>
          <w:rFonts w:hint="default" w:ascii="Arial" w:hAnsi="Arial" w:eastAsia="宋体" w:cs="Arial"/>
          <w:color w:val="auto"/>
          <w:highlight w:val="none"/>
        </w:rPr>
        <w:t>针对养殖企业的一些养殖区、</w:t>
      </w:r>
      <w:r>
        <w:rPr>
          <w:rFonts w:hint="default" w:ascii="Arial" w:hAnsi="Arial" w:eastAsia="宋体" w:cs="Arial"/>
          <w:color w:val="auto"/>
          <w:highlight w:val="none"/>
          <w:lang w:eastAsia="zh-CN"/>
        </w:rPr>
        <w:t>堆肥场</w:t>
      </w:r>
      <w:r>
        <w:rPr>
          <w:rFonts w:hint="default" w:ascii="Arial" w:hAnsi="Arial" w:eastAsia="宋体" w:cs="Arial"/>
          <w:color w:val="auto"/>
          <w:highlight w:val="none"/>
        </w:rPr>
        <w:t>等场地发生硬化面破损，即使物料或</w:t>
      </w:r>
      <w:r>
        <w:rPr>
          <w:rFonts w:hint="default" w:ascii="Arial" w:hAnsi="Arial" w:eastAsia="宋体" w:cs="Arial"/>
          <w:color w:val="auto"/>
          <w:highlight w:val="none"/>
          <w:lang w:eastAsia="zh-CN"/>
        </w:rPr>
        <w:t>尿液</w:t>
      </w:r>
      <w:r>
        <w:rPr>
          <w:rFonts w:hint="default" w:ascii="Arial" w:hAnsi="Arial" w:eastAsia="宋体" w:cs="Arial"/>
          <w:color w:val="auto"/>
          <w:highlight w:val="none"/>
        </w:rPr>
        <w:t>等泄漏，对地下水造成潜在危害这一现象，按照目前的管理规范，必须及时采取措施，防止物料或污水漫流渗漏，且在建设中，应针对不同区域采取相应的防治措施。对于泄漏初期短时间物料暴露而污染的少量土壤，则会通过挖出进行处置，以免其渗入地下水。</w:t>
      </w:r>
    </w:p>
    <w:p>
      <w:pPr>
        <w:pageBreakBefore w:val="0"/>
        <w:widowControl w:val="0"/>
        <w:kinsoku/>
        <w:wordWrap/>
        <w:topLinePunct/>
        <w:bidi w:val="0"/>
        <w:spacing w:line="480" w:lineRule="exact"/>
        <w:ind w:firstLine="480"/>
        <w:rPr>
          <w:rFonts w:hint="default" w:ascii="Arial" w:hAnsi="Arial" w:eastAsia="宋体" w:cs="Arial"/>
          <w:color w:val="auto"/>
          <w:highlight w:val="none"/>
        </w:rPr>
      </w:pPr>
      <w:r>
        <w:rPr>
          <w:rFonts w:hint="default" w:ascii="Arial" w:hAnsi="Arial" w:eastAsia="宋体" w:cs="Arial"/>
          <w:color w:val="auto"/>
          <w:highlight w:val="none"/>
        </w:rPr>
        <w:t>在项目</w:t>
      </w:r>
      <w:r>
        <w:rPr>
          <w:rFonts w:hint="default" w:ascii="Arial" w:hAnsi="Arial" w:eastAsia="宋体" w:cs="Arial"/>
          <w:color w:val="auto"/>
          <w:highlight w:val="none"/>
          <w:lang w:eastAsia="zh-CN"/>
        </w:rPr>
        <w:t>化粪池</w:t>
      </w:r>
      <w:r>
        <w:rPr>
          <w:rFonts w:hint="default" w:ascii="Arial" w:hAnsi="Arial" w:eastAsia="宋体" w:cs="Arial"/>
          <w:color w:val="auto"/>
          <w:highlight w:val="none"/>
        </w:rPr>
        <w:t>等污染单元等这些半地下水非可视部位发生渗漏时，才可能有污染物通过漏点，逐步渗入包气带并可能进入地下水。</w:t>
      </w:r>
    </w:p>
    <w:p>
      <w:pPr>
        <w:pageBreakBefore w:val="0"/>
        <w:widowControl w:val="0"/>
        <w:kinsoku/>
        <w:wordWrap/>
        <w:topLinePunct/>
        <w:bidi w:val="0"/>
        <w:spacing w:line="480" w:lineRule="exact"/>
        <w:ind w:firstLine="480"/>
        <w:rPr>
          <w:rFonts w:hint="default" w:ascii="Arial" w:hAnsi="Arial" w:eastAsia="宋体" w:cs="Arial"/>
          <w:color w:val="auto"/>
          <w:highlight w:val="none"/>
        </w:rPr>
      </w:pPr>
      <w:r>
        <w:rPr>
          <w:rFonts w:hint="default" w:ascii="Arial" w:hAnsi="Arial" w:eastAsia="宋体" w:cs="Arial"/>
          <w:color w:val="auto"/>
          <w:highlight w:val="none"/>
        </w:rPr>
        <w:t>由地下水预测结果可知，在发生意外泄漏事故的情况下，在非正常情况下，污染物泄漏量增加，但只要防渗措施不出现问题，对地下水造成污染的风险较低，如果叠加出现防渗层破损情况，则对</w:t>
      </w:r>
      <w:r>
        <w:rPr>
          <w:rFonts w:hint="default" w:ascii="Arial" w:hAnsi="Arial" w:eastAsia="宋体" w:cs="Arial"/>
          <w:color w:val="auto"/>
          <w:highlight w:val="none"/>
          <w:lang w:eastAsia="zh-CN"/>
        </w:rPr>
        <w:t>堆肥场</w:t>
      </w:r>
      <w:r>
        <w:rPr>
          <w:rFonts w:hint="default" w:ascii="Arial" w:hAnsi="Arial" w:eastAsia="宋体" w:cs="Arial"/>
          <w:color w:val="auto"/>
          <w:highlight w:val="none"/>
        </w:rPr>
        <w:t>附近地下水造成影响，污染风险较大。由预测结果可知，增加防渗设施后能有效地降低对地下水环境的影响。因此，应对厂区内实施严格的防渗、建立完善的地下水监测系统，强化地下水应急排水措施。当发生污染物泄露事故后，必须立即启动应急预案，参照预测结果，分析污染事故的发展趋势，并提出下一步预防和防治措施，迅速控制或切断事件灾害链，对污水进行封闭、截流，抽出污水送污水处理场集中处理，使污染地下水扩散得到有效抑制，最大限度地保护下游地下水水质安全，将损失降到最低限度。根据建设项目的生产特征，结合物质危险性识别，对项目功能系统划分功能单元，确定潜在的危险单元及重点风险源。</w:t>
      </w:r>
    </w:p>
    <w:bookmarkEnd w:id="455"/>
    <w:p>
      <w:pPr>
        <w:pStyle w:val="5"/>
        <w:pageBreakBefore w:val="0"/>
        <w:widowControl w:val="0"/>
        <w:kinsoku/>
        <w:wordWrap/>
        <w:topLinePunct/>
        <w:bidi w:val="0"/>
        <w:spacing w:line="480" w:lineRule="exact"/>
        <w:rPr>
          <w:rFonts w:hint="default" w:ascii="Arial" w:hAnsi="Arial" w:eastAsia="宋体" w:cs="Arial"/>
          <w:color w:val="auto"/>
          <w:highlight w:val="none"/>
        </w:rPr>
      </w:pPr>
      <w:bookmarkStart w:id="456" w:name="_Toc29941"/>
      <w:r>
        <w:rPr>
          <w:rFonts w:hint="default" w:ascii="Arial" w:hAnsi="Arial" w:eastAsia="宋体" w:cs="Arial"/>
          <w:color w:val="auto"/>
          <w:highlight w:val="none"/>
        </w:rPr>
        <w:t>6.5风险事故情形分析</w:t>
      </w:r>
      <w:bookmarkEnd w:id="456"/>
    </w:p>
    <w:p>
      <w:pPr>
        <w:keepNext w:val="0"/>
        <w:keepLines w:val="0"/>
        <w:pageBreakBefore w:val="0"/>
        <w:widowControl w:val="0"/>
        <w:kinsoku/>
        <w:wordWrap/>
        <w:overflowPunct/>
        <w:topLinePunct/>
        <w:autoSpaceDE w:val="0"/>
        <w:autoSpaceDN w:val="0"/>
        <w:bidi w:val="0"/>
        <w:adjustRightInd w:val="0"/>
        <w:spacing w:line="480" w:lineRule="exact"/>
        <w:ind w:firstLine="480" w:firstLineChars="200"/>
        <w:textAlignment w:val="auto"/>
        <w:rPr>
          <w:rFonts w:hint="default" w:ascii="Arial" w:hAnsi="Arial" w:eastAsia="宋体" w:cs="Arial"/>
          <w:color w:val="auto"/>
          <w:kern w:val="0"/>
          <w:sz w:val="24"/>
          <w:szCs w:val="24"/>
        </w:rPr>
      </w:pPr>
      <w:r>
        <w:rPr>
          <w:rFonts w:hint="default" w:ascii="Arial" w:hAnsi="Arial" w:eastAsia="宋体" w:cs="Arial"/>
          <w:color w:val="auto"/>
          <w:kern w:val="0"/>
          <w:sz w:val="24"/>
          <w:szCs w:val="24"/>
        </w:rPr>
        <w:t>造成火灾的原因，纵然是多种多样的，但最本质的条件不外是可燃物、火源和足够的氧气。对</w:t>
      </w:r>
      <w:r>
        <w:rPr>
          <w:rFonts w:hint="default" w:ascii="Arial" w:hAnsi="Arial" w:eastAsia="宋体" w:cs="Arial"/>
          <w:color w:val="auto"/>
          <w:kern w:val="0"/>
          <w:sz w:val="24"/>
          <w:szCs w:val="24"/>
          <w:lang w:eastAsia="zh-CN"/>
        </w:rPr>
        <w:t>饲草料库房</w:t>
      </w:r>
      <w:r>
        <w:rPr>
          <w:rFonts w:hint="default" w:ascii="Arial" w:hAnsi="Arial" w:eastAsia="宋体" w:cs="Arial"/>
          <w:color w:val="auto"/>
          <w:kern w:val="0"/>
          <w:sz w:val="24"/>
          <w:szCs w:val="24"/>
        </w:rPr>
        <w:t>来说，饲料粉尘的引爆具有最大的破坏威力。</w:t>
      </w:r>
    </w:p>
    <w:p>
      <w:pPr>
        <w:keepNext w:val="0"/>
        <w:keepLines w:val="0"/>
        <w:pageBreakBefore w:val="0"/>
        <w:widowControl w:val="0"/>
        <w:kinsoku/>
        <w:wordWrap/>
        <w:overflowPunct/>
        <w:topLinePunct/>
        <w:autoSpaceDE w:val="0"/>
        <w:autoSpaceDN w:val="0"/>
        <w:bidi w:val="0"/>
        <w:adjustRightInd w:val="0"/>
        <w:spacing w:line="480" w:lineRule="exact"/>
        <w:ind w:firstLine="480" w:firstLineChars="200"/>
        <w:textAlignment w:val="auto"/>
        <w:rPr>
          <w:rFonts w:hint="default" w:ascii="Arial" w:hAnsi="Arial" w:eastAsia="宋体" w:cs="Arial"/>
          <w:color w:val="auto"/>
          <w:kern w:val="0"/>
          <w:sz w:val="24"/>
          <w:szCs w:val="24"/>
        </w:rPr>
      </w:pPr>
      <w:r>
        <w:rPr>
          <w:rFonts w:hint="default" w:ascii="Arial" w:hAnsi="Arial" w:eastAsia="宋体" w:cs="Arial"/>
          <w:color w:val="auto"/>
          <w:kern w:val="0"/>
          <w:sz w:val="24"/>
          <w:szCs w:val="24"/>
        </w:rPr>
        <w:t>可燃物粉尘的爆炸浓度有一个区段，不同物质粉尘的爆炸浓度有不同的上下限。粮食类粉尘的最小爆炸浓度为55g/m</w:t>
      </w:r>
      <w:r>
        <w:rPr>
          <w:rFonts w:hint="default" w:ascii="Arial" w:hAnsi="Arial" w:eastAsia="宋体" w:cs="Arial"/>
          <w:color w:val="auto"/>
          <w:kern w:val="0"/>
          <w:sz w:val="24"/>
          <w:szCs w:val="24"/>
          <w:vertAlign w:val="superscript"/>
        </w:rPr>
        <w:t>3</w:t>
      </w:r>
      <w:r>
        <w:rPr>
          <w:rFonts w:hint="default" w:ascii="Arial" w:hAnsi="Arial" w:eastAsia="宋体" w:cs="Arial"/>
          <w:color w:val="auto"/>
          <w:kern w:val="0"/>
          <w:sz w:val="24"/>
          <w:szCs w:val="24"/>
        </w:rPr>
        <w:t>左右，最大爆炸压力约9.2kg/cm</w:t>
      </w:r>
      <w:r>
        <w:rPr>
          <w:rFonts w:hint="default" w:ascii="Arial" w:hAnsi="Arial" w:eastAsia="宋体" w:cs="Arial"/>
          <w:color w:val="auto"/>
          <w:kern w:val="0"/>
          <w:sz w:val="24"/>
          <w:szCs w:val="24"/>
          <w:vertAlign w:val="superscript"/>
        </w:rPr>
        <w:t>3</w:t>
      </w:r>
      <w:r>
        <w:rPr>
          <w:rFonts w:hint="default" w:ascii="Arial" w:hAnsi="Arial" w:eastAsia="宋体" w:cs="Arial"/>
          <w:color w:val="auto"/>
          <w:kern w:val="0"/>
          <w:sz w:val="24"/>
          <w:szCs w:val="24"/>
        </w:rPr>
        <w:t>左右，压力最大升高率为9.2kg/cm</w:t>
      </w:r>
      <w:r>
        <w:rPr>
          <w:rFonts w:hint="default" w:ascii="Arial" w:hAnsi="Arial" w:eastAsia="宋体" w:cs="Arial"/>
          <w:color w:val="auto"/>
          <w:kern w:val="0"/>
          <w:sz w:val="24"/>
          <w:szCs w:val="24"/>
          <w:vertAlign w:val="superscript"/>
        </w:rPr>
        <w:t>2</w:t>
      </w:r>
      <w:r>
        <w:rPr>
          <w:rFonts w:hint="default" w:ascii="Arial" w:hAnsi="Arial" w:eastAsia="宋体" w:cs="Arial"/>
          <w:color w:val="auto"/>
          <w:kern w:val="0"/>
          <w:sz w:val="24"/>
          <w:szCs w:val="24"/>
        </w:rPr>
        <w:t>s，燃点大约为400~600℃，最小点火能量40~160mJ。</w:t>
      </w:r>
    </w:p>
    <w:p>
      <w:pPr>
        <w:keepNext w:val="0"/>
        <w:keepLines w:val="0"/>
        <w:pageBreakBefore w:val="0"/>
        <w:widowControl w:val="0"/>
        <w:kinsoku/>
        <w:wordWrap/>
        <w:overflowPunct/>
        <w:topLinePunct/>
        <w:autoSpaceDE w:val="0"/>
        <w:autoSpaceDN w:val="0"/>
        <w:bidi w:val="0"/>
        <w:adjustRightInd w:val="0"/>
        <w:spacing w:line="480" w:lineRule="exact"/>
        <w:ind w:firstLine="480" w:firstLineChars="200"/>
        <w:textAlignment w:val="auto"/>
        <w:rPr>
          <w:rFonts w:hint="default" w:ascii="Arial" w:hAnsi="Arial" w:eastAsia="宋体" w:cs="Arial"/>
          <w:color w:val="auto"/>
          <w:kern w:val="0"/>
          <w:sz w:val="24"/>
          <w:szCs w:val="24"/>
        </w:rPr>
      </w:pPr>
      <w:r>
        <w:rPr>
          <w:rFonts w:hint="default" w:ascii="Arial" w:hAnsi="Arial" w:eastAsia="宋体" w:cs="Arial"/>
          <w:color w:val="auto"/>
          <w:kern w:val="0"/>
          <w:sz w:val="24"/>
          <w:szCs w:val="24"/>
        </w:rPr>
        <w:t>火源常见的有：摩擦过热，金属撞击火花，静电放电，电器触头闪火，灯具积尘燃烧，积粮自燃，以及外来明火等。</w:t>
      </w:r>
    </w:p>
    <w:p>
      <w:pPr>
        <w:keepNext w:val="0"/>
        <w:keepLines w:val="0"/>
        <w:pageBreakBefore w:val="0"/>
        <w:widowControl w:val="0"/>
        <w:kinsoku/>
        <w:wordWrap/>
        <w:overflowPunct/>
        <w:topLinePunct/>
        <w:autoSpaceDE w:val="0"/>
        <w:autoSpaceDN w:val="0"/>
        <w:bidi w:val="0"/>
        <w:adjustRightInd w:val="0"/>
        <w:snapToGrid w:val="0"/>
        <w:spacing w:line="480" w:lineRule="exact"/>
        <w:ind w:firstLine="480" w:firstLineChars="200"/>
        <w:textAlignment w:val="auto"/>
        <w:rPr>
          <w:rFonts w:hint="default" w:ascii="Arial" w:hAnsi="Arial" w:eastAsia="宋体" w:cs="Arial"/>
          <w:color w:val="auto"/>
          <w:kern w:val="0"/>
          <w:sz w:val="24"/>
          <w:szCs w:val="24"/>
        </w:rPr>
      </w:pPr>
      <w:r>
        <w:rPr>
          <w:rFonts w:hint="default" w:ascii="Arial" w:hAnsi="Arial" w:eastAsia="宋体" w:cs="Arial"/>
          <w:color w:val="auto"/>
          <w:kern w:val="0"/>
          <w:sz w:val="24"/>
          <w:szCs w:val="24"/>
        </w:rPr>
        <w:t>建设单位应严格按照国家规范的要求进行设计和建设。在设计和建设过程中要严格按照现行的消防技术规范和标准进行设计、施工。充分考虑建筑物的总体布局、耐火等级、防火间距、防火分区和防火分隔措施，根据仓库的使用性质按规范要求设置火灾自动报警、自动灭火设施，从本质上防止火灾发生和控制灾害的发展。在设计过程中，着眼于物资储存量大和一旦发生火灾就有发生重大火灾的可能，重点规划布置库区的防火间距、消防车道、堆垛组距、垛距等安全间距。同时项目在设计过程中工艺和装置系统应考虑以下方面措施：</w:t>
      </w:r>
    </w:p>
    <w:p>
      <w:pPr>
        <w:keepNext w:val="0"/>
        <w:keepLines w:val="0"/>
        <w:pageBreakBefore w:val="0"/>
        <w:widowControl w:val="0"/>
        <w:kinsoku/>
        <w:wordWrap/>
        <w:overflowPunct/>
        <w:topLinePunct/>
        <w:autoSpaceDE w:val="0"/>
        <w:autoSpaceDN w:val="0"/>
        <w:bidi w:val="0"/>
        <w:adjustRightInd w:val="0"/>
        <w:snapToGrid w:val="0"/>
        <w:spacing w:line="480" w:lineRule="exact"/>
        <w:ind w:firstLine="480" w:firstLineChars="200"/>
        <w:textAlignment w:val="auto"/>
        <w:rPr>
          <w:rFonts w:hint="default" w:ascii="Arial" w:hAnsi="Arial" w:eastAsia="宋体" w:cs="Arial"/>
          <w:color w:val="auto"/>
          <w:kern w:val="0"/>
          <w:sz w:val="24"/>
          <w:szCs w:val="24"/>
        </w:rPr>
      </w:pPr>
      <w:r>
        <w:rPr>
          <w:rFonts w:hint="default" w:ascii="Arial" w:hAnsi="Arial" w:eastAsia="宋体" w:cs="Arial"/>
          <w:color w:val="auto"/>
          <w:kern w:val="0"/>
          <w:sz w:val="24"/>
          <w:szCs w:val="24"/>
        </w:rPr>
        <w:t>（1）饲料搅拌设备要有灵敏度高的过载保护装置，料位自动监视、自动停车、自动切换等控制系统和显示报警装置。</w:t>
      </w:r>
    </w:p>
    <w:p>
      <w:pPr>
        <w:keepNext w:val="0"/>
        <w:keepLines w:val="0"/>
        <w:pageBreakBefore w:val="0"/>
        <w:widowControl w:val="0"/>
        <w:kinsoku/>
        <w:wordWrap/>
        <w:overflowPunct/>
        <w:topLinePunct/>
        <w:autoSpaceDE w:val="0"/>
        <w:autoSpaceDN w:val="0"/>
        <w:bidi w:val="0"/>
        <w:adjustRightInd w:val="0"/>
        <w:snapToGrid w:val="0"/>
        <w:spacing w:line="480" w:lineRule="exact"/>
        <w:ind w:firstLine="480" w:firstLineChars="200"/>
        <w:textAlignment w:val="auto"/>
        <w:rPr>
          <w:rFonts w:hint="default" w:ascii="Arial" w:hAnsi="Arial" w:eastAsia="宋体" w:cs="Arial"/>
          <w:color w:val="auto"/>
          <w:kern w:val="0"/>
          <w:sz w:val="24"/>
          <w:szCs w:val="24"/>
        </w:rPr>
      </w:pPr>
      <w:r>
        <w:rPr>
          <w:rFonts w:hint="default" w:ascii="Arial" w:hAnsi="Arial" w:eastAsia="宋体" w:cs="Arial"/>
          <w:color w:val="auto"/>
          <w:kern w:val="0"/>
          <w:sz w:val="24"/>
          <w:szCs w:val="24"/>
        </w:rPr>
        <w:t>（2）设备和</w:t>
      </w:r>
      <w:r>
        <w:rPr>
          <w:rFonts w:hint="default" w:ascii="Arial" w:hAnsi="Arial" w:eastAsia="宋体" w:cs="Arial"/>
          <w:color w:val="auto"/>
          <w:kern w:val="0"/>
          <w:sz w:val="24"/>
          <w:szCs w:val="24"/>
          <w:lang w:eastAsia="zh-CN"/>
        </w:rPr>
        <w:t>饲草料库房</w:t>
      </w:r>
      <w:r>
        <w:rPr>
          <w:rFonts w:hint="default" w:ascii="Arial" w:hAnsi="Arial" w:eastAsia="宋体" w:cs="Arial"/>
          <w:color w:val="auto"/>
          <w:kern w:val="0"/>
          <w:sz w:val="24"/>
          <w:szCs w:val="24"/>
        </w:rPr>
        <w:t>内应有有效的紧急排气系统，排气系统与每个设备连接，特别是要和搅拌混合机等相连。饲料搅拌站设置布袋除尘器，使操作区的含尘浓度保持在爆炸浓度下限值以下。</w:t>
      </w:r>
    </w:p>
    <w:p>
      <w:pPr>
        <w:keepNext w:val="0"/>
        <w:keepLines w:val="0"/>
        <w:pageBreakBefore w:val="0"/>
        <w:widowControl w:val="0"/>
        <w:kinsoku/>
        <w:wordWrap/>
        <w:overflowPunct/>
        <w:topLinePunct/>
        <w:autoSpaceDE w:val="0"/>
        <w:autoSpaceDN w:val="0"/>
        <w:bidi w:val="0"/>
        <w:adjustRightInd w:val="0"/>
        <w:snapToGrid w:val="0"/>
        <w:spacing w:line="480" w:lineRule="exact"/>
        <w:ind w:firstLine="480" w:firstLineChars="200"/>
        <w:textAlignment w:val="auto"/>
        <w:rPr>
          <w:rFonts w:hint="default" w:ascii="Arial" w:hAnsi="Arial" w:eastAsia="宋体" w:cs="Arial"/>
          <w:color w:val="auto"/>
          <w:kern w:val="0"/>
          <w:sz w:val="24"/>
          <w:szCs w:val="24"/>
        </w:rPr>
      </w:pPr>
      <w:r>
        <w:rPr>
          <w:rFonts w:hint="default" w:ascii="Arial" w:hAnsi="Arial" w:eastAsia="宋体" w:cs="Arial"/>
          <w:color w:val="auto"/>
          <w:kern w:val="0"/>
          <w:sz w:val="24"/>
          <w:szCs w:val="24"/>
        </w:rPr>
        <w:t>（3）设备布局要考虑安全通道，日常生产中要保持通道畅通。</w:t>
      </w:r>
    </w:p>
    <w:p>
      <w:pPr>
        <w:keepNext w:val="0"/>
        <w:keepLines w:val="0"/>
        <w:pageBreakBefore w:val="0"/>
        <w:widowControl w:val="0"/>
        <w:kinsoku/>
        <w:wordWrap/>
        <w:overflowPunct/>
        <w:topLinePunct/>
        <w:autoSpaceDE w:val="0"/>
        <w:autoSpaceDN w:val="0"/>
        <w:bidi w:val="0"/>
        <w:adjustRightInd w:val="0"/>
        <w:snapToGrid w:val="0"/>
        <w:spacing w:line="480" w:lineRule="exact"/>
        <w:ind w:firstLine="480" w:firstLineChars="200"/>
        <w:textAlignment w:val="auto"/>
        <w:rPr>
          <w:rFonts w:hint="default" w:ascii="Arial" w:hAnsi="Arial" w:eastAsia="宋体" w:cs="Arial"/>
          <w:color w:val="auto"/>
          <w:kern w:val="0"/>
          <w:sz w:val="24"/>
          <w:szCs w:val="24"/>
        </w:rPr>
      </w:pPr>
      <w:r>
        <w:rPr>
          <w:rFonts w:hint="default" w:ascii="Arial" w:hAnsi="Arial" w:eastAsia="宋体" w:cs="Arial"/>
          <w:color w:val="auto"/>
          <w:kern w:val="0"/>
          <w:sz w:val="24"/>
          <w:szCs w:val="24"/>
        </w:rPr>
        <w:t>（4）为防静电积聚，输送设备应接地良好。</w:t>
      </w:r>
    </w:p>
    <w:p>
      <w:pPr>
        <w:keepNext w:val="0"/>
        <w:keepLines w:val="0"/>
        <w:pageBreakBefore w:val="0"/>
        <w:widowControl w:val="0"/>
        <w:kinsoku/>
        <w:wordWrap/>
        <w:overflowPunct/>
        <w:topLinePunct/>
        <w:autoSpaceDE w:val="0"/>
        <w:autoSpaceDN w:val="0"/>
        <w:bidi w:val="0"/>
        <w:adjustRightInd w:val="0"/>
        <w:snapToGrid w:val="0"/>
        <w:spacing w:line="480" w:lineRule="exact"/>
        <w:ind w:firstLine="480" w:firstLineChars="200"/>
        <w:textAlignment w:val="auto"/>
        <w:rPr>
          <w:rFonts w:hint="default" w:ascii="Arial" w:hAnsi="Arial" w:eastAsia="宋体" w:cs="Arial"/>
          <w:color w:val="auto"/>
          <w:kern w:val="0"/>
          <w:sz w:val="24"/>
          <w:szCs w:val="24"/>
        </w:rPr>
      </w:pPr>
      <w:r>
        <w:rPr>
          <w:rFonts w:hint="default" w:ascii="Arial" w:hAnsi="Arial" w:eastAsia="宋体" w:cs="Arial"/>
          <w:color w:val="auto"/>
          <w:kern w:val="0"/>
          <w:sz w:val="24"/>
          <w:szCs w:val="24"/>
        </w:rPr>
        <w:t>（5）电机电器和灯具要采用防尘防爆型或封闭式的。</w:t>
      </w:r>
    </w:p>
    <w:p>
      <w:pPr>
        <w:keepNext w:val="0"/>
        <w:keepLines w:val="0"/>
        <w:pageBreakBefore w:val="0"/>
        <w:widowControl w:val="0"/>
        <w:kinsoku/>
        <w:wordWrap/>
        <w:overflowPunct/>
        <w:topLinePunct/>
        <w:autoSpaceDE w:val="0"/>
        <w:autoSpaceDN w:val="0"/>
        <w:bidi w:val="0"/>
        <w:adjustRightInd w:val="0"/>
        <w:snapToGrid w:val="0"/>
        <w:spacing w:line="480" w:lineRule="exact"/>
        <w:ind w:firstLine="480" w:firstLineChars="200"/>
        <w:textAlignment w:val="auto"/>
        <w:rPr>
          <w:rFonts w:hint="default" w:ascii="Arial" w:hAnsi="Arial" w:eastAsia="宋体" w:cs="Arial"/>
          <w:color w:val="auto"/>
          <w:kern w:val="0"/>
          <w:sz w:val="24"/>
          <w:szCs w:val="24"/>
          <w:lang w:eastAsia="zh-CN"/>
        </w:rPr>
      </w:pPr>
      <w:r>
        <w:rPr>
          <w:rFonts w:hint="default" w:ascii="Arial" w:hAnsi="Arial" w:eastAsia="宋体" w:cs="Arial"/>
          <w:color w:val="auto"/>
          <w:kern w:val="0"/>
          <w:sz w:val="24"/>
          <w:szCs w:val="24"/>
        </w:rPr>
        <w:t>（6）要特别注意斗式提升机的防火安全，应使料斗和皮带牢固固定，要有良好的张紧装置和过载保护，避免料斗与机壳摩擦引起火花</w:t>
      </w:r>
      <w:r>
        <w:rPr>
          <w:rFonts w:hint="default" w:ascii="Arial" w:hAnsi="Arial" w:eastAsia="宋体" w:cs="Arial"/>
          <w:color w:val="auto"/>
          <w:kern w:val="0"/>
          <w:sz w:val="24"/>
          <w:szCs w:val="24"/>
          <w:lang w:eastAsia="zh-CN"/>
        </w:rPr>
        <w:t>。</w:t>
      </w:r>
    </w:p>
    <w:p>
      <w:pPr>
        <w:keepNext w:val="0"/>
        <w:keepLines w:val="0"/>
        <w:pageBreakBefore w:val="0"/>
        <w:widowControl w:val="0"/>
        <w:kinsoku/>
        <w:wordWrap/>
        <w:overflowPunct/>
        <w:topLinePunct/>
        <w:autoSpaceDE w:val="0"/>
        <w:autoSpaceDN w:val="0"/>
        <w:bidi w:val="0"/>
        <w:adjustRightInd w:val="0"/>
        <w:snapToGrid w:val="0"/>
        <w:spacing w:line="480" w:lineRule="exact"/>
        <w:ind w:firstLine="480" w:firstLineChars="200"/>
        <w:textAlignment w:val="auto"/>
        <w:rPr>
          <w:rFonts w:hint="default" w:ascii="Arial" w:hAnsi="Arial" w:eastAsia="宋体" w:cs="Arial"/>
          <w:color w:val="auto"/>
          <w:kern w:val="0"/>
          <w:sz w:val="24"/>
          <w:szCs w:val="24"/>
        </w:rPr>
      </w:pPr>
      <w:r>
        <w:rPr>
          <w:rFonts w:hint="default" w:ascii="Arial" w:hAnsi="Arial" w:eastAsia="宋体" w:cs="Arial"/>
          <w:color w:val="auto"/>
          <w:kern w:val="0"/>
          <w:sz w:val="24"/>
          <w:szCs w:val="24"/>
        </w:rPr>
        <w:t>（7）清理去杂系统要设有磁性装置，并使其经常保持有效状态。</w:t>
      </w:r>
    </w:p>
    <w:p>
      <w:pPr>
        <w:keepNext w:val="0"/>
        <w:keepLines w:val="0"/>
        <w:pageBreakBefore w:val="0"/>
        <w:widowControl w:val="0"/>
        <w:kinsoku/>
        <w:wordWrap/>
        <w:overflowPunct/>
        <w:topLinePunct/>
        <w:autoSpaceDE w:val="0"/>
        <w:autoSpaceDN w:val="0"/>
        <w:bidi w:val="0"/>
        <w:adjustRightInd w:val="0"/>
        <w:snapToGrid w:val="0"/>
        <w:spacing w:line="480" w:lineRule="exact"/>
        <w:ind w:firstLine="480" w:firstLineChars="200"/>
        <w:textAlignment w:val="auto"/>
        <w:rPr>
          <w:rFonts w:hint="default" w:ascii="Arial" w:hAnsi="Arial" w:eastAsia="宋体" w:cs="Arial"/>
          <w:color w:val="auto"/>
          <w:kern w:val="0"/>
          <w:sz w:val="24"/>
          <w:szCs w:val="24"/>
        </w:rPr>
      </w:pPr>
      <w:r>
        <w:rPr>
          <w:rFonts w:hint="default" w:ascii="Arial" w:hAnsi="Arial" w:eastAsia="宋体" w:cs="Arial"/>
          <w:color w:val="auto"/>
          <w:kern w:val="0"/>
          <w:sz w:val="24"/>
          <w:szCs w:val="24"/>
        </w:rPr>
        <w:t>（8）整个作业区应装有疏散报警装置，使所有地方的工作人员能听到和看到信号。</w:t>
      </w:r>
    </w:p>
    <w:p>
      <w:pPr>
        <w:keepNext w:val="0"/>
        <w:keepLines w:val="0"/>
        <w:pageBreakBefore w:val="0"/>
        <w:widowControl w:val="0"/>
        <w:kinsoku/>
        <w:wordWrap/>
        <w:overflowPunct/>
        <w:topLinePunct/>
        <w:autoSpaceDE w:val="0"/>
        <w:bidi w:val="0"/>
        <w:spacing w:line="480" w:lineRule="exact"/>
        <w:ind w:firstLine="480"/>
        <w:textAlignment w:val="auto"/>
        <w:rPr>
          <w:rFonts w:hint="default" w:ascii="Arial" w:hAnsi="Arial" w:eastAsia="宋体" w:cs="Arial"/>
          <w:color w:val="auto"/>
          <w:highlight w:val="none"/>
        </w:rPr>
      </w:pPr>
      <w:r>
        <w:rPr>
          <w:rFonts w:hint="default" w:ascii="Arial" w:hAnsi="Arial" w:eastAsia="宋体" w:cs="Arial"/>
          <w:color w:val="auto"/>
          <w:kern w:val="0"/>
          <w:sz w:val="24"/>
          <w:szCs w:val="24"/>
        </w:rPr>
        <w:t>（9）饲草料库房及配套设施的建设应满足建筑安全、设备安全和使用安全的要求</w:t>
      </w:r>
      <w:r>
        <w:rPr>
          <w:rFonts w:hint="default" w:ascii="Arial" w:hAnsi="Arial" w:eastAsia="宋体" w:cs="Arial"/>
          <w:color w:val="auto"/>
          <w:highlight w:val="none"/>
        </w:rPr>
        <w:t>。</w:t>
      </w:r>
    </w:p>
    <w:bookmarkEnd w:id="453"/>
    <w:bookmarkEnd w:id="454"/>
    <w:p>
      <w:pPr>
        <w:pStyle w:val="5"/>
        <w:pageBreakBefore w:val="0"/>
        <w:widowControl w:val="0"/>
        <w:kinsoku/>
        <w:wordWrap/>
        <w:topLinePunct/>
        <w:bidi w:val="0"/>
        <w:spacing w:line="480" w:lineRule="exact"/>
        <w:rPr>
          <w:rFonts w:hint="default" w:ascii="Arial" w:hAnsi="Arial" w:eastAsia="宋体" w:cs="Arial"/>
          <w:color w:val="auto"/>
          <w:highlight w:val="none"/>
        </w:rPr>
      </w:pPr>
      <w:bookmarkStart w:id="457" w:name="_Toc26347"/>
      <w:r>
        <w:rPr>
          <w:rFonts w:hint="default" w:ascii="Arial" w:hAnsi="Arial" w:eastAsia="宋体" w:cs="Arial"/>
          <w:color w:val="auto"/>
          <w:highlight w:val="none"/>
        </w:rPr>
        <w:t>6.6环境风险管理</w:t>
      </w:r>
      <w:bookmarkEnd w:id="457"/>
    </w:p>
    <w:p>
      <w:pPr>
        <w:pStyle w:val="6"/>
        <w:pageBreakBefore w:val="0"/>
        <w:widowControl w:val="0"/>
        <w:kinsoku/>
        <w:wordWrap/>
        <w:topLinePunct/>
        <w:bidi w:val="0"/>
        <w:spacing w:line="480" w:lineRule="exact"/>
        <w:rPr>
          <w:rFonts w:hint="default" w:ascii="Arial" w:hAnsi="Arial" w:eastAsia="宋体" w:cs="Arial"/>
          <w:color w:val="auto"/>
          <w:highlight w:val="none"/>
        </w:rPr>
      </w:pPr>
      <w:bookmarkStart w:id="458" w:name="_Toc23221"/>
      <w:r>
        <w:rPr>
          <w:rFonts w:hint="default" w:ascii="Arial" w:hAnsi="Arial" w:eastAsia="宋体" w:cs="Arial"/>
          <w:color w:val="auto"/>
          <w:highlight w:val="none"/>
        </w:rPr>
        <w:t>6.6.1环境风险防范措施</w:t>
      </w:r>
      <w:bookmarkEnd w:id="458"/>
    </w:p>
    <w:p>
      <w:pPr>
        <w:pStyle w:val="7"/>
        <w:pageBreakBefore w:val="0"/>
        <w:widowControl w:val="0"/>
        <w:kinsoku/>
        <w:wordWrap/>
        <w:topLinePunct/>
        <w:bidi w:val="0"/>
        <w:spacing w:line="480" w:lineRule="exact"/>
        <w:rPr>
          <w:rFonts w:hint="default" w:ascii="Arial" w:hAnsi="Arial" w:eastAsia="宋体" w:cs="Arial"/>
          <w:color w:val="auto"/>
          <w:highlight w:val="none"/>
        </w:rPr>
      </w:pPr>
      <w:r>
        <w:rPr>
          <w:rFonts w:hint="default" w:ascii="Arial" w:hAnsi="Arial" w:eastAsia="宋体" w:cs="Arial"/>
          <w:color w:val="auto"/>
          <w:highlight w:val="none"/>
        </w:rPr>
        <w:t>6.6.1.1废水风险防范措施</w:t>
      </w:r>
    </w:p>
    <w:p>
      <w:pPr>
        <w:pageBreakBefore w:val="0"/>
        <w:widowControl w:val="0"/>
        <w:kinsoku/>
        <w:wordWrap/>
        <w:topLinePunct/>
        <w:bidi w:val="0"/>
        <w:spacing w:line="480" w:lineRule="exact"/>
        <w:ind w:firstLine="480"/>
        <w:rPr>
          <w:rFonts w:hint="default" w:ascii="Arial" w:hAnsi="Arial" w:eastAsia="宋体" w:cs="Arial"/>
          <w:color w:val="auto"/>
          <w:highlight w:val="none"/>
        </w:rPr>
      </w:pPr>
      <w:r>
        <w:rPr>
          <w:rFonts w:hint="default" w:ascii="Arial" w:hAnsi="Arial" w:eastAsia="宋体" w:cs="Arial"/>
          <w:color w:val="auto"/>
          <w:highlight w:val="none"/>
        </w:rPr>
        <w:t>（1）设备、管道设计按有关规定留有满足要求的安全系数，均按规范进行强度实验、严密性测试和防腐措施检验；工程抗震设防烈度8度。采取符合要求的静电、雷击防护措施；</w:t>
      </w:r>
    </w:p>
    <w:p>
      <w:pPr>
        <w:pageBreakBefore w:val="0"/>
        <w:widowControl w:val="0"/>
        <w:kinsoku/>
        <w:wordWrap/>
        <w:topLinePunct/>
        <w:bidi w:val="0"/>
        <w:spacing w:line="480" w:lineRule="exact"/>
        <w:ind w:firstLine="480"/>
        <w:rPr>
          <w:rFonts w:hint="default" w:ascii="Arial" w:hAnsi="Arial" w:eastAsia="宋体" w:cs="Arial"/>
          <w:color w:val="auto"/>
          <w:highlight w:val="none"/>
        </w:rPr>
      </w:pPr>
      <w:r>
        <w:rPr>
          <w:rFonts w:hint="default" w:ascii="Arial" w:hAnsi="Arial" w:eastAsia="宋体" w:cs="Arial"/>
          <w:color w:val="auto"/>
          <w:highlight w:val="none"/>
        </w:rPr>
        <w:t>（2）养殖场的排水系统应实行雨污</w:t>
      </w:r>
      <w:r>
        <w:rPr>
          <w:rFonts w:hint="default" w:ascii="Arial" w:hAnsi="Arial" w:eastAsia="宋体" w:cs="Arial"/>
          <w:color w:val="auto"/>
          <w:highlight w:val="none"/>
          <w:lang w:eastAsia="zh-CN"/>
        </w:rPr>
        <w:t>分流</w:t>
      </w:r>
      <w:r>
        <w:rPr>
          <w:rFonts w:hint="default" w:ascii="Arial" w:hAnsi="Arial" w:eastAsia="宋体" w:cs="Arial"/>
          <w:color w:val="auto"/>
          <w:highlight w:val="none"/>
        </w:rPr>
        <w:t>，</w:t>
      </w:r>
      <w:r>
        <w:rPr>
          <w:rFonts w:hint="default" w:ascii="Arial" w:hAnsi="Arial" w:eastAsia="宋体" w:cs="Arial"/>
          <w:color w:val="auto"/>
          <w:highlight w:val="none"/>
          <w:lang w:eastAsia="zh-CN"/>
        </w:rPr>
        <w:t>牛舍、</w:t>
      </w:r>
      <w:r>
        <w:rPr>
          <w:rFonts w:hint="default" w:ascii="Arial" w:hAnsi="Arial" w:eastAsia="宋体" w:cs="Arial"/>
          <w:color w:val="auto"/>
          <w:highlight w:val="none"/>
        </w:rPr>
        <w:t>运动场、</w:t>
      </w:r>
      <w:r>
        <w:rPr>
          <w:rFonts w:hint="default" w:ascii="Arial" w:hAnsi="Arial" w:eastAsia="宋体" w:cs="Arial"/>
          <w:color w:val="auto"/>
          <w:highlight w:val="none"/>
          <w:lang w:eastAsia="zh-CN"/>
        </w:rPr>
        <w:t>堆肥场</w:t>
      </w:r>
      <w:r>
        <w:rPr>
          <w:rFonts w:hint="default" w:ascii="Arial" w:hAnsi="Arial" w:eastAsia="宋体" w:cs="Arial"/>
          <w:color w:val="auto"/>
          <w:highlight w:val="none"/>
        </w:rPr>
        <w:t>等构筑物周围设置截水沟，防止雨水进入造成溢流污染地下水。</w:t>
      </w:r>
    </w:p>
    <w:p>
      <w:pPr>
        <w:pageBreakBefore w:val="0"/>
        <w:widowControl w:val="0"/>
        <w:kinsoku/>
        <w:wordWrap/>
        <w:topLinePunct/>
        <w:bidi w:val="0"/>
        <w:spacing w:line="480" w:lineRule="exact"/>
        <w:ind w:firstLine="480"/>
        <w:rPr>
          <w:rFonts w:hint="default" w:ascii="Arial" w:hAnsi="Arial" w:eastAsia="宋体" w:cs="Arial"/>
          <w:color w:val="auto"/>
          <w:highlight w:val="none"/>
        </w:rPr>
      </w:pPr>
      <w:r>
        <w:rPr>
          <w:rFonts w:hint="default" w:ascii="Arial" w:hAnsi="Arial" w:eastAsia="宋体" w:cs="Arial"/>
          <w:color w:val="auto"/>
          <w:highlight w:val="none"/>
        </w:rPr>
        <w:t>（3）本项目医疗垃圾暂存间按照《畜禽养殖业污染治理工程技术规范》要求应取防渗措施。具体防渗措施要求如下：</w:t>
      </w:r>
    </w:p>
    <w:p>
      <w:pPr>
        <w:pageBreakBefore w:val="0"/>
        <w:widowControl w:val="0"/>
        <w:kinsoku/>
        <w:wordWrap/>
        <w:topLinePunct/>
        <w:bidi w:val="0"/>
        <w:spacing w:line="480" w:lineRule="exact"/>
        <w:ind w:firstLine="480"/>
        <w:rPr>
          <w:rFonts w:hint="default" w:ascii="Arial" w:hAnsi="Arial" w:eastAsia="宋体" w:cs="Arial"/>
          <w:color w:val="auto"/>
          <w:highlight w:val="none"/>
          <w:lang w:eastAsia="zh-CN"/>
        </w:rPr>
      </w:pPr>
      <w:r>
        <w:rPr>
          <w:rFonts w:hint="default" w:ascii="Arial" w:hAnsi="Arial" w:eastAsia="宋体" w:cs="Arial"/>
          <w:color w:val="auto"/>
          <w:highlight w:val="none"/>
        </w:rPr>
        <w:t>冷藏间</w:t>
      </w:r>
      <w:r>
        <w:rPr>
          <w:rFonts w:hint="default" w:ascii="Arial" w:hAnsi="Arial" w:eastAsia="宋体" w:cs="Arial"/>
          <w:color w:val="auto"/>
          <w:highlight w:val="none"/>
          <w:lang w:eastAsia="zh-CN"/>
        </w:rPr>
        <w:t>、</w:t>
      </w:r>
      <w:r>
        <w:rPr>
          <w:rFonts w:hint="default" w:ascii="Arial" w:hAnsi="Arial" w:eastAsia="宋体" w:cs="Arial"/>
          <w:color w:val="auto"/>
          <w:highlight w:val="none"/>
        </w:rPr>
        <w:t>危险废物暂存间等重点防渗区铺设2mm厚HDPE土工膜进行防渗，</w:t>
      </w:r>
      <w:r>
        <w:rPr>
          <w:rFonts w:hint="default" w:ascii="Arial" w:hAnsi="Arial" w:eastAsia="宋体" w:cs="Arial"/>
          <w:color w:val="auto"/>
          <w:kern w:val="0"/>
          <w:sz w:val="24"/>
          <w:szCs w:val="24"/>
          <w:highlight w:val="none"/>
        </w:rPr>
        <w:t>或参照《环境影响评价技术导则 地下水环境》（HJ610-2016）</w:t>
      </w:r>
      <w:r>
        <w:rPr>
          <w:rFonts w:hint="default" w:ascii="Arial" w:hAnsi="Arial" w:eastAsia="宋体" w:cs="Arial"/>
          <w:color w:val="auto"/>
          <w:sz w:val="24"/>
          <w:szCs w:val="24"/>
          <w:highlight w:val="none"/>
        </w:rPr>
        <w:t>中的相</w:t>
      </w:r>
      <w:r>
        <w:rPr>
          <w:rFonts w:hint="default" w:ascii="Arial" w:hAnsi="Arial" w:eastAsia="宋体" w:cs="Arial"/>
          <w:color w:val="auto"/>
          <w:highlight w:val="none"/>
        </w:rPr>
        <w:t>关要求进行防渗，渗透系数不大于1.0×10</w:t>
      </w:r>
      <w:r>
        <w:rPr>
          <w:rFonts w:hint="default" w:ascii="Arial" w:hAnsi="Arial" w:eastAsia="宋体" w:cs="Arial"/>
          <w:color w:val="auto"/>
          <w:highlight w:val="none"/>
          <w:vertAlign w:val="superscript"/>
        </w:rPr>
        <w:t>-10</w:t>
      </w:r>
      <w:r>
        <w:rPr>
          <w:rFonts w:hint="default" w:ascii="Arial" w:hAnsi="Arial" w:eastAsia="宋体" w:cs="Arial"/>
          <w:color w:val="auto"/>
          <w:highlight w:val="none"/>
        </w:rPr>
        <w:t>cm/s</w:t>
      </w:r>
      <w:r>
        <w:rPr>
          <w:rFonts w:hint="default" w:ascii="Arial" w:hAnsi="Arial" w:eastAsia="宋体" w:cs="Arial"/>
          <w:color w:val="auto"/>
          <w:highlight w:val="none"/>
          <w:lang w:eastAsia="zh-CN"/>
        </w:rPr>
        <w:t>；</w:t>
      </w:r>
    </w:p>
    <w:p>
      <w:pPr>
        <w:pageBreakBefore w:val="0"/>
        <w:widowControl w:val="0"/>
        <w:kinsoku/>
        <w:wordWrap/>
        <w:topLinePunct/>
        <w:bidi w:val="0"/>
        <w:spacing w:line="480" w:lineRule="exact"/>
        <w:ind w:firstLine="480"/>
        <w:rPr>
          <w:rFonts w:hint="default" w:ascii="Arial" w:hAnsi="Arial" w:eastAsia="宋体" w:cs="Arial"/>
          <w:color w:val="auto"/>
          <w:highlight w:val="none"/>
        </w:rPr>
      </w:pPr>
      <w:r>
        <w:rPr>
          <w:rFonts w:hint="default" w:ascii="Arial" w:hAnsi="Arial" w:eastAsia="宋体" w:cs="Arial"/>
          <w:color w:val="auto"/>
          <w:highlight w:val="none"/>
          <w:lang w:eastAsia="zh-CN"/>
        </w:rPr>
        <w:t>堆肥场</w:t>
      </w:r>
      <w:r>
        <w:rPr>
          <w:rFonts w:hint="default" w:ascii="Arial" w:hAnsi="Arial" w:eastAsia="宋体" w:cs="Arial"/>
          <w:color w:val="auto"/>
          <w:highlight w:val="none"/>
        </w:rPr>
        <w:t>、</w:t>
      </w:r>
      <w:r>
        <w:rPr>
          <w:rFonts w:hint="default" w:ascii="Arial" w:hAnsi="Arial" w:eastAsia="宋体" w:cs="Arial"/>
          <w:color w:val="auto"/>
          <w:highlight w:val="none"/>
          <w:lang w:eastAsia="zh-CN"/>
        </w:rPr>
        <w:t>化粪池</w:t>
      </w:r>
      <w:r>
        <w:rPr>
          <w:rFonts w:hint="default" w:ascii="Arial" w:hAnsi="Arial" w:eastAsia="宋体" w:cs="Arial"/>
          <w:color w:val="auto"/>
          <w:highlight w:val="none"/>
        </w:rPr>
        <w:t>等构筑物，均参照《一般工业固体废物贮存、处置场污染控制标准》（GB18599-2001）中的相关要求进行防渗，渗透系数≤1.0×10</w:t>
      </w:r>
      <w:r>
        <w:rPr>
          <w:rFonts w:hint="default" w:ascii="Arial" w:hAnsi="Arial" w:eastAsia="宋体" w:cs="Arial"/>
          <w:color w:val="auto"/>
          <w:highlight w:val="none"/>
          <w:vertAlign w:val="superscript"/>
        </w:rPr>
        <w:t xml:space="preserve"> -7</w:t>
      </w:r>
      <w:r>
        <w:rPr>
          <w:rFonts w:hint="default" w:ascii="Arial" w:hAnsi="Arial" w:eastAsia="宋体" w:cs="Arial"/>
          <w:color w:val="auto"/>
          <w:highlight w:val="none"/>
        </w:rPr>
        <w:t>cm/s；</w:t>
      </w:r>
    </w:p>
    <w:p>
      <w:pPr>
        <w:pageBreakBefore w:val="0"/>
        <w:widowControl w:val="0"/>
        <w:kinsoku/>
        <w:wordWrap/>
        <w:topLinePunct/>
        <w:bidi w:val="0"/>
        <w:spacing w:line="480" w:lineRule="exact"/>
        <w:ind w:firstLine="480"/>
        <w:rPr>
          <w:rFonts w:hint="default" w:ascii="Arial" w:hAnsi="Arial" w:eastAsia="宋体" w:cs="Arial"/>
          <w:color w:val="auto"/>
          <w:highlight w:val="none"/>
        </w:rPr>
      </w:pPr>
      <w:r>
        <w:rPr>
          <w:rFonts w:hint="default" w:ascii="Arial" w:hAnsi="Arial" w:eastAsia="宋体" w:cs="Arial"/>
          <w:color w:val="auto"/>
          <w:highlight w:val="none"/>
        </w:rPr>
        <w:t>（4）根据《环境影响评价技术导则 地下水环境》（HJ610-2016），本项目地下水为三级评价，根据当地水文地质资料，地下水流向为南向北，本项目在厂区</w:t>
      </w:r>
      <w:r>
        <w:rPr>
          <w:rFonts w:hint="default" w:ascii="Arial" w:hAnsi="Arial" w:eastAsia="宋体" w:cs="Arial"/>
          <w:color w:val="auto"/>
          <w:highlight w:val="none"/>
          <w:lang w:eastAsia="zh-CN"/>
        </w:rPr>
        <w:t>北侧</w:t>
      </w:r>
      <w:r>
        <w:rPr>
          <w:rFonts w:hint="default" w:ascii="Arial" w:hAnsi="Arial" w:eastAsia="宋体" w:cs="Arial"/>
          <w:color w:val="auto"/>
          <w:highlight w:val="none"/>
        </w:rPr>
        <w:t>设置1口地下水监测井。</w:t>
      </w:r>
    </w:p>
    <w:p>
      <w:pPr>
        <w:pageBreakBefore w:val="0"/>
        <w:widowControl w:val="0"/>
        <w:kinsoku/>
        <w:wordWrap/>
        <w:topLinePunct/>
        <w:bidi w:val="0"/>
        <w:spacing w:line="480" w:lineRule="exact"/>
        <w:ind w:firstLine="480"/>
        <w:rPr>
          <w:rFonts w:hint="default" w:ascii="Arial" w:hAnsi="Arial" w:eastAsia="宋体" w:cs="Arial"/>
          <w:color w:val="auto"/>
          <w:highlight w:val="none"/>
        </w:rPr>
      </w:pPr>
      <w:r>
        <w:rPr>
          <w:rFonts w:hint="default" w:ascii="Arial" w:hAnsi="Arial" w:eastAsia="宋体" w:cs="Arial"/>
          <w:color w:val="auto"/>
          <w:highlight w:val="none"/>
        </w:rPr>
        <w:t>（5）加强事故监控。企业内部人员应定期巡检，对于管道、</w:t>
      </w:r>
      <w:r>
        <w:rPr>
          <w:rFonts w:hint="default" w:ascii="Arial" w:hAnsi="Arial" w:eastAsia="宋体" w:cs="Arial"/>
          <w:color w:val="auto"/>
          <w:highlight w:val="none"/>
          <w:lang w:eastAsia="zh-CN"/>
        </w:rPr>
        <w:t>化粪池</w:t>
      </w:r>
      <w:r>
        <w:rPr>
          <w:rFonts w:hint="default" w:ascii="Arial" w:hAnsi="Arial" w:eastAsia="宋体" w:cs="Arial"/>
          <w:color w:val="auto"/>
          <w:highlight w:val="none"/>
        </w:rPr>
        <w:t>要定期进行维护。及时发现各种可能引起养殖废水事故排放的异常情形，并在相关人员的配合下消除事故隐患。</w:t>
      </w:r>
    </w:p>
    <w:p>
      <w:pPr>
        <w:pStyle w:val="7"/>
        <w:pageBreakBefore w:val="0"/>
        <w:widowControl w:val="0"/>
        <w:kinsoku/>
        <w:wordWrap/>
        <w:topLinePunct/>
        <w:bidi w:val="0"/>
        <w:spacing w:line="480" w:lineRule="exact"/>
        <w:rPr>
          <w:rFonts w:hint="default" w:ascii="Arial" w:hAnsi="Arial" w:eastAsia="宋体" w:cs="Arial"/>
          <w:color w:val="auto"/>
          <w:highlight w:val="none"/>
        </w:rPr>
      </w:pPr>
      <w:r>
        <w:rPr>
          <w:rFonts w:hint="default" w:ascii="Arial" w:hAnsi="Arial" w:eastAsia="宋体" w:cs="Arial"/>
          <w:color w:val="auto"/>
          <w:highlight w:val="none"/>
        </w:rPr>
        <w:t>6.6.1.2管理措施</w:t>
      </w:r>
    </w:p>
    <w:p>
      <w:pPr>
        <w:pageBreakBefore w:val="0"/>
        <w:widowControl w:val="0"/>
        <w:kinsoku/>
        <w:wordWrap/>
        <w:topLinePunct/>
        <w:bidi w:val="0"/>
        <w:spacing w:line="480" w:lineRule="exact"/>
        <w:ind w:firstLine="480"/>
        <w:rPr>
          <w:rFonts w:hint="default" w:ascii="Arial" w:hAnsi="Arial" w:eastAsia="宋体" w:cs="Arial"/>
          <w:color w:val="auto"/>
          <w:highlight w:val="none"/>
        </w:rPr>
      </w:pPr>
      <w:r>
        <w:rPr>
          <w:rFonts w:hint="default" w:ascii="Arial" w:hAnsi="Arial" w:eastAsia="宋体" w:cs="Arial"/>
          <w:color w:val="auto"/>
          <w:highlight w:val="none"/>
        </w:rPr>
        <w:t>①制定安全管理制度及建立有效的安全管理组织，确保各种有关的安全管理规定能在各个环节上得到充分落实，并能有所改进与提高；</w:t>
      </w:r>
    </w:p>
    <w:p>
      <w:pPr>
        <w:pageBreakBefore w:val="0"/>
        <w:widowControl w:val="0"/>
        <w:kinsoku/>
        <w:wordWrap/>
        <w:topLinePunct/>
        <w:bidi w:val="0"/>
        <w:spacing w:line="480" w:lineRule="exact"/>
        <w:ind w:firstLine="480"/>
        <w:rPr>
          <w:rFonts w:hint="default" w:ascii="Arial" w:hAnsi="Arial" w:eastAsia="宋体" w:cs="Arial"/>
          <w:color w:val="auto"/>
          <w:highlight w:val="none"/>
        </w:rPr>
      </w:pPr>
      <w:r>
        <w:rPr>
          <w:rFonts w:hint="default" w:ascii="Arial" w:hAnsi="Arial" w:eastAsia="宋体" w:cs="Arial"/>
          <w:color w:val="auto"/>
          <w:highlight w:val="none"/>
        </w:rPr>
        <w:t xml:space="preserve">②在投产运行前，应制定出正常、异常或紧急状态下的操作手册和维修手册，并对操作、维修人员进行培训，避免因严重操作失误而造成的事故； </w:t>
      </w:r>
    </w:p>
    <w:p>
      <w:pPr>
        <w:pageBreakBefore w:val="0"/>
        <w:widowControl w:val="0"/>
        <w:kinsoku/>
        <w:wordWrap/>
        <w:topLinePunct/>
        <w:bidi w:val="0"/>
        <w:spacing w:line="480" w:lineRule="exact"/>
        <w:ind w:firstLine="480"/>
        <w:rPr>
          <w:rFonts w:hint="default" w:ascii="Arial" w:hAnsi="Arial" w:eastAsia="宋体" w:cs="Arial"/>
          <w:color w:val="auto"/>
          <w:highlight w:val="none"/>
        </w:rPr>
      </w:pPr>
      <w:r>
        <w:rPr>
          <w:rFonts w:hint="default" w:ascii="Arial" w:hAnsi="Arial" w:eastAsia="宋体" w:cs="Arial"/>
          <w:color w:val="auto"/>
          <w:highlight w:val="none"/>
        </w:rPr>
        <w:t>③加强对工作人员安全素质方面的教育及训练，包括安全知识、安全技术、安全心理、职业卫生及排险与消防活动等，而且要时常演练与考核；</w:t>
      </w:r>
    </w:p>
    <w:p>
      <w:pPr>
        <w:pageBreakBefore w:val="0"/>
        <w:widowControl w:val="0"/>
        <w:kinsoku/>
        <w:wordWrap/>
        <w:topLinePunct/>
        <w:bidi w:val="0"/>
        <w:spacing w:line="480" w:lineRule="exact"/>
        <w:ind w:firstLine="480"/>
        <w:rPr>
          <w:rFonts w:hint="default" w:ascii="Arial" w:hAnsi="Arial" w:eastAsia="宋体" w:cs="Arial"/>
          <w:color w:val="auto"/>
          <w:highlight w:val="none"/>
        </w:rPr>
      </w:pPr>
      <w:r>
        <w:rPr>
          <w:rFonts w:hint="default" w:ascii="Arial" w:hAnsi="Arial" w:eastAsia="宋体" w:cs="Arial"/>
          <w:color w:val="auto"/>
          <w:highlight w:val="none"/>
        </w:rPr>
        <w:t>④制定应急操作规程，在规程中应说明发生事故时应采取的操作步骤，规定抢修进度，限制事故的影响；</w:t>
      </w:r>
    </w:p>
    <w:p>
      <w:pPr>
        <w:pageBreakBefore w:val="0"/>
        <w:widowControl w:val="0"/>
        <w:kinsoku/>
        <w:wordWrap/>
        <w:topLinePunct/>
        <w:bidi w:val="0"/>
        <w:spacing w:line="480" w:lineRule="exact"/>
        <w:ind w:firstLine="480"/>
        <w:rPr>
          <w:rFonts w:hint="default" w:ascii="Arial" w:hAnsi="Arial" w:eastAsia="宋体" w:cs="Arial"/>
          <w:color w:val="auto"/>
          <w:highlight w:val="none"/>
        </w:rPr>
      </w:pPr>
      <w:r>
        <w:rPr>
          <w:rFonts w:hint="default" w:ascii="Arial" w:hAnsi="Arial" w:eastAsia="宋体" w:cs="Arial"/>
          <w:color w:val="auto"/>
          <w:highlight w:val="none"/>
        </w:rPr>
        <w:t>⑤对重要的仪器设备有完善的检查项目、维护方法；按计划进行定期维护；有专门档案（包括维护记录档案），文件齐全；</w:t>
      </w:r>
    </w:p>
    <w:p>
      <w:pPr>
        <w:pageBreakBefore w:val="0"/>
        <w:widowControl w:val="0"/>
        <w:kinsoku/>
        <w:wordWrap/>
        <w:topLinePunct/>
        <w:bidi w:val="0"/>
        <w:spacing w:line="480" w:lineRule="exact"/>
        <w:ind w:firstLine="480"/>
        <w:rPr>
          <w:rFonts w:hint="default" w:ascii="Arial" w:hAnsi="Arial" w:eastAsia="宋体" w:cs="Arial"/>
          <w:color w:val="auto"/>
          <w:highlight w:val="none"/>
        </w:rPr>
      </w:pPr>
      <w:r>
        <w:rPr>
          <w:rFonts w:hint="default" w:ascii="Arial" w:hAnsi="Arial" w:eastAsia="宋体" w:cs="Arial"/>
          <w:color w:val="auto"/>
          <w:highlight w:val="none"/>
        </w:rPr>
        <w:t>⑥站区内设有醒目的“严禁烟火”标志和防火安全制度。</w:t>
      </w:r>
    </w:p>
    <w:p>
      <w:pPr>
        <w:pStyle w:val="6"/>
        <w:pageBreakBefore w:val="0"/>
        <w:widowControl w:val="0"/>
        <w:kinsoku/>
        <w:wordWrap/>
        <w:topLinePunct/>
        <w:bidi w:val="0"/>
        <w:spacing w:line="480" w:lineRule="exact"/>
        <w:rPr>
          <w:rFonts w:hint="default" w:ascii="Arial" w:hAnsi="Arial" w:eastAsia="宋体" w:cs="Arial"/>
          <w:color w:val="auto"/>
          <w:highlight w:val="none"/>
        </w:rPr>
      </w:pPr>
      <w:bookmarkStart w:id="459" w:name="_Toc17732"/>
      <w:r>
        <w:rPr>
          <w:rFonts w:hint="default" w:ascii="Arial" w:hAnsi="Arial" w:eastAsia="宋体" w:cs="Arial"/>
          <w:color w:val="auto"/>
          <w:highlight w:val="none"/>
        </w:rPr>
        <w:t>6.6.2突发环境事件应急预案编制要求</w:t>
      </w:r>
      <w:bookmarkEnd w:id="459"/>
    </w:p>
    <w:p>
      <w:pPr>
        <w:pageBreakBefore w:val="0"/>
        <w:widowControl w:val="0"/>
        <w:kinsoku/>
        <w:wordWrap/>
        <w:topLinePunct/>
        <w:bidi w:val="0"/>
        <w:spacing w:line="480" w:lineRule="exact"/>
        <w:ind w:firstLine="480"/>
        <w:rPr>
          <w:rFonts w:hint="default" w:ascii="Arial" w:hAnsi="Arial" w:eastAsia="宋体" w:cs="Arial"/>
          <w:color w:val="auto"/>
          <w:highlight w:val="none"/>
        </w:rPr>
      </w:pPr>
      <w:r>
        <w:rPr>
          <w:rFonts w:hint="default" w:ascii="Arial" w:hAnsi="Arial" w:eastAsia="宋体" w:cs="Arial"/>
          <w:color w:val="auto"/>
          <w:highlight w:val="none"/>
        </w:rPr>
        <w:t>根据《建设项目环境风险评价技术导则》（HJ169-2018），按照国家、地方和相关部门要求，本次评价提出企业突发环境事件应急预案编制的原则要求：</w:t>
      </w:r>
    </w:p>
    <w:p>
      <w:pPr>
        <w:pageBreakBefore w:val="0"/>
        <w:widowControl w:val="0"/>
        <w:kinsoku/>
        <w:wordWrap/>
        <w:topLinePunct/>
        <w:bidi w:val="0"/>
        <w:spacing w:line="480" w:lineRule="exact"/>
        <w:ind w:firstLine="480"/>
        <w:rPr>
          <w:rFonts w:hint="default" w:ascii="Arial" w:hAnsi="Arial" w:eastAsia="宋体" w:cs="Arial"/>
          <w:color w:val="auto"/>
          <w:highlight w:val="none"/>
        </w:rPr>
      </w:pPr>
      <w:r>
        <w:rPr>
          <w:rFonts w:hint="default" w:ascii="Arial" w:hAnsi="Arial" w:eastAsia="宋体" w:cs="Arial"/>
          <w:color w:val="auto"/>
          <w:highlight w:val="none"/>
        </w:rPr>
        <w:t>建设单位按照国家、地方和相关部门要求，提出企业突发环境事件应急预案编制或完善的原则要求，包括预案适用范围、环境事件分类与分级、组织机构与职责、监控和预警、应急响应、应急保障、善后处置、预案管理与演练等内容。</w:t>
      </w:r>
    </w:p>
    <w:p>
      <w:pPr>
        <w:pageBreakBefore w:val="0"/>
        <w:widowControl w:val="0"/>
        <w:kinsoku/>
        <w:wordWrap/>
        <w:topLinePunct/>
        <w:bidi w:val="0"/>
        <w:spacing w:line="480" w:lineRule="exact"/>
        <w:ind w:firstLine="480"/>
        <w:rPr>
          <w:rFonts w:hint="default" w:ascii="Arial" w:hAnsi="Arial" w:eastAsia="宋体" w:cs="Arial"/>
          <w:color w:val="auto"/>
          <w:highlight w:val="none"/>
        </w:rPr>
      </w:pPr>
      <w:r>
        <w:rPr>
          <w:rFonts w:hint="default" w:ascii="Arial" w:hAnsi="Arial" w:eastAsia="宋体" w:cs="Arial"/>
          <w:color w:val="auto"/>
          <w:highlight w:val="none"/>
        </w:rPr>
        <w:t>应急预案明确企业、园区/区域、地方政府环境风险应急体系。企业突发环境事件应急预案应体现分级响应、区域联动的原则，与地方政府突发环境事件应急预案相衔接，明确分级响应程序。</w:t>
      </w:r>
    </w:p>
    <w:p>
      <w:pPr>
        <w:pStyle w:val="5"/>
        <w:pageBreakBefore w:val="0"/>
        <w:widowControl w:val="0"/>
        <w:kinsoku/>
        <w:wordWrap/>
        <w:topLinePunct/>
        <w:bidi w:val="0"/>
        <w:spacing w:line="480" w:lineRule="exact"/>
        <w:rPr>
          <w:rFonts w:hint="default" w:ascii="Arial" w:hAnsi="Arial" w:eastAsia="宋体" w:cs="Arial"/>
          <w:color w:val="auto"/>
          <w:highlight w:val="none"/>
        </w:rPr>
      </w:pPr>
      <w:bookmarkStart w:id="460" w:name="_Toc2818"/>
      <w:r>
        <w:rPr>
          <w:rFonts w:hint="default" w:ascii="Arial" w:hAnsi="Arial" w:eastAsia="宋体" w:cs="Arial"/>
          <w:color w:val="auto"/>
          <w:highlight w:val="none"/>
        </w:rPr>
        <w:t>6.7结论与建议</w:t>
      </w:r>
      <w:bookmarkEnd w:id="460"/>
    </w:p>
    <w:p>
      <w:pPr>
        <w:pStyle w:val="6"/>
        <w:pageBreakBefore w:val="0"/>
        <w:widowControl w:val="0"/>
        <w:kinsoku/>
        <w:wordWrap/>
        <w:topLinePunct/>
        <w:bidi w:val="0"/>
        <w:spacing w:line="480" w:lineRule="exact"/>
        <w:rPr>
          <w:rFonts w:hint="default" w:ascii="Arial" w:hAnsi="Arial" w:eastAsia="宋体" w:cs="Arial"/>
          <w:color w:val="auto"/>
          <w:highlight w:val="none"/>
        </w:rPr>
      </w:pPr>
      <w:bookmarkStart w:id="461" w:name="_Toc25589"/>
      <w:r>
        <w:rPr>
          <w:rFonts w:hint="default" w:ascii="Arial" w:hAnsi="Arial" w:eastAsia="宋体" w:cs="Arial"/>
          <w:color w:val="auto"/>
          <w:highlight w:val="none"/>
        </w:rPr>
        <w:t>6.7.1结论</w:t>
      </w:r>
      <w:bookmarkEnd w:id="461"/>
    </w:p>
    <w:p>
      <w:pPr>
        <w:pageBreakBefore w:val="0"/>
        <w:widowControl w:val="0"/>
        <w:kinsoku/>
        <w:wordWrap/>
        <w:topLinePunct/>
        <w:bidi w:val="0"/>
        <w:spacing w:line="480" w:lineRule="exact"/>
        <w:ind w:firstLine="480"/>
        <w:rPr>
          <w:rFonts w:hint="default" w:ascii="Arial" w:hAnsi="Arial" w:eastAsia="宋体" w:cs="Arial"/>
          <w:color w:val="auto"/>
          <w:highlight w:val="none"/>
        </w:rPr>
      </w:pPr>
      <w:r>
        <w:rPr>
          <w:rFonts w:hint="default" w:ascii="Arial" w:hAnsi="Arial" w:eastAsia="宋体" w:cs="Arial"/>
          <w:color w:val="auto"/>
          <w:highlight w:val="none"/>
        </w:rPr>
        <w:t>项目运营期场内不涉及《建设项目环境风险评价技术导则》（HJ 169-2018）附录B内重点关注的危险物质；根据2.6.5.1风险评价等级判定，本项目环境风险潜势为Ⅰ级，评价等级为简单分析。</w:t>
      </w:r>
    </w:p>
    <w:p>
      <w:pPr>
        <w:pageBreakBefore w:val="0"/>
        <w:widowControl w:val="0"/>
        <w:kinsoku/>
        <w:wordWrap/>
        <w:topLinePunct/>
        <w:bidi w:val="0"/>
        <w:spacing w:line="480" w:lineRule="exact"/>
        <w:ind w:firstLine="480"/>
        <w:rPr>
          <w:rFonts w:hint="default" w:ascii="Arial" w:hAnsi="Arial" w:eastAsia="宋体" w:cs="Arial"/>
          <w:color w:val="auto"/>
          <w:highlight w:val="none"/>
        </w:rPr>
      </w:pPr>
      <w:r>
        <w:rPr>
          <w:rFonts w:hint="default" w:ascii="Arial" w:hAnsi="Arial" w:eastAsia="宋体" w:cs="Arial"/>
          <w:color w:val="auto"/>
          <w:highlight w:val="none"/>
        </w:rPr>
        <w:t>项目环境风险简单分析内容见表6.7-1。</w:t>
      </w:r>
    </w:p>
    <w:p>
      <w:pPr>
        <w:pStyle w:val="8"/>
        <w:pageBreakBefore w:val="0"/>
        <w:widowControl w:val="0"/>
        <w:kinsoku/>
        <w:wordWrap/>
        <w:topLinePunct/>
        <w:bidi w:val="0"/>
        <w:spacing w:line="480" w:lineRule="exact"/>
        <w:rPr>
          <w:rFonts w:hint="default" w:ascii="Arial" w:hAnsi="Arial" w:eastAsia="宋体" w:cs="Arial"/>
          <w:color w:val="auto"/>
          <w:highlight w:val="none"/>
        </w:rPr>
      </w:pPr>
      <w:r>
        <w:rPr>
          <w:rFonts w:hint="default" w:ascii="Arial" w:hAnsi="Arial" w:eastAsia="宋体" w:cs="Arial"/>
          <w:color w:val="auto"/>
          <w:highlight w:val="none"/>
        </w:rPr>
        <w:t>表6.7-1    建设项目环境风险简单分析内容表</w:t>
      </w:r>
    </w:p>
    <w:tbl>
      <w:tblPr>
        <w:tblStyle w:val="39"/>
        <w:tblW w:w="9003" w:type="dxa"/>
        <w:jc w:val="center"/>
        <w:tblBorders>
          <w:top w:val="single" w:color="000000" w:sz="6" w:space="0"/>
          <w:left w:val="none" w:color="auto" w:sz="0" w:space="0"/>
          <w:bottom w:val="single" w:color="000000" w:sz="6" w:space="0"/>
          <w:right w:val="none" w:color="auto" w:sz="0" w:space="0"/>
          <w:insideH w:val="single" w:color="000000" w:sz="6" w:space="0"/>
          <w:insideV w:val="single" w:color="000000" w:sz="6" w:space="0"/>
        </w:tblBorders>
        <w:tblLayout w:type="fixed"/>
        <w:tblCellMar>
          <w:top w:w="0" w:type="dxa"/>
          <w:left w:w="108" w:type="dxa"/>
          <w:bottom w:w="0" w:type="dxa"/>
          <w:right w:w="108" w:type="dxa"/>
        </w:tblCellMar>
      </w:tblPr>
      <w:tblGrid>
        <w:gridCol w:w="2422"/>
        <w:gridCol w:w="1645"/>
        <w:gridCol w:w="1476"/>
        <w:gridCol w:w="1764"/>
        <w:gridCol w:w="1696"/>
      </w:tblGrid>
      <w:tr>
        <w:tblPrEx>
          <w:tblBorders>
            <w:top w:val="single" w:color="000000" w:sz="6" w:space="0"/>
            <w:left w:val="none" w:color="auto" w:sz="0" w:space="0"/>
            <w:bottom w:val="single" w:color="000000" w:sz="6"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2422"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建设项目名称</w:t>
            </w:r>
          </w:p>
        </w:tc>
        <w:tc>
          <w:tcPr>
            <w:tcW w:w="6581" w:type="dxa"/>
            <w:gridSpan w:val="4"/>
            <w:vAlign w:val="center"/>
          </w:tcPr>
          <w:p>
            <w:pPr>
              <w:pStyle w:val="63"/>
              <w:rPr>
                <w:rFonts w:hint="default" w:ascii="Arial" w:hAnsi="Arial" w:eastAsia="宋体" w:cs="Arial"/>
                <w:color w:val="auto"/>
                <w:sz w:val="21"/>
                <w:szCs w:val="21"/>
                <w:highlight w:val="none"/>
                <w:lang w:eastAsia="zh-CN"/>
              </w:rPr>
            </w:pPr>
            <w:r>
              <w:rPr>
                <w:rFonts w:hint="default" w:ascii="Arial" w:hAnsi="Arial" w:eastAsia="宋体" w:cs="Arial"/>
                <w:color w:val="auto"/>
                <w:sz w:val="21"/>
                <w:szCs w:val="21"/>
                <w:highlight w:val="none"/>
                <w:lang w:eastAsia="zh-CN"/>
              </w:rPr>
              <w:t>五原县天吉泰镇宏腾肉牛养殖示范基地建设项目</w:t>
            </w:r>
          </w:p>
        </w:tc>
      </w:tr>
      <w:tr>
        <w:tblPrEx>
          <w:tblBorders>
            <w:top w:val="single" w:color="000000" w:sz="6" w:space="0"/>
            <w:left w:val="none" w:color="auto" w:sz="0" w:space="0"/>
            <w:bottom w:val="single" w:color="000000" w:sz="6"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2422"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建设地点</w:t>
            </w:r>
          </w:p>
        </w:tc>
        <w:tc>
          <w:tcPr>
            <w:tcW w:w="1645"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（内蒙古）自治区</w:t>
            </w:r>
          </w:p>
        </w:tc>
        <w:tc>
          <w:tcPr>
            <w:tcW w:w="1476"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（巴彦淖尔）市</w:t>
            </w:r>
          </w:p>
        </w:tc>
        <w:tc>
          <w:tcPr>
            <w:tcW w:w="1764"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w:t>
            </w:r>
            <w:r>
              <w:rPr>
                <w:rFonts w:hint="default" w:ascii="Arial" w:hAnsi="Arial" w:eastAsia="宋体" w:cs="Arial"/>
                <w:color w:val="auto"/>
                <w:sz w:val="21"/>
                <w:szCs w:val="21"/>
                <w:highlight w:val="none"/>
                <w:lang w:eastAsia="zh-CN"/>
              </w:rPr>
              <w:t>五原县</w:t>
            </w:r>
            <w:r>
              <w:rPr>
                <w:rFonts w:hint="default" w:ascii="Arial" w:hAnsi="Arial" w:eastAsia="宋体" w:cs="Arial"/>
                <w:color w:val="auto"/>
                <w:sz w:val="21"/>
                <w:szCs w:val="21"/>
                <w:highlight w:val="none"/>
              </w:rPr>
              <w:t>）县</w:t>
            </w:r>
          </w:p>
        </w:tc>
        <w:tc>
          <w:tcPr>
            <w:tcW w:w="1696" w:type="dxa"/>
            <w:vAlign w:val="center"/>
          </w:tcPr>
          <w:p>
            <w:pPr>
              <w:pStyle w:val="63"/>
              <w:rPr>
                <w:rFonts w:hint="default" w:ascii="Arial" w:hAnsi="Arial" w:eastAsia="宋体" w:cs="Arial"/>
                <w:color w:val="auto"/>
                <w:sz w:val="21"/>
                <w:szCs w:val="21"/>
                <w:highlight w:val="none"/>
                <w:lang w:eastAsia="zh-CN"/>
              </w:rPr>
            </w:pPr>
            <w:r>
              <w:rPr>
                <w:rFonts w:hint="default" w:ascii="Arial" w:hAnsi="Arial" w:eastAsia="宋体" w:cs="Arial"/>
                <w:color w:val="auto"/>
                <w:sz w:val="21"/>
                <w:szCs w:val="21"/>
                <w:highlight w:val="none"/>
                <w:lang w:eastAsia="zh-CN"/>
              </w:rPr>
              <w:t>内蒙古自治区巴彦淖尔市五原县天吉泰镇二合永村五社</w:t>
            </w:r>
          </w:p>
        </w:tc>
      </w:tr>
      <w:tr>
        <w:tblPrEx>
          <w:tblBorders>
            <w:top w:val="single" w:color="000000" w:sz="6" w:space="0"/>
            <w:left w:val="none" w:color="auto" w:sz="0" w:space="0"/>
            <w:bottom w:val="single" w:color="000000" w:sz="6"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2422"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地理坐标</w:t>
            </w:r>
          </w:p>
        </w:tc>
        <w:tc>
          <w:tcPr>
            <w:tcW w:w="1645"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经度</w:t>
            </w:r>
          </w:p>
        </w:tc>
        <w:tc>
          <w:tcPr>
            <w:tcW w:w="1476" w:type="dxa"/>
            <w:vAlign w:val="center"/>
          </w:tcPr>
          <w:p>
            <w:pPr>
              <w:pStyle w:val="63"/>
              <w:rPr>
                <w:rFonts w:hint="default" w:ascii="Arial" w:hAnsi="Arial" w:eastAsia="宋体" w:cs="Arial"/>
                <w:color w:val="auto"/>
                <w:sz w:val="21"/>
                <w:szCs w:val="21"/>
                <w:highlight w:val="none"/>
                <w:lang w:eastAsia="zh-CN"/>
              </w:rPr>
            </w:pPr>
            <w:r>
              <w:rPr>
                <w:rFonts w:hint="default" w:ascii="Arial" w:hAnsi="Arial" w:eastAsia="宋体" w:cs="Arial"/>
                <w:color w:val="auto"/>
                <w:sz w:val="21"/>
                <w:szCs w:val="21"/>
                <w:highlight w:val="none"/>
                <w:lang w:eastAsia="zh-CN"/>
              </w:rPr>
              <w:t>107°40'46.267"</w:t>
            </w:r>
          </w:p>
        </w:tc>
        <w:tc>
          <w:tcPr>
            <w:tcW w:w="1764"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纬度</w:t>
            </w:r>
          </w:p>
        </w:tc>
        <w:tc>
          <w:tcPr>
            <w:tcW w:w="1696" w:type="dxa"/>
            <w:vAlign w:val="center"/>
          </w:tcPr>
          <w:p>
            <w:pPr>
              <w:pStyle w:val="63"/>
              <w:rPr>
                <w:rFonts w:hint="default" w:ascii="Arial" w:hAnsi="Arial" w:eastAsia="宋体" w:cs="Arial"/>
                <w:color w:val="auto"/>
                <w:sz w:val="21"/>
                <w:szCs w:val="21"/>
                <w:highlight w:val="none"/>
                <w:lang w:eastAsia="zh-CN"/>
              </w:rPr>
            </w:pPr>
            <w:r>
              <w:rPr>
                <w:rFonts w:hint="default" w:ascii="Arial" w:hAnsi="Arial" w:eastAsia="宋体" w:cs="Arial"/>
                <w:color w:val="auto"/>
                <w:highlight w:val="none"/>
                <w:lang w:val="en-US" w:eastAsia="zh-CN"/>
              </w:rPr>
              <w:t>40°56'12.479"</w:t>
            </w:r>
          </w:p>
        </w:tc>
      </w:tr>
      <w:tr>
        <w:tblPrEx>
          <w:tblBorders>
            <w:top w:val="single" w:color="000000" w:sz="6" w:space="0"/>
            <w:left w:val="none" w:color="auto" w:sz="0" w:space="0"/>
            <w:bottom w:val="single" w:color="000000" w:sz="6"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2422"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主要危险物质及分布</w:t>
            </w:r>
          </w:p>
        </w:tc>
        <w:tc>
          <w:tcPr>
            <w:tcW w:w="6581" w:type="dxa"/>
            <w:gridSpan w:val="4"/>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无</w:t>
            </w:r>
          </w:p>
        </w:tc>
      </w:tr>
      <w:tr>
        <w:tblPrEx>
          <w:tblBorders>
            <w:top w:val="single" w:color="000000" w:sz="6" w:space="0"/>
            <w:left w:val="none" w:color="auto" w:sz="0" w:space="0"/>
            <w:bottom w:val="single" w:color="000000" w:sz="6"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2422"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环境影响途径及危害后果（大气、地表水、地下水等）</w:t>
            </w:r>
          </w:p>
        </w:tc>
        <w:tc>
          <w:tcPr>
            <w:tcW w:w="6581" w:type="dxa"/>
            <w:gridSpan w:val="4"/>
            <w:vAlign w:val="center"/>
          </w:tcPr>
          <w:p>
            <w:pPr>
              <w:pStyle w:val="63"/>
              <w:rPr>
                <w:rFonts w:hint="default" w:ascii="Arial" w:hAnsi="Arial" w:eastAsia="宋体" w:cs="Arial"/>
                <w:color w:val="auto"/>
                <w:sz w:val="21"/>
                <w:szCs w:val="21"/>
                <w:highlight w:val="none"/>
                <w:lang w:eastAsia="zh-CN"/>
              </w:rPr>
            </w:pPr>
            <w:r>
              <w:rPr>
                <w:rFonts w:hint="default" w:ascii="Arial" w:hAnsi="Arial" w:eastAsia="宋体" w:cs="Arial"/>
                <w:color w:val="auto"/>
                <w:sz w:val="21"/>
                <w:szCs w:val="21"/>
                <w:highlight w:val="none"/>
              </w:rPr>
              <w:t>本项目环境风险主要为</w:t>
            </w:r>
            <w:r>
              <w:rPr>
                <w:rFonts w:hint="default" w:ascii="Arial" w:hAnsi="Arial" w:eastAsia="宋体" w:cs="Arial"/>
                <w:color w:val="auto"/>
                <w:sz w:val="21"/>
                <w:szCs w:val="21"/>
                <w:highlight w:val="none"/>
                <w:lang w:eastAsia="zh-CN"/>
              </w:rPr>
              <w:t>堆肥场</w:t>
            </w:r>
            <w:r>
              <w:rPr>
                <w:rFonts w:hint="default" w:ascii="Arial" w:hAnsi="Arial" w:eastAsia="宋体" w:cs="Arial"/>
                <w:color w:val="auto"/>
                <w:sz w:val="21"/>
                <w:szCs w:val="21"/>
                <w:highlight w:val="none"/>
              </w:rPr>
              <w:t>的硬化地面、防渗设置出现破损，出现污水渗漏的情况</w:t>
            </w:r>
            <w:r>
              <w:rPr>
                <w:rFonts w:hint="default" w:ascii="Arial" w:hAnsi="Arial" w:eastAsia="宋体" w:cs="Arial"/>
                <w:color w:val="auto"/>
                <w:sz w:val="21"/>
                <w:szCs w:val="21"/>
                <w:highlight w:val="none"/>
                <w:lang w:eastAsia="zh-CN"/>
              </w:rPr>
              <w:t>；</w:t>
            </w:r>
          </w:p>
          <w:p>
            <w:pPr>
              <w:pStyle w:val="63"/>
              <w:rPr>
                <w:rFonts w:hint="default" w:ascii="Arial" w:hAnsi="Arial" w:eastAsia="宋体" w:cs="Arial"/>
                <w:color w:val="auto"/>
                <w:sz w:val="21"/>
                <w:szCs w:val="21"/>
                <w:highlight w:val="none"/>
                <w:lang w:eastAsia="zh-CN"/>
              </w:rPr>
            </w:pPr>
            <w:r>
              <w:rPr>
                <w:rFonts w:hint="default" w:ascii="Arial" w:hAnsi="Arial" w:eastAsia="宋体" w:cs="Arial"/>
                <w:color w:val="auto"/>
                <w:sz w:val="21"/>
                <w:szCs w:val="21"/>
                <w:highlight w:val="none"/>
                <w:lang w:eastAsia="zh-CN"/>
              </w:rPr>
              <w:t>饲草料库房发生火灾；</w:t>
            </w:r>
          </w:p>
        </w:tc>
      </w:tr>
      <w:tr>
        <w:tblPrEx>
          <w:tblBorders>
            <w:top w:val="single" w:color="000000" w:sz="6" w:space="0"/>
            <w:left w:val="none" w:color="auto" w:sz="0" w:space="0"/>
            <w:bottom w:val="single" w:color="000000" w:sz="6"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2422"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风险防范措施要求</w:t>
            </w:r>
          </w:p>
        </w:tc>
        <w:tc>
          <w:tcPr>
            <w:tcW w:w="6581" w:type="dxa"/>
            <w:gridSpan w:val="4"/>
            <w:vAlign w:val="center"/>
          </w:tcPr>
          <w:p>
            <w:pPr>
              <w:pStyle w:val="63"/>
              <w:jc w:val="left"/>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从技术、工艺和管理三个方面入手，采取综合措施，预防泄漏事故，详见6.6环境风险防范措施及应急要求</w:t>
            </w:r>
          </w:p>
        </w:tc>
      </w:tr>
    </w:tbl>
    <w:p>
      <w:pPr>
        <w:pStyle w:val="6"/>
        <w:rPr>
          <w:rFonts w:hint="default" w:ascii="Arial" w:hAnsi="Arial" w:eastAsia="宋体" w:cs="Arial"/>
          <w:color w:val="auto"/>
          <w:highlight w:val="none"/>
        </w:rPr>
      </w:pPr>
      <w:bookmarkStart w:id="462" w:name="_Toc27463"/>
      <w:r>
        <w:rPr>
          <w:rFonts w:hint="default" w:ascii="Arial" w:hAnsi="Arial" w:eastAsia="宋体" w:cs="Arial"/>
          <w:color w:val="auto"/>
          <w:highlight w:val="none"/>
        </w:rPr>
        <w:t>6.7.2建议</w:t>
      </w:r>
      <w:bookmarkEnd w:id="462"/>
    </w:p>
    <w:p>
      <w:pPr>
        <w:ind w:firstLine="480"/>
        <w:rPr>
          <w:rFonts w:hint="default" w:ascii="Arial" w:hAnsi="Arial" w:eastAsia="宋体" w:cs="Arial"/>
          <w:color w:val="auto"/>
          <w:highlight w:val="none"/>
        </w:rPr>
      </w:pPr>
      <w:r>
        <w:rPr>
          <w:rFonts w:hint="default" w:ascii="Arial" w:hAnsi="Arial" w:eastAsia="宋体" w:cs="Arial"/>
          <w:color w:val="auto"/>
          <w:highlight w:val="none"/>
        </w:rPr>
        <w:t>（1）要求建设单位针对可能发生的重大环境风险事故制定详细的环境风险应急预案，并经过专家评审，定期进行预案演练。</w:t>
      </w:r>
    </w:p>
    <w:p>
      <w:pPr>
        <w:ind w:firstLine="480"/>
        <w:rPr>
          <w:rFonts w:hint="default" w:ascii="Arial" w:hAnsi="Arial" w:eastAsia="宋体" w:cs="Arial"/>
          <w:color w:val="auto"/>
          <w:highlight w:val="none"/>
        </w:rPr>
      </w:pPr>
      <w:r>
        <w:rPr>
          <w:rFonts w:hint="default" w:ascii="Arial" w:hAnsi="Arial" w:eastAsia="宋体" w:cs="Arial"/>
          <w:color w:val="auto"/>
          <w:highlight w:val="none"/>
        </w:rPr>
        <w:t>（2）建立企业环境风险应急机制，加强养殖区、</w:t>
      </w:r>
      <w:r>
        <w:rPr>
          <w:rFonts w:hint="default" w:ascii="Arial" w:hAnsi="Arial" w:eastAsia="宋体" w:cs="Arial"/>
          <w:color w:val="auto"/>
          <w:highlight w:val="none"/>
          <w:lang w:eastAsia="zh-CN"/>
        </w:rPr>
        <w:t>堆肥场</w:t>
      </w:r>
      <w:r>
        <w:rPr>
          <w:rFonts w:hint="default" w:ascii="Arial" w:hAnsi="Arial" w:eastAsia="宋体" w:cs="Arial"/>
          <w:color w:val="auto"/>
          <w:highlight w:val="none"/>
        </w:rPr>
        <w:t>的巡查，监视力度，强化风险管理。</w:t>
      </w:r>
    </w:p>
    <w:p>
      <w:pPr>
        <w:ind w:firstLine="480"/>
        <w:rPr>
          <w:rFonts w:hint="default" w:ascii="Arial" w:hAnsi="Arial" w:eastAsia="宋体" w:cs="Arial"/>
          <w:color w:val="auto"/>
          <w:highlight w:val="none"/>
        </w:rPr>
      </w:pPr>
      <w:r>
        <w:rPr>
          <w:rFonts w:hint="default" w:ascii="Arial" w:hAnsi="Arial" w:eastAsia="宋体" w:cs="Arial"/>
          <w:color w:val="auto"/>
          <w:highlight w:val="none"/>
        </w:rPr>
        <w:t>（3）建设单位须采取有效的防范、减缓措施，并制定突发性事故应急预案，强化安全管理，降低事故发生的可能性，使危险等级降低到可接受水平。</w:t>
      </w:r>
    </w:p>
    <w:p>
      <w:pPr>
        <w:overflowPunct w:val="0"/>
        <w:ind w:firstLine="480"/>
        <w:rPr>
          <w:rFonts w:hint="default" w:ascii="Arial" w:hAnsi="Arial" w:eastAsia="宋体" w:cs="Arial"/>
          <w:color w:val="auto"/>
          <w:highlight w:val="none"/>
        </w:rPr>
      </w:pPr>
    </w:p>
    <w:p>
      <w:pPr>
        <w:ind w:firstLine="480"/>
        <w:rPr>
          <w:rFonts w:hint="default" w:ascii="Arial" w:hAnsi="Arial" w:eastAsia="宋体" w:cs="Arial"/>
          <w:color w:val="auto"/>
          <w:highlight w:val="none"/>
        </w:rPr>
      </w:pPr>
    </w:p>
    <w:bookmarkEnd w:id="427"/>
    <w:p>
      <w:pPr>
        <w:overflowPunct w:val="0"/>
        <w:ind w:firstLine="480"/>
        <w:rPr>
          <w:rFonts w:hint="default" w:ascii="Arial" w:hAnsi="Arial" w:eastAsia="宋体" w:cs="Arial"/>
          <w:color w:val="auto"/>
          <w:highlight w:val="none"/>
        </w:rPr>
      </w:pPr>
    </w:p>
    <w:p>
      <w:pPr>
        <w:pStyle w:val="4"/>
        <w:rPr>
          <w:rFonts w:hint="default" w:ascii="Arial" w:hAnsi="Arial" w:eastAsia="宋体" w:cs="Arial"/>
          <w:color w:val="auto"/>
          <w:highlight w:val="none"/>
        </w:rPr>
        <w:sectPr>
          <w:pgSz w:w="11906" w:h="16838"/>
          <w:pgMar w:top="1418" w:right="1418" w:bottom="1247" w:left="1701" w:header="851" w:footer="680" w:gutter="0"/>
          <w:pgBorders>
            <w:top w:val="none" w:sz="0" w:space="0"/>
            <w:left w:val="none" w:sz="0" w:space="0"/>
            <w:bottom w:val="none" w:sz="0" w:space="0"/>
            <w:right w:val="none" w:sz="0" w:space="0"/>
          </w:pgBorders>
          <w:pgNumType w:fmt="numberInDash"/>
          <w:cols w:space="720" w:num="1"/>
          <w:docGrid w:linePitch="326" w:charSpace="0"/>
        </w:sectPr>
      </w:pPr>
      <w:bookmarkStart w:id="463" w:name="_Toc523322383"/>
    </w:p>
    <w:p>
      <w:pPr>
        <w:pStyle w:val="4"/>
        <w:pageBreakBefore w:val="0"/>
        <w:widowControl w:val="0"/>
        <w:kinsoku/>
        <w:wordWrap/>
        <w:overflowPunct/>
        <w:topLinePunct/>
        <w:autoSpaceDE w:val="0"/>
        <w:autoSpaceDN/>
        <w:bidi w:val="0"/>
        <w:adjustRightInd/>
        <w:snapToGrid/>
        <w:textAlignment w:val="auto"/>
        <w:rPr>
          <w:rFonts w:hint="default" w:ascii="Arial" w:hAnsi="Arial" w:eastAsia="宋体" w:cs="Arial"/>
          <w:color w:val="auto"/>
          <w:highlight w:val="none"/>
        </w:rPr>
      </w:pPr>
      <w:bookmarkStart w:id="464" w:name="_Toc523322368"/>
      <w:bookmarkStart w:id="465" w:name="_Toc11455"/>
      <w:r>
        <w:rPr>
          <w:rFonts w:hint="default" w:ascii="Arial" w:hAnsi="Arial" w:eastAsia="宋体" w:cs="Arial"/>
          <w:color w:val="auto"/>
          <w:highlight w:val="none"/>
        </w:rPr>
        <w:t>7环境保护措施及其可行性论证</w:t>
      </w:r>
      <w:bookmarkEnd w:id="464"/>
      <w:bookmarkEnd w:id="465"/>
    </w:p>
    <w:p>
      <w:pPr>
        <w:pStyle w:val="5"/>
        <w:pageBreakBefore w:val="0"/>
        <w:widowControl w:val="0"/>
        <w:kinsoku/>
        <w:wordWrap/>
        <w:overflowPunct/>
        <w:topLinePunct/>
        <w:autoSpaceDE w:val="0"/>
        <w:autoSpaceDN/>
        <w:bidi w:val="0"/>
        <w:adjustRightInd/>
        <w:snapToGrid/>
        <w:textAlignment w:val="auto"/>
        <w:rPr>
          <w:rFonts w:hint="default" w:ascii="Arial" w:hAnsi="Arial" w:eastAsia="宋体" w:cs="Arial"/>
          <w:color w:val="auto"/>
          <w:highlight w:val="none"/>
        </w:rPr>
      </w:pPr>
      <w:bookmarkStart w:id="466" w:name="_Toc523322369"/>
      <w:bookmarkStart w:id="467" w:name="_Toc30776"/>
      <w:r>
        <w:rPr>
          <w:rFonts w:hint="default" w:ascii="Arial" w:hAnsi="Arial" w:eastAsia="宋体" w:cs="Arial"/>
          <w:color w:val="auto"/>
          <w:highlight w:val="none"/>
        </w:rPr>
        <w:t>7.1施工期环境保护措施</w:t>
      </w:r>
      <w:bookmarkEnd w:id="466"/>
      <w:bookmarkEnd w:id="467"/>
    </w:p>
    <w:p>
      <w:pPr>
        <w:pStyle w:val="6"/>
        <w:pageBreakBefore w:val="0"/>
        <w:widowControl w:val="0"/>
        <w:kinsoku/>
        <w:wordWrap/>
        <w:overflowPunct/>
        <w:topLinePunct/>
        <w:autoSpaceDE w:val="0"/>
        <w:autoSpaceDN/>
        <w:bidi w:val="0"/>
        <w:adjustRightInd/>
        <w:snapToGrid/>
        <w:textAlignment w:val="auto"/>
        <w:rPr>
          <w:rFonts w:hint="default" w:ascii="Arial" w:hAnsi="Arial" w:eastAsia="宋体" w:cs="Arial"/>
          <w:color w:val="auto"/>
          <w:highlight w:val="none"/>
        </w:rPr>
      </w:pPr>
      <w:bookmarkStart w:id="468" w:name="_Toc523322370"/>
      <w:bookmarkStart w:id="469" w:name="_Toc7299"/>
      <w:bookmarkStart w:id="470" w:name="_Toc25500"/>
      <w:r>
        <w:rPr>
          <w:rFonts w:hint="default" w:ascii="Arial" w:hAnsi="Arial" w:eastAsia="宋体" w:cs="Arial"/>
          <w:color w:val="auto"/>
          <w:highlight w:val="none"/>
        </w:rPr>
        <w:t>7.1.1施工期大气环境保护措施</w:t>
      </w:r>
      <w:bookmarkEnd w:id="468"/>
      <w:bookmarkEnd w:id="469"/>
      <w:bookmarkEnd w:id="470"/>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根据施工期大气环境影响分析结果、根据相关法律法规确定本项目施工期大气环境保护措施，具体措施如下：</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（1）整体防治措施：</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①建设单位应当将防治扬尘污染的费用列入工程造价，并在施工承包合同中明确施工单位扬尘污染防治责任。施工单位应当制定具体的施工扬尘污染防治实施方案。</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②施工单位应当在施工工地洒水抑尘、车辆等有效防尘降尘措施，对施工场地及施工道路每天洒水抑尘作业4～5次，可使扬尘量减少70%左右。</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③加强施工现场运输车辆管理，注重车辆的维护保养，严禁使用冒黑烟车辆，限制车速，严禁超高、超载运输；保证所运物品无撒漏、扬散，防止建筑材料、垃圾和尘土飞扬、洒落和流溢，有效抑制粉尘和二次扬尘污染；驶出工地的车辆必须车身整洁，装载车厢完好，装载货物堆码整齐，不得污染道路。</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④施工场区不使用油耗高、效率低、废气排放严重的施工机械，对燃油设备合理配置，加强管理，工程运输车辆尾气达标。</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⑤加快施工进度，尽量缩短工期。</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（2）扬尘防治措施</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①料场集中堆放的采取覆盖并保持其表面湿润或固化处理，并在堆场表面用防尘网进行遮盖，以防止风蚀防尘措施。</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②对开挖等施工作业面（点）进行封闭施工或者采取洒水等控尘降尘措施。</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③采取分段施工，分段回填、分段恢复，减少裸露地面面积和土方堆置。</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④当出现4级及以上风力天气情况时，禁止土方施工，并作好遮掩、洒水抑尘工作。</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⑤施工完成后，及时进行表土覆盖和植被恢复，防止基础裸露。</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⑥运输车辆严禁超限运输并在运输物料及土方上覆盖苫布，严禁物料散落和起尘；运输车辆速慢行，固定行车路线，干燥大风天气对途径敏感点路段运输道路洒水抑尘。</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⑦对临时占地采取严格处理措施，取土过程中及时对取土面加盖，防止生成新尘源；对于临时堆土场及时洒水，并加盖，防止形成新尘源。</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⑧施工垃圾应及时清运，集中堆放的采取覆盖并保持其表面湿润或固化处理，并在土堆表面用防尘网进行遮盖，以防止风蚀。</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⑨可能产生扬尘污染的建筑材料在库房存放，避免露天堆放，或者严密遮盖或采用洒水、遮盖物或喷洒遮盖剂等措施防止扬尘。</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通过上述各项措施，可基本控制建筑施工扬尘的产生，降低施工扬尘对周围环境的影响。</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施工期间大气污染防治措施目前较成熟，实践表明只要管理和工程措施到位，完全能够满足环保要求。</w:t>
      </w:r>
    </w:p>
    <w:p>
      <w:pPr>
        <w:pStyle w:val="6"/>
        <w:pageBreakBefore w:val="0"/>
        <w:widowControl w:val="0"/>
        <w:kinsoku/>
        <w:wordWrap/>
        <w:overflowPunct/>
        <w:topLinePunct/>
        <w:autoSpaceDE w:val="0"/>
        <w:autoSpaceDN/>
        <w:bidi w:val="0"/>
        <w:adjustRightInd/>
        <w:snapToGrid/>
        <w:textAlignment w:val="auto"/>
        <w:rPr>
          <w:rFonts w:hint="default" w:ascii="Arial" w:hAnsi="Arial" w:eastAsia="宋体" w:cs="Arial"/>
          <w:color w:val="auto"/>
          <w:highlight w:val="none"/>
        </w:rPr>
      </w:pPr>
      <w:bookmarkStart w:id="471" w:name="_Toc6972"/>
      <w:bookmarkStart w:id="472" w:name="_Toc523322371"/>
      <w:bookmarkStart w:id="473" w:name="_Toc32695"/>
      <w:r>
        <w:rPr>
          <w:rFonts w:hint="default" w:ascii="Arial" w:hAnsi="Arial" w:eastAsia="宋体" w:cs="Arial"/>
          <w:color w:val="auto"/>
          <w:highlight w:val="none"/>
        </w:rPr>
        <w:t>7.1.2施工期水环境保护措施</w:t>
      </w:r>
      <w:bookmarkEnd w:id="471"/>
      <w:bookmarkEnd w:id="472"/>
      <w:bookmarkEnd w:id="473"/>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（1）加强施工机械管理，防止油的跑、冒、滴、漏。</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（2）项目施工期生活污水</w:t>
      </w:r>
      <w:r>
        <w:rPr>
          <w:rFonts w:hint="default" w:ascii="Arial" w:hAnsi="Arial" w:eastAsia="宋体" w:cs="Arial"/>
          <w:color w:val="auto"/>
          <w:highlight w:val="none"/>
          <w:lang w:val="en-US" w:eastAsia="zh-CN"/>
        </w:rPr>
        <w:t>排入临时旱厕，定期清掏</w:t>
      </w:r>
      <w:r>
        <w:rPr>
          <w:rFonts w:hint="default" w:ascii="Arial" w:hAnsi="Arial" w:eastAsia="宋体" w:cs="Arial"/>
          <w:color w:val="auto"/>
          <w:highlight w:val="none"/>
        </w:rPr>
        <w:t>。</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施工过程中贯彻“一水多用、重复利用、节约用水”的原则，尽量减少废水的排放量。施工期间废水污染防治措施可行，能够满足环保要求。</w:t>
      </w:r>
    </w:p>
    <w:p>
      <w:pPr>
        <w:pStyle w:val="6"/>
        <w:pageBreakBefore w:val="0"/>
        <w:widowControl w:val="0"/>
        <w:kinsoku/>
        <w:wordWrap/>
        <w:overflowPunct/>
        <w:topLinePunct/>
        <w:autoSpaceDE w:val="0"/>
        <w:autoSpaceDN/>
        <w:bidi w:val="0"/>
        <w:adjustRightInd/>
        <w:snapToGrid/>
        <w:textAlignment w:val="auto"/>
        <w:rPr>
          <w:rFonts w:hint="default" w:ascii="Arial" w:hAnsi="Arial" w:eastAsia="宋体" w:cs="Arial"/>
          <w:color w:val="auto"/>
          <w:highlight w:val="none"/>
        </w:rPr>
      </w:pPr>
      <w:bookmarkStart w:id="474" w:name="_Toc29520"/>
      <w:bookmarkStart w:id="475" w:name="_Toc523322372"/>
      <w:bookmarkStart w:id="476" w:name="_Toc31109"/>
      <w:r>
        <w:rPr>
          <w:rFonts w:hint="default" w:ascii="Arial" w:hAnsi="Arial" w:eastAsia="宋体" w:cs="Arial"/>
          <w:color w:val="auto"/>
          <w:highlight w:val="none"/>
        </w:rPr>
        <w:t>7.1.3施工期声环境保护措施</w:t>
      </w:r>
      <w:bookmarkEnd w:id="474"/>
      <w:bookmarkEnd w:id="475"/>
      <w:bookmarkEnd w:id="476"/>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bookmarkStart w:id="477" w:name="_Toc14156"/>
      <w:r>
        <w:rPr>
          <w:rFonts w:hint="default" w:ascii="Arial" w:hAnsi="Arial" w:eastAsia="宋体" w:cs="Arial"/>
          <w:color w:val="auto"/>
          <w:highlight w:val="none"/>
        </w:rPr>
        <w:t>（1）在满足施工需要的前提下，尽可能选择低噪先进设备，并严格控制高噪声设备的施工时间。</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（2）加强设备的维护保养，避免由于设备性能差而使机械噪声增大的现象。</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（3）施工单位应高度重视噪声影响，合理安排作业时间。</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（4）加快施工进度，尽量缩短工期。</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（5）加强环境宣传和教育，认真落实各项降噪措施，做到文明施工。</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工程施工期噪声污染防治措施较为成熟，技术经济可行。</w:t>
      </w:r>
    </w:p>
    <w:p>
      <w:pPr>
        <w:pStyle w:val="6"/>
        <w:pageBreakBefore w:val="0"/>
        <w:widowControl w:val="0"/>
        <w:kinsoku/>
        <w:wordWrap/>
        <w:overflowPunct/>
        <w:topLinePunct/>
        <w:autoSpaceDE w:val="0"/>
        <w:autoSpaceDN/>
        <w:bidi w:val="0"/>
        <w:adjustRightInd/>
        <w:snapToGrid/>
        <w:textAlignment w:val="auto"/>
        <w:rPr>
          <w:rFonts w:hint="default" w:ascii="Arial" w:hAnsi="Arial" w:eastAsia="宋体" w:cs="Arial"/>
          <w:color w:val="auto"/>
          <w:highlight w:val="none"/>
        </w:rPr>
      </w:pPr>
      <w:bookmarkStart w:id="478" w:name="_Toc523322373"/>
      <w:bookmarkStart w:id="479" w:name="_Toc9963"/>
      <w:r>
        <w:rPr>
          <w:rFonts w:hint="default" w:ascii="Arial" w:hAnsi="Arial" w:eastAsia="宋体" w:cs="Arial"/>
          <w:color w:val="auto"/>
          <w:highlight w:val="none"/>
        </w:rPr>
        <w:t>7.1.4施工期固体废物处理措施</w:t>
      </w:r>
      <w:bookmarkEnd w:id="477"/>
      <w:bookmarkEnd w:id="478"/>
      <w:bookmarkEnd w:id="479"/>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（1）废包装物、建筑垃圾</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工程建筑垃圾及时运至指定渣场规范处置。采用密闭车辆运输，并对进出工程场地的运输车辆轮胎进行清洗，避免将泥土带入道路。</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（2）生活垃圾</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生活垃圾集中收集后</w:t>
      </w:r>
      <w:r>
        <w:rPr>
          <w:rFonts w:hint="default" w:ascii="Arial" w:hAnsi="Arial" w:eastAsia="宋体" w:cs="Arial"/>
          <w:color w:val="auto"/>
          <w:highlight w:val="none"/>
          <w:lang w:bidi="zh-CN"/>
        </w:rPr>
        <w:t>清运到环卫部门指定的地点集中处理</w:t>
      </w:r>
      <w:r>
        <w:rPr>
          <w:rFonts w:hint="default" w:ascii="Arial" w:hAnsi="Arial" w:eastAsia="宋体" w:cs="Arial"/>
          <w:color w:val="auto"/>
          <w:highlight w:val="none"/>
        </w:rPr>
        <w:t>。</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采取上述污染防治措施，施工期固体废物对环境的影响很小。</w:t>
      </w:r>
    </w:p>
    <w:p>
      <w:pPr>
        <w:pStyle w:val="6"/>
        <w:pageBreakBefore w:val="0"/>
        <w:widowControl w:val="0"/>
        <w:kinsoku/>
        <w:wordWrap/>
        <w:overflowPunct/>
        <w:topLinePunct/>
        <w:autoSpaceDE w:val="0"/>
        <w:autoSpaceDN/>
        <w:bidi w:val="0"/>
        <w:adjustRightInd/>
        <w:snapToGrid/>
        <w:textAlignment w:val="auto"/>
        <w:rPr>
          <w:rFonts w:hint="default" w:ascii="Arial" w:hAnsi="Arial" w:eastAsia="宋体" w:cs="Arial"/>
          <w:color w:val="auto"/>
          <w:highlight w:val="none"/>
        </w:rPr>
      </w:pPr>
      <w:bookmarkStart w:id="480" w:name="_Toc32437"/>
      <w:r>
        <w:rPr>
          <w:rFonts w:hint="default" w:ascii="Arial" w:hAnsi="Arial" w:eastAsia="宋体" w:cs="Arial"/>
          <w:color w:val="auto"/>
          <w:highlight w:val="none"/>
        </w:rPr>
        <w:t>7.1.5施工期生态环境保护措施</w:t>
      </w:r>
      <w:bookmarkEnd w:id="480"/>
    </w:p>
    <w:p>
      <w:pPr>
        <w:pStyle w:val="7"/>
        <w:pageBreakBefore w:val="0"/>
        <w:widowControl w:val="0"/>
        <w:kinsoku/>
        <w:wordWrap/>
        <w:overflowPunct/>
        <w:topLinePunct/>
        <w:autoSpaceDE w:val="0"/>
        <w:autoSpaceDN/>
        <w:bidi w:val="0"/>
        <w:adjustRightInd/>
        <w:snapToGrid/>
        <w:textAlignment w:val="auto"/>
        <w:rPr>
          <w:rFonts w:hint="default" w:ascii="Arial" w:hAnsi="Arial" w:eastAsia="宋体" w:cs="Arial"/>
          <w:color w:val="auto"/>
          <w:highlight w:val="none"/>
        </w:rPr>
      </w:pPr>
      <w:r>
        <w:rPr>
          <w:rFonts w:hint="default" w:ascii="Arial" w:hAnsi="Arial" w:eastAsia="宋体" w:cs="Arial"/>
          <w:color w:val="auto"/>
          <w:highlight w:val="none"/>
        </w:rPr>
        <w:t>7.1.5.1主体工程施工期生态保护措施</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本项目施工期对生态环境的影响较小，但仍需采取如下措施：</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（1）为消减施工队伍对植被的影响，在工程施工区设置警示牌，标明施工活动区，严令禁止到非施工区域活动，非施工区严禁烟火等破坏性活动。</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（2）在施工期间对施工人员加强施工区生态保护的宣传教育，以公告、宣传册发放等形式，教育施工人员，通过制度化禁止施工人员捕食蛙类、鸟类、兽类，以减轻施工对当地陆生动植物的影响。</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（3）工程施工结束后，场区内施工临时占地应采取绿化措施，进行植被恢复；同时对</w:t>
      </w:r>
      <w:r>
        <w:rPr>
          <w:rFonts w:hint="default" w:ascii="Arial" w:hAnsi="Arial" w:eastAsia="宋体" w:cs="Arial"/>
          <w:color w:val="auto"/>
          <w:highlight w:val="none"/>
          <w:lang w:val="en-US" w:eastAsia="zh-CN"/>
        </w:rPr>
        <w:t>养殖</w:t>
      </w:r>
      <w:r>
        <w:rPr>
          <w:rFonts w:hint="default" w:ascii="Arial" w:hAnsi="Arial" w:eastAsia="宋体" w:cs="Arial"/>
          <w:color w:val="auto"/>
          <w:highlight w:val="none"/>
        </w:rPr>
        <w:t>场也尽可能进行绿化。</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加强场区的绿化工作、对改善场区内小环境有重要意义。绿化可以吸尘灭菌、降低噪声、净化空气、防疫隔离、防暑防寒。如按冬季主风的上风向设防风林、在</w:t>
      </w:r>
      <w:r>
        <w:rPr>
          <w:rFonts w:hint="default" w:ascii="Arial" w:hAnsi="Arial" w:eastAsia="宋体" w:cs="Arial"/>
          <w:color w:val="auto"/>
          <w:highlight w:val="none"/>
          <w:lang w:eastAsia="zh-CN"/>
        </w:rPr>
        <w:t>养殖</w:t>
      </w:r>
      <w:r>
        <w:rPr>
          <w:rFonts w:hint="default" w:ascii="Arial" w:hAnsi="Arial" w:eastAsia="宋体" w:cs="Arial"/>
          <w:color w:val="auto"/>
          <w:highlight w:val="none"/>
        </w:rPr>
        <w:t>场的周围设隔离林、</w:t>
      </w:r>
      <w:r>
        <w:rPr>
          <w:rFonts w:hint="default" w:ascii="Arial" w:hAnsi="Arial" w:eastAsia="宋体" w:cs="Arial"/>
          <w:color w:val="auto"/>
          <w:highlight w:val="none"/>
          <w:lang w:eastAsia="zh-CN"/>
        </w:rPr>
        <w:t>生活区和养殖区之间</w:t>
      </w:r>
      <w:r>
        <w:rPr>
          <w:rFonts w:hint="default" w:ascii="Arial" w:hAnsi="Arial" w:eastAsia="宋体" w:cs="Arial"/>
          <w:color w:val="auto"/>
          <w:highlight w:val="none"/>
        </w:rPr>
        <w:t>设隔离林、道路两旁进行遮荫绿化、场区裸露地面上种植花草。同时还应科学的选择园艺花卉品种，充分利用植物的环境修复功能。经研究发现，绿色植物对空气污染具有很好的净化作用，不光是叶子，植物的根以及土壤里的细菌都能有效清除有害气体。建议在牛场周围栽种当地常见的较高大绿色植物，形成绿色屏障。</w:t>
      </w:r>
    </w:p>
    <w:p>
      <w:pPr>
        <w:pStyle w:val="7"/>
        <w:pageBreakBefore w:val="0"/>
        <w:widowControl w:val="0"/>
        <w:kinsoku/>
        <w:wordWrap/>
        <w:overflowPunct/>
        <w:topLinePunct/>
        <w:autoSpaceDE w:val="0"/>
        <w:autoSpaceDN/>
        <w:bidi w:val="0"/>
        <w:adjustRightInd/>
        <w:snapToGrid/>
        <w:textAlignment w:val="auto"/>
        <w:rPr>
          <w:rFonts w:hint="default" w:ascii="Arial" w:hAnsi="Arial" w:eastAsia="宋体" w:cs="Arial"/>
          <w:color w:val="auto"/>
          <w:highlight w:val="none"/>
        </w:rPr>
      </w:pPr>
      <w:r>
        <w:rPr>
          <w:rFonts w:hint="default" w:ascii="Arial" w:hAnsi="Arial" w:eastAsia="宋体" w:cs="Arial"/>
          <w:color w:val="auto"/>
          <w:highlight w:val="none"/>
        </w:rPr>
        <w:t>7.1.5.2水土流失保护措施</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本工程的建设对项目涉及区域水土保持的影响主要发生在施工期，由于表土的开挖、植被的破坏，使抵抗流失力强的表层土壤受到影响；遇到下雨天，将造成严重的水土流失。环评要求建设单位采取以下措施控制水土流失情况：</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①进一步优化主体工程设计，在既保证主体工程顺利施工的条件下，同时兼顾水土保持的要求。</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②规范施工程序，优化施工组织和施工工艺。合理安排施工时序，尽量缩短施工工期，减少疏松地面的裸露时间；尽量避开雨季施工，适时开挖，减轻施工期造成的水土流失。增加土石方移动过程中临时处理措施，完善边坡挡土工程、护坡工程。修建临时性围墙封闭施工，将水土流失尽量控制在项目区内进行防治。既有利于阻挡水、土外流，防止对四周造成危害，又有利于施工管理。</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③增加临时排水措施和沉沙池工程。本工程全面扰动地表，施工建设期土体裸露面积大、裸露时间较长，雨季易产生严重水土流失，因此在采取永久性防治措施之前，应采取临时性措施，控制施工期水土流失。</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④划定表土临时堆置区。为了保护和充分利用不可再生的表土资源，提高工程绿化时的造林成活率，减少工程绿化的造林成本，须设置表土临时堆置区，并对其采取临时性水土保持措施防止水土流失。在项目场地平整前，剥离场内部分表层腐殖土并集中堆置，并采取必要的防护，待工程基本建成后将腐殖土覆盖在绿化区域。</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⑤工程各处开挖裸露被建筑物、道路占用外，尽可能全部恢复植被，减少水土流失，做到水土流失治理与景观保护相互统一，通过采用乔、灌、草立体绿化、美化等措施防治水土流失，美化项目区环境，使景观得到优化，环境得到改善。</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⑥项目建设应满足消防及交通要求，项目道路及给排水管网一次敷设到位，避免改沟改路，尤其应防止沟渠受截而使水流冲刷改道，造成水土流失。</w:t>
      </w:r>
    </w:p>
    <w:p>
      <w:pPr>
        <w:pStyle w:val="6"/>
        <w:pageBreakBefore w:val="0"/>
        <w:widowControl w:val="0"/>
        <w:kinsoku/>
        <w:wordWrap/>
        <w:overflowPunct/>
        <w:topLinePunct/>
        <w:autoSpaceDE w:val="0"/>
        <w:autoSpaceDN/>
        <w:bidi w:val="0"/>
        <w:adjustRightInd/>
        <w:snapToGrid/>
        <w:textAlignment w:val="auto"/>
        <w:rPr>
          <w:rFonts w:hint="default" w:ascii="Arial" w:hAnsi="Arial" w:eastAsia="宋体" w:cs="Arial"/>
          <w:color w:val="auto"/>
          <w:highlight w:val="none"/>
        </w:rPr>
      </w:pPr>
      <w:bookmarkStart w:id="481" w:name="_Toc523322375"/>
      <w:bookmarkStart w:id="482" w:name="_Toc1556"/>
      <w:r>
        <w:rPr>
          <w:rFonts w:hint="default" w:ascii="Arial" w:hAnsi="Arial" w:eastAsia="宋体" w:cs="Arial"/>
          <w:color w:val="auto"/>
          <w:highlight w:val="none"/>
        </w:rPr>
        <w:t>7.1.6小结</w:t>
      </w:r>
      <w:bookmarkEnd w:id="481"/>
      <w:bookmarkEnd w:id="482"/>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施工期的环境影响是随着施工活动而产生的，因此施工期环境影响具有暂时性的特点，施工活动结束影响逐渐消失，不会对区域产生长远的影响。施工期环境保护工作是一项管理和措施并重的工作，施工单位若能强化管理，很多潜在的污染问题便不会出现；对于出现的环境影响采取必要的措施来消减其影响，使其降至最低。本次评价要求建设单位和施工单位在施工委托时明确施工期的环境保护工作内容和目标，明确责任，在施工过程中加强施工管理和环境保护工作。</w:t>
      </w:r>
    </w:p>
    <w:p>
      <w:pPr>
        <w:pStyle w:val="5"/>
        <w:pageBreakBefore w:val="0"/>
        <w:widowControl w:val="0"/>
        <w:kinsoku/>
        <w:wordWrap/>
        <w:overflowPunct/>
        <w:topLinePunct/>
        <w:autoSpaceDE w:val="0"/>
        <w:autoSpaceDN/>
        <w:bidi w:val="0"/>
        <w:adjustRightInd/>
        <w:snapToGrid/>
        <w:textAlignment w:val="auto"/>
        <w:rPr>
          <w:rFonts w:hint="default" w:ascii="Arial" w:hAnsi="Arial" w:eastAsia="宋体" w:cs="Arial"/>
          <w:color w:val="auto"/>
          <w:highlight w:val="none"/>
        </w:rPr>
      </w:pPr>
      <w:bookmarkStart w:id="483" w:name="_Toc530642990"/>
      <w:bookmarkStart w:id="484" w:name="_Toc30642"/>
      <w:r>
        <w:rPr>
          <w:rFonts w:hint="default" w:ascii="Arial" w:hAnsi="Arial" w:eastAsia="宋体" w:cs="Arial"/>
          <w:color w:val="auto"/>
          <w:highlight w:val="none"/>
        </w:rPr>
        <w:t>7.2运营期大气污染防治措施及可行性</w:t>
      </w:r>
      <w:bookmarkEnd w:id="483"/>
      <w:bookmarkEnd w:id="484"/>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本项目运营后产生的废气主要有牛舍及运动场、</w:t>
      </w:r>
      <w:r>
        <w:rPr>
          <w:rFonts w:hint="default" w:ascii="Arial" w:hAnsi="Arial" w:eastAsia="宋体" w:cs="Arial"/>
          <w:color w:val="auto"/>
          <w:highlight w:val="none"/>
          <w:lang w:eastAsia="zh-CN"/>
        </w:rPr>
        <w:t>堆肥场</w:t>
      </w:r>
      <w:r>
        <w:rPr>
          <w:rFonts w:hint="default" w:ascii="Arial" w:hAnsi="Arial" w:eastAsia="宋体" w:cs="Arial"/>
          <w:color w:val="auto"/>
          <w:highlight w:val="none"/>
        </w:rPr>
        <w:t>臭气等污染源，为了减少废气对周围环境的影响，需采取如下措施。</w:t>
      </w:r>
    </w:p>
    <w:p>
      <w:pPr>
        <w:pStyle w:val="6"/>
        <w:pageBreakBefore w:val="0"/>
        <w:widowControl w:val="0"/>
        <w:kinsoku/>
        <w:wordWrap/>
        <w:overflowPunct/>
        <w:topLinePunct/>
        <w:autoSpaceDE w:val="0"/>
        <w:autoSpaceDN/>
        <w:bidi w:val="0"/>
        <w:adjustRightInd/>
        <w:snapToGrid/>
        <w:textAlignment w:val="auto"/>
        <w:rPr>
          <w:rFonts w:hint="default" w:ascii="Arial" w:hAnsi="Arial" w:eastAsia="宋体" w:cs="Arial"/>
          <w:color w:val="auto"/>
          <w:highlight w:val="none"/>
        </w:rPr>
      </w:pPr>
      <w:bookmarkStart w:id="485" w:name="_Toc12247"/>
      <w:r>
        <w:rPr>
          <w:rFonts w:hint="default" w:ascii="Arial" w:hAnsi="Arial" w:eastAsia="宋体" w:cs="Arial"/>
          <w:color w:val="auto"/>
          <w:highlight w:val="none"/>
        </w:rPr>
        <w:t>7.2.1恶臭污染防治措施</w:t>
      </w:r>
      <w:bookmarkEnd w:id="485"/>
    </w:p>
    <w:p>
      <w:pPr>
        <w:pStyle w:val="7"/>
        <w:pageBreakBefore w:val="0"/>
        <w:widowControl w:val="0"/>
        <w:kinsoku/>
        <w:wordWrap/>
        <w:overflowPunct/>
        <w:topLinePunct/>
        <w:autoSpaceDE w:val="0"/>
        <w:autoSpaceDN/>
        <w:bidi w:val="0"/>
        <w:adjustRightInd/>
        <w:snapToGrid/>
        <w:textAlignment w:val="auto"/>
        <w:rPr>
          <w:rFonts w:hint="default" w:ascii="Arial" w:hAnsi="Arial" w:eastAsia="宋体" w:cs="Arial"/>
          <w:color w:val="auto"/>
          <w:highlight w:val="none"/>
        </w:rPr>
      </w:pPr>
      <w:r>
        <w:rPr>
          <w:rFonts w:hint="default" w:ascii="Arial" w:hAnsi="Arial" w:eastAsia="宋体" w:cs="Arial"/>
          <w:color w:val="auto"/>
          <w:highlight w:val="none"/>
        </w:rPr>
        <w:t>7.2.1.1牛舍恶臭防治措施</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养殖场有味气体来源于多个方面，例如动物呼吸、饲料、动物粪便及粪污处理系统等，其中以牛的粪便的味道为主，会挥发出氨、硫化氢等恶臭物质。在国际上，通常根据嗅觉判别标准，将臭气强度划分为6级，恶臭强度分级见下表。</w:t>
      </w:r>
    </w:p>
    <w:p>
      <w:pPr>
        <w:pStyle w:val="8"/>
        <w:pageBreakBefore w:val="0"/>
        <w:widowControl w:val="0"/>
        <w:kinsoku/>
        <w:wordWrap/>
        <w:overflowPunct/>
        <w:topLinePunct/>
        <w:autoSpaceDE w:val="0"/>
        <w:autoSpaceDN/>
        <w:bidi w:val="0"/>
        <w:adjustRightInd/>
        <w:snapToGrid/>
        <w:textAlignment w:val="auto"/>
        <w:rPr>
          <w:rFonts w:hint="default" w:ascii="Arial" w:hAnsi="Arial" w:eastAsia="宋体" w:cs="Arial"/>
          <w:color w:val="auto"/>
          <w:highlight w:val="none"/>
        </w:rPr>
      </w:pPr>
      <w:r>
        <w:rPr>
          <w:rFonts w:hint="default" w:ascii="Arial" w:hAnsi="Arial" w:eastAsia="宋体" w:cs="Arial"/>
          <w:color w:val="auto"/>
          <w:highlight w:val="none"/>
        </w:rPr>
        <w:t>表7.2-1    恶臭强度分级法</w:t>
      </w:r>
    </w:p>
    <w:tbl>
      <w:tblPr>
        <w:tblStyle w:val="39"/>
        <w:tblW w:w="9003"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842"/>
        <w:gridCol w:w="7161"/>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42"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highlight w:val="none"/>
              </w:rPr>
            </w:pPr>
            <w:r>
              <w:rPr>
                <w:rFonts w:hint="default" w:ascii="Arial" w:hAnsi="Arial" w:eastAsia="宋体" w:cs="Arial"/>
                <w:color w:val="auto"/>
                <w:highlight w:val="none"/>
              </w:rPr>
              <w:t>强度</w:t>
            </w:r>
          </w:p>
        </w:tc>
        <w:tc>
          <w:tcPr>
            <w:tcW w:w="7161"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highlight w:val="none"/>
              </w:rPr>
            </w:pPr>
            <w:r>
              <w:rPr>
                <w:rFonts w:hint="default" w:ascii="Arial" w:hAnsi="Arial" w:eastAsia="宋体" w:cs="Arial"/>
                <w:color w:val="auto"/>
                <w:highlight w:val="none"/>
              </w:rPr>
              <w:t>指标</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42"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highlight w:val="none"/>
              </w:rPr>
            </w:pPr>
            <w:r>
              <w:rPr>
                <w:rFonts w:hint="default" w:ascii="Arial" w:hAnsi="Arial" w:eastAsia="宋体" w:cs="Arial"/>
                <w:color w:val="auto"/>
                <w:highlight w:val="none"/>
              </w:rPr>
              <w:t>0</w:t>
            </w:r>
          </w:p>
        </w:tc>
        <w:tc>
          <w:tcPr>
            <w:tcW w:w="7161"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highlight w:val="none"/>
              </w:rPr>
            </w:pPr>
            <w:r>
              <w:rPr>
                <w:rFonts w:hint="default" w:ascii="Arial" w:hAnsi="Arial" w:eastAsia="宋体" w:cs="Arial"/>
                <w:color w:val="auto"/>
                <w:highlight w:val="none"/>
              </w:rPr>
              <w:t>无味</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42"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highlight w:val="none"/>
              </w:rPr>
            </w:pPr>
            <w:r>
              <w:rPr>
                <w:rFonts w:hint="default" w:ascii="Arial" w:hAnsi="Arial" w:eastAsia="宋体" w:cs="Arial"/>
                <w:color w:val="auto"/>
                <w:highlight w:val="none"/>
              </w:rPr>
              <w:t>1</w:t>
            </w:r>
          </w:p>
        </w:tc>
        <w:tc>
          <w:tcPr>
            <w:tcW w:w="7161"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highlight w:val="none"/>
              </w:rPr>
            </w:pPr>
            <w:r>
              <w:rPr>
                <w:rFonts w:hint="default" w:ascii="Arial" w:hAnsi="Arial" w:eastAsia="宋体" w:cs="Arial"/>
                <w:color w:val="auto"/>
                <w:highlight w:val="none"/>
              </w:rPr>
              <w:t>勉强能感觉到气味</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42"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highlight w:val="none"/>
              </w:rPr>
            </w:pPr>
            <w:r>
              <w:rPr>
                <w:rFonts w:hint="default" w:ascii="Arial" w:hAnsi="Arial" w:eastAsia="宋体" w:cs="Arial"/>
                <w:color w:val="auto"/>
                <w:highlight w:val="none"/>
              </w:rPr>
              <w:t>2</w:t>
            </w:r>
          </w:p>
        </w:tc>
        <w:tc>
          <w:tcPr>
            <w:tcW w:w="7161"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highlight w:val="none"/>
              </w:rPr>
            </w:pPr>
            <w:r>
              <w:rPr>
                <w:rFonts w:hint="default" w:ascii="Arial" w:hAnsi="Arial" w:eastAsia="宋体" w:cs="Arial"/>
                <w:color w:val="auto"/>
                <w:highlight w:val="none"/>
              </w:rPr>
              <w:t>气味很弱但能分辨其性质</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42"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highlight w:val="none"/>
              </w:rPr>
            </w:pPr>
            <w:r>
              <w:rPr>
                <w:rFonts w:hint="default" w:ascii="Arial" w:hAnsi="Arial" w:eastAsia="宋体" w:cs="Arial"/>
                <w:color w:val="auto"/>
                <w:highlight w:val="none"/>
              </w:rPr>
              <w:t>3</w:t>
            </w:r>
          </w:p>
        </w:tc>
        <w:tc>
          <w:tcPr>
            <w:tcW w:w="7161"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highlight w:val="none"/>
              </w:rPr>
            </w:pPr>
            <w:r>
              <w:rPr>
                <w:rFonts w:hint="default" w:ascii="Arial" w:hAnsi="Arial" w:eastAsia="宋体" w:cs="Arial"/>
                <w:color w:val="auto"/>
                <w:highlight w:val="none"/>
              </w:rPr>
              <w:t>很容易感觉到气味</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42"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highlight w:val="none"/>
              </w:rPr>
            </w:pPr>
            <w:r>
              <w:rPr>
                <w:rFonts w:hint="default" w:ascii="Arial" w:hAnsi="Arial" w:eastAsia="宋体" w:cs="Arial"/>
                <w:color w:val="auto"/>
                <w:highlight w:val="none"/>
              </w:rPr>
              <w:t>4</w:t>
            </w:r>
          </w:p>
        </w:tc>
        <w:tc>
          <w:tcPr>
            <w:tcW w:w="7161"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highlight w:val="none"/>
              </w:rPr>
            </w:pPr>
            <w:r>
              <w:rPr>
                <w:rFonts w:hint="default" w:ascii="Arial" w:hAnsi="Arial" w:eastAsia="宋体" w:cs="Arial"/>
                <w:color w:val="auto"/>
                <w:highlight w:val="none"/>
              </w:rPr>
              <w:t>强烈的气味</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842"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highlight w:val="none"/>
              </w:rPr>
            </w:pPr>
            <w:r>
              <w:rPr>
                <w:rFonts w:hint="default" w:ascii="Arial" w:hAnsi="Arial" w:eastAsia="宋体" w:cs="Arial"/>
                <w:color w:val="auto"/>
                <w:highlight w:val="none"/>
              </w:rPr>
              <w:t>5</w:t>
            </w:r>
          </w:p>
        </w:tc>
        <w:tc>
          <w:tcPr>
            <w:tcW w:w="7161" w:type="dxa"/>
            <w:vAlign w:val="center"/>
          </w:tcPr>
          <w:p>
            <w:pPr>
              <w:pStyle w:val="63"/>
              <w:keepNext w:val="0"/>
              <w:keepLines w:val="0"/>
              <w:pageBreakBefore w:val="0"/>
              <w:widowControl w:val="0"/>
              <w:kinsoku/>
              <w:wordWrap/>
              <w:overflowPunct/>
              <w:topLinePunct/>
              <w:autoSpaceDE w:val="0"/>
              <w:autoSpaceDN/>
              <w:bidi w:val="0"/>
              <w:adjustRightInd/>
              <w:snapToGrid/>
              <w:textAlignment w:val="center"/>
              <w:rPr>
                <w:rFonts w:hint="default" w:ascii="Arial" w:hAnsi="Arial" w:eastAsia="宋体" w:cs="Arial"/>
                <w:color w:val="auto"/>
                <w:highlight w:val="none"/>
              </w:rPr>
            </w:pPr>
            <w:r>
              <w:rPr>
                <w:rFonts w:hint="default" w:ascii="Arial" w:hAnsi="Arial" w:eastAsia="宋体" w:cs="Arial"/>
                <w:color w:val="auto"/>
                <w:highlight w:val="none"/>
              </w:rPr>
              <w:t>无法忍受的极强气味</w:t>
            </w:r>
          </w:p>
        </w:tc>
      </w:tr>
    </w:tbl>
    <w:p>
      <w:pPr>
        <w:ind w:firstLine="480"/>
        <w:rPr>
          <w:rFonts w:hint="default" w:ascii="Arial" w:hAnsi="Arial" w:eastAsia="宋体" w:cs="Arial"/>
          <w:color w:val="auto"/>
          <w:highlight w:val="none"/>
        </w:rPr>
      </w:pPr>
      <w:r>
        <w:rPr>
          <w:rFonts w:hint="default" w:ascii="Arial" w:hAnsi="Arial" w:eastAsia="宋体" w:cs="Arial"/>
          <w:color w:val="auto"/>
          <w:highlight w:val="none"/>
        </w:rPr>
        <w:t>据初步统计，与养殖场有关的恶臭物质多达23种，大多为氨、硫化氢、硫醇类、酮类、胺类、吲哚类和醛类，国外研究出七种主要与养殖场有关的恶臭物质的浓度与臭气强度之间的关系，见下表。</w:t>
      </w:r>
    </w:p>
    <w:p>
      <w:pPr>
        <w:pStyle w:val="8"/>
        <w:rPr>
          <w:rFonts w:hint="default" w:ascii="Arial" w:hAnsi="Arial" w:eastAsia="宋体" w:cs="Arial"/>
          <w:color w:val="auto"/>
          <w:highlight w:val="none"/>
        </w:rPr>
      </w:pPr>
      <w:r>
        <w:rPr>
          <w:rFonts w:hint="default" w:ascii="Arial" w:hAnsi="Arial" w:eastAsia="宋体" w:cs="Arial"/>
          <w:color w:val="auto"/>
          <w:highlight w:val="none"/>
        </w:rPr>
        <w:t>表7.2-2     恶臭物质浓度与臭气强度的关系         mg/m</w:t>
      </w:r>
      <w:r>
        <w:rPr>
          <w:rFonts w:hint="default" w:ascii="Arial" w:hAnsi="Arial" w:eastAsia="宋体" w:cs="Arial"/>
          <w:color w:val="auto"/>
          <w:highlight w:val="none"/>
          <w:vertAlign w:val="superscript"/>
        </w:rPr>
        <w:t>3</w:t>
      </w:r>
    </w:p>
    <w:tbl>
      <w:tblPr>
        <w:tblStyle w:val="39"/>
        <w:tblW w:w="9003" w:type="dxa"/>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1197"/>
        <w:gridCol w:w="1045"/>
        <w:gridCol w:w="1126"/>
        <w:gridCol w:w="1127"/>
        <w:gridCol w:w="1128"/>
        <w:gridCol w:w="1127"/>
        <w:gridCol w:w="1128"/>
        <w:gridCol w:w="1125"/>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197"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臭气强度</w:t>
            </w:r>
          </w:p>
        </w:tc>
        <w:tc>
          <w:tcPr>
            <w:tcW w:w="1045"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氨</w:t>
            </w:r>
          </w:p>
        </w:tc>
        <w:tc>
          <w:tcPr>
            <w:tcW w:w="1126"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硫醇</w:t>
            </w:r>
          </w:p>
        </w:tc>
        <w:tc>
          <w:tcPr>
            <w:tcW w:w="1127"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硫化氢</w:t>
            </w:r>
          </w:p>
        </w:tc>
        <w:tc>
          <w:tcPr>
            <w:tcW w:w="1128"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甲基硫</w:t>
            </w:r>
          </w:p>
        </w:tc>
        <w:tc>
          <w:tcPr>
            <w:tcW w:w="1127"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二甲硫</w:t>
            </w:r>
          </w:p>
        </w:tc>
        <w:tc>
          <w:tcPr>
            <w:tcW w:w="1128"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三甲胺</w:t>
            </w:r>
          </w:p>
        </w:tc>
        <w:tc>
          <w:tcPr>
            <w:tcW w:w="1125"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乙醛</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197"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1</w:t>
            </w:r>
          </w:p>
        </w:tc>
        <w:tc>
          <w:tcPr>
            <w:tcW w:w="1045"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0.1</w:t>
            </w:r>
          </w:p>
        </w:tc>
        <w:tc>
          <w:tcPr>
            <w:tcW w:w="1126"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0.0001</w:t>
            </w:r>
          </w:p>
        </w:tc>
        <w:tc>
          <w:tcPr>
            <w:tcW w:w="1127"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0.0005</w:t>
            </w:r>
          </w:p>
        </w:tc>
        <w:tc>
          <w:tcPr>
            <w:tcW w:w="1128"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0.0001</w:t>
            </w:r>
          </w:p>
        </w:tc>
        <w:tc>
          <w:tcPr>
            <w:tcW w:w="1127"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0.0003</w:t>
            </w:r>
          </w:p>
        </w:tc>
        <w:tc>
          <w:tcPr>
            <w:tcW w:w="1128"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0.0001</w:t>
            </w:r>
          </w:p>
        </w:tc>
        <w:tc>
          <w:tcPr>
            <w:tcW w:w="1125"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0.002</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197"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2</w:t>
            </w:r>
          </w:p>
        </w:tc>
        <w:tc>
          <w:tcPr>
            <w:tcW w:w="1045"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0.5</w:t>
            </w:r>
          </w:p>
        </w:tc>
        <w:tc>
          <w:tcPr>
            <w:tcW w:w="1126"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0.0007</w:t>
            </w:r>
          </w:p>
        </w:tc>
        <w:tc>
          <w:tcPr>
            <w:tcW w:w="1127"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0.006</w:t>
            </w:r>
          </w:p>
        </w:tc>
        <w:tc>
          <w:tcPr>
            <w:tcW w:w="1128"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0.002</w:t>
            </w:r>
          </w:p>
        </w:tc>
        <w:tc>
          <w:tcPr>
            <w:tcW w:w="1127"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0.003</w:t>
            </w:r>
          </w:p>
        </w:tc>
        <w:tc>
          <w:tcPr>
            <w:tcW w:w="1128"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0.001</w:t>
            </w:r>
          </w:p>
        </w:tc>
        <w:tc>
          <w:tcPr>
            <w:tcW w:w="1125"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0.01</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197"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2.5</w:t>
            </w:r>
          </w:p>
        </w:tc>
        <w:tc>
          <w:tcPr>
            <w:tcW w:w="1045"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1.0</w:t>
            </w:r>
          </w:p>
        </w:tc>
        <w:tc>
          <w:tcPr>
            <w:tcW w:w="1126"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0.002</w:t>
            </w:r>
          </w:p>
        </w:tc>
        <w:tc>
          <w:tcPr>
            <w:tcW w:w="1127"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0.02</w:t>
            </w:r>
          </w:p>
        </w:tc>
        <w:tc>
          <w:tcPr>
            <w:tcW w:w="1128"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0.01</w:t>
            </w:r>
          </w:p>
        </w:tc>
        <w:tc>
          <w:tcPr>
            <w:tcW w:w="1127"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0.009</w:t>
            </w:r>
          </w:p>
        </w:tc>
        <w:tc>
          <w:tcPr>
            <w:tcW w:w="1128"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0.005</w:t>
            </w:r>
          </w:p>
        </w:tc>
        <w:tc>
          <w:tcPr>
            <w:tcW w:w="1125"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0.05</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197"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3</w:t>
            </w:r>
          </w:p>
        </w:tc>
        <w:tc>
          <w:tcPr>
            <w:tcW w:w="1045"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2</w:t>
            </w:r>
          </w:p>
        </w:tc>
        <w:tc>
          <w:tcPr>
            <w:tcW w:w="1126"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0.004</w:t>
            </w:r>
          </w:p>
        </w:tc>
        <w:tc>
          <w:tcPr>
            <w:tcW w:w="1127"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0.06</w:t>
            </w:r>
          </w:p>
        </w:tc>
        <w:tc>
          <w:tcPr>
            <w:tcW w:w="1128"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0.05</w:t>
            </w:r>
          </w:p>
        </w:tc>
        <w:tc>
          <w:tcPr>
            <w:tcW w:w="1127"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0.03</w:t>
            </w:r>
          </w:p>
        </w:tc>
        <w:tc>
          <w:tcPr>
            <w:tcW w:w="1128"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0.02</w:t>
            </w:r>
          </w:p>
        </w:tc>
        <w:tc>
          <w:tcPr>
            <w:tcW w:w="1125"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0.1</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197"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3.5</w:t>
            </w:r>
          </w:p>
        </w:tc>
        <w:tc>
          <w:tcPr>
            <w:tcW w:w="1045"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5</w:t>
            </w:r>
          </w:p>
        </w:tc>
        <w:tc>
          <w:tcPr>
            <w:tcW w:w="1126"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0.01</w:t>
            </w:r>
          </w:p>
        </w:tc>
        <w:tc>
          <w:tcPr>
            <w:tcW w:w="1127"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0.2</w:t>
            </w:r>
          </w:p>
        </w:tc>
        <w:tc>
          <w:tcPr>
            <w:tcW w:w="1128"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0.2</w:t>
            </w:r>
          </w:p>
        </w:tc>
        <w:tc>
          <w:tcPr>
            <w:tcW w:w="1127"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0.1</w:t>
            </w:r>
          </w:p>
        </w:tc>
        <w:tc>
          <w:tcPr>
            <w:tcW w:w="1128"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0.07</w:t>
            </w:r>
          </w:p>
        </w:tc>
        <w:tc>
          <w:tcPr>
            <w:tcW w:w="1125"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0.5</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197"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4</w:t>
            </w:r>
          </w:p>
        </w:tc>
        <w:tc>
          <w:tcPr>
            <w:tcW w:w="1045"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10</w:t>
            </w:r>
          </w:p>
        </w:tc>
        <w:tc>
          <w:tcPr>
            <w:tcW w:w="1126"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0.03</w:t>
            </w:r>
          </w:p>
        </w:tc>
        <w:tc>
          <w:tcPr>
            <w:tcW w:w="1127"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0.7</w:t>
            </w:r>
          </w:p>
        </w:tc>
        <w:tc>
          <w:tcPr>
            <w:tcW w:w="1128"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0.8</w:t>
            </w:r>
          </w:p>
        </w:tc>
        <w:tc>
          <w:tcPr>
            <w:tcW w:w="1127"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0.3</w:t>
            </w:r>
          </w:p>
        </w:tc>
        <w:tc>
          <w:tcPr>
            <w:tcW w:w="1128"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0.2</w:t>
            </w:r>
          </w:p>
        </w:tc>
        <w:tc>
          <w:tcPr>
            <w:tcW w:w="1125"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1</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197"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5</w:t>
            </w:r>
          </w:p>
        </w:tc>
        <w:tc>
          <w:tcPr>
            <w:tcW w:w="1045"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40</w:t>
            </w:r>
          </w:p>
        </w:tc>
        <w:tc>
          <w:tcPr>
            <w:tcW w:w="1126"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0.2</w:t>
            </w:r>
          </w:p>
        </w:tc>
        <w:tc>
          <w:tcPr>
            <w:tcW w:w="1127"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8</w:t>
            </w:r>
          </w:p>
        </w:tc>
        <w:tc>
          <w:tcPr>
            <w:tcW w:w="1128"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2</w:t>
            </w:r>
          </w:p>
        </w:tc>
        <w:tc>
          <w:tcPr>
            <w:tcW w:w="1127"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3</w:t>
            </w:r>
          </w:p>
        </w:tc>
        <w:tc>
          <w:tcPr>
            <w:tcW w:w="1128"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3</w:t>
            </w:r>
          </w:p>
        </w:tc>
        <w:tc>
          <w:tcPr>
            <w:tcW w:w="1125"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10</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197"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臭气特征</w:t>
            </w:r>
          </w:p>
        </w:tc>
        <w:tc>
          <w:tcPr>
            <w:tcW w:w="1045"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刺激臭</w:t>
            </w:r>
          </w:p>
        </w:tc>
        <w:tc>
          <w:tcPr>
            <w:tcW w:w="1126"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刺激臭</w:t>
            </w:r>
          </w:p>
        </w:tc>
        <w:tc>
          <w:tcPr>
            <w:tcW w:w="1127"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蛋味</w:t>
            </w:r>
          </w:p>
        </w:tc>
        <w:tc>
          <w:tcPr>
            <w:tcW w:w="1128"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刺激臭</w:t>
            </w:r>
          </w:p>
        </w:tc>
        <w:tc>
          <w:tcPr>
            <w:tcW w:w="1127"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刺激臭</w:t>
            </w:r>
          </w:p>
        </w:tc>
        <w:tc>
          <w:tcPr>
            <w:tcW w:w="1128"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臭鱼味</w:t>
            </w:r>
          </w:p>
        </w:tc>
        <w:tc>
          <w:tcPr>
            <w:tcW w:w="1125"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刺激臭</w:t>
            </w:r>
          </w:p>
        </w:tc>
      </w:tr>
    </w:tbl>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在不采用任何措施的情况下，大型养殖场的恶臭气体氨的浓度一般在15~30mg/m</w:t>
      </w:r>
      <w:r>
        <w:rPr>
          <w:rFonts w:hint="default" w:ascii="Arial" w:hAnsi="Arial" w:eastAsia="宋体" w:cs="Arial"/>
          <w:color w:val="auto"/>
          <w:highlight w:val="none"/>
          <w:vertAlign w:val="superscript"/>
        </w:rPr>
        <w:t>3</w:t>
      </w:r>
      <w:r>
        <w:rPr>
          <w:rFonts w:hint="default" w:ascii="Arial" w:hAnsi="Arial" w:eastAsia="宋体" w:cs="Arial"/>
          <w:color w:val="auto"/>
          <w:highlight w:val="none"/>
        </w:rPr>
        <w:t>之间，H</w:t>
      </w:r>
      <w:r>
        <w:rPr>
          <w:rFonts w:hint="default" w:ascii="Arial" w:hAnsi="Arial" w:eastAsia="宋体" w:cs="Arial"/>
          <w:color w:val="auto"/>
          <w:highlight w:val="none"/>
          <w:vertAlign w:val="subscript"/>
        </w:rPr>
        <w:t>2</w:t>
      </w:r>
      <w:r>
        <w:rPr>
          <w:rFonts w:hint="default" w:ascii="Arial" w:hAnsi="Arial" w:eastAsia="宋体" w:cs="Arial"/>
          <w:color w:val="auto"/>
          <w:highlight w:val="none"/>
        </w:rPr>
        <w:t>S的浓度在1.0~8.0mg/m</w:t>
      </w:r>
      <w:r>
        <w:rPr>
          <w:rFonts w:hint="default" w:ascii="Arial" w:hAnsi="Arial" w:eastAsia="宋体" w:cs="Arial"/>
          <w:color w:val="auto"/>
          <w:highlight w:val="none"/>
          <w:vertAlign w:val="superscript"/>
        </w:rPr>
        <w:t>3</w:t>
      </w:r>
      <w:r>
        <w:rPr>
          <w:rFonts w:hint="default" w:ascii="Arial" w:hAnsi="Arial" w:eastAsia="宋体" w:cs="Arial"/>
          <w:color w:val="auto"/>
          <w:highlight w:val="none"/>
        </w:rPr>
        <w:t>之间。由上表可知，其臭气强度为4~5级，属于无法忍受的强烈臭味。</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养牛项目控制恶臭气体的主要措施是从饲料喂饲着手，合理调节饲料中的蛋白质含量，可以减少因蛋白质过剩而产生过多的恶臭气体，同时针对牛舍进行规范管理，并采用了相应的除臭措施，具体措施如下：</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（1）合理设计牛舍</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有资料表明，温度高时恶臭气体浓度高，</w:t>
      </w:r>
      <w:r>
        <w:rPr>
          <w:rFonts w:hint="default" w:ascii="Arial" w:hAnsi="Arial" w:eastAsia="宋体" w:cs="Arial"/>
          <w:color w:val="auto"/>
          <w:highlight w:val="none"/>
          <w:lang w:eastAsia="zh-CN"/>
        </w:rPr>
        <w:t>牛粪便</w:t>
      </w:r>
      <w:r>
        <w:rPr>
          <w:rFonts w:hint="default" w:ascii="Arial" w:hAnsi="Arial" w:eastAsia="宋体" w:cs="Arial"/>
          <w:color w:val="auto"/>
          <w:highlight w:val="none"/>
        </w:rPr>
        <w:t>在1~2周后发酵较快，粪便暴露面积大的发酵率高。项目夏季加强了牛舍的通风，加速粪便干燥，可减少臭气产生。</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（2）合理选用牛饲料</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牛排泄物中的恶臭组分复杂，但基本上可分为含硫化合物、酚类化合物、挥发性脂肪酸、氨和胺等四类。通过控制或使用饲料（全价饲料或添加生物抑制剂），粪便中粗蛋白的含量可显著地降低，有效减少未消化蛋白质的分解物排放，提高日粮消化率、减少干物质（蛋白质）排出量是减少恶臭来源的有效措施。</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本项目的所有饲料采用某些添加剂，除可以提高畜禽生产性能外，还可以控制恶臭。①酶制剂，加入饲料中可以提高营养利用率；②EM液，是由光合细菌、乳酸菌群、酵母菌群等多种微生物组成的，</w:t>
      </w:r>
      <w:r>
        <w:rPr>
          <w:rFonts w:hint="default" w:ascii="Arial" w:hAnsi="Arial" w:eastAsia="宋体" w:cs="Arial"/>
          <w:color w:val="auto"/>
          <w:highlight w:val="none"/>
          <w:shd w:val="clear" w:color="auto" w:fill="FFFFFF"/>
        </w:rPr>
        <w:t>饲料中长期添加益生菌原液或益生菌原液发酵料，有益微生物在大肠中产生氨基酸、氧化酶及硫化物分解酶，将产生臭气的吲哚类化合物完全氧化，将硫化氢氧化成无臭无毒的物质，可使养殖臭气、氨气含量显著下降</w:t>
      </w:r>
      <w:r>
        <w:rPr>
          <w:rFonts w:hint="default" w:ascii="Arial" w:hAnsi="Arial" w:eastAsia="宋体" w:cs="Arial"/>
          <w:color w:val="auto"/>
          <w:highlight w:val="none"/>
        </w:rPr>
        <w:t>；③酸化剂，低pH值可以使畜禽排泄的粪便中的氨处于非挥发性的NH</w:t>
      </w:r>
      <w:r>
        <w:rPr>
          <w:rFonts w:hint="default" w:ascii="Arial" w:hAnsi="Arial" w:eastAsia="宋体" w:cs="Arial"/>
          <w:color w:val="auto"/>
          <w:highlight w:val="none"/>
          <w:vertAlign w:val="subscript"/>
        </w:rPr>
        <w:t>4</w:t>
      </w:r>
      <w:r>
        <w:rPr>
          <w:rFonts w:hint="default" w:ascii="Arial" w:hAnsi="Arial" w:eastAsia="宋体" w:cs="Arial"/>
          <w:color w:val="auto"/>
          <w:highlight w:val="none"/>
          <w:vertAlign w:val="superscript"/>
        </w:rPr>
        <w:t>+</w:t>
      </w:r>
      <w:r>
        <w:rPr>
          <w:rFonts w:hint="default" w:ascii="Arial" w:hAnsi="Arial" w:eastAsia="宋体" w:cs="Arial"/>
          <w:color w:val="auto"/>
          <w:highlight w:val="none"/>
        </w:rPr>
        <w:t>状态，这样就减少了空气中的氨。饲料在消化过程中，未消化吸收的部分进入后段肠道，因微生物作用产生臭气，粪便被排出体外后，继续经微生物作用产生更多的臭气，因此减少饲料中的蛋白质含量是减少恶臭来源的有效措施。以满足其实际需要为原则，通过调控喂食量将不会导致因营养成分的富余而使牛排泄的粪尿量增加，同时也会使粪便中的氨有效降低，从源头减少恶臭的产生。</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EM微生物是有效微生物群的英文缩写，它是光合细菌、乳酸菌群、酵母菌群、放线菌群、丝状菌群等5种10属80余种微生物组成的。向饲料中添加EM微生物菌群，不仅可以提高牛的免疫力，促进牛的生长，而且可以减少牛舍粪便恶臭。有关资料显示，使用EM微生物后，圈舍臭味明显减少，夏天苍蝇数量减少60%以上，氨气浓度降低了69.7%。根据北京环境监测中心对EM微生物除臭效果进行检测的结果，在生猪的饲料中添加EM微生物１个月后，恶臭浓度下降了90%，臭气强度下降到2.5级以下。</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（3）</w:t>
      </w:r>
      <w:r>
        <w:rPr>
          <w:rFonts w:hint="default" w:ascii="Arial" w:hAnsi="Arial" w:eastAsia="宋体" w:cs="Arial"/>
          <w:color w:val="auto"/>
          <w:highlight w:val="none"/>
          <w:lang w:eastAsia="zh-CN"/>
        </w:rPr>
        <w:t>牛粪便</w:t>
      </w:r>
      <w:r>
        <w:rPr>
          <w:rFonts w:hint="default" w:ascii="Arial" w:hAnsi="Arial" w:eastAsia="宋体" w:cs="Arial"/>
          <w:color w:val="auto"/>
          <w:highlight w:val="none"/>
        </w:rPr>
        <w:t>日产日清</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有资料表明，</w:t>
      </w:r>
      <w:r>
        <w:rPr>
          <w:rFonts w:hint="default" w:ascii="Arial" w:hAnsi="Arial" w:eastAsia="宋体" w:cs="Arial"/>
          <w:color w:val="auto"/>
          <w:highlight w:val="none"/>
          <w:lang w:eastAsia="zh-CN"/>
        </w:rPr>
        <w:t>牛粪便</w:t>
      </w:r>
      <w:r>
        <w:rPr>
          <w:rFonts w:hint="default" w:ascii="Arial" w:hAnsi="Arial" w:eastAsia="宋体" w:cs="Arial"/>
          <w:color w:val="auto"/>
          <w:highlight w:val="none"/>
        </w:rPr>
        <w:t>在1~2周后发酵较快，粪便暴露面积越大，发酵率越高，因此应及时将粪便从牛舍中排出，并加强牛舍内的通风效果，减少臭气在牛舍的停留时间，降低臭气的排放浓度，能较好的减少臭气污染。</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在夏、秋季节，建议使用掩臭剂、氧化剂处理未及时清运的粪便。在不利于污染物稀释、扩散的气象条件下，每天应增加1~2次粪便的收集次数，减少粪便堆积挥发的恶臭气体排放量。</w:t>
      </w:r>
    </w:p>
    <w:p>
      <w:pPr>
        <w:pStyle w:val="7"/>
        <w:pageBreakBefore w:val="0"/>
        <w:widowControl w:val="0"/>
        <w:kinsoku/>
        <w:wordWrap/>
        <w:overflowPunct/>
        <w:topLinePunct/>
        <w:autoSpaceDE w:val="0"/>
        <w:autoSpaceDN/>
        <w:bidi w:val="0"/>
        <w:adjustRightInd/>
        <w:snapToGrid/>
        <w:textAlignment w:val="auto"/>
        <w:rPr>
          <w:rFonts w:hint="default" w:ascii="Arial" w:hAnsi="Arial" w:eastAsia="宋体" w:cs="Arial"/>
          <w:color w:val="auto"/>
          <w:highlight w:val="none"/>
        </w:rPr>
      </w:pPr>
      <w:r>
        <w:rPr>
          <w:rFonts w:hint="default" w:ascii="Arial" w:hAnsi="Arial" w:eastAsia="宋体" w:cs="Arial"/>
          <w:color w:val="auto"/>
          <w:highlight w:val="none"/>
        </w:rPr>
        <w:t>7.2.1.2</w:t>
      </w:r>
      <w:r>
        <w:rPr>
          <w:rFonts w:hint="default" w:ascii="Arial" w:hAnsi="Arial" w:eastAsia="宋体" w:cs="Arial"/>
          <w:color w:val="auto"/>
          <w:highlight w:val="none"/>
          <w:lang w:eastAsia="zh-CN"/>
        </w:rPr>
        <w:t>堆肥场</w:t>
      </w:r>
      <w:r>
        <w:rPr>
          <w:rFonts w:hint="default" w:ascii="Arial" w:hAnsi="Arial" w:eastAsia="宋体" w:cs="Arial"/>
          <w:color w:val="auto"/>
          <w:highlight w:val="none"/>
        </w:rPr>
        <w:t>恶臭防治措施</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本项目</w:t>
      </w:r>
      <w:r>
        <w:rPr>
          <w:rFonts w:hint="default" w:ascii="Arial" w:hAnsi="Arial" w:eastAsia="宋体" w:cs="Arial"/>
          <w:color w:val="auto"/>
          <w:highlight w:val="none"/>
          <w:lang w:eastAsia="zh-CN"/>
        </w:rPr>
        <w:t>堆肥场</w:t>
      </w:r>
      <w:r>
        <w:rPr>
          <w:rFonts w:hint="default" w:ascii="Arial" w:hAnsi="Arial" w:eastAsia="宋体" w:cs="Arial"/>
          <w:color w:val="auto"/>
          <w:highlight w:val="none"/>
        </w:rPr>
        <w:t>的恶臭主要来自粪便及尿液产生的NH</w:t>
      </w:r>
      <w:r>
        <w:rPr>
          <w:rFonts w:hint="default" w:ascii="Arial" w:hAnsi="Arial" w:eastAsia="宋体" w:cs="Arial"/>
          <w:color w:val="auto"/>
          <w:highlight w:val="none"/>
          <w:vertAlign w:val="subscript"/>
        </w:rPr>
        <w:t>3</w:t>
      </w:r>
      <w:r>
        <w:rPr>
          <w:rFonts w:hint="default" w:ascii="Arial" w:hAnsi="Arial" w:eastAsia="宋体" w:cs="Arial"/>
          <w:color w:val="auto"/>
          <w:highlight w:val="none"/>
        </w:rPr>
        <w:t>、H</w:t>
      </w:r>
      <w:r>
        <w:rPr>
          <w:rFonts w:hint="default" w:ascii="Arial" w:hAnsi="Arial" w:eastAsia="宋体" w:cs="Arial"/>
          <w:color w:val="auto"/>
          <w:highlight w:val="none"/>
          <w:vertAlign w:val="subscript"/>
        </w:rPr>
        <w:t>2</w:t>
      </w:r>
      <w:r>
        <w:rPr>
          <w:rFonts w:hint="default" w:ascii="Arial" w:hAnsi="Arial" w:eastAsia="宋体" w:cs="Arial"/>
          <w:color w:val="auto"/>
          <w:highlight w:val="none"/>
        </w:rPr>
        <w:t>S等恶臭有害气体，首先是在饲喂过程中合理配制日粮，减少恶臭物质的产生，即从源头减少；及时将粪便进行好氧堆肥，避免长时间放置，可有效减少臭气的产生量；堆肥采用好氧堆肥方式，并投加减少氨释放和保氮的复合发酵剂，可以有效减少氨气等臭气的排放。</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根据《中国论文科技在线》中的文章《复合发酵剂在</w:t>
      </w:r>
      <w:r>
        <w:rPr>
          <w:rFonts w:hint="default" w:ascii="Arial" w:hAnsi="Arial" w:eastAsia="宋体" w:cs="Arial"/>
          <w:color w:val="auto"/>
          <w:highlight w:val="none"/>
          <w:lang w:eastAsia="zh-CN"/>
        </w:rPr>
        <w:t>牛粪便</w:t>
      </w:r>
      <w:r>
        <w:rPr>
          <w:rFonts w:hint="default" w:ascii="Arial" w:hAnsi="Arial" w:eastAsia="宋体" w:cs="Arial"/>
          <w:color w:val="auto"/>
          <w:highlight w:val="none"/>
        </w:rPr>
        <w:t>无害化处理中的应用效果》，在使用堆肥过程中使用复合发酵剂时的臭味变化动态情况如下表：</w:t>
      </w:r>
    </w:p>
    <w:p>
      <w:pPr>
        <w:pStyle w:val="8"/>
        <w:pageBreakBefore w:val="0"/>
        <w:widowControl w:val="0"/>
        <w:kinsoku/>
        <w:wordWrap/>
        <w:overflowPunct/>
        <w:topLinePunct/>
        <w:autoSpaceDE w:val="0"/>
        <w:autoSpaceDN/>
        <w:bidi w:val="0"/>
        <w:adjustRightInd/>
        <w:snapToGrid/>
        <w:textAlignment w:val="auto"/>
        <w:rPr>
          <w:rFonts w:hint="default" w:ascii="Arial" w:hAnsi="Arial" w:eastAsia="宋体" w:cs="Arial"/>
          <w:color w:val="auto"/>
          <w:highlight w:val="none"/>
        </w:rPr>
      </w:pPr>
      <w:r>
        <w:rPr>
          <w:rFonts w:hint="default" w:ascii="Arial" w:hAnsi="Arial" w:eastAsia="宋体" w:cs="Arial"/>
          <w:color w:val="auto"/>
          <w:highlight w:val="none"/>
        </w:rPr>
        <w:t>表7.2-3    堆肥过程中使用复合发酵剂时的臭味变化动态情况列表</w:t>
      </w:r>
    </w:p>
    <w:tbl>
      <w:tblPr>
        <w:tblStyle w:val="39"/>
        <w:tblW w:w="9003" w:type="dxa"/>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627"/>
        <w:gridCol w:w="698"/>
        <w:gridCol w:w="698"/>
        <w:gridCol w:w="698"/>
        <w:gridCol w:w="698"/>
        <w:gridCol w:w="698"/>
        <w:gridCol w:w="698"/>
        <w:gridCol w:w="698"/>
        <w:gridCol w:w="698"/>
        <w:gridCol w:w="698"/>
        <w:gridCol w:w="698"/>
        <w:gridCol w:w="698"/>
        <w:gridCol w:w="698"/>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PrEx>
        <w:trPr>
          <w:trHeight w:val="340" w:hRule="atLeast"/>
          <w:jc w:val="center"/>
        </w:trPr>
        <w:tc>
          <w:tcPr>
            <w:tcW w:w="627" w:type="dxa"/>
            <w:shd w:val="clear" w:color="auto" w:fill="auto"/>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臭味</w:t>
            </w:r>
          </w:p>
        </w:tc>
        <w:tc>
          <w:tcPr>
            <w:tcW w:w="698" w:type="dxa"/>
            <w:shd w:val="clear" w:color="auto" w:fill="auto"/>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1d</w:t>
            </w:r>
          </w:p>
        </w:tc>
        <w:tc>
          <w:tcPr>
            <w:tcW w:w="698" w:type="dxa"/>
            <w:shd w:val="clear" w:color="auto" w:fill="auto"/>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2d</w:t>
            </w:r>
          </w:p>
        </w:tc>
        <w:tc>
          <w:tcPr>
            <w:tcW w:w="698" w:type="dxa"/>
            <w:shd w:val="clear" w:color="auto" w:fill="auto"/>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3d</w:t>
            </w:r>
          </w:p>
        </w:tc>
        <w:tc>
          <w:tcPr>
            <w:tcW w:w="698" w:type="dxa"/>
            <w:shd w:val="clear" w:color="auto" w:fill="auto"/>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4d</w:t>
            </w:r>
          </w:p>
        </w:tc>
        <w:tc>
          <w:tcPr>
            <w:tcW w:w="698" w:type="dxa"/>
            <w:shd w:val="clear" w:color="auto" w:fill="auto"/>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5d</w:t>
            </w:r>
          </w:p>
        </w:tc>
        <w:tc>
          <w:tcPr>
            <w:tcW w:w="698" w:type="dxa"/>
            <w:shd w:val="clear" w:color="auto" w:fill="auto"/>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6d</w:t>
            </w:r>
          </w:p>
        </w:tc>
        <w:tc>
          <w:tcPr>
            <w:tcW w:w="698" w:type="dxa"/>
            <w:shd w:val="clear" w:color="auto" w:fill="auto"/>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7d</w:t>
            </w:r>
          </w:p>
        </w:tc>
        <w:tc>
          <w:tcPr>
            <w:tcW w:w="698" w:type="dxa"/>
            <w:shd w:val="clear" w:color="auto" w:fill="auto"/>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8d</w:t>
            </w:r>
          </w:p>
        </w:tc>
        <w:tc>
          <w:tcPr>
            <w:tcW w:w="698" w:type="dxa"/>
            <w:shd w:val="clear" w:color="auto" w:fill="auto"/>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9d</w:t>
            </w:r>
          </w:p>
        </w:tc>
        <w:tc>
          <w:tcPr>
            <w:tcW w:w="698" w:type="dxa"/>
            <w:shd w:val="clear" w:color="auto" w:fill="auto"/>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10d</w:t>
            </w:r>
          </w:p>
        </w:tc>
        <w:tc>
          <w:tcPr>
            <w:tcW w:w="698" w:type="dxa"/>
            <w:shd w:val="clear" w:color="auto" w:fill="auto"/>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11d</w:t>
            </w:r>
          </w:p>
        </w:tc>
        <w:tc>
          <w:tcPr>
            <w:tcW w:w="698" w:type="dxa"/>
            <w:shd w:val="clear" w:color="auto" w:fill="auto"/>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12d</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627" w:type="dxa"/>
            <w:shd w:val="clear" w:color="auto" w:fill="auto"/>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对照</w:t>
            </w:r>
          </w:p>
        </w:tc>
        <w:tc>
          <w:tcPr>
            <w:tcW w:w="698" w:type="dxa"/>
            <w:shd w:val="clear" w:color="auto" w:fill="auto"/>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Ms5</w:t>
            </w:r>
          </w:p>
        </w:tc>
        <w:tc>
          <w:tcPr>
            <w:tcW w:w="698" w:type="dxa"/>
            <w:shd w:val="clear" w:color="auto" w:fill="auto"/>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Ms5</w:t>
            </w:r>
          </w:p>
        </w:tc>
        <w:tc>
          <w:tcPr>
            <w:tcW w:w="698" w:type="dxa"/>
            <w:shd w:val="clear" w:color="auto" w:fill="auto"/>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Ms5</w:t>
            </w:r>
          </w:p>
        </w:tc>
        <w:tc>
          <w:tcPr>
            <w:tcW w:w="698" w:type="dxa"/>
            <w:shd w:val="clear" w:color="auto" w:fill="auto"/>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Ms5</w:t>
            </w:r>
          </w:p>
        </w:tc>
        <w:tc>
          <w:tcPr>
            <w:tcW w:w="698" w:type="dxa"/>
            <w:shd w:val="clear" w:color="auto" w:fill="auto"/>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Ms4</w:t>
            </w:r>
          </w:p>
        </w:tc>
        <w:tc>
          <w:tcPr>
            <w:tcW w:w="698" w:type="dxa"/>
            <w:shd w:val="clear" w:color="auto" w:fill="auto"/>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Ms4</w:t>
            </w:r>
          </w:p>
        </w:tc>
        <w:tc>
          <w:tcPr>
            <w:tcW w:w="698" w:type="dxa"/>
            <w:shd w:val="clear" w:color="auto" w:fill="auto"/>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Ms4</w:t>
            </w:r>
          </w:p>
        </w:tc>
        <w:tc>
          <w:tcPr>
            <w:tcW w:w="698" w:type="dxa"/>
            <w:shd w:val="clear" w:color="auto" w:fill="auto"/>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Ms4</w:t>
            </w:r>
          </w:p>
        </w:tc>
        <w:tc>
          <w:tcPr>
            <w:tcW w:w="698" w:type="dxa"/>
            <w:shd w:val="clear" w:color="auto" w:fill="auto"/>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Ms4</w:t>
            </w:r>
          </w:p>
        </w:tc>
        <w:tc>
          <w:tcPr>
            <w:tcW w:w="698" w:type="dxa"/>
            <w:shd w:val="clear" w:color="auto" w:fill="auto"/>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Ms4</w:t>
            </w:r>
          </w:p>
        </w:tc>
        <w:tc>
          <w:tcPr>
            <w:tcW w:w="698" w:type="dxa"/>
            <w:shd w:val="clear" w:color="auto" w:fill="auto"/>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Ms3</w:t>
            </w:r>
          </w:p>
        </w:tc>
        <w:tc>
          <w:tcPr>
            <w:tcW w:w="698" w:type="dxa"/>
            <w:shd w:val="clear" w:color="auto" w:fill="auto"/>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Ms3</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627" w:type="dxa"/>
            <w:shd w:val="clear" w:color="auto" w:fill="auto"/>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处理</w:t>
            </w:r>
          </w:p>
        </w:tc>
        <w:tc>
          <w:tcPr>
            <w:tcW w:w="698" w:type="dxa"/>
            <w:shd w:val="clear" w:color="auto" w:fill="auto"/>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Ms5</w:t>
            </w:r>
          </w:p>
        </w:tc>
        <w:tc>
          <w:tcPr>
            <w:tcW w:w="698" w:type="dxa"/>
            <w:shd w:val="clear" w:color="auto" w:fill="auto"/>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Ms3</w:t>
            </w:r>
          </w:p>
        </w:tc>
        <w:tc>
          <w:tcPr>
            <w:tcW w:w="698" w:type="dxa"/>
            <w:shd w:val="clear" w:color="auto" w:fill="auto"/>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Ms1</w:t>
            </w:r>
          </w:p>
        </w:tc>
        <w:tc>
          <w:tcPr>
            <w:tcW w:w="698" w:type="dxa"/>
            <w:shd w:val="clear" w:color="auto" w:fill="auto"/>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Ms0</w:t>
            </w:r>
          </w:p>
        </w:tc>
        <w:tc>
          <w:tcPr>
            <w:tcW w:w="698" w:type="dxa"/>
            <w:shd w:val="clear" w:color="auto" w:fill="auto"/>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Ms0</w:t>
            </w:r>
          </w:p>
        </w:tc>
        <w:tc>
          <w:tcPr>
            <w:tcW w:w="698" w:type="dxa"/>
            <w:shd w:val="clear" w:color="auto" w:fill="auto"/>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Ms0</w:t>
            </w:r>
          </w:p>
        </w:tc>
        <w:tc>
          <w:tcPr>
            <w:tcW w:w="698" w:type="dxa"/>
            <w:shd w:val="clear" w:color="auto" w:fill="auto"/>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Ms0</w:t>
            </w:r>
          </w:p>
        </w:tc>
        <w:tc>
          <w:tcPr>
            <w:tcW w:w="698" w:type="dxa"/>
            <w:shd w:val="clear" w:color="auto" w:fill="auto"/>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Ms0</w:t>
            </w:r>
          </w:p>
        </w:tc>
        <w:tc>
          <w:tcPr>
            <w:tcW w:w="698" w:type="dxa"/>
            <w:shd w:val="clear" w:color="auto" w:fill="auto"/>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Ms0</w:t>
            </w:r>
          </w:p>
        </w:tc>
        <w:tc>
          <w:tcPr>
            <w:tcW w:w="698" w:type="dxa"/>
            <w:shd w:val="clear" w:color="auto" w:fill="auto"/>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Ms0</w:t>
            </w:r>
          </w:p>
        </w:tc>
        <w:tc>
          <w:tcPr>
            <w:tcW w:w="698" w:type="dxa"/>
            <w:shd w:val="clear" w:color="auto" w:fill="auto"/>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Ms0</w:t>
            </w:r>
          </w:p>
        </w:tc>
        <w:tc>
          <w:tcPr>
            <w:tcW w:w="698" w:type="dxa"/>
            <w:shd w:val="clear" w:color="auto" w:fill="auto"/>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Ms0</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003" w:type="dxa"/>
            <w:gridSpan w:val="13"/>
            <w:shd w:val="clear" w:color="auto" w:fill="auto"/>
            <w:vAlign w:val="center"/>
          </w:tcPr>
          <w:p>
            <w:pPr>
              <w:pStyle w:val="63"/>
              <w:jc w:val="both"/>
              <w:rPr>
                <w:rFonts w:hint="default" w:ascii="Arial" w:hAnsi="Arial" w:eastAsia="宋体" w:cs="Arial"/>
                <w:color w:val="auto"/>
                <w:highlight w:val="none"/>
              </w:rPr>
            </w:pPr>
            <w:r>
              <w:rPr>
                <w:rFonts w:hint="default" w:ascii="Arial" w:hAnsi="Arial" w:eastAsia="宋体" w:cs="Arial"/>
                <w:color w:val="auto"/>
                <w:highlight w:val="none"/>
              </w:rPr>
              <w:t>注：Ms0无臭味；Ms1勉强感觉到臭味；Ms2微弱的臭味；Ms3明显的臭味；Ms4很强的臭味；Ms5难以忍受的臭味。</w:t>
            </w:r>
          </w:p>
        </w:tc>
      </w:tr>
    </w:tbl>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从上表可以看出，在使用复合发酵剂后，</w:t>
      </w:r>
      <w:r>
        <w:rPr>
          <w:rFonts w:hint="default" w:ascii="Arial" w:hAnsi="Arial" w:eastAsia="宋体" w:cs="Arial"/>
          <w:color w:val="auto"/>
          <w:highlight w:val="none"/>
          <w:lang w:eastAsia="zh-CN"/>
        </w:rPr>
        <w:t>堆肥场</w:t>
      </w:r>
      <w:r>
        <w:rPr>
          <w:rFonts w:hint="default" w:ascii="Arial" w:hAnsi="Arial" w:eastAsia="宋体" w:cs="Arial"/>
          <w:color w:val="auto"/>
          <w:highlight w:val="none"/>
        </w:rPr>
        <w:t>产生的臭气可大幅减少，是可行的。</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通过以上措施可减少养殖区的臭味产生，通过考察周边各牛场的实际运行情况，也的确取得了较好的效果，场界</w:t>
      </w:r>
      <w:r>
        <w:rPr>
          <w:rFonts w:hint="default" w:ascii="Arial" w:hAnsi="Arial" w:eastAsia="宋体" w:cs="Arial"/>
          <w:color w:val="auto"/>
          <w:highlight w:val="none"/>
          <w:lang w:eastAsia="zh-CN"/>
        </w:rPr>
        <w:t>氨气和硫化氢</w:t>
      </w:r>
      <w:r>
        <w:rPr>
          <w:rFonts w:hint="default" w:ascii="Arial" w:hAnsi="Arial" w:eastAsia="宋体" w:cs="Arial"/>
          <w:color w:val="auto"/>
          <w:highlight w:val="none"/>
        </w:rPr>
        <w:t>排放浓度满足《恶臭污染物排放标准》（GB14554-93）中的二级新扩改建标准</w:t>
      </w:r>
      <w:r>
        <w:rPr>
          <w:rFonts w:hint="default" w:ascii="Arial" w:hAnsi="Arial" w:eastAsia="宋体" w:cs="Arial"/>
          <w:color w:val="auto"/>
          <w:highlight w:val="none"/>
          <w:lang w:eastAsia="zh-CN"/>
        </w:rPr>
        <w:t>、臭气浓度排放满足</w:t>
      </w:r>
      <w:r>
        <w:rPr>
          <w:rFonts w:hint="default" w:ascii="Arial" w:hAnsi="Arial" w:eastAsia="宋体" w:cs="Arial"/>
          <w:color w:val="auto"/>
          <w:highlight w:val="none"/>
        </w:rPr>
        <w:t>《畜禽养殖业污染物排放标准》(GB18596-2001)中表7标准，因此</w:t>
      </w:r>
      <w:r>
        <w:rPr>
          <w:rFonts w:hint="default" w:ascii="Arial" w:hAnsi="Arial" w:eastAsia="宋体" w:cs="Arial"/>
          <w:color w:val="auto"/>
          <w:highlight w:val="none"/>
          <w:lang w:eastAsia="zh-CN"/>
        </w:rPr>
        <w:t>本项目采取的废气治理措施</w:t>
      </w:r>
      <w:r>
        <w:rPr>
          <w:rFonts w:hint="default" w:ascii="Arial" w:hAnsi="Arial" w:eastAsia="宋体" w:cs="Arial"/>
          <w:color w:val="auto"/>
          <w:highlight w:val="none"/>
        </w:rPr>
        <w:t>是可行的。</w:t>
      </w:r>
    </w:p>
    <w:p>
      <w:pPr>
        <w:pStyle w:val="6"/>
        <w:pageBreakBefore w:val="0"/>
        <w:widowControl w:val="0"/>
        <w:kinsoku/>
        <w:wordWrap/>
        <w:overflowPunct/>
        <w:topLinePunct/>
        <w:autoSpaceDE w:val="0"/>
        <w:autoSpaceDN/>
        <w:bidi w:val="0"/>
        <w:adjustRightInd/>
        <w:snapToGrid/>
        <w:textAlignment w:val="auto"/>
        <w:rPr>
          <w:rFonts w:hint="default" w:ascii="Arial" w:hAnsi="Arial" w:eastAsia="宋体" w:cs="Arial"/>
          <w:color w:val="auto"/>
          <w:highlight w:val="none"/>
        </w:rPr>
      </w:pPr>
      <w:bookmarkStart w:id="486" w:name="_Toc46421187"/>
      <w:bookmarkStart w:id="487" w:name="_Toc13277"/>
      <w:r>
        <w:rPr>
          <w:rFonts w:hint="default" w:ascii="Arial" w:hAnsi="Arial" w:eastAsia="宋体" w:cs="Arial"/>
          <w:color w:val="auto"/>
          <w:highlight w:val="none"/>
        </w:rPr>
        <w:t>7.2.2饲料配置粉尘</w:t>
      </w:r>
      <w:bookmarkEnd w:id="486"/>
      <w:bookmarkEnd w:id="487"/>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项目精饲料主要为外购的成品袋装饲料，为按照一定比例将豆粕、棉籽、玉米粉、以及各种添加剂混合而成的</w:t>
      </w:r>
      <w:r>
        <w:rPr>
          <w:rFonts w:hint="default" w:ascii="Arial" w:hAnsi="Arial" w:eastAsia="宋体" w:cs="Arial"/>
          <w:color w:val="auto"/>
          <w:highlight w:val="none"/>
          <w:lang w:eastAsia="zh-CN"/>
        </w:rPr>
        <w:t>精料</w:t>
      </w:r>
      <w:r>
        <w:rPr>
          <w:rFonts w:hint="default" w:ascii="Arial" w:hAnsi="Arial" w:eastAsia="宋体" w:cs="Arial"/>
          <w:color w:val="auto"/>
          <w:highlight w:val="none"/>
        </w:rPr>
        <w:t>。项目每日将精饲料以及项目储存的</w:t>
      </w:r>
      <w:r>
        <w:rPr>
          <w:rFonts w:hint="default" w:ascii="Arial" w:hAnsi="Arial" w:eastAsia="宋体" w:cs="Arial"/>
          <w:color w:val="auto"/>
          <w:highlight w:val="none"/>
          <w:lang w:eastAsia="zh-CN"/>
        </w:rPr>
        <w:t>青贮</w:t>
      </w:r>
      <w:r>
        <w:rPr>
          <w:rFonts w:hint="default" w:ascii="Arial" w:hAnsi="Arial" w:eastAsia="宋体" w:cs="Arial"/>
          <w:color w:val="auto"/>
          <w:highlight w:val="none"/>
        </w:rPr>
        <w:t>料、青干草投入</w:t>
      </w:r>
      <w:r>
        <w:rPr>
          <w:rFonts w:hint="default" w:ascii="Arial" w:hAnsi="Arial" w:eastAsia="宋体" w:cs="Arial"/>
          <w:color w:val="auto"/>
          <w:highlight w:val="none"/>
          <w:lang w:eastAsia="zh-CN"/>
        </w:rPr>
        <w:t>TMR日粮搅拌机</w:t>
      </w:r>
      <w:r>
        <w:rPr>
          <w:rFonts w:hint="default" w:ascii="Arial" w:hAnsi="Arial" w:eastAsia="宋体" w:cs="Arial"/>
          <w:color w:val="auto"/>
          <w:highlight w:val="none"/>
        </w:rPr>
        <w:t>搅拌成</w:t>
      </w:r>
      <w:r>
        <w:rPr>
          <w:rFonts w:hint="default" w:ascii="Arial" w:hAnsi="Arial" w:eastAsia="宋体" w:cs="Arial"/>
          <w:color w:val="auto"/>
          <w:highlight w:val="none"/>
          <w:lang w:eastAsia="zh-CN"/>
        </w:rPr>
        <w:t>肉牛</w:t>
      </w:r>
      <w:r>
        <w:rPr>
          <w:rFonts w:hint="default" w:ascii="Arial" w:hAnsi="Arial" w:eastAsia="宋体" w:cs="Arial"/>
          <w:color w:val="auto"/>
          <w:highlight w:val="none"/>
        </w:rPr>
        <w:t>口粮，由于精饲料主要成分豆粕、棉籽、玉米粉等具有一定的粒度，而</w:t>
      </w:r>
      <w:r>
        <w:rPr>
          <w:rFonts w:hint="default" w:ascii="Arial" w:hAnsi="Arial" w:eastAsia="宋体" w:cs="Arial"/>
          <w:color w:val="auto"/>
          <w:highlight w:val="none"/>
          <w:lang w:eastAsia="zh-CN"/>
        </w:rPr>
        <w:t>青贮</w:t>
      </w:r>
      <w:r>
        <w:rPr>
          <w:rFonts w:hint="default" w:ascii="Arial" w:hAnsi="Arial" w:eastAsia="宋体" w:cs="Arial"/>
          <w:color w:val="auto"/>
          <w:highlight w:val="none"/>
        </w:rPr>
        <w:t>、苜蓿等均为短段，各物料一般都有一定的湿度，不会是绝干的，另外</w:t>
      </w:r>
      <w:r>
        <w:rPr>
          <w:rFonts w:hint="default" w:ascii="Arial" w:hAnsi="Arial" w:eastAsia="宋体" w:cs="Arial"/>
          <w:color w:val="auto"/>
          <w:highlight w:val="none"/>
          <w:lang w:eastAsia="zh-CN"/>
        </w:rPr>
        <w:t>饲草料库房</w:t>
      </w:r>
      <w:r>
        <w:rPr>
          <w:rFonts w:hint="default" w:ascii="Arial" w:hAnsi="Arial" w:eastAsia="宋体" w:cs="Arial"/>
          <w:color w:val="auto"/>
          <w:highlight w:val="none"/>
        </w:rPr>
        <w:t>全封闭，配置过程中产生的颗粒物在封闭车间内沉降，及时清扫至</w:t>
      </w:r>
      <w:r>
        <w:rPr>
          <w:rFonts w:hint="default" w:ascii="Arial" w:hAnsi="Arial" w:eastAsia="宋体" w:cs="Arial"/>
          <w:color w:val="auto"/>
          <w:highlight w:val="none"/>
          <w:lang w:eastAsia="zh-CN"/>
        </w:rPr>
        <w:t>堆肥场</w:t>
      </w:r>
      <w:r>
        <w:rPr>
          <w:rFonts w:hint="default" w:ascii="Arial" w:hAnsi="Arial" w:eastAsia="宋体" w:cs="Arial"/>
          <w:color w:val="auto"/>
          <w:highlight w:val="none"/>
        </w:rPr>
        <w:t>。因此粉尘产生量非常少，对环境影响也较小。</w:t>
      </w:r>
    </w:p>
    <w:p>
      <w:pPr>
        <w:pStyle w:val="6"/>
        <w:pageBreakBefore w:val="0"/>
        <w:widowControl w:val="0"/>
        <w:kinsoku/>
        <w:wordWrap/>
        <w:overflowPunct/>
        <w:topLinePunct/>
        <w:autoSpaceDE w:val="0"/>
        <w:autoSpaceDN/>
        <w:bidi w:val="0"/>
        <w:adjustRightInd/>
        <w:snapToGrid/>
        <w:textAlignment w:val="auto"/>
        <w:rPr>
          <w:rFonts w:hint="default" w:ascii="Arial" w:hAnsi="Arial" w:eastAsia="宋体" w:cs="Arial"/>
          <w:color w:val="auto"/>
          <w:highlight w:val="none"/>
        </w:rPr>
      </w:pPr>
      <w:bookmarkStart w:id="488" w:name="_Toc26651"/>
      <w:r>
        <w:rPr>
          <w:rFonts w:hint="default" w:ascii="Arial" w:hAnsi="Arial" w:eastAsia="宋体" w:cs="Arial"/>
          <w:color w:val="auto"/>
          <w:highlight w:val="none"/>
        </w:rPr>
        <w:t>7.2.3餐饮油烟</w:t>
      </w:r>
      <w:bookmarkEnd w:id="488"/>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餐饮油烟经集气罩收集后由油烟净化装置处理后引至楼顶排放，根据计算项目油烟处理效率、处理后排放浓度符合《饮食业油烟排放标准》（GB18483-2001）。</w:t>
      </w:r>
    </w:p>
    <w:p>
      <w:pPr>
        <w:pStyle w:val="5"/>
        <w:pageBreakBefore w:val="0"/>
        <w:widowControl w:val="0"/>
        <w:kinsoku/>
        <w:wordWrap/>
        <w:overflowPunct/>
        <w:topLinePunct/>
        <w:autoSpaceDE w:val="0"/>
        <w:autoSpaceDN/>
        <w:bidi w:val="0"/>
        <w:adjustRightInd/>
        <w:snapToGrid/>
        <w:textAlignment w:val="auto"/>
        <w:rPr>
          <w:rFonts w:hint="default" w:ascii="Arial" w:hAnsi="Arial" w:eastAsia="宋体" w:cs="Arial"/>
          <w:color w:val="auto"/>
          <w:highlight w:val="none"/>
        </w:rPr>
      </w:pPr>
      <w:bookmarkStart w:id="489" w:name="_Toc31074"/>
      <w:r>
        <w:rPr>
          <w:rFonts w:hint="default" w:ascii="Arial" w:hAnsi="Arial" w:eastAsia="宋体" w:cs="Arial"/>
          <w:color w:val="auto"/>
          <w:highlight w:val="none"/>
        </w:rPr>
        <w:t>7.3运营期水污染防治措施及可行性</w:t>
      </w:r>
      <w:bookmarkEnd w:id="489"/>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bookmarkStart w:id="490" w:name="_Toc46421190"/>
      <w:r>
        <w:rPr>
          <w:rFonts w:hint="default" w:ascii="Arial" w:hAnsi="Arial" w:eastAsia="宋体" w:cs="Arial"/>
          <w:color w:val="auto"/>
          <w:highlight w:val="none"/>
        </w:rPr>
        <w:t>生活污水经化粪池暂存处理后，定期清掏。</w:t>
      </w:r>
    </w:p>
    <w:p>
      <w:pPr>
        <w:pStyle w:val="6"/>
        <w:pageBreakBefore w:val="0"/>
        <w:widowControl w:val="0"/>
        <w:kinsoku/>
        <w:wordWrap/>
        <w:overflowPunct/>
        <w:topLinePunct/>
        <w:autoSpaceDE w:val="0"/>
        <w:autoSpaceDN/>
        <w:bidi w:val="0"/>
        <w:adjustRightInd/>
        <w:snapToGrid/>
        <w:textAlignment w:val="auto"/>
        <w:rPr>
          <w:rFonts w:hint="default" w:ascii="Arial" w:hAnsi="Arial" w:eastAsia="宋体" w:cs="Arial"/>
          <w:color w:val="auto"/>
          <w:highlight w:val="none"/>
        </w:rPr>
      </w:pPr>
      <w:bookmarkStart w:id="491" w:name="_Toc11956"/>
      <w:r>
        <w:rPr>
          <w:rFonts w:hint="default" w:ascii="Arial" w:hAnsi="Arial" w:eastAsia="宋体" w:cs="Arial"/>
          <w:color w:val="auto"/>
          <w:highlight w:val="none"/>
        </w:rPr>
        <w:t>7.3.1最高允许排水量</w:t>
      </w:r>
      <w:bookmarkEnd w:id="490"/>
      <w:bookmarkEnd w:id="491"/>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项目采用干清粪工艺，养殖产生的废水产生量为</w:t>
      </w:r>
      <w:r>
        <w:rPr>
          <w:rFonts w:hint="default" w:ascii="Arial" w:hAnsi="Arial" w:eastAsia="宋体" w:cs="Arial"/>
          <w:color w:val="auto"/>
          <w:highlight w:val="none"/>
          <w:lang w:val="en-US" w:eastAsia="zh-CN"/>
        </w:rPr>
        <w:t>100</w:t>
      </w:r>
      <w:r>
        <w:rPr>
          <w:rFonts w:hint="default" w:ascii="Arial" w:hAnsi="Arial" w:eastAsia="宋体" w:cs="Arial"/>
          <w:color w:val="auto"/>
          <w:highlight w:val="none"/>
        </w:rPr>
        <w:t>m</w:t>
      </w:r>
      <w:r>
        <w:rPr>
          <w:rFonts w:hint="default" w:ascii="Arial" w:hAnsi="Arial" w:eastAsia="宋体" w:cs="Arial"/>
          <w:color w:val="auto"/>
          <w:highlight w:val="none"/>
          <w:vertAlign w:val="superscript"/>
        </w:rPr>
        <w:t>3</w:t>
      </w:r>
      <w:r>
        <w:rPr>
          <w:rFonts w:hint="default" w:ascii="Arial" w:hAnsi="Arial" w:eastAsia="宋体" w:cs="Arial"/>
          <w:color w:val="auto"/>
          <w:highlight w:val="none"/>
        </w:rPr>
        <w:t>/d，每百头牛排水量为</w:t>
      </w:r>
      <w:r>
        <w:rPr>
          <w:rFonts w:hint="default" w:ascii="Arial" w:hAnsi="Arial" w:eastAsia="宋体" w:cs="Arial"/>
          <w:color w:val="auto"/>
          <w:highlight w:val="none"/>
          <w:lang w:val="en-US" w:eastAsia="zh-CN"/>
        </w:rPr>
        <w:t>1</w:t>
      </w:r>
      <w:r>
        <w:rPr>
          <w:rFonts w:hint="default" w:ascii="Arial" w:hAnsi="Arial" w:eastAsia="宋体" w:cs="Arial"/>
          <w:color w:val="auto"/>
          <w:highlight w:val="none"/>
        </w:rPr>
        <w:t>m</w:t>
      </w:r>
      <w:r>
        <w:rPr>
          <w:rFonts w:hint="default" w:ascii="Arial" w:hAnsi="Arial" w:eastAsia="宋体" w:cs="Arial"/>
          <w:color w:val="auto"/>
          <w:highlight w:val="none"/>
          <w:vertAlign w:val="superscript"/>
        </w:rPr>
        <w:t>3</w:t>
      </w:r>
      <w:r>
        <w:rPr>
          <w:rFonts w:hint="default" w:ascii="Arial" w:hAnsi="Arial" w:eastAsia="宋体" w:cs="Arial"/>
          <w:color w:val="auto"/>
          <w:highlight w:val="none"/>
        </w:rPr>
        <w:t>/d，符合《禽畜养殖业污染物排放标准》（GB18596-2001）对集约化禽畜养殖业干清粪工艺最高允许排水量的要求（夏季17m</w:t>
      </w:r>
      <w:r>
        <w:rPr>
          <w:rFonts w:hint="default" w:ascii="Arial" w:hAnsi="Arial" w:eastAsia="宋体" w:cs="Arial"/>
          <w:color w:val="auto"/>
          <w:highlight w:val="none"/>
          <w:vertAlign w:val="superscript"/>
        </w:rPr>
        <w:t>3</w:t>
      </w:r>
      <w:r>
        <w:rPr>
          <w:rFonts w:hint="default" w:ascii="Arial" w:hAnsi="Arial" w:eastAsia="宋体" w:cs="Arial"/>
          <w:color w:val="auto"/>
          <w:highlight w:val="none"/>
        </w:rPr>
        <w:t>/百头牛·d，冬季：20m</w:t>
      </w:r>
      <w:r>
        <w:rPr>
          <w:rFonts w:hint="default" w:ascii="Arial" w:hAnsi="Arial" w:eastAsia="宋体" w:cs="Arial"/>
          <w:color w:val="auto"/>
          <w:highlight w:val="none"/>
          <w:vertAlign w:val="superscript"/>
        </w:rPr>
        <w:t>3</w:t>
      </w:r>
      <w:r>
        <w:rPr>
          <w:rFonts w:hint="default" w:ascii="Arial" w:hAnsi="Arial" w:eastAsia="宋体" w:cs="Arial"/>
          <w:color w:val="auto"/>
          <w:highlight w:val="none"/>
        </w:rPr>
        <w:t>/百头牛·d）。</w:t>
      </w:r>
    </w:p>
    <w:p>
      <w:pPr>
        <w:pStyle w:val="6"/>
        <w:pageBreakBefore w:val="0"/>
        <w:widowControl w:val="0"/>
        <w:kinsoku/>
        <w:wordWrap/>
        <w:overflowPunct/>
        <w:topLinePunct/>
        <w:autoSpaceDE w:val="0"/>
        <w:autoSpaceDN/>
        <w:bidi w:val="0"/>
        <w:adjustRightInd/>
        <w:snapToGrid/>
        <w:textAlignment w:val="auto"/>
        <w:rPr>
          <w:rFonts w:hint="default" w:ascii="Arial" w:hAnsi="Arial" w:eastAsia="宋体" w:cs="Arial"/>
          <w:color w:val="auto"/>
          <w:highlight w:val="none"/>
        </w:rPr>
      </w:pPr>
      <w:bookmarkStart w:id="492" w:name="_Toc46421191"/>
      <w:bookmarkStart w:id="493" w:name="_Toc14778"/>
      <w:r>
        <w:rPr>
          <w:rFonts w:hint="default" w:ascii="Arial" w:hAnsi="Arial" w:eastAsia="宋体" w:cs="Arial"/>
          <w:color w:val="auto"/>
          <w:highlight w:val="none"/>
        </w:rPr>
        <w:t>7.3.2雨污分流措施</w:t>
      </w:r>
      <w:bookmarkEnd w:id="492"/>
      <w:bookmarkEnd w:id="493"/>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项目采用雨污分流，牛舍屋面设置合适坡度，以利雨水的排出；牛舍屋面雨水、道路雨水采用自流式排水，经过雨水管道排入厂区排水沟，沿道路排水沟排出，最终排放至场区外。本次评价对因降雨而产生可能产生二次污染提出如下要求：</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（1）牛舍屋面设置合适坡度并在屋檐设置导流槽，将雨水导出不排入运动场内，屋面雨水采用自流式排水，经过雨水管道排入场区排水沟排出。</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（2）运动场设置挡水坡道，防止雨水进入运动场；</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（3）</w:t>
      </w:r>
      <w:r>
        <w:rPr>
          <w:rFonts w:hint="default" w:ascii="Arial" w:hAnsi="Arial" w:eastAsia="宋体" w:cs="Arial"/>
          <w:color w:val="auto"/>
          <w:highlight w:val="none"/>
          <w:lang w:eastAsia="zh-CN"/>
        </w:rPr>
        <w:t>堆肥场</w:t>
      </w:r>
      <w:r>
        <w:rPr>
          <w:rFonts w:hint="default" w:ascii="Arial" w:hAnsi="Arial" w:eastAsia="宋体" w:cs="Arial"/>
          <w:color w:val="auto"/>
          <w:highlight w:val="none"/>
        </w:rPr>
        <w:t>底部进行硬化防渗处理，四面设围墙及导流渠，墙高1m，防止进因雨水进入造成外溢，形成二次污染。</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项目清净雨水，通过场区雨水管道自流式排出。</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综上，采用上述措施是可行的。</w:t>
      </w:r>
    </w:p>
    <w:p>
      <w:pPr>
        <w:pStyle w:val="5"/>
        <w:pageBreakBefore w:val="0"/>
        <w:widowControl w:val="0"/>
        <w:kinsoku/>
        <w:wordWrap/>
        <w:overflowPunct/>
        <w:topLinePunct/>
        <w:autoSpaceDE w:val="0"/>
        <w:autoSpaceDN/>
        <w:bidi w:val="0"/>
        <w:adjustRightInd/>
        <w:snapToGrid/>
        <w:textAlignment w:val="auto"/>
        <w:rPr>
          <w:rFonts w:hint="default" w:ascii="Arial" w:hAnsi="Arial" w:eastAsia="宋体" w:cs="Arial"/>
          <w:color w:val="auto"/>
          <w:highlight w:val="none"/>
        </w:rPr>
      </w:pPr>
      <w:bookmarkStart w:id="494" w:name="_Toc530642992"/>
      <w:bookmarkStart w:id="495" w:name="_Toc9318"/>
      <w:r>
        <w:rPr>
          <w:rFonts w:hint="default" w:ascii="Arial" w:hAnsi="Arial" w:eastAsia="宋体" w:cs="Arial"/>
          <w:color w:val="auto"/>
          <w:highlight w:val="none"/>
        </w:rPr>
        <w:t>7.4运营期地下水防治措施可行性</w:t>
      </w:r>
      <w:bookmarkEnd w:id="494"/>
      <w:bookmarkEnd w:id="495"/>
    </w:p>
    <w:p>
      <w:pPr>
        <w:pStyle w:val="6"/>
        <w:pageBreakBefore w:val="0"/>
        <w:widowControl w:val="0"/>
        <w:kinsoku/>
        <w:wordWrap/>
        <w:overflowPunct/>
        <w:topLinePunct/>
        <w:autoSpaceDE w:val="0"/>
        <w:autoSpaceDN/>
        <w:bidi w:val="0"/>
        <w:adjustRightInd/>
        <w:snapToGrid/>
        <w:textAlignment w:val="auto"/>
        <w:rPr>
          <w:rFonts w:hint="default" w:ascii="Arial" w:hAnsi="Arial" w:eastAsia="宋体" w:cs="Arial"/>
          <w:color w:val="auto"/>
          <w:highlight w:val="none"/>
        </w:rPr>
      </w:pPr>
      <w:bookmarkStart w:id="496" w:name="_Toc41476842"/>
      <w:bookmarkStart w:id="497" w:name="_Toc23321"/>
      <w:r>
        <w:rPr>
          <w:rFonts w:hint="default" w:ascii="Arial" w:hAnsi="Arial" w:eastAsia="宋体" w:cs="Arial"/>
          <w:color w:val="auto"/>
          <w:highlight w:val="none"/>
        </w:rPr>
        <w:t>7.4.1防治原则</w:t>
      </w:r>
      <w:bookmarkEnd w:id="496"/>
      <w:bookmarkEnd w:id="497"/>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地下水及土壤污染防治措施坚持“源头控制、末端防治、污染监控、应急响应相结合”的原则，即采取主动控制和被动控制相结合的措施。</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（1）主动控制，即从源头控制措施，主要包括在危废暂存间、</w:t>
      </w:r>
      <w:r>
        <w:rPr>
          <w:rFonts w:hint="default" w:ascii="Arial" w:hAnsi="Arial" w:eastAsia="宋体" w:cs="Arial"/>
          <w:color w:val="auto"/>
          <w:highlight w:val="none"/>
          <w:lang w:eastAsia="zh-CN"/>
        </w:rPr>
        <w:t>堆肥场</w:t>
      </w:r>
      <w:r>
        <w:rPr>
          <w:rFonts w:hint="default" w:ascii="Arial" w:hAnsi="Arial" w:eastAsia="宋体" w:cs="Arial"/>
          <w:color w:val="auto"/>
          <w:highlight w:val="none"/>
        </w:rPr>
        <w:t>、</w:t>
      </w:r>
      <w:r>
        <w:rPr>
          <w:rFonts w:hint="default" w:ascii="Arial" w:hAnsi="Arial" w:eastAsia="宋体" w:cs="Arial"/>
          <w:color w:val="auto"/>
          <w:highlight w:val="none"/>
          <w:lang w:eastAsia="zh-CN"/>
        </w:rPr>
        <w:t>化粪池</w:t>
      </w:r>
      <w:r>
        <w:rPr>
          <w:rFonts w:hint="default" w:ascii="Arial" w:hAnsi="Arial" w:eastAsia="宋体" w:cs="Arial"/>
          <w:color w:val="auto"/>
          <w:highlight w:val="none"/>
        </w:rPr>
        <w:t>采取相应措施，防止和降低污染物跑、冒、滴、漏，将污染物泄漏的环境风险事故降到最低程度。</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2）被动控制，即末端控制措施，主要包括场内污染区地面的防渗措施和泄漏、渗漏污染物收集措施，即在污染区地面进行防渗处理，防止洒落地面的污染物渗入地下，并把滞留在地面的污染物收集起来，按规范妥善处置。</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（3）实施重点区域地下水污染监控系统，包括建立完善的监测制度，科学、合理设置地下水污染监控井，及时发现污染、及时控制。</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（4）应急响应措施，包括一旦发现地下水污、土壤染事故，立即启动应急预案、采取应急措施控制地下水、土壤污染，并使污染得到治理。</w:t>
      </w:r>
    </w:p>
    <w:p>
      <w:pPr>
        <w:pStyle w:val="6"/>
        <w:pageBreakBefore w:val="0"/>
        <w:widowControl w:val="0"/>
        <w:kinsoku/>
        <w:wordWrap/>
        <w:overflowPunct/>
        <w:topLinePunct/>
        <w:autoSpaceDE w:val="0"/>
        <w:autoSpaceDN/>
        <w:bidi w:val="0"/>
        <w:adjustRightInd/>
        <w:snapToGrid/>
        <w:textAlignment w:val="auto"/>
        <w:rPr>
          <w:rFonts w:hint="default" w:ascii="Arial" w:hAnsi="Arial" w:eastAsia="宋体" w:cs="Arial"/>
          <w:color w:val="auto"/>
          <w:highlight w:val="none"/>
        </w:rPr>
      </w:pPr>
      <w:bookmarkStart w:id="498" w:name="_Toc41476843"/>
      <w:bookmarkStart w:id="499" w:name="_Toc17675"/>
      <w:r>
        <w:rPr>
          <w:rFonts w:hint="default" w:ascii="Arial" w:hAnsi="Arial" w:eastAsia="宋体" w:cs="Arial"/>
          <w:color w:val="auto"/>
          <w:highlight w:val="none"/>
        </w:rPr>
        <w:t>7.4.2污染物控制对策</w:t>
      </w:r>
      <w:bookmarkEnd w:id="498"/>
      <w:bookmarkEnd w:id="499"/>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按照“源头控制、分区防控、污染监控、应急响应”原则，按照分区防控原则，拟建项目所在地分重点防渗区、一般防渗区和简单防渗区。为了防止地下水和土壤受到污染，采取的主要地下水防治措施如下：</w:t>
      </w:r>
    </w:p>
    <w:p>
      <w:pPr>
        <w:pStyle w:val="7"/>
        <w:pageBreakBefore w:val="0"/>
        <w:widowControl w:val="0"/>
        <w:kinsoku/>
        <w:wordWrap/>
        <w:overflowPunct/>
        <w:topLinePunct/>
        <w:autoSpaceDE w:val="0"/>
        <w:autoSpaceDN/>
        <w:bidi w:val="0"/>
        <w:adjustRightInd/>
        <w:snapToGrid/>
        <w:textAlignment w:val="auto"/>
        <w:rPr>
          <w:rFonts w:hint="default" w:ascii="Arial" w:hAnsi="Arial" w:eastAsia="宋体" w:cs="Arial"/>
          <w:color w:val="auto"/>
          <w:highlight w:val="none"/>
        </w:rPr>
      </w:pPr>
      <w:r>
        <w:rPr>
          <w:rFonts w:hint="default" w:ascii="Arial" w:hAnsi="Arial" w:eastAsia="宋体" w:cs="Arial"/>
          <w:color w:val="auto"/>
          <w:highlight w:val="none"/>
        </w:rPr>
        <w:t>7.4.2.1源头控制措施</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项目运营后应加强管理，主要包括在</w:t>
      </w:r>
      <w:r>
        <w:rPr>
          <w:rFonts w:hint="default" w:ascii="Arial" w:hAnsi="Arial" w:eastAsia="宋体" w:cs="Arial"/>
          <w:color w:val="auto"/>
          <w:highlight w:val="none"/>
          <w:lang w:eastAsia="zh-CN"/>
        </w:rPr>
        <w:t>堆肥场</w:t>
      </w:r>
      <w:r>
        <w:rPr>
          <w:rFonts w:hint="default" w:ascii="Arial" w:hAnsi="Arial" w:eastAsia="宋体" w:cs="Arial"/>
          <w:color w:val="auto"/>
          <w:highlight w:val="none"/>
        </w:rPr>
        <w:t>区域，降低和防止污染物跑、冒、滴、漏，将污染物泄漏的环境风险事故降到最低程度，把工程分析中提到的各项废水利用措施落实到位，避免事故排放对地下水造成污染。</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本次评价提出如下要求：</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1）场区任何废水皆禁止排入地下水中。</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2）将拟建场区采取分区防渗，全厂根据不同区域潜在地下水污染风险性大小划分为：重点防渗区、一般防渗区和简单防渗区。</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3）在拟建场区可能发生泄漏的装置下游布置1口地下水跟踪监测井，进行地下水污染监测，发现泄漏及时切断泄漏源，减小向地下水中的泄漏量。</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lang w:val="en-US" w:eastAsia="zh-CN"/>
        </w:rPr>
        <w:t>4</w:t>
      </w:r>
      <w:r>
        <w:rPr>
          <w:rFonts w:hint="default" w:ascii="Arial" w:hAnsi="Arial" w:eastAsia="宋体" w:cs="Arial"/>
          <w:color w:val="auto"/>
          <w:highlight w:val="none"/>
        </w:rPr>
        <w:t>）采用雨污分流自流式排水，道路雨水采用自流式排水，经过雨水管道排入养殖场排水沟，沿道路排水沟排出，最终排放至场区外。</w:t>
      </w:r>
    </w:p>
    <w:p>
      <w:pPr>
        <w:pStyle w:val="7"/>
        <w:pageBreakBefore w:val="0"/>
        <w:widowControl w:val="0"/>
        <w:kinsoku/>
        <w:wordWrap/>
        <w:overflowPunct/>
        <w:topLinePunct/>
        <w:autoSpaceDE w:val="0"/>
        <w:autoSpaceDN/>
        <w:bidi w:val="0"/>
        <w:adjustRightInd/>
        <w:snapToGrid/>
        <w:textAlignment w:val="auto"/>
        <w:rPr>
          <w:rFonts w:hint="default" w:ascii="Arial" w:hAnsi="Arial" w:eastAsia="宋体" w:cs="Arial"/>
          <w:color w:val="auto"/>
          <w:highlight w:val="none"/>
        </w:rPr>
      </w:pPr>
      <w:r>
        <w:rPr>
          <w:rFonts w:hint="default" w:ascii="Arial" w:hAnsi="Arial" w:eastAsia="宋体" w:cs="Arial"/>
          <w:color w:val="auto"/>
          <w:highlight w:val="none"/>
        </w:rPr>
        <w:t>7.4.2.2分区防渗措施</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根据生产装置、辅助设施及公用工程可能泄漏特殊的性质将项目区分为重点污染防治区、一般污染防治区和非污染防治区。为防止运营过程对地下水造成污染，在工程设计中，将分区对场区内防渗漏设施进行建设。主要考虑重点污染防治区和一般污染防治区，分别采取不同等级防渗方案：</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lang w:eastAsia="zh-CN"/>
        </w:rPr>
        <w:t>（</w:t>
      </w:r>
      <w:r>
        <w:rPr>
          <w:rFonts w:hint="default" w:ascii="Arial" w:hAnsi="Arial" w:eastAsia="宋体" w:cs="Arial"/>
          <w:color w:val="auto"/>
          <w:highlight w:val="none"/>
          <w:lang w:val="en-US" w:eastAsia="zh-CN"/>
        </w:rPr>
        <w:t>1</w:t>
      </w:r>
      <w:r>
        <w:rPr>
          <w:rFonts w:hint="default" w:ascii="Arial" w:hAnsi="Arial" w:eastAsia="宋体" w:cs="Arial"/>
          <w:color w:val="auto"/>
          <w:highlight w:val="none"/>
          <w:lang w:eastAsia="zh-CN"/>
        </w:rPr>
        <w:t>）</w:t>
      </w:r>
      <w:r>
        <w:rPr>
          <w:rFonts w:hint="default" w:ascii="Arial" w:hAnsi="Arial" w:eastAsia="宋体" w:cs="Arial"/>
          <w:color w:val="auto"/>
          <w:highlight w:val="none"/>
        </w:rPr>
        <w:t>重点防渗区</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重点污染防治区指位于地下或者半地下的生产功能单元，污染地下水环境的污染物泄漏后不容易被及时发现或处理的区域/部位，该区域采取严格的防腐、防渗措施，重点污染防治区包括</w:t>
      </w:r>
      <w:r>
        <w:rPr>
          <w:rFonts w:hint="default" w:ascii="Arial" w:hAnsi="Arial" w:eastAsia="宋体" w:cs="Arial"/>
          <w:color w:val="auto"/>
          <w:highlight w:val="none"/>
          <w:lang w:val="zh-CN"/>
        </w:rPr>
        <w:t>危险废物暂存间、冷藏间等</w:t>
      </w:r>
      <w:r>
        <w:rPr>
          <w:rFonts w:hint="default" w:ascii="Arial" w:hAnsi="Arial" w:eastAsia="宋体" w:cs="Arial"/>
          <w:color w:val="auto"/>
          <w:highlight w:val="none"/>
        </w:rPr>
        <w:t>，避免泄露对地下水造成污染，防渗技术要求为渗透系数≤1.0×10</w:t>
      </w:r>
      <w:r>
        <w:rPr>
          <w:rFonts w:hint="default" w:ascii="Arial" w:hAnsi="Arial" w:eastAsia="宋体" w:cs="Arial"/>
          <w:color w:val="auto"/>
          <w:highlight w:val="none"/>
          <w:vertAlign w:val="superscript"/>
        </w:rPr>
        <w:t>-10</w:t>
      </w:r>
      <w:r>
        <w:rPr>
          <w:rFonts w:hint="default" w:ascii="Arial" w:hAnsi="Arial" w:eastAsia="宋体" w:cs="Arial"/>
          <w:color w:val="auto"/>
          <w:highlight w:val="none"/>
        </w:rPr>
        <w:t>cm/s。</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lang w:eastAsia="zh-CN"/>
        </w:rPr>
        <w:t>（</w:t>
      </w:r>
      <w:r>
        <w:rPr>
          <w:rFonts w:hint="default" w:ascii="Arial" w:hAnsi="Arial" w:eastAsia="宋体" w:cs="Arial"/>
          <w:color w:val="auto"/>
          <w:highlight w:val="none"/>
          <w:lang w:val="en-US" w:eastAsia="zh-CN"/>
        </w:rPr>
        <w:t>2</w:t>
      </w:r>
      <w:r>
        <w:rPr>
          <w:rFonts w:hint="default" w:ascii="Arial" w:hAnsi="Arial" w:eastAsia="宋体" w:cs="Arial"/>
          <w:color w:val="auto"/>
          <w:highlight w:val="none"/>
          <w:lang w:eastAsia="zh-CN"/>
        </w:rPr>
        <w:t>）</w:t>
      </w:r>
      <w:r>
        <w:rPr>
          <w:rFonts w:hint="default" w:ascii="Arial" w:hAnsi="Arial" w:eastAsia="宋体" w:cs="Arial"/>
          <w:color w:val="auto"/>
          <w:highlight w:val="none"/>
        </w:rPr>
        <w:t>一般防渗区</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一般防渗区包括</w:t>
      </w:r>
      <w:r>
        <w:rPr>
          <w:rFonts w:hint="default" w:ascii="Arial" w:hAnsi="Arial" w:eastAsia="宋体" w:cs="Arial"/>
          <w:color w:val="auto"/>
          <w:highlight w:val="none"/>
          <w:lang w:eastAsia="zh-CN"/>
        </w:rPr>
        <w:t>堆肥场</w:t>
      </w:r>
      <w:r>
        <w:rPr>
          <w:rFonts w:hint="default" w:ascii="Arial" w:hAnsi="Arial" w:eastAsia="宋体" w:cs="Arial"/>
          <w:color w:val="auto"/>
          <w:highlight w:val="none"/>
        </w:rPr>
        <w:t>底部、</w:t>
      </w:r>
      <w:r>
        <w:rPr>
          <w:rFonts w:hint="default" w:ascii="Arial" w:hAnsi="Arial" w:eastAsia="宋体" w:cs="Arial"/>
          <w:color w:val="auto"/>
          <w:highlight w:val="none"/>
          <w:lang w:eastAsia="zh-CN"/>
        </w:rPr>
        <w:t>化粪池</w:t>
      </w:r>
      <w:r>
        <w:rPr>
          <w:rFonts w:hint="default" w:ascii="Arial" w:hAnsi="Arial" w:eastAsia="宋体" w:cs="Arial"/>
          <w:color w:val="auto"/>
          <w:highlight w:val="none"/>
        </w:rPr>
        <w:t>等，渗透系数按照小于1.0×10</w:t>
      </w:r>
      <w:r>
        <w:rPr>
          <w:rFonts w:hint="default" w:ascii="Arial" w:hAnsi="Arial" w:eastAsia="宋体" w:cs="Arial"/>
          <w:color w:val="auto"/>
          <w:highlight w:val="none"/>
          <w:vertAlign w:val="superscript"/>
        </w:rPr>
        <w:t>-7</w:t>
      </w:r>
      <w:r>
        <w:rPr>
          <w:rFonts w:hint="default" w:ascii="Arial" w:hAnsi="Arial" w:eastAsia="宋体" w:cs="Arial"/>
          <w:color w:val="auto"/>
          <w:highlight w:val="none"/>
        </w:rPr>
        <w:t>cm/s建设。</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lang w:eastAsia="zh-CN"/>
        </w:rPr>
        <w:t>（</w:t>
      </w:r>
      <w:r>
        <w:rPr>
          <w:rFonts w:hint="default" w:ascii="Arial" w:hAnsi="Arial" w:eastAsia="宋体" w:cs="Arial"/>
          <w:color w:val="auto"/>
          <w:highlight w:val="none"/>
          <w:lang w:val="en-US" w:eastAsia="zh-CN"/>
        </w:rPr>
        <w:t>3</w:t>
      </w:r>
      <w:r>
        <w:rPr>
          <w:rFonts w:hint="default" w:ascii="Arial" w:hAnsi="Arial" w:eastAsia="宋体" w:cs="Arial"/>
          <w:color w:val="auto"/>
          <w:highlight w:val="none"/>
          <w:lang w:eastAsia="zh-CN"/>
        </w:rPr>
        <w:t>）</w:t>
      </w:r>
      <w:r>
        <w:rPr>
          <w:rFonts w:hint="default" w:ascii="Arial" w:hAnsi="Arial" w:eastAsia="宋体" w:cs="Arial"/>
          <w:color w:val="auto"/>
          <w:highlight w:val="none"/>
        </w:rPr>
        <w:t>简单防渗区</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主要为饲草料库</w:t>
      </w:r>
      <w:r>
        <w:rPr>
          <w:rFonts w:hint="default" w:ascii="Arial" w:hAnsi="Arial" w:eastAsia="宋体" w:cs="Arial"/>
          <w:color w:val="auto"/>
          <w:highlight w:val="none"/>
          <w:lang w:eastAsia="zh-CN"/>
        </w:rPr>
        <w:t>、</w:t>
      </w:r>
      <w:r>
        <w:rPr>
          <w:rFonts w:hint="default" w:ascii="Arial" w:hAnsi="Arial" w:eastAsia="宋体" w:cs="Arial"/>
          <w:color w:val="auto"/>
          <w:highlight w:val="none"/>
        </w:rPr>
        <w:t>消毒室、</w:t>
      </w:r>
      <w:r>
        <w:rPr>
          <w:rFonts w:hint="default" w:ascii="Arial" w:hAnsi="Arial" w:eastAsia="宋体" w:cs="Arial"/>
          <w:color w:val="auto"/>
          <w:highlight w:val="none"/>
          <w:lang w:eastAsia="zh-CN"/>
        </w:rPr>
        <w:t>青贮池</w:t>
      </w:r>
      <w:r>
        <w:rPr>
          <w:rFonts w:hint="default" w:ascii="Arial" w:hAnsi="Arial" w:eastAsia="宋体" w:cs="Arial"/>
          <w:color w:val="auto"/>
          <w:highlight w:val="none"/>
        </w:rPr>
        <w:t>、场区道路、牛舍饲料通道、运输道路单元，采取水泥硬化处理，采用粘土铺底，再在上层铺15～20cm厚抗渗水泥硬化的要求建设。</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lang w:eastAsia="zh-CN"/>
        </w:rPr>
        <w:t>（</w:t>
      </w:r>
      <w:r>
        <w:rPr>
          <w:rFonts w:hint="default" w:ascii="Arial" w:hAnsi="Arial" w:eastAsia="宋体" w:cs="Arial"/>
          <w:color w:val="auto"/>
          <w:highlight w:val="none"/>
          <w:lang w:val="en-US" w:eastAsia="zh-CN"/>
        </w:rPr>
        <w:t>4</w:t>
      </w:r>
      <w:r>
        <w:rPr>
          <w:rFonts w:hint="default" w:ascii="Arial" w:hAnsi="Arial" w:eastAsia="宋体" w:cs="Arial"/>
          <w:color w:val="auto"/>
          <w:highlight w:val="none"/>
          <w:lang w:eastAsia="zh-CN"/>
        </w:rPr>
        <w:t>）</w:t>
      </w:r>
      <w:r>
        <w:rPr>
          <w:rFonts w:hint="default" w:ascii="Arial" w:hAnsi="Arial" w:eastAsia="宋体" w:cs="Arial"/>
          <w:color w:val="auto"/>
          <w:highlight w:val="none"/>
        </w:rPr>
        <w:t>非防渗区</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非污染防治区指没有物料或污染物泄漏，不会对地下水环境造成污染的区域或部位，主要包括场区内绿化带、</w:t>
      </w:r>
      <w:r>
        <w:rPr>
          <w:rFonts w:hint="default" w:ascii="Arial" w:hAnsi="Arial" w:eastAsia="宋体" w:cs="Arial"/>
          <w:color w:val="auto"/>
          <w:highlight w:val="none"/>
          <w:lang w:eastAsia="zh-CN"/>
        </w:rPr>
        <w:t>办公室</w:t>
      </w:r>
      <w:r>
        <w:rPr>
          <w:rFonts w:hint="default" w:ascii="Arial" w:hAnsi="Arial" w:eastAsia="宋体" w:cs="Arial"/>
          <w:color w:val="auto"/>
          <w:highlight w:val="none"/>
        </w:rPr>
        <w:t>域等。</w:t>
      </w:r>
    </w:p>
    <w:p>
      <w:pPr>
        <w:pageBreakBefore w:val="0"/>
        <w:widowControl w:val="0"/>
        <w:kinsoku/>
        <w:wordWrap/>
        <w:overflowPunct/>
        <w:topLinePunct/>
        <w:autoSpaceDE w:val="0"/>
        <w:autoSpaceDN/>
        <w:bidi w:val="0"/>
        <w:adjustRightInd/>
        <w:snapToGrid/>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根据防渗参照的标准和规范，结合目前施工过程中的可操作性和技术水平，针对不同的防渗区域采用典型的防渗措施如下，在具体设计中应根据实际情况在满足防渗标准的前提下做必要的调整。本次评价所涉及的设计防渗分区的具体防渗要求如下，见表7.4-1。</w:t>
      </w:r>
    </w:p>
    <w:p>
      <w:pPr>
        <w:pStyle w:val="8"/>
        <w:pageBreakBefore w:val="0"/>
        <w:widowControl w:val="0"/>
        <w:kinsoku/>
        <w:wordWrap/>
        <w:overflowPunct/>
        <w:topLinePunct/>
        <w:autoSpaceDE w:val="0"/>
        <w:autoSpaceDN/>
        <w:bidi w:val="0"/>
        <w:adjustRightInd/>
        <w:snapToGrid/>
        <w:textAlignment w:val="auto"/>
        <w:rPr>
          <w:rFonts w:hint="default" w:ascii="Arial" w:hAnsi="Arial" w:eastAsia="宋体" w:cs="Arial"/>
          <w:color w:val="auto"/>
          <w:highlight w:val="none"/>
        </w:rPr>
      </w:pPr>
      <w:bookmarkStart w:id="500" w:name="_Hlk46587433"/>
      <w:r>
        <w:rPr>
          <w:rFonts w:hint="default" w:ascii="Arial" w:hAnsi="Arial" w:eastAsia="宋体" w:cs="Arial"/>
          <w:color w:val="auto"/>
          <w:highlight w:val="none"/>
        </w:rPr>
        <w:t>表7.4-1    本项目地下水分区防渗表</w:t>
      </w:r>
    </w:p>
    <w:tbl>
      <w:tblPr>
        <w:tblStyle w:val="39"/>
        <w:tblW w:w="9003" w:type="dxa"/>
        <w:jc w:val="center"/>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Layout w:type="fixed"/>
        <w:tblCellMar>
          <w:top w:w="0" w:type="dxa"/>
          <w:left w:w="108" w:type="dxa"/>
          <w:bottom w:w="0" w:type="dxa"/>
          <w:right w:w="108" w:type="dxa"/>
        </w:tblCellMar>
      </w:tblPr>
      <w:tblGrid>
        <w:gridCol w:w="590"/>
        <w:gridCol w:w="464"/>
        <w:gridCol w:w="1255"/>
        <w:gridCol w:w="4151"/>
        <w:gridCol w:w="2543"/>
      </w:tblGrid>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637" w:type="dxa"/>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序号</w:t>
            </w:r>
          </w:p>
        </w:tc>
        <w:tc>
          <w:tcPr>
            <w:tcW w:w="1880" w:type="dxa"/>
            <w:gridSpan w:val="2"/>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防渗项目</w:t>
            </w:r>
          </w:p>
        </w:tc>
        <w:tc>
          <w:tcPr>
            <w:tcW w:w="4647" w:type="dxa"/>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具体做法及要求</w:t>
            </w:r>
          </w:p>
        </w:tc>
        <w:tc>
          <w:tcPr>
            <w:tcW w:w="2835" w:type="dxa"/>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参照标准</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637" w:type="dxa"/>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1</w:t>
            </w:r>
          </w:p>
        </w:tc>
        <w:tc>
          <w:tcPr>
            <w:tcW w:w="495" w:type="dxa"/>
            <w:vMerge w:val="restart"/>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重点防渗区</w:t>
            </w:r>
          </w:p>
        </w:tc>
        <w:tc>
          <w:tcPr>
            <w:tcW w:w="1385" w:type="dxa"/>
            <w:vAlign w:val="center"/>
          </w:tcPr>
          <w:p>
            <w:pPr>
              <w:pStyle w:val="63"/>
              <w:rPr>
                <w:rFonts w:hint="default" w:ascii="Arial" w:hAnsi="Arial" w:eastAsia="宋体" w:cs="Arial"/>
                <w:color w:val="auto"/>
                <w:highlight w:val="none"/>
                <w:lang w:eastAsia="zh-CN"/>
              </w:rPr>
            </w:pPr>
            <w:r>
              <w:rPr>
                <w:rFonts w:hint="default" w:ascii="Arial" w:hAnsi="Arial" w:eastAsia="宋体" w:cs="Arial"/>
                <w:color w:val="auto"/>
                <w:highlight w:val="none"/>
              </w:rPr>
              <w:t>危险废物暂存间</w:t>
            </w:r>
          </w:p>
        </w:tc>
        <w:tc>
          <w:tcPr>
            <w:tcW w:w="4647" w:type="dxa"/>
            <w:vMerge w:val="restart"/>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防渗层为敷设不小于2mm的高密度聚氯乙烯（HDPE）人工防渗膜，膜上、膜下设置“长丝无纺土工布”保护层，并铺设不小于250mm的混凝土保护层避免人畜对土工膜的破坏。混凝土抗渗系数不应低于P8，或其他材料可满足渗透系数小于1.0×10</w:t>
            </w:r>
            <w:r>
              <w:rPr>
                <w:rFonts w:hint="default" w:ascii="Arial" w:hAnsi="Arial" w:eastAsia="宋体" w:cs="Arial"/>
                <w:color w:val="auto"/>
                <w:highlight w:val="none"/>
                <w:vertAlign w:val="superscript"/>
              </w:rPr>
              <w:t>-10</w:t>
            </w:r>
            <w:r>
              <w:rPr>
                <w:rFonts w:hint="default" w:ascii="Arial" w:hAnsi="Arial" w:eastAsia="宋体" w:cs="Arial"/>
                <w:color w:val="auto"/>
                <w:highlight w:val="none"/>
              </w:rPr>
              <w:t>cm/s。</w:t>
            </w:r>
          </w:p>
        </w:tc>
        <w:tc>
          <w:tcPr>
            <w:tcW w:w="2835" w:type="dxa"/>
            <w:vMerge w:val="restart"/>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《危险废物贮存污染控制标准》（GB18597-2001）</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637" w:type="dxa"/>
            <w:vAlign w:val="center"/>
          </w:tcPr>
          <w:p>
            <w:pPr>
              <w:pStyle w:val="63"/>
              <w:ind w:firstLine="0" w:firstLineChars="0"/>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highlight w:val="none"/>
              </w:rPr>
              <w:t>2</w:t>
            </w:r>
          </w:p>
        </w:tc>
        <w:tc>
          <w:tcPr>
            <w:tcW w:w="495" w:type="dxa"/>
            <w:vMerge w:val="continue"/>
            <w:vAlign w:val="center"/>
          </w:tcPr>
          <w:p>
            <w:pPr>
              <w:pStyle w:val="63"/>
              <w:rPr>
                <w:rFonts w:hint="default" w:ascii="Arial" w:hAnsi="Arial" w:eastAsia="宋体" w:cs="Arial"/>
                <w:color w:val="auto"/>
              </w:rPr>
            </w:pPr>
          </w:p>
        </w:tc>
        <w:tc>
          <w:tcPr>
            <w:tcW w:w="1385" w:type="dxa"/>
            <w:vAlign w:val="center"/>
          </w:tcPr>
          <w:p>
            <w:pPr>
              <w:pStyle w:val="63"/>
              <w:rPr>
                <w:rFonts w:hint="default" w:ascii="Arial" w:hAnsi="Arial" w:eastAsia="宋体" w:cs="Arial"/>
                <w:color w:val="auto"/>
                <w:highlight w:val="none"/>
              </w:rPr>
            </w:pPr>
            <w:r>
              <w:rPr>
                <w:rFonts w:hint="default" w:ascii="Arial" w:hAnsi="Arial" w:eastAsia="宋体" w:cs="Arial"/>
                <w:color w:val="auto"/>
                <w:kern w:val="2"/>
                <w:sz w:val="21"/>
                <w:szCs w:val="21"/>
                <w:highlight w:val="none"/>
                <w:lang w:val="en-US" w:eastAsia="zh-CN" w:bidi="ar-SA"/>
              </w:rPr>
              <w:t>冷藏间</w:t>
            </w:r>
          </w:p>
        </w:tc>
        <w:tc>
          <w:tcPr>
            <w:tcW w:w="4647" w:type="dxa"/>
            <w:vMerge w:val="continue"/>
            <w:vAlign w:val="center"/>
          </w:tcPr>
          <w:p>
            <w:pPr>
              <w:pStyle w:val="63"/>
              <w:rPr>
                <w:rFonts w:hint="default" w:ascii="Arial" w:hAnsi="Arial" w:eastAsia="宋体" w:cs="Arial"/>
                <w:color w:val="auto"/>
                <w:highlight w:val="none"/>
              </w:rPr>
            </w:pPr>
          </w:p>
        </w:tc>
        <w:tc>
          <w:tcPr>
            <w:tcW w:w="2835" w:type="dxa"/>
            <w:vMerge w:val="continue"/>
            <w:vAlign w:val="center"/>
          </w:tcPr>
          <w:p>
            <w:pPr>
              <w:pStyle w:val="63"/>
              <w:rPr>
                <w:rFonts w:hint="default" w:ascii="Arial" w:hAnsi="Arial" w:eastAsia="宋体" w:cs="Arial"/>
                <w:color w:val="auto"/>
                <w:highlight w:val="none"/>
              </w:rPr>
            </w:pP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637" w:type="dxa"/>
            <w:vAlign w:val="center"/>
          </w:tcPr>
          <w:p>
            <w:pPr>
              <w:pStyle w:val="63"/>
              <w:ind w:firstLine="0" w:firstLineChars="0"/>
              <w:rPr>
                <w:rFonts w:hint="default" w:ascii="Arial" w:hAnsi="Arial" w:eastAsia="宋体" w:cs="Arial"/>
                <w:color w:val="auto"/>
                <w:kern w:val="2"/>
                <w:sz w:val="21"/>
                <w:szCs w:val="22"/>
                <w:highlight w:val="none"/>
                <w:lang w:val="en-US" w:eastAsia="zh-CN" w:bidi="ar-SA"/>
              </w:rPr>
            </w:pPr>
            <w:r>
              <w:rPr>
                <w:rFonts w:hint="default" w:ascii="Arial" w:hAnsi="Arial" w:eastAsia="宋体" w:cs="Arial"/>
                <w:color w:val="auto"/>
                <w:highlight w:val="none"/>
              </w:rPr>
              <w:t>3</w:t>
            </w:r>
          </w:p>
        </w:tc>
        <w:tc>
          <w:tcPr>
            <w:tcW w:w="495" w:type="dxa"/>
            <w:vMerge w:val="restart"/>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一般防渗区</w:t>
            </w:r>
          </w:p>
        </w:tc>
        <w:tc>
          <w:tcPr>
            <w:tcW w:w="1385" w:type="dxa"/>
            <w:vAlign w:val="center"/>
          </w:tcPr>
          <w:p>
            <w:pPr>
              <w:pStyle w:val="63"/>
              <w:rPr>
                <w:rFonts w:hint="default" w:ascii="Arial" w:hAnsi="Arial" w:eastAsia="宋体" w:cs="Arial"/>
                <w:color w:val="auto"/>
                <w:highlight w:val="none"/>
                <w:lang w:eastAsia="zh-CN"/>
              </w:rPr>
            </w:pPr>
            <w:r>
              <w:rPr>
                <w:rFonts w:hint="default" w:ascii="Arial" w:hAnsi="Arial" w:eastAsia="宋体" w:cs="Arial"/>
                <w:color w:val="auto"/>
                <w:highlight w:val="none"/>
                <w:lang w:eastAsia="zh-CN"/>
              </w:rPr>
              <w:t>堆肥场</w:t>
            </w:r>
          </w:p>
          <w:p>
            <w:pPr>
              <w:pStyle w:val="63"/>
              <w:rPr>
                <w:rFonts w:hint="default" w:ascii="Arial" w:hAnsi="Arial" w:eastAsia="宋体" w:cs="Arial"/>
                <w:color w:val="auto"/>
                <w:highlight w:val="none"/>
              </w:rPr>
            </w:pPr>
          </w:p>
        </w:tc>
        <w:tc>
          <w:tcPr>
            <w:tcW w:w="4647" w:type="dxa"/>
            <w:vMerge w:val="restart"/>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防渗层为敷设不小于</w:t>
            </w:r>
            <w:r>
              <w:rPr>
                <w:rFonts w:hint="default" w:ascii="Arial" w:hAnsi="Arial" w:eastAsia="宋体" w:cs="Arial"/>
                <w:color w:val="auto"/>
                <w:highlight w:val="none"/>
                <w:lang w:val="en-US" w:eastAsia="zh-CN"/>
              </w:rPr>
              <w:t>1.5</w:t>
            </w:r>
            <w:r>
              <w:rPr>
                <w:rFonts w:hint="default" w:ascii="Arial" w:hAnsi="Arial" w:eastAsia="宋体" w:cs="Arial"/>
                <w:color w:val="auto"/>
                <w:highlight w:val="none"/>
              </w:rPr>
              <w:t>mm的高密度聚氯乙烯（HDPE）人工防渗膜，膜上、膜下设置“长丝无纺土工布”保护层，并铺设不小于100mm的混凝土保护层，或其他材料可满足渗透系数小于1.0×10</w:t>
            </w:r>
            <w:r>
              <w:rPr>
                <w:rFonts w:hint="default" w:ascii="Arial" w:hAnsi="Arial" w:eastAsia="宋体" w:cs="Arial"/>
                <w:color w:val="auto"/>
                <w:highlight w:val="none"/>
                <w:vertAlign w:val="superscript"/>
              </w:rPr>
              <w:t>-7</w:t>
            </w:r>
            <w:r>
              <w:rPr>
                <w:rFonts w:hint="default" w:ascii="Arial" w:hAnsi="Arial" w:eastAsia="宋体" w:cs="Arial"/>
                <w:color w:val="auto"/>
                <w:highlight w:val="none"/>
              </w:rPr>
              <w:t>cm/s。</w:t>
            </w:r>
          </w:p>
        </w:tc>
        <w:tc>
          <w:tcPr>
            <w:tcW w:w="2835" w:type="dxa"/>
            <w:vMerge w:val="restart"/>
            <w:vAlign w:val="center"/>
          </w:tcPr>
          <w:p>
            <w:pPr>
              <w:pStyle w:val="63"/>
              <w:rPr>
                <w:rFonts w:hint="default" w:ascii="Arial" w:hAnsi="Arial" w:eastAsia="宋体" w:cs="Arial"/>
                <w:color w:val="auto"/>
                <w:highlight w:val="none"/>
                <w:lang w:eastAsia="zh-CN"/>
              </w:rPr>
            </w:pPr>
            <w:r>
              <w:rPr>
                <w:rFonts w:hint="default" w:ascii="Arial" w:hAnsi="Arial" w:eastAsia="宋体" w:cs="Arial"/>
                <w:color w:val="auto"/>
                <w:highlight w:val="none"/>
              </w:rPr>
              <w:t>具备“防渗、防雨、防溢”的三防措施，畜禽粪便的贮存相关要求，应具备防渗、通风、防雨的三防措施；雨污分流满足《畜禽养殖业污染防治技术规范》（HJ/T81-2001）要求</w:t>
            </w:r>
            <w:r>
              <w:rPr>
                <w:rFonts w:hint="default" w:ascii="Arial" w:hAnsi="Arial" w:eastAsia="宋体" w:cs="Arial"/>
                <w:color w:val="auto"/>
                <w:highlight w:val="none"/>
                <w:lang w:eastAsia="zh-CN"/>
              </w:rPr>
              <w:t>；</w:t>
            </w:r>
          </w:p>
          <w:p>
            <w:pPr>
              <w:pStyle w:val="63"/>
              <w:rPr>
                <w:rFonts w:hint="default" w:ascii="Arial" w:hAnsi="Arial" w:eastAsia="宋体" w:cs="Arial"/>
                <w:color w:val="auto"/>
                <w:highlight w:val="none"/>
              </w:rPr>
            </w:pPr>
            <w:r>
              <w:rPr>
                <w:rFonts w:hint="default" w:ascii="Arial" w:hAnsi="Arial" w:eastAsia="宋体" w:cs="Arial"/>
                <w:color w:val="auto"/>
                <w:highlight w:val="none"/>
              </w:rPr>
              <w:t>参照《一般工业固体废物贮存、处置场污染控制标准》（GB18599-2001）</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637" w:type="dxa"/>
            <w:vAlign w:val="center"/>
          </w:tcPr>
          <w:p>
            <w:pPr>
              <w:pStyle w:val="63"/>
              <w:rPr>
                <w:rFonts w:hint="default" w:ascii="Arial" w:hAnsi="Arial" w:eastAsia="宋体" w:cs="Arial"/>
                <w:color w:val="auto"/>
                <w:highlight w:val="none"/>
                <w:lang w:val="en-US" w:eastAsia="zh-CN"/>
              </w:rPr>
            </w:pPr>
            <w:r>
              <w:rPr>
                <w:rFonts w:hint="default" w:ascii="Arial" w:hAnsi="Arial" w:eastAsia="宋体" w:cs="Arial"/>
                <w:color w:val="auto"/>
                <w:highlight w:val="none"/>
                <w:lang w:val="en-US" w:eastAsia="zh-CN"/>
              </w:rPr>
              <w:t>4</w:t>
            </w:r>
          </w:p>
        </w:tc>
        <w:tc>
          <w:tcPr>
            <w:tcW w:w="495" w:type="dxa"/>
            <w:vMerge w:val="continue"/>
            <w:vAlign w:val="center"/>
          </w:tcPr>
          <w:p>
            <w:pPr>
              <w:pStyle w:val="63"/>
              <w:rPr>
                <w:rFonts w:hint="default" w:ascii="Arial" w:hAnsi="Arial" w:eastAsia="宋体" w:cs="Arial"/>
                <w:color w:val="auto"/>
                <w:highlight w:val="none"/>
              </w:rPr>
            </w:pPr>
          </w:p>
        </w:tc>
        <w:tc>
          <w:tcPr>
            <w:tcW w:w="1385" w:type="dxa"/>
            <w:tcBorders>
              <w:top w:val="single" w:color="auto" w:sz="4" w:space="0"/>
            </w:tcBorders>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lang w:eastAsia="zh-CN"/>
              </w:rPr>
              <w:t>化粪池</w:t>
            </w:r>
          </w:p>
        </w:tc>
        <w:tc>
          <w:tcPr>
            <w:tcW w:w="4647" w:type="dxa"/>
            <w:vMerge w:val="continue"/>
            <w:vAlign w:val="center"/>
          </w:tcPr>
          <w:p>
            <w:pPr>
              <w:pStyle w:val="63"/>
              <w:rPr>
                <w:rFonts w:hint="default" w:ascii="Arial" w:hAnsi="Arial" w:eastAsia="宋体" w:cs="Arial"/>
                <w:color w:val="auto"/>
                <w:highlight w:val="none"/>
              </w:rPr>
            </w:pPr>
          </w:p>
        </w:tc>
        <w:tc>
          <w:tcPr>
            <w:tcW w:w="2835" w:type="dxa"/>
            <w:vMerge w:val="continue"/>
            <w:vAlign w:val="center"/>
          </w:tcPr>
          <w:p>
            <w:pPr>
              <w:pStyle w:val="63"/>
              <w:rPr>
                <w:rFonts w:hint="default" w:ascii="Arial" w:hAnsi="Arial" w:eastAsia="宋体" w:cs="Arial"/>
                <w:color w:val="auto"/>
                <w:highlight w:val="none"/>
              </w:rPr>
            </w:pP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atLeast"/>
          <w:jc w:val="center"/>
        </w:trPr>
        <w:tc>
          <w:tcPr>
            <w:tcW w:w="637" w:type="dxa"/>
            <w:vAlign w:val="center"/>
          </w:tcPr>
          <w:p>
            <w:pPr>
              <w:pStyle w:val="63"/>
              <w:rPr>
                <w:rFonts w:hint="default" w:ascii="Arial" w:hAnsi="Arial" w:eastAsia="宋体" w:cs="Arial"/>
                <w:color w:val="auto"/>
                <w:highlight w:val="none"/>
                <w:lang w:eastAsia="zh-CN"/>
              </w:rPr>
            </w:pPr>
            <w:r>
              <w:rPr>
                <w:rFonts w:hint="default" w:ascii="Arial" w:hAnsi="Arial" w:eastAsia="宋体" w:cs="Arial"/>
                <w:color w:val="auto"/>
                <w:highlight w:val="none"/>
                <w:lang w:val="en-US" w:eastAsia="zh-CN"/>
              </w:rPr>
              <w:t>5</w:t>
            </w:r>
          </w:p>
        </w:tc>
        <w:tc>
          <w:tcPr>
            <w:tcW w:w="495" w:type="dxa"/>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简单防渗区</w:t>
            </w:r>
          </w:p>
        </w:tc>
        <w:tc>
          <w:tcPr>
            <w:tcW w:w="1385" w:type="dxa"/>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饲草料库房消毒室</w:t>
            </w:r>
          </w:p>
          <w:p>
            <w:pPr>
              <w:pStyle w:val="63"/>
              <w:rPr>
                <w:rFonts w:hint="default" w:ascii="Arial" w:hAnsi="Arial" w:eastAsia="宋体" w:cs="Arial"/>
                <w:color w:val="auto"/>
                <w:highlight w:val="none"/>
                <w:lang w:eastAsia="zh-CN"/>
              </w:rPr>
            </w:pPr>
            <w:r>
              <w:rPr>
                <w:rFonts w:hint="default" w:ascii="Arial" w:hAnsi="Arial" w:eastAsia="宋体" w:cs="Arial"/>
                <w:color w:val="auto"/>
                <w:highlight w:val="none"/>
                <w:lang w:eastAsia="zh-CN"/>
              </w:rPr>
              <w:t>青贮池</w:t>
            </w:r>
          </w:p>
          <w:p>
            <w:pPr>
              <w:pStyle w:val="63"/>
              <w:rPr>
                <w:rFonts w:hint="default" w:ascii="Arial" w:hAnsi="Arial" w:eastAsia="宋体" w:cs="Arial"/>
                <w:color w:val="auto"/>
                <w:highlight w:val="none"/>
              </w:rPr>
            </w:pPr>
            <w:r>
              <w:rPr>
                <w:rFonts w:hint="default" w:ascii="Arial" w:hAnsi="Arial" w:eastAsia="宋体" w:cs="Arial"/>
                <w:color w:val="auto"/>
                <w:highlight w:val="none"/>
              </w:rPr>
              <w:t>场区道路</w:t>
            </w:r>
          </w:p>
          <w:p>
            <w:pPr>
              <w:pStyle w:val="63"/>
              <w:rPr>
                <w:rFonts w:hint="default" w:ascii="Arial" w:hAnsi="Arial" w:eastAsia="宋体" w:cs="Arial"/>
                <w:color w:val="auto"/>
                <w:highlight w:val="none"/>
              </w:rPr>
            </w:pPr>
            <w:r>
              <w:rPr>
                <w:rFonts w:hint="default" w:ascii="Arial" w:hAnsi="Arial" w:eastAsia="宋体" w:cs="Arial"/>
                <w:color w:val="auto"/>
                <w:highlight w:val="none"/>
              </w:rPr>
              <w:t>牛舍</w:t>
            </w:r>
          </w:p>
        </w:tc>
        <w:tc>
          <w:tcPr>
            <w:tcW w:w="4647" w:type="dxa"/>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采取水泥硬化处理，采用粘土铺底，再在上层铺15～20cm厚抗渗水泥硬化的要求</w:t>
            </w:r>
          </w:p>
        </w:tc>
        <w:tc>
          <w:tcPr>
            <w:tcW w:w="2835" w:type="dxa"/>
            <w:vAlign w:val="center"/>
          </w:tcPr>
          <w:p>
            <w:pPr>
              <w:pStyle w:val="63"/>
              <w:rPr>
                <w:rFonts w:hint="default" w:ascii="Arial" w:hAnsi="Arial" w:eastAsia="宋体" w:cs="Arial"/>
                <w:color w:val="auto"/>
                <w:highlight w:val="none"/>
                <w:lang w:val="en-US" w:eastAsia="zh-CN"/>
              </w:rPr>
            </w:pPr>
            <w:r>
              <w:rPr>
                <w:rFonts w:hint="default" w:ascii="Arial" w:hAnsi="Arial" w:eastAsia="宋体" w:cs="Arial"/>
                <w:color w:val="auto"/>
                <w:highlight w:val="none"/>
                <w:lang w:val="en-US" w:eastAsia="zh-CN"/>
              </w:rPr>
              <w:t>--</w:t>
            </w:r>
          </w:p>
        </w:tc>
      </w:tr>
    </w:tbl>
    <w:p>
      <w:pPr>
        <w:ind w:firstLine="480"/>
        <w:rPr>
          <w:rFonts w:hint="default" w:ascii="Arial" w:hAnsi="Arial" w:eastAsia="宋体" w:cs="Arial"/>
          <w:color w:val="auto"/>
          <w:highlight w:val="none"/>
        </w:rPr>
      </w:pPr>
      <w:r>
        <w:rPr>
          <w:rFonts w:hint="default" w:ascii="Arial" w:hAnsi="Arial" w:eastAsia="宋体" w:cs="Arial"/>
          <w:color w:val="auto"/>
          <w:highlight w:val="none"/>
        </w:rPr>
        <w:t>本项目的防渗要求如下：</w:t>
      </w:r>
    </w:p>
    <w:p>
      <w:pPr>
        <w:ind w:firstLine="480"/>
        <w:rPr>
          <w:rFonts w:hint="default" w:ascii="Arial" w:hAnsi="Arial" w:eastAsia="宋体" w:cs="Arial"/>
          <w:color w:val="auto"/>
          <w:highlight w:val="none"/>
        </w:rPr>
      </w:pPr>
      <w:r>
        <w:rPr>
          <w:rFonts w:hint="default" w:ascii="Arial" w:hAnsi="Arial" w:eastAsia="宋体" w:cs="Arial"/>
          <w:color w:val="auto"/>
          <w:highlight w:val="none"/>
          <w:lang w:eastAsia="zh-CN"/>
        </w:rPr>
        <w:t>（</w:t>
      </w:r>
      <w:r>
        <w:rPr>
          <w:rFonts w:hint="default" w:ascii="Arial" w:hAnsi="Arial" w:eastAsia="宋体" w:cs="Arial"/>
          <w:color w:val="auto"/>
          <w:highlight w:val="none"/>
          <w:lang w:val="en-US" w:eastAsia="zh-CN"/>
        </w:rPr>
        <w:t>1</w:t>
      </w:r>
      <w:r>
        <w:rPr>
          <w:rFonts w:hint="default" w:ascii="Arial" w:hAnsi="Arial" w:eastAsia="宋体" w:cs="Arial"/>
          <w:color w:val="auto"/>
          <w:highlight w:val="none"/>
          <w:lang w:eastAsia="zh-CN"/>
        </w:rPr>
        <w:t>）</w:t>
      </w:r>
      <w:r>
        <w:rPr>
          <w:rFonts w:hint="default" w:ascii="Arial" w:hAnsi="Arial" w:eastAsia="宋体" w:cs="Arial"/>
          <w:color w:val="auto"/>
          <w:highlight w:val="none"/>
        </w:rPr>
        <w:t>重点防渗区</w:t>
      </w:r>
    </w:p>
    <w:p>
      <w:pPr>
        <w:ind w:firstLine="480"/>
        <w:rPr>
          <w:rFonts w:hint="default" w:ascii="Arial" w:hAnsi="Arial" w:eastAsia="宋体" w:cs="Arial"/>
          <w:color w:val="auto"/>
          <w:highlight w:val="none"/>
        </w:rPr>
      </w:pPr>
      <w:r>
        <w:rPr>
          <w:rFonts w:hint="default" w:ascii="Arial" w:hAnsi="Arial" w:eastAsia="宋体" w:cs="Arial"/>
          <w:color w:val="auto"/>
          <w:highlight w:val="none"/>
        </w:rPr>
        <w:t>危险废物暂存间的建设应按照《危险废物贮存污染控制标准》（GB18597-2001）、《医疗卫生机构医疗废物管理办法》和《危险废物污染防治技术政策》的要求设置，暂存间地面及裙角必须防渗，渗透系数小于1.0×10</w:t>
      </w:r>
      <w:r>
        <w:rPr>
          <w:rFonts w:hint="default" w:ascii="Arial" w:hAnsi="Arial" w:eastAsia="宋体" w:cs="Arial"/>
          <w:color w:val="auto"/>
          <w:highlight w:val="none"/>
          <w:vertAlign w:val="superscript"/>
        </w:rPr>
        <w:t>-10</w:t>
      </w:r>
      <w:r>
        <w:rPr>
          <w:rFonts w:hint="default" w:ascii="Arial" w:hAnsi="Arial" w:eastAsia="宋体" w:cs="Arial"/>
          <w:color w:val="auto"/>
          <w:highlight w:val="none"/>
        </w:rPr>
        <w:t>cm/s。</w:t>
      </w:r>
    </w:p>
    <w:p>
      <w:pPr>
        <w:ind w:firstLine="480"/>
        <w:rPr>
          <w:rFonts w:hint="default" w:ascii="Arial" w:hAnsi="Arial" w:eastAsia="宋体" w:cs="Arial"/>
          <w:color w:val="auto"/>
          <w:highlight w:val="none"/>
        </w:rPr>
      </w:pPr>
      <w:r>
        <w:rPr>
          <w:rFonts w:hint="default" w:ascii="Arial" w:hAnsi="Arial" w:eastAsia="宋体" w:cs="Arial"/>
          <w:color w:val="auto"/>
          <w:highlight w:val="none"/>
        </w:rPr>
        <w:t>危险废物暂存</w:t>
      </w:r>
      <w:r>
        <w:rPr>
          <w:rFonts w:hint="default" w:ascii="Arial" w:hAnsi="Arial" w:eastAsia="宋体" w:cs="Arial"/>
          <w:color w:val="auto"/>
          <w:highlight w:val="none"/>
          <w:lang w:eastAsia="zh-CN"/>
        </w:rPr>
        <w:t>间</w:t>
      </w:r>
      <w:r>
        <w:rPr>
          <w:rFonts w:hint="default" w:ascii="Arial" w:hAnsi="Arial" w:eastAsia="宋体" w:cs="Arial"/>
          <w:color w:val="auto"/>
          <w:highlight w:val="none"/>
        </w:rPr>
        <w:t>建设要求：</w:t>
      </w:r>
    </w:p>
    <w:p>
      <w:pPr>
        <w:ind w:firstLine="480"/>
        <w:rPr>
          <w:rFonts w:hint="default" w:ascii="Arial" w:hAnsi="Arial" w:eastAsia="宋体" w:cs="Arial"/>
          <w:color w:val="auto"/>
          <w:highlight w:val="none"/>
        </w:rPr>
      </w:pPr>
      <w:r>
        <w:rPr>
          <w:rFonts w:hint="default" w:ascii="Arial" w:hAnsi="Arial" w:eastAsia="宋体" w:cs="Arial"/>
          <w:color w:val="auto"/>
          <w:highlight w:val="none"/>
        </w:rPr>
        <w:t>1）贮存场所地面须作硬化处理，以混凝土、砖、或经过防止腐化处理的钢材料进行建设，地面敷设2mm厚HDPE膜进行防渗处理，以防止渗漏和腐蚀。存放液体性危险废物的贮存场所必须设计导流槽和收集井。场所需要密闭且有通风口。</w:t>
      </w:r>
    </w:p>
    <w:p>
      <w:pPr>
        <w:ind w:firstLine="480"/>
        <w:rPr>
          <w:rFonts w:hint="default" w:ascii="Arial" w:hAnsi="Arial" w:eastAsia="宋体" w:cs="Arial"/>
          <w:color w:val="auto"/>
          <w:highlight w:val="none"/>
        </w:rPr>
      </w:pPr>
      <w:r>
        <w:rPr>
          <w:rFonts w:hint="default" w:ascii="Arial" w:hAnsi="Arial" w:eastAsia="宋体" w:cs="Arial"/>
          <w:color w:val="auto"/>
          <w:highlight w:val="none"/>
        </w:rPr>
        <w:t>2）</w:t>
      </w:r>
      <w:r>
        <w:rPr>
          <w:rFonts w:hint="default" w:ascii="Arial" w:hAnsi="Arial" w:eastAsia="宋体" w:cs="Arial"/>
          <w:color w:val="auto"/>
          <w:highlight w:val="none"/>
          <w:lang w:eastAsia="zh-CN"/>
        </w:rPr>
        <w:t>危险废物暂存间</w:t>
      </w:r>
      <w:r>
        <w:rPr>
          <w:rFonts w:hint="default" w:ascii="Arial" w:hAnsi="Arial" w:eastAsia="宋体" w:cs="Arial"/>
          <w:color w:val="auto"/>
          <w:highlight w:val="none"/>
        </w:rPr>
        <w:t>内四周如果不是水泥墙（主要指彩钢房搭建的危废贮存库）时，四周要做高50cm，宽12cm的围堰（门口处围堰根据企业情况，可以降低高度，以便于搬运废油桶出入库），并用水泥抹好。危废暂存间的地面与裙脚要用坚固、防渗的材料建造，建筑材料必须与危险废物相容。</w:t>
      </w:r>
    </w:p>
    <w:p>
      <w:pPr>
        <w:ind w:firstLine="480"/>
        <w:rPr>
          <w:rFonts w:hint="default" w:ascii="Arial" w:hAnsi="Arial" w:eastAsia="宋体" w:cs="Arial"/>
          <w:color w:val="auto"/>
          <w:highlight w:val="none"/>
        </w:rPr>
      </w:pPr>
      <w:r>
        <w:rPr>
          <w:rFonts w:hint="default" w:ascii="Arial" w:hAnsi="Arial" w:eastAsia="宋体" w:cs="Arial"/>
          <w:color w:val="auto"/>
          <w:highlight w:val="none"/>
        </w:rPr>
        <w:t>3）建筑材料必须与危险废物相容，防止鸟类和昆虫进入，照明和通风效果好；不得建在食堂或准备食物区域附近或宿舍楼附近。</w:t>
      </w:r>
    </w:p>
    <w:p>
      <w:pPr>
        <w:ind w:firstLine="480"/>
        <w:rPr>
          <w:rFonts w:hint="default" w:ascii="Arial" w:hAnsi="Arial" w:eastAsia="宋体" w:cs="Arial"/>
          <w:color w:val="auto"/>
          <w:highlight w:val="none"/>
        </w:rPr>
      </w:pPr>
      <w:r>
        <w:rPr>
          <w:rFonts w:hint="default" w:ascii="Arial" w:hAnsi="Arial" w:eastAsia="宋体" w:cs="Arial"/>
          <w:color w:val="auto"/>
          <w:highlight w:val="none"/>
        </w:rPr>
        <w:t>4）必须设置防风、防雨、防晒、防雷、防扬散、防流失、防渗漏、泄露液体收集等。</w:t>
      </w:r>
    </w:p>
    <w:p>
      <w:pPr>
        <w:ind w:firstLine="480"/>
        <w:rPr>
          <w:rFonts w:hint="default" w:ascii="Arial" w:hAnsi="Arial" w:eastAsia="宋体" w:cs="Arial"/>
          <w:color w:val="auto"/>
          <w:highlight w:val="none"/>
        </w:rPr>
      </w:pPr>
      <w:r>
        <w:rPr>
          <w:rFonts w:hint="default" w:ascii="Arial" w:hAnsi="Arial" w:eastAsia="宋体" w:cs="Arial"/>
          <w:color w:val="auto"/>
          <w:highlight w:val="none"/>
          <w:lang w:eastAsia="zh-CN"/>
        </w:rPr>
        <w:t>（</w:t>
      </w:r>
      <w:r>
        <w:rPr>
          <w:rFonts w:hint="default" w:ascii="Arial" w:hAnsi="Arial" w:eastAsia="宋体" w:cs="Arial"/>
          <w:color w:val="auto"/>
          <w:highlight w:val="none"/>
          <w:lang w:val="en-US" w:eastAsia="zh-CN"/>
        </w:rPr>
        <w:t>2</w:t>
      </w:r>
      <w:r>
        <w:rPr>
          <w:rFonts w:hint="default" w:ascii="Arial" w:hAnsi="Arial" w:eastAsia="宋体" w:cs="Arial"/>
          <w:color w:val="auto"/>
          <w:highlight w:val="none"/>
          <w:lang w:eastAsia="zh-CN"/>
        </w:rPr>
        <w:t>）</w:t>
      </w:r>
      <w:r>
        <w:rPr>
          <w:rFonts w:hint="default" w:ascii="Arial" w:hAnsi="Arial" w:eastAsia="宋体" w:cs="Arial"/>
          <w:color w:val="auto"/>
          <w:highlight w:val="none"/>
        </w:rPr>
        <w:t>一般防渗区</w:t>
      </w:r>
    </w:p>
    <w:p>
      <w:pPr>
        <w:ind w:firstLine="480"/>
        <w:rPr>
          <w:rFonts w:hint="default" w:ascii="Arial" w:hAnsi="Arial" w:eastAsia="宋体" w:cs="Arial"/>
          <w:color w:val="auto"/>
          <w:highlight w:val="none"/>
        </w:rPr>
      </w:pPr>
      <w:r>
        <w:rPr>
          <w:rFonts w:hint="default" w:ascii="Arial" w:hAnsi="Arial" w:eastAsia="宋体" w:cs="Arial"/>
          <w:color w:val="auto"/>
          <w:highlight w:val="none"/>
        </w:rPr>
        <w:t>1）对</w:t>
      </w:r>
      <w:r>
        <w:rPr>
          <w:rFonts w:hint="default" w:ascii="Arial" w:hAnsi="Arial" w:eastAsia="宋体" w:cs="Arial"/>
          <w:color w:val="auto"/>
          <w:highlight w:val="none"/>
          <w:lang w:eastAsia="zh-CN"/>
        </w:rPr>
        <w:t>肥场</w:t>
      </w:r>
      <w:r>
        <w:rPr>
          <w:rFonts w:hint="default" w:ascii="Arial" w:hAnsi="Arial" w:eastAsia="宋体" w:cs="Arial"/>
          <w:color w:val="auto"/>
          <w:highlight w:val="none"/>
        </w:rPr>
        <w:t>底部基础防渗具体做法为：防渗层为敷设不小于</w:t>
      </w:r>
      <w:r>
        <w:rPr>
          <w:rFonts w:hint="default" w:ascii="Arial" w:hAnsi="Arial" w:eastAsia="宋体" w:cs="Arial"/>
          <w:color w:val="auto"/>
          <w:highlight w:val="none"/>
          <w:lang w:val="en-US" w:eastAsia="zh-CN"/>
        </w:rPr>
        <w:t>1.5</w:t>
      </w:r>
      <w:r>
        <w:rPr>
          <w:rFonts w:hint="default" w:ascii="Arial" w:hAnsi="Arial" w:eastAsia="宋体" w:cs="Arial"/>
          <w:color w:val="auto"/>
          <w:highlight w:val="none"/>
        </w:rPr>
        <w:t>mm的高密度聚氯乙烯（HDPE）人工防渗膜，膜上、膜下设置“长丝无纺土工布”保护层，并铺设不小于100mm的混凝土保护层，或其他材料可满足渗透系数小于1.0×10</w:t>
      </w:r>
      <w:r>
        <w:rPr>
          <w:rFonts w:hint="default" w:ascii="Arial" w:hAnsi="Arial" w:eastAsia="宋体" w:cs="Arial"/>
          <w:color w:val="auto"/>
          <w:highlight w:val="none"/>
          <w:vertAlign w:val="superscript"/>
        </w:rPr>
        <w:t>-7</w:t>
      </w:r>
      <w:r>
        <w:rPr>
          <w:rFonts w:hint="default" w:ascii="Arial" w:hAnsi="Arial" w:eastAsia="宋体" w:cs="Arial"/>
          <w:color w:val="auto"/>
          <w:highlight w:val="none"/>
        </w:rPr>
        <w:t>cm/s。</w:t>
      </w:r>
    </w:p>
    <w:p>
      <w:pPr>
        <w:ind w:firstLine="480"/>
        <w:rPr>
          <w:rFonts w:hint="default" w:ascii="Arial" w:hAnsi="Arial" w:eastAsia="宋体" w:cs="Arial"/>
          <w:color w:val="auto"/>
          <w:highlight w:val="none"/>
        </w:rPr>
      </w:pPr>
      <w:r>
        <w:rPr>
          <w:rFonts w:hint="default" w:ascii="Arial" w:hAnsi="Arial" w:eastAsia="宋体" w:cs="Arial"/>
          <w:color w:val="auto"/>
          <w:highlight w:val="none"/>
        </w:rPr>
        <w:t>2）对</w:t>
      </w:r>
      <w:r>
        <w:rPr>
          <w:rFonts w:hint="default" w:ascii="Arial" w:hAnsi="Arial" w:eastAsia="宋体" w:cs="Arial"/>
          <w:color w:val="auto"/>
          <w:highlight w:val="none"/>
          <w:lang w:eastAsia="zh-CN"/>
        </w:rPr>
        <w:t>化粪池</w:t>
      </w:r>
      <w:r>
        <w:rPr>
          <w:rFonts w:hint="default" w:ascii="Arial" w:hAnsi="Arial" w:eastAsia="宋体" w:cs="Arial"/>
          <w:color w:val="auto"/>
          <w:highlight w:val="none"/>
        </w:rPr>
        <w:t>采取以下防渗措施：</w:t>
      </w:r>
    </w:p>
    <w:p>
      <w:pPr>
        <w:ind w:firstLine="480"/>
        <w:rPr>
          <w:rFonts w:hint="default" w:ascii="Arial" w:hAnsi="Arial" w:eastAsia="宋体" w:cs="Arial"/>
          <w:color w:val="auto"/>
          <w:highlight w:val="none"/>
        </w:rPr>
      </w:pPr>
      <w:r>
        <w:rPr>
          <w:rFonts w:hint="default" w:ascii="Arial" w:hAnsi="Arial" w:eastAsia="宋体" w:cs="Arial"/>
          <w:color w:val="auto"/>
          <w:highlight w:val="none"/>
        </w:rPr>
        <w:t>池底及坡道采用粘土找平，底部素土夯实，夯实层以上设20mm厚1:3水泥砂浆找平层，防渗层为敷设不小于</w:t>
      </w:r>
      <w:r>
        <w:rPr>
          <w:rFonts w:hint="default" w:ascii="Arial" w:hAnsi="Arial" w:eastAsia="宋体" w:cs="Arial"/>
          <w:color w:val="auto"/>
          <w:highlight w:val="none"/>
          <w:lang w:val="en-US" w:eastAsia="zh-CN"/>
        </w:rPr>
        <w:t>1.5</w:t>
      </w:r>
      <w:r>
        <w:rPr>
          <w:rFonts w:hint="default" w:ascii="Arial" w:hAnsi="Arial" w:eastAsia="宋体" w:cs="Arial"/>
          <w:color w:val="auto"/>
          <w:highlight w:val="none"/>
        </w:rPr>
        <w:t>mm的高密度聚氯乙烯（HDPE）人工防渗膜，膜上、膜下设置“长丝无纺土工布”保护层，并铺设不小于100mm的混凝土保护层，或其他材料可满足渗透系数小于1.0×10</w:t>
      </w:r>
      <w:r>
        <w:rPr>
          <w:rFonts w:hint="default" w:ascii="Arial" w:hAnsi="Arial" w:eastAsia="宋体" w:cs="Arial"/>
          <w:color w:val="auto"/>
          <w:highlight w:val="none"/>
          <w:vertAlign w:val="superscript"/>
        </w:rPr>
        <w:t>-7</w:t>
      </w:r>
      <w:r>
        <w:rPr>
          <w:rFonts w:hint="default" w:ascii="Arial" w:hAnsi="Arial" w:eastAsia="宋体" w:cs="Arial"/>
          <w:color w:val="auto"/>
          <w:highlight w:val="none"/>
        </w:rPr>
        <w:t>cm/s。</w:t>
      </w:r>
    </w:p>
    <w:p>
      <w:pPr>
        <w:ind w:firstLine="480"/>
        <w:rPr>
          <w:rFonts w:hint="default" w:ascii="Arial" w:hAnsi="Arial" w:eastAsia="宋体" w:cs="Arial"/>
          <w:color w:val="auto"/>
          <w:highlight w:val="none"/>
        </w:rPr>
      </w:pPr>
      <w:r>
        <w:rPr>
          <w:rFonts w:hint="default" w:ascii="Arial" w:hAnsi="Arial" w:eastAsia="宋体" w:cs="Arial"/>
          <w:color w:val="auto"/>
          <w:highlight w:val="none"/>
          <w:lang w:eastAsia="zh-CN"/>
        </w:rPr>
        <w:t>（</w:t>
      </w:r>
      <w:r>
        <w:rPr>
          <w:rFonts w:hint="default" w:ascii="Arial" w:hAnsi="Arial" w:eastAsia="宋体" w:cs="Arial"/>
          <w:color w:val="auto"/>
          <w:highlight w:val="none"/>
          <w:lang w:val="en-US" w:eastAsia="zh-CN"/>
        </w:rPr>
        <w:t>3</w:t>
      </w:r>
      <w:r>
        <w:rPr>
          <w:rFonts w:hint="default" w:ascii="Arial" w:hAnsi="Arial" w:eastAsia="宋体" w:cs="Arial"/>
          <w:color w:val="auto"/>
          <w:highlight w:val="none"/>
          <w:lang w:eastAsia="zh-CN"/>
        </w:rPr>
        <w:t>）</w:t>
      </w:r>
      <w:r>
        <w:rPr>
          <w:rFonts w:hint="default" w:ascii="Arial" w:hAnsi="Arial" w:eastAsia="宋体" w:cs="Arial"/>
          <w:color w:val="auto"/>
          <w:highlight w:val="none"/>
        </w:rPr>
        <w:t>简单防渗区</w:t>
      </w:r>
    </w:p>
    <w:p>
      <w:pPr>
        <w:ind w:firstLine="480"/>
        <w:rPr>
          <w:rFonts w:hint="default" w:ascii="Arial" w:hAnsi="Arial" w:eastAsia="宋体" w:cs="Arial"/>
          <w:color w:val="auto"/>
          <w:highlight w:val="none"/>
          <w:lang w:eastAsia="zh-CN"/>
        </w:rPr>
      </w:pPr>
      <w:r>
        <w:rPr>
          <w:rFonts w:hint="default" w:ascii="Arial" w:hAnsi="Arial" w:eastAsia="宋体" w:cs="Arial"/>
          <w:color w:val="auto"/>
          <w:highlight w:val="none"/>
        </w:rPr>
        <w:t>对于饲草料库房、消毒室、</w:t>
      </w:r>
      <w:r>
        <w:rPr>
          <w:rFonts w:hint="default" w:ascii="Arial" w:hAnsi="Arial" w:eastAsia="宋体" w:cs="Arial"/>
          <w:color w:val="auto"/>
          <w:highlight w:val="none"/>
          <w:lang w:eastAsia="zh-CN"/>
        </w:rPr>
        <w:t>青贮池</w:t>
      </w:r>
      <w:r>
        <w:rPr>
          <w:rFonts w:hint="default" w:ascii="Arial" w:hAnsi="Arial" w:eastAsia="宋体" w:cs="Arial"/>
          <w:color w:val="auto"/>
          <w:highlight w:val="none"/>
        </w:rPr>
        <w:t>、场区道路、牛舍等生产区，铺设防渗混凝土地面进行防渗</w:t>
      </w:r>
      <w:r>
        <w:rPr>
          <w:rFonts w:hint="default" w:ascii="Arial" w:hAnsi="Arial" w:eastAsia="宋体" w:cs="Arial"/>
          <w:color w:val="auto"/>
          <w:highlight w:val="none"/>
          <w:lang w:eastAsia="zh-CN"/>
        </w:rPr>
        <w:t>。</w:t>
      </w:r>
    </w:p>
    <w:p>
      <w:pPr>
        <w:bidi w:val="0"/>
        <w:rPr>
          <w:rFonts w:hint="default" w:ascii="Arial" w:hAnsi="Arial" w:eastAsia="宋体" w:cs="Arial"/>
          <w:color w:val="auto"/>
          <w:lang w:eastAsia="zh-CN"/>
        </w:rPr>
      </w:pPr>
      <w:r>
        <w:rPr>
          <w:rFonts w:hint="default" w:ascii="Arial" w:hAnsi="Arial" w:eastAsia="宋体" w:cs="Arial"/>
          <w:color w:val="auto"/>
          <w:highlight w:val="none"/>
        </w:rPr>
        <mc:AlternateContent>
          <mc:Choice Requires="wps">
            <w:drawing>
              <wp:anchor distT="0" distB="0" distL="114300" distR="114300" simplePos="0" relativeHeight="251677696" behindDoc="0" locked="0" layoutInCell="1" allowOverlap="1">
                <wp:simplePos x="0" y="0"/>
                <wp:positionH relativeFrom="column">
                  <wp:posOffset>3679825</wp:posOffset>
                </wp:positionH>
                <wp:positionV relativeFrom="paragraph">
                  <wp:posOffset>208915</wp:posOffset>
                </wp:positionV>
                <wp:extent cx="902335" cy="5029200"/>
                <wp:effectExtent l="802005" t="17780" r="810260" b="20320"/>
                <wp:wrapNone/>
                <wp:docPr id="141" name="矩形 2"/>
                <wp:cNvGraphicFramePr/>
                <a:graphic xmlns:a="http://schemas.openxmlformats.org/drawingml/2006/main">
                  <a:graphicData uri="http://schemas.microsoft.com/office/word/2010/wordprocessingShape">
                    <wps:wsp>
                      <wps:cNvSpPr/>
                      <wps:spPr>
                        <a:xfrm rot="1140000">
                          <a:off x="0" y="0"/>
                          <a:ext cx="902335" cy="5029200"/>
                        </a:xfrm>
                        <a:prstGeom prst="rect">
                          <a:avLst/>
                        </a:prstGeom>
                        <a:gradFill rotWithShape="0">
                          <a:gsLst>
                            <a:gs pos="0">
                              <a:srgbClr val="00B050">
                                <a:alpha val="67000"/>
                              </a:srgbClr>
                            </a:gs>
                            <a:gs pos="100000">
                              <a:srgbClr val="00B050">
                                <a:gamma/>
                                <a:shade val="45882"/>
                                <a:invGamma/>
                                <a:alpha val="48000"/>
                              </a:srgbClr>
                            </a:gs>
                          </a:gsLst>
                          <a:lin ang="5400000" scaled="1"/>
                          <a:tileRect/>
                        </a:gradFill>
                        <a:ln w="12700" cap="flat" cmpd="sng">
                          <a:solidFill>
                            <a:srgbClr val="000000"/>
                          </a:solidFill>
                          <a:prstDash val="solid"/>
                          <a:miter/>
                          <a:headEnd type="none" w="med" len="med"/>
                          <a:tailEnd type="none" w="med" len="med"/>
                        </a:ln>
                      </wps:spPr>
                      <wps:bodyPr upright="1"/>
                    </wps:wsp>
                  </a:graphicData>
                </a:graphic>
              </wp:anchor>
            </w:drawing>
          </mc:Choice>
          <mc:Fallback>
            <w:pict>
              <v:rect id="矩形 2" o:spid="_x0000_s1026" o:spt="1" style="position:absolute;left:0pt;margin-left:289.75pt;margin-top:16.45pt;height:396pt;width:71.05pt;rotation:1245184f;z-index:251677696;mso-width-relative:page;mso-height-relative:page;" fillcolor="#00B050" filled="t" stroked="t" coordsize="21600,21600" o:gfxdata="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">
                <v:fill type="gradient" on="t" color2="#005125" opacity="43909f" o:opacity2="31457f" focus="100%" focussize="0,0"/>
                <v:stroke weight="1pt" color="#000000" joinstyle="miter"/>
                <v:imagedata o:title=""/>
                <o:lock v:ext="edit" aspectratio="f"/>
              </v:rect>
            </w:pict>
          </mc:Fallback>
        </mc:AlternateContent>
      </w:r>
      <w:r>
        <w:rPr>
          <w:rFonts w:hint="default" w:ascii="Arial" w:hAnsi="Arial" w:eastAsia="宋体" w:cs="Arial"/>
          <w:color w:val="auto"/>
          <w:highlight w:val="none"/>
          <w:lang w:eastAsia="zh-CN"/>
        </w:rPr>
        <w:pict>
          <v:shape id="_x0000_s1029" o:spid="_x0000_s1029" o:spt="75" type="#_x0000_t75" style="position:absolute;left:0pt;margin-left:-10.85pt;margin-top:1.05pt;height:447.25pt;width:453.55pt;z-index:-251572224;mso-width-relative:page;mso-height-relative:page;" o:ole="t" filled="f" o:preferrelative="t" stroked="f" coordsize="21600,21600">
            <v:path/>
            <v:fill on="f" focussize="0,0"/>
            <v:stroke on="f"/>
            <v:imagedata r:id="rId25" o:title=""/>
            <o:lock v:ext="edit" aspectratio="t"/>
          </v:shape>
          <o:OLEObject Type="Embed" ProgID="Visio.Drawing.11" ShapeID="_x0000_s1029" DrawAspect="Content" ObjectID="_1468075739" r:id="rId66">
            <o:LockedField>false</o:LockedField>
          </o:OLEObject>
        </w:pict>
      </w:r>
    </w:p>
    <w:p>
      <w:pPr>
        <w:bidi w:val="0"/>
        <w:rPr>
          <w:rFonts w:hint="default" w:ascii="Arial" w:hAnsi="Arial" w:eastAsia="宋体" w:cs="Arial"/>
          <w:color w:val="auto"/>
          <w:lang w:eastAsia="zh-CN"/>
        </w:rPr>
      </w:pPr>
      <w:r>
        <w:rPr>
          <w:rFonts w:hint="default" w:ascii="Arial" w:hAnsi="Arial" w:eastAsia="宋体" w:cs="Arial"/>
          <w:color w:val="auto"/>
          <w:highlight w:val="none"/>
        </w:rPr>
        <mc:AlternateContent>
          <mc:Choice Requires="wps">
            <w:drawing>
              <wp:anchor distT="0" distB="0" distL="114300" distR="114300" simplePos="0" relativeHeight="251745280" behindDoc="0" locked="0" layoutInCell="1" allowOverlap="1">
                <wp:simplePos x="0" y="0"/>
                <wp:positionH relativeFrom="column">
                  <wp:posOffset>2919095</wp:posOffset>
                </wp:positionH>
                <wp:positionV relativeFrom="paragraph">
                  <wp:posOffset>145415</wp:posOffset>
                </wp:positionV>
                <wp:extent cx="902335" cy="3455670"/>
                <wp:effectExtent l="546100" t="60960" r="551815" b="64770"/>
                <wp:wrapNone/>
                <wp:docPr id="59" name="矩形 2"/>
                <wp:cNvGraphicFramePr/>
                <a:graphic xmlns:a="http://schemas.openxmlformats.org/drawingml/2006/main">
                  <a:graphicData uri="http://schemas.microsoft.com/office/word/2010/wordprocessingShape">
                    <wps:wsp>
                      <wps:cNvSpPr/>
                      <wps:spPr>
                        <a:xfrm rot="1140000">
                          <a:off x="0" y="0"/>
                          <a:ext cx="902335" cy="3455670"/>
                        </a:xfrm>
                        <a:prstGeom prst="rect">
                          <a:avLst/>
                        </a:prstGeom>
                        <a:gradFill rotWithShape="0">
                          <a:gsLst>
                            <a:gs pos="0">
                              <a:srgbClr val="00B050">
                                <a:alpha val="67000"/>
                              </a:srgbClr>
                            </a:gs>
                            <a:gs pos="100000">
                              <a:srgbClr val="00B050">
                                <a:gamma/>
                                <a:shade val="45882"/>
                                <a:invGamma/>
                                <a:alpha val="48000"/>
                              </a:srgbClr>
                            </a:gs>
                          </a:gsLst>
                          <a:lin ang="5400000" scaled="1"/>
                          <a:tileRect/>
                        </a:gradFill>
                        <a:ln w="12700" cap="flat" cmpd="sng">
                          <a:solidFill>
                            <a:srgbClr val="000000"/>
                          </a:solidFill>
                          <a:prstDash val="solid"/>
                          <a:miter/>
                          <a:headEnd type="none" w="med" len="med"/>
                          <a:tailEnd type="none" w="med" len="med"/>
                        </a:ln>
                      </wps:spPr>
                      <wps:bodyPr upright="1"/>
                    </wps:wsp>
                  </a:graphicData>
                </a:graphic>
              </wp:anchor>
            </w:drawing>
          </mc:Choice>
          <mc:Fallback>
            <w:pict>
              <v:rect id="矩形 2" o:spid="_x0000_s1026" o:spt="1" style="position:absolute;left:0pt;margin-left:229.85pt;margin-top:11.45pt;height:272.1pt;width:71.05pt;rotation:1245184f;z-index:251745280;mso-width-relative:page;mso-height-relative:page;" fillcolor="#00B050" filled="t" stroked="t" coordsize="21600,21600" o:gfxdata="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">
                <v:fill type="gradient" on="t" color2="#005125" opacity="43909f" o:opacity2="31457f" focus="100%" focussize="0,0"/>
                <v:stroke weight="1pt" color="#000000" joinstyle="miter"/>
                <v:imagedata o:title=""/>
                <o:lock v:ext="edit" aspectratio="f"/>
              </v:rect>
            </w:pict>
          </mc:Fallback>
        </mc:AlternateContent>
      </w:r>
    </w:p>
    <w:p>
      <w:pPr>
        <w:bidi w:val="0"/>
        <w:rPr>
          <w:rFonts w:hint="default" w:ascii="Arial" w:hAnsi="Arial" w:eastAsia="宋体" w:cs="Arial"/>
          <w:color w:val="auto"/>
          <w:lang w:eastAsia="zh-CN"/>
        </w:rPr>
      </w:pPr>
    </w:p>
    <w:p>
      <w:pPr>
        <w:bidi w:val="0"/>
        <w:rPr>
          <w:rFonts w:hint="default" w:ascii="Arial" w:hAnsi="Arial" w:eastAsia="宋体" w:cs="Arial"/>
          <w:color w:val="auto"/>
          <w:lang w:eastAsia="zh-CN"/>
        </w:rPr>
      </w:pPr>
      <w:r>
        <w:rPr>
          <w:rFonts w:hint="default" w:ascii="Arial" w:hAnsi="Arial" w:eastAsia="宋体" w:cs="Arial"/>
          <w:color w:val="auto"/>
          <w:highlight w:val="none"/>
        </w:rPr>
        <mc:AlternateContent>
          <mc:Choice Requires="wps">
            <w:drawing>
              <wp:anchor distT="0" distB="0" distL="114300" distR="114300" simplePos="0" relativeHeight="251746304" behindDoc="0" locked="0" layoutInCell="1" allowOverlap="1">
                <wp:simplePos x="0" y="0"/>
                <wp:positionH relativeFrom="column">
                  <wp:posOffset>1908175</wp:posOffset>
                </wp:positionH>
                <wp:positionV relativeFrom="paragraph">
                  <wp:posOffset>191770</wp:posOffset>
                </wp:positionV>
                <wp:extent cx="902335" cy="2455545"/>
                <wp:effectExtent l="382905" t="88265" r="391160" b="104140"/>
                <wp:wrapNone/>
                <wp:docPr id="60" name="矩形 2"/>
                <wp:cNvGraphicFramePr/>
                <a:graphic xmlns:a="http://schemas.openxmlformats.org/drawingml/2006/main">
                  <a:graphicData uri="http://schemas.microsoft.com/office/word/2010/wordprocessingShape">
                    <wps:wsp>
                      <wps:cNvSpPr/>
                      <wps:spPr>
                        <a:xfrm rot="1140000">
                          <a:off x="0" y="0"/>
                          <a:ext cx="902335" cy="2455545"/>
                        </a:xfrm>
                        <a:prstGeom prst="rect">
                          <a:avLst/>
                        </a:prstGeom>
                        <a:gradFill rotWithShape="0">
                          <a:gsLst>
                            <a:gs pos="0">
                              <a:srgbClr val="00B050">
                                <a:alpha val="67000"/>
                              </a:srgbClr>
                            </a:gs>
                            <a:gs pos="100000">
                              <a:srgbClr val="00B050">
                                <a:gamma/>
                                <a:shade val="45882"/>
                                <a:invGamma/>
                                <a:alpha val="48000"/>
                              </a:srgbClr>
                            </a:gs>
                          </a:gsLst>
                          <a:lin ang="5400000" scaled="1"/>
                          <a:tileRect/>
                        </a:gradFill>
                        <a:ln w="12700" cap="flat" cmpd="sng">
                          <a:solidFill>
                            <a:srgbClr val="000000"/>
                          </a:solidFill>
                          <a:prstDash val="solid"/>
                          <a:miter/>
                          <a:headEnd type="none" w="med" len="med"/>
                          <a:tailEnd type="none" w="med" len="med"/>
                        </a:ln>
                      </wps:spPr>
                      <wps:bodyPr upright="1"/>
                    </wps:wsp>
                  </a:graphicData>
                </a:graphic>
              </wp:anchor>
            </w:drawing>
          </mc:Choice>
          <mc:Fallback>
            <w:pict>
              <v:rect id="矩形 2" o:spid="_x0000_s1026" o:spt="1" style="position:absolute;left:0pt;margin-left:150.25pt;margin-top:15.1pt;height:193.35pt;width:71.05pt;rotation:1245184f;z-index:251746304;mso-width-relative:page;mso-height-relative:page;" fillcolor="#00B050" filled="t" stroked="t" coordsize="21600,21600" o:gfxdata="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">
                <v:fill type="gradient" on="t" color2="#005125" opacity="43909f" o:opacity2="31457f" focus="100%" focussize="0,0"/>
                <v:stroke weight="1pt" color="#000000" joinstyle="miter"/>
                <v:imagedata o:title=""/>
                <o:lock v:ext="edit" aspectratio="f"/>
              </v:rect>
            </w:pict>
          </mc:Fallback>
        </mc:AlternateContent>
      </w:r>
      <w:r>
        <w:rPr>
          <w:rFonts w:hint="default" w:ascii="Arial" w:hAnsi="Arial" w:eastAsia="宋体" w:cs="Arial"/>
          <w:color w:val="auto"/>
          <w:highlight w:val="none"/>
        </w:rPr>
        <mc:AlternateContent>
          <mc:Choice Requires="wps">
            <w:drawing>
              <wp:anchor distT="0" distB="0" distL="114300" distR="114300" simplePos="0" relativeHeight="251676672" behindDoc="0" locked="0" layoutInCell="1" allowOverlap="1">
                <wp:simplePos x="0" y="0"/>
                <wp:positionH relativeFrom="column">
                  <wp:posOffset>1635760</wp:posOffset>
                </wp:positionH>
                <wp:positionV relativeFrom="paragraph">
                  <wp:posOffset>169545</wp:posOffset>
                </wp:positionV>
                <wp:extent cx="535305" cy="518795"/>
                <wp:effectExtent l="107950" t="114300" r="118745" b="128905"/>
                <wp:wrapNone/>
                <wp:docPr id="129" name="矩形 129"/>
                <wp:cNvGraphicFramePr/>
                <a:graphic xmlns:a="http://schemas.openxmlformats.org/drawingml/2006/main">
                  <a:graphicData uri="http://schemas.microsoft.com/office/word/2010/wordprocessingShape">
                    <wps:wsp>
                      <wps:cNvSpPr/>
                      <wps:spPr>
                        <a:xfrm rot="2040000">
                          <a:off x="0" y="0"/>
                          <a:ext cx="535305" cy="518795"/>
                        </a:xfrm>
                        <a:prstGeom prst="rect">
                          <a:avLst/>
                        </a:prstGeom>
                        <a:gradFill rotWithShape="0">
                          <a:gsLst>
                            <a:gs pos="0">
                              <a:srgbClr val="00B0F0">
                                <a:alpha val="75000"/>
                              </a:srgbClr>
                            </a:gs>
                            <a:gs pos="100000">
                              <a:srgbClr val="00B0F0">
                                <a:gamma/>
                                <a:shade val="45882"/>
                                <a:invGamma/>
                                <a:alpha val="48999"/>
                              </a:srgbClr>
                            </a:gs>
                          </a:gsLst>
                          <a:lin ang="5400000" scaled="1"/>
                          <a:tileRect/>
                        </a:gradFill>
                        <a:ln w="12700" cap="flat" cmpd="sng">
                          <a:solidFill>
                            <a:srgbClr val="000000"/>
                          </a:solidFill>
                          <a:prstDash val="solid"/>
                          <a:miter/>
                          <a:headEnd type="none" w="med" len="med"/>
                          <a:tailEnd type="none" w="med" len="med"/>
                        </a:ln>
                      </wps:spPr>
                      <wps:bodyPr upright="1"/>
                    </wps:wsp>
                  </a:graphicData>
                </a:graphic>
              </wp:anchor>
            </w:drawing>
          </mc:Choice>
          <mc:Fallback>
            <w:pict>
              <v:rect id="_x0000_s1026" o:spid="_x0000_s1026" o:spt="1" style="position:absolute;left:0pt;margin-left:128.8pt;margin-top:13.35pt;height:40.85pt;width:42.15pt;rotation:2228224f;z-index:251676672;mso-width-relative:page;mso-height-relative:page;" fillcolor="#00B0F0" filled="t" stroked="t" coordsize="21600,21600" o:gfxdata="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&#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">
                <v:fill type="gradient" on="t" color2="#00516E" opacity="49152f" o:opacity2="32111f" focus="100%" focussize="0,0"/>
                <v:stroke weight="1pt" color="#000000" joinstyle="miter"/>
                <v:imagedata o:title=""/>
                <o:lock v:ext="edit" aspectratio="f"/>
              </v:rect>
            </w:pict>
          </mc:Fallback>
        </mc:AlternateContent>
      </w:r>
    </w:p>
    <w:p>
      <w:pPr>
        <w:bidi w:val="0"/>
        <w:rPr>
          <w:rFonts w:hint="default" w:ascii="Arial" w:hAnsi="Arial" w:eastAsia="宋体" w:cs="Arial"/>
          <w:color w:val="auto"/>
          <w:lang w:eastAsia="zh-CN"/>
        </w:rPr>
      </w:pPr>
    </w:p>
    <w:p>
      <w:pPr>
        <w:bidi w:val="0"/>
        <w:rPr>
          <w:rFonts w:hint="default" w:ascii="Arial" w:hAnsi="Arial" w:eastAsia="宋体" w:cs="Arial"/>
          <w:color w:val="auto"/>
          <w:lang w:eastAsia="zh-CN"/>
        </w:rPr>
      </w:pPr>
      <w:r>
        <w:rPr>
          <w:rFonts w:hint="default" w:ascii="Arial" w:hAnsi="Arial" w:eastAsia="宋体" w:cs="Arial"/>
          <w:color w:val="auto"/>
          <w:highlight w:val="none"/>
        </w:rPr>
        <mc:AlternateContent>
          <mc:Choice Requires="wps">
            <w:drawing>
              <wp:anchor distT="0" distB="0" distL="114300" distR="114300" simplePos="0" relativeHeight="251678720" behindDoc="0" locked="0" layoutInCell="1" allowOverlap="1">
                <wp:simplePos x="0" y="0"/>
                <wp:positionH relativeFrom="column">
                  <wp:posOffset>1461135</wp:posOffset>
                </wp:positionH>
                <wp:positionV relativeFrom="paragraph">
                  <wp:posOffset>227330</wp:posOffset>
                </wp:positionV>
                <wp:extent cx="252095" cy="144780"/>
                <wp:effectExtent l="6350" t="6350" r="8255" b="20320"/>
                <wp:wrapNone/>
                <wp:docPr id="156" name="矩形 156"/>
                <wp:cNvGraphicFramePr/>
                <a:graphic xmlns:a="http://schemas.openxmlformats.org/drawingml/2006/main">
                  <a:graphicData uri="http://schemas.microsoft.com/office/word/2010/wordprocessingShape">
                    <wps:wsp>
                      <wps:cNvSpPr/>
                      <wps:spPr>
                        <a:xfrm>
                          <a:off x="0" y="0"/>
                          <a:ext cx="252095" cy="144780"/>
                        </a:xfrm>
                        <a:prstGeom prst="rect">
                          <a:avLst/>
                        </a:prstGeom>
                        <a:gradFill rotWithShape="0">
                          <a:gsLst>
                            <a:gs pos="0">
                              <a:srgbClr val="FF0000">
                                <a:alpha val="50999"/>
                              </a:srgbClr>
                            </a:gs>
                            <a:gs pos="100000">
                              <a:srgbClr val="FF0000">
                                <a:gamma/>
                                <a:shade val="87843"/>
                                <a:invGamma/>
                                <a:alpha val="50999"/>
                              </a:srgbClr>
                            </a:gs>
                          </a:gsLst>
                          <a:lin ang="5400000" scaled="1"/>
                          <a:tileRect/>
                        </a:gradFill>
                        <a:ln w="12700" cap="flat" cmpd="sng">
                          <a:solidFill>
                            <a:srgbClr val="000000"/>
                          </a:solidFill>
                          <a:prstDash val="solid"/>
                          <a:miter/>
                          <a:headEnd type="none" w="med" len="med"/>
                          <a:tailEnd type="none" w="med" len="med"/>
                        </a:ln>
                      </wps:spPr>
                      <wps:bodyPr upright="1"/>
                    </wps:wsp>
                  </a:graphicData>
                </a:graphic>
              </wp:anchor>
            </w:drawing>
          </mc:Choice>
          <mc:Fallback>
            <w:pict>
              <v:rect id="_x0000_s1026" o:spid="_x0000_s1026" o:spt="1" style="position:absolute;left:0pt;margin-left:115.05pt;margin-top:17.9pt;height:11.4pt;width:19.85pt;z-index:251678720;mso-width-relative:page;mso-height-relative:page;" fillcolor="#FF0000" filled="t" stroked="t" coordsize="21600,21600" o:gfxdata="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IG11S9kAAAAJAQAADwAAAAAAAAABACAAAAAiAAAAZHJzL2Rvd25yZXYueG1sUEsB&#10;AhQAFAAAAAgAh07iQFuZg7VmAgAAKQUAAA4AAAAAAAAAAQAgAAAAKAEAAGRycy9lMm9Eb2MueG1s&#10;UEsFBgAAAAAGAAYAWQEAAAAGAAAAAA==&#10;">
                <v:fill type="gradient" on="t" color2="#E00000" opacity="33422f" o:opacity2="33422f" focus="100%" focussize="0,0"/>
                <v:stroke weight="1pt" color="#000000" joinstyle="miter"/>
                <v:imagedata o:title=""/>
                <o:lock v:ext="edit" aspectratio="f"/>
              </v:rect>
            </w:pict>
          </mc:Fallback>
        </mc:AlternateContent>
      </w:r>
    </w:p>
    <w:p>
      <w:pPr>
        <w:bidi w:val="0"/>
        <w:rPr>
          <w:rFonts w:hint="default" w:ascii="Arial" w:hAnsi="Arial" w:eastAsia="宋体" w:cs="Arial"/>
          <w:color w:val="auto"/>
          <w:lang w:eastAsia="zh-CN"/>
        </w:rPr>
      </w:pPr>
      <w:r>
        <w:rPr>
          <w:rFonts w:hint="default" w:ascii="Arial" w:hAnsi="Arial" w:eastAsia="宋体" w:cs="Arial"/>
          <w:color w:val="auto"/>
          <w:highlight w:val="none"/>
        </w:rPr>
        <mc:AlternateContent>
          <mc:Choice Requires="wps">
            <w:drawing>
              <wp:anchor distT="0" distB="0" distL="114300" distR="114300" simplePos="0" relativeHeight="251747328" behindDoc="0" locked="0" layoutInCell="1" allowOverlap="1">
                <wp:simplePos x="0" y="0"/>
                <wp:positionH relativeFrom="column">
                  <wp:posOffset>1033780</wp:posOffset>
                </wp:positionH>
                <wp:positionV relativeFrom="paragraph">
                  <wp:posOffset>122555</wp:posOffset>
                </wp:positionV>
                <wp:extent cx="843280" cy="683895"/>
                <wp:effectExtent l="96520" t="127000" r="107950" b="141605"/>
                <wp:wrapNone/>
                <wp:docPr id="63" name="矩形 2"/>
                <wp:cNvGraphicFramePr/>
                <a:graphic xmlns:a="http://schemas.openxmlformats.org/drawingml/2006/main">
                  <a:graphicData uri="http://schemas.microsoft.com/office/word/2010/wordprocessingShape">
                    <wps:wsp>
                      <wps:cNvSpPr/>
                      <wps:spPr>
                        <a:xfrm rot="1140000">
                          <a:off x="0" y="0"/>
                          <a:ext cx="843280" cy="683895"/>
                        </a:xfrm>
                        <a:prstGeom prst="rect">
                          <a:avLst/>
                        </a:prstGeom>
                        <a:gradFill rotWithShape="0">
                          <a:gsLst>
                            <a:gs pos="0">
                              <a:srgbClr val="00B050">
                                <a:alpha val="67000"/>
                              </a:srgbClr>
                            </a:gs>
                            <a:gs pos="100000">
                              <a:srgbClr val="00B050">
                                <a:gamma/>
                                <a:shade val="45882"/>
                                <a:invGamma/>
                                <a:alpha val="48000"/>
                              </a:srgbClr>
                            </a:gs>
                          </a:gsLst>
                          <a:lin ang="5400000" scaled="1"/>
                          <a:tileRect/>
                        </a:gradFill>
                        <a:ln w="12700" cap="flat" cmpd="sng">
                          <a:solidFill>
                            <a:srgbClr val="000000"/>
                          </a:solidFill>
                          <a:prstDash val="solid"/>
                          <a:miter/>
                          <a:headEnd type="none" w="med" len="med"/>
                          <a:tailEnd type="none" w="med" len="med"/>
                        </a:ln>
                      </wps:spPr>
                      <wps:bodyPr upright="1"/>
                    </wps:wsp>
                  </a:graphicData>
                </a:graphic>
              </wp:anchor>
            </w:drawing>
          </mc:Choice>
          <mc:Fallback>
            <w:pict>
              <v:rect id="矩形 2" o:spid="_x0000_s1026" o:spt="1" style="position:absolute;left:0pt;margin-left:81.4pt;margin-top:9.65pt;height:53.85pt;width:66.4pt;rotation:1245184f;z-index:251747328;mso-width-relative:page;mso-height-relative:page;" fillcolor="#00B050" filled="t" stroked="t" coordsize="21600,21600" o:gfxdata="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">
                <v:fill type="gradient" on="t" color2="#005125" opacity="43909f" o:opacity2="31457f" focus="100%" focussize="0,0"/>
                <v:stroke weight="1pt" color="#000000" joinstyle="miter"/>
                <v:imagedata o:title=""/>
                <o:lock v:ext="edit" aspectratio="f"/>
              </v:rect>
            </w:pict>
          </mc:Fallback>
        </mc:AlternateContent>
      </w:r>
    </w:p>
    <w:p>
      <w:pPr>
        <w:bidi w:val="0"/>
        <w:rPr>
          <w:rFonts w:hint="default" w:ascii="Arial" w:hAnsi="Arial" w:eastAsia="宋体" w:cs="Arial"/>
          <w:color w:val="auto"/>
          <w:lang w:eastAsia="zh-CN"/>
        </w:rPr>
      </w:pPr>
    </w:p>
    <w:p>
      <w:pPr>
        <w:bidi w:val="0"/>
        <w:rPr>
          <w:rFonts w:hint="default" w:ascii="Arial" w:hAnsi="Arial" w:eastAsia="宋体" w:cs="Arial"/>
          <w:color w:val="auto"/>
          <w:lang w:eastAsia="zh-CN"/>
        </w:rPr>
      </w:pPr>
      <w:r>
        <w:rPr>
          <w:rFonts w:hint="default" w:ascii="Arial" w:hAnsi="Arial" w:eastAsia="宋体" w:cs="Arial"/>
          <w:color w:val="auto"/>
          <w:highlight w:val="none"/>
        </w:rPr>
        <mc:AlternateContent>
          <mc:Choice Requires="wps">
            <w:drawing>
              <wp:anchor distT="0" distB="0" distL="114300" distR="114300" simplePos="0" relativeHeight="251748352" behindDoc="0" locked="0" layoutInCell="1" allowOverlap="1">
                <wp:simplePos x="0" y="0"/>
                <wp:positionH relativeFrom="column">
                  <wp:posOffset>687705</wp:posOffset>
                </wp:positionH>
                <wp:positionV relativeFrom="paragraph">
                  <wp:posOffset>140335</wp:posOffset>
                </wp:positionV>
                <wp:extent cx="947420" cy="683895"/>
                <wp:effectExtent l="93345" t="143510" r="102235" b="144145"/>
                <wp:wrapNone/>
                <wp:docPr id="64" name="矩形 2"/>
                <wp:cNvGraphicFramePr/>
                <a:graphic xmlns:a="http://schemas.openxmlformats.org/drawingml/2006/main">
                  <a:graphicData uri="http://schemas.microsoft.com/office/word/2010/wordprocessingShape">
                    <wps:wsp>
                      <wps:cNvSpPr/>
                      <wps:spPr>
                        <a:xfrm rot="1140000">
                          <a:off x="0" y="0"/>
                          <a:ext cx="947420" cy="683895"/>
                        </a:xfrm>
                        <a:prstGeom prst="rect">
                          <a:avLst/>
                        </a:prstGeom>
                        <a:gradFill rotWithShape="0">
                          <a:gsLst>
                            <a:gs pos="0">
                              <a:srgbClr val="00B050">
                                <a:alpha val="67000"/>
                              </a:srgbClr>
                            </a:gs>
                            <a:gs pos="100000">
                              <a:srgbClr val="00B050">
                                <a:gamma/>
                                <a:shade val="45882"/>
                                <a:invGamma/>
                                <a:alpha val="48000"/>
                              </a:srgbClr>
                            </a:gs>
                          </a:gsLst>
                          <a:lin ang="5400000" scaled="1"/>
                          <a:tileRect/>
                        </a:gradFill>
                        <a:ln w="12700" cap="flat" cmpd="sng">
                          <a:solidFill>
                            <a:srgbClr val="000000"/>
                          </a:solidFill>
                          <a:prstDash val="solid"/>
                          <a:miter/>
                          <a:headEnd type="none" w="med" len="med"/>
                          <a:tailEnd type="none" w="med" len="med"/>
                        </a:ln>
                      </wps:spPr>
                      <wps:bodyPr upright="1"/>
                    </wps:wsp>
                  </a:graphicData>
                </a:graphic>
              </wp:anchor>
            </w:drawing>
          </mc:Choice>
          <mc:Fallback>
            <w:pict>
              <v:rect id="矩形 2" o:spid="_x0000_s1026" o:spt="1" style="position:absolute;left:0pt;margin-left:54.15pt;margin-top:11.05pt;height:53.85pt;width:74.6pt;rotation:1245184f;z-index:251748352;mso-width-relative:page;mso-height-relative:page;" fillcolor="#00B050" filled="t" stroked="t" coordsize="21600,21600" o:gfxdata="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">
                <v:fill type="gradient" on="t" color2="#005125" opacity="43909f" o:opacity2="31457f" focus="100%" focussize="0,0"/>
                <v:stroke weight="1pt" color="#000000" joinstyle="miter"/>
                <v:imagedata o:title=""/>
                <o:lock v:ext="edit" aspectratio="f"/>
              </v:rect>
            </w:pict>
          </mc:Fallback>
        </mc:AlternateContent>
      </w:r>
    </w:p>
    <w:p>
      <w:pPr>
        <w:bidi w:val="0"/>
        <w:rPr>
          <w:rFonts w:hint="default" w:ascii="Arial" w:hAnsi="Arial" w:eastAsia="宋体" w:cs="Arial"/>
          <w:color w:val="auto"/>
          <w:lang w:eastAsia="zh-CN"/>
        </w:rPr>
      </w:pPr>
    </w:p>
    <w:p>
      <w:pPr>
        <w:bidi w:val="0"/>
        <w:rPr>
          <w:rFonts w:hint="default" w:ascii="Arial" w:hAnsi="Arial" w:eastAsia="宋体" w:cs="Arial"/>
          <w:color w:val="auto"/>
          <w:lang w:eastAsia="zh-CN"/>
        </w:rPr>
      </w:pPr>
      <w:r>
        <w:rPr>
          <w:rFonts w:hint="default" w:ascii="Arial" w:hAnsi="Arial" w:eastAsia="宋体" w:cs="Arial"/>
          <w:color w:val="auto"/>
          <w:highlight w:val="none"/>
        </w:rPr>
        <mc:AlternateContent>
          <mc:Choice Requires="wps">
            <w:drawing>
              <wp:anchor distT="0" distB="0" distL="114300" distR="114300" simplePos="0" relativeHeight="251749376" behindDoc="0" locked="0" layoutInCell="1" allowOverlap="1">
                <wp:simplePos x="0" y="0"/>
                <wp:positionH relativeFrom="column">
                  <wp:posOffset>167640</wp:posOffset>
                </wp:positionH>
                <wp:positionV relativeFrom="paragraph">
                  <wp:posOffset>154940</wp:posOffset>
                </wp:positionV>
                <wp:extent cx="947420" cy="207010"/>
                <wp:effectExtent l="16510" t="149225" r="26670" b="158115"/>
                <wp:wrapNone/>
                <wp:docPr id="68" name="矩形 2"/>
                <wp:cNvGraphicFramePr/>
                <a:graphic xmlns:a="http://schemas.openxmlformats.org/drawingml/2006/main">
                  <a:graphicData uri="http://schemas.microsoft.com/office/word/2010/wordprocessingShape">
                    <wps:wsp>
                      <wps:cNvSpPr/>
                      <wps:spPr>
                        <a:xfrm rot="1080000">
                          <a:off x="0" y="0"/>
                          <a:ext cx="947420" cy="207010"/>
                        </a:xfrm>
                        <a:prstGeom prst="rect">
                          <a:avLst/>
                        </a:prstGeom>
                        <a:gradFill rotWithShape="0">
                          <a:gsLst>
                            <a:gs pos="0">
                              <a:srgbClr val="00B050">
                                <a:alpha val="67000"/>
                              </a:srgbClr>
                            </a:gs>
                            <a:gs pos="100000">
                              <a:srgbClr val="00B050">
                                <a:gamma/>
                                <a:shade val="45882"/>
                                <a:invGamma/>
                                <a:alpha val="48000"/>
                              </a:srgbClr>
                            </a:gs>
                          </a:gsLst>
                          <a:lin ang="5400000" scaled="1"/>
                          <a:tileRect/>
                        </a:gradFill>
                        <a:ln w="12700" cap="flat" cmpd="sng">
                          <a:solidFill>
                            <a:srgbClr val="000000"/>
                          </a:solidFill>
                          <a:prstDash val="solid"/>
                          <a:miter/>
                          <a:headEnd type="none" w="med" len="med"/>
                          <a:tailEnd type="none" w="med" len="med"/>
                        </a:ln>
                      </wps:spPr>
                      <wps:bodyPr upright="1"/>
                    </wps:wsp>
                  </a:graphicData>
                </a:graphic>
              </wp:anchor>
            </w:drawing>
          </mc:Choice>
          <mc:Fallback>
            <w:pict>
              <v:rect id="矩形 2" o:spid="_x0000_s1026" o:spt="1" style="position:absolute;left:0pt;margin-left:13.2pt;margin-top:12.2pt;height:16.3pt;width:74.6pt;rotation:1179648f;z-index:251749376;mso-width-relative:page;mso-height-relative:page;" fillcolor="#00B050" filled="t" stroked="t" coordsize="21600,21600" o:gfxdata="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">
                <v:fill type="gradient" on="t" color2="#005125" opacity="43909f" o:opacity2="31457f" focus="100%" focussize="0,0"/>
                <v:stroke weight="1pt" color="#000000" joinstyle="miter"/>
                <v:imagedata o:title=""/>
                <o:lock v:ext="edit" aspectratio="f"/>
              </v:rect>
            </w:pict>
          </mc:Fallback>
        </mc:AlternateContent>
      </w:r>
    </w:p>
    <w:p>
      <w:pPr>
        <w:bidi w:val="0"/>
        <w:rPr>
          <w:rFonts w:hint="default" w:ascii="Arial" w:hAnsi="Arial" w:eastAsia="宋体" w:cs="Arial"/>
          <w:color w:val="auto"/>
          <w:lang w:eastAsia="zh-CN"/>
        </w:rPr>
      </w:pPr>
    </w:p>
    <w:p>
      <w:pPr>
        <w:bidi w:val="0"/>
        <w:rPr>
          <w:rFonts w:hint="default" w:ascii="Arial" w:hAnsi="Arial" w:eastAsia="宋体" w:cs="Arial"/>
          <w:color w:val="auto"/>
          <w:lang w:eastAsia="zh-CN"/>
        </w:rPr>
      </w:pPr>
    </w:p>
    <w:p>
      <w:pPr>
        <w:bidi w:val="0"/>
        <w:rPr>
          <w:rFonts w:hint="default" w:ascii="Arial" w:hAnsi="Arial" w:eastAsia="宋体" w:cs="Arial"/>
          <w:color w:val="auto"/>
          <w:lang w:eastAsia="zh-CN"/>
        </w:rPr>
      </w:pPr>
      <w:r>
        <w:rPr>
          <w:rFonts w:hint="default" w:ascii="Arial" w:hAnsi="Arial" w:eastAsia="宋体" w:cs="Arial"/>
          <w:color w:val="auto"/>
          <w:highlight w:val="none"/>
        </w:rPr>
        <mc:AlternateContent>
          <mc:Choice Requires="wps">
            <w:drawing>
              <wp:anchor distT="0" distB="0" distL="114300" distR="114300" simplePos="0" relativeHeight="251669504" behindDoc="0" locked="0" layoutInCell="1" allowOverlap="1">
                <wp:simplePos x="0" y="0"/>
                <wp:positionH relativeFrom="column">
                  <wp:posOffset>568960</wp:posOffset>
                </wp:positionH>
                <wp:positionV relativeFrom="paragraph">
                  <wp:posOffset>265430</wp:posOffset>
                </wp:positionV>
                <wp:extent cx="993775" cy="428625"/>
                <wp:effectExtent l="0" t="0" r="0" b="0"/>
                <wp:wrapNone/>
                <wp:docPr id="137" name="矩形 13"/>
                <wp:cNvGraphicFramePr/>
                <a:graphic xmlns:a="http://schemas.openxmlformats.org/drawingml/2006/main">
                  <a:graphicData uri="http://schemas.microsoft.com/office/word/2010/wordprocessingShape">
                    <wps:wsp>
                      <wps:cNvSpPr/>
                      <wps:spPr>
                        <a:xfrm>
                          <a:off x="0" y="0"/>
                          <a:ext cx="993775" cy="428625"/>
                        </a:xfrm>
                        <a:prstGeom prst="rect">
                          <a:avLst/>
                        </a:prstGeom>
                        <a:noFill/>
                        <a:ln>
                          <a:noFill/>
                        </a:ln>
                      </wps:spPr>
                      <wps:txbx>
                        <w:txbxContent>
                          <w:p>
                            <w:pPr>
                              <w:ind w:left="0" w:leftChars="0" w:firstLine="0" w:firstLineChars="0"/>
                            </w:pPr>
                            <w:r>
                              <w:rPr>
                                <w:rFonts w:ascii="Arial" w:hAnsi="Arial" w:cs="Arial"/>
                                <w:b/>
                                <w:bCs/>
                                <w:sz w:val="24"/>
                                <w:szCs w:val="24"/>
                              </w:rPr>
                              <w:t>重点防渗区</w:t>
                            </w:r>
                          </w:p>
                        </w:txbxContent>
                      </wps:txbx>
                      <wps:bodyPr upright="1"/>
                    </wps:wsp>
                  </a:graphicData>
                </a:graphic>
              </wp:anchor>
            </w:drawing>
          </mc:Choice>
          <mc:Fallback>
            <w:pict>
              <v:rect id="矩形 13" o:spid="_x0000_s1026" o:spt="1" style="position:absolute;left:0pt;margin-left:44.8pt;margin-top:20.9pt;height:33.75pt;width:78.25pt;z-index:251669504;mso-width-relative:page;mso-height-relative:page;" filled="f" stroked="f" coordsize="21600,21600" o:gfxdata="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PIWV9nZAAAACQEAAA8A&#10;AAAAAAAAAQAgAAAAIgAAAGRycy9kb3ducmV2LnhtbFBLAQIUABQAAAAIAIdO4kDDf9f6pAEAAEMD&#10;AAAOAAAAAAAAAAEAIAAAACgBAABkcnMvZTJvRG9jLnhtbFBLBQYAAAAABgAGAFkBAAA+BQAAAAA=&#10;">
                <v:fill on="f" focussize="0,0"/>
                <v:stroke on="f"/>
                <v:imagedata o:title=""/>
                <o:lock v:ext="edit" aspectratio="f"/>
                <v:textbox>
                  <w:txbxContent>
                    <w:p>
                      <w:pPr>
                        <w:ind w:left="0" w:leftChars="0" w:firstLine="0" w:firstLineChars="0"/>
                      </w:pPr>
                      <w:r>
                        <w:rPr>
                          <w:rFonts w:ascii="Arial" w:hAnsi="Arial" w:cs="Arial"/>
                          <w:b/>
                          <w:bCs/>
                          <w:sz w:val="24"/>
                          <w:szCs w:val="24"/>
                        </w:rPr>
                        <w:t>重点防渗区</w:t>
                      </w:r>
                    </w:p>
                  </w:txbxContent>
                </v:textbox>
              </v:rect>
            </w:pict>
          </mc:Fallback>
        </mc:AlternateContent>
      </w:r>
    </w:p>
    <w:p>
      <w:pPr>
        <w:rPr>
          <w:rFonts w:hint="default" w:ascii="Arial" w:hAnsi="Arial" w:eastAsia="宋体" w:cs="Arial"/>
          <w:color w:val="auto"/>
          <w:highlight w:val="none"/>
          <w:lang w:eastAsia="zh-CN"/>
        </w:rPr>
      </w:pPr>
      <w:r>
        <w:rPr>
          <w:rFonts w:hint="default" w:ascii="Arial" w:hAnsi="Arial" w:eastAsia="宋体" w:cs="Arial"/>
          <w:color w:val="auto"/>
          <w:highlight w:val="none"/>
        </w:rPr>
        <mc:AlternateContent>
          <mc:Choice Requires="wps">
            <w:drawing>
              <wp:anchor distT="0" distB="0" distL="114300" distR="114300" simplePos="0" relativeHeight="251673600" behindDoc="0" locked="0" layoutInCell="1" allowOverlap="1">
                <wp:simplePos x="0" y="0"/>
                <wp:positionH relativeFrom="column">
                  <wp:posOffset>-105410</wp:posOffset>
                </wp:positionH>
                <wp:positionV relativeFrom="paragraph">
                  <wp:posOffset>35560</wp:posOffset>
                </wp:positionV>
                <wp:extent cx="647700" cy="288290"/>
                <wp:effectExtent l="6350" t="6350" r="12700" b="10160"/>
                <wp:wrapNone/>
                <wp:docPr id="132" name="矩形 10"/>
                <wp:cNvGraphicFramePr/>
                <a:graphic xmlns:a="http://schemas.openxmlformats.org/drawingml/2006/main">
                  <a:graphicData uri="http://schemas.microsoft.com/office/word/2010/wordprocessingShape">
                    <wps:wsp>
                      <wps:cNvSpPr/>
                      <wps:spPr>
                        <a:xfrm>
                          <a:off x="0" y="0"/>
                          <a:ext cx="647700" cy="288290"/>
                        </a:xfrm>
                        <a:prstGeom prst="rect">
                          <a:avLst/>
                        </a:prstGeom>
                        <a:gradFill rotWithShape="0">
                          <a:gsLst>
                            <a:gs pos="0">
                              <a:srgbClr val="FF0000">
                                <a:alpha val="50999"/>
                              </a:srgbClr>
                            </a:gs>
                            <a:gs pos="100000">
                              <a:srgbClr val="FF0000">
                                <a:gamma/>
                                <a:shade val="87843"/>
                                <a:invGamma/>
                                <a:alpha val="50999"/>
                              </a:srgbClr>
                            </a:gs>
                          </a:gsLst>
                          <a:lin ang="5400000" scaled="1"/>
                          <a:tileRect/>
                        </a:gradFill>
                        <a:ln w="12700" cap="flat" cmpd="sng">
                          <a:solidFill>
                            <a:srgbClr val="000000"/>
                          </a:solidFill>
                          <a:prstDash val="solid"/>
                          <a:miter/>
                          <a:headEnd type="none" w="med" len="med"/>
                          <a:tailEnd type="none" w="med" len="med"/>
                        </a:ln>
                      </wps:spPr>
                      <wps:bodyPr upright="1"/>
                    </wps:wsp>
                  </a:graphicData>
                </a:graphic>
              </wp:anchor>
            </w:drawing>
          </mc:Choice>
          <mc:Fallback>
            <w:pict>
              <v:rect id="矩形 10" o:spid="_x0000_s1026" o:spt="1" style="position:absolute;left:0pt;margin-left:-8.3pt;margin-top:2.8pt;height:22.7pt;width:51pt;z-index:251673600;mso-width-relative:page;mso-height-relative:page;" fillcolor="#FF0000" filled="t" stroked="t" coordsize="21600,21600" o:gfxdata="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TB+TRdYAAAAHAQAADwAAAAAAAAABACAAAAAiAAAAZHJzL2Rvd25yZXYueG1sUEsBAhQAFAAA&#10;AAgAh07iQJhRL19jAgAAKAUAAA4AAAAAAAAAAQAgAAAAJQEAAGRycy9lMm9Eb2MueG1sUEsFBgAA&#10;AAAGAAYAWQEAAPoFAAAAAA==&#10;">
                <v:fill type="gradient" on="t" color2="#E00000" opacity="33422f" o:opacity2="33422f" focus="100%" focussize="0,0"/>
                <v:stroke weight="1pt" color="#000000" joinstyle="miter"/>
                <v:imagedata o:title=""/>
                <o:lock v:ext="edit" aspectratio="f"/>
              </v:rect>
            </w:pict>
          </mc:Fallback>
        </mc:AlternateContent>
      </w:r>
    </w:p>
    <w:p>
      <w:pPr>
        <w:pStyle w:val="2"/>
        <w:rPr>
          <w:rFonts w:hint="default" w:ascii="Arial" w:hAnsi="Arial" w:eastAsia="宋体" w:cs="Arial"/>
          <w:color w:val="auto"/>
          <w:lang w:eastAsia="zh-CN"/>
        </w:rPr>
      </w:pPr>
      <w:r>
        <w:rPr>
          <w:rFonts w:hint="default" w:ascii="Arial" w:hAnsi="Arial" w:eastAsia="宋体" w:cs="Arial"/>
          <w:color w:val="auto"/>
          <w:highlight w:val="none"/>
        </w:rPr>
        <mc:AlternateContent>
          <mc:Choice Requires="wps">
            <w:drawing>
              <wp:anchor distT="0" distB="0" distL="114300" distR="114300" simplePos="0" relativeHeight="251670528" behindDoc="0" locked="0" layoutInCell="1" allowOverlap="1">
                <wp:simplePos x="0" y="0"/>
                <wp:positionH relativeFrom="column">
                  <wp:posOffset>294005</wp:posOffset>
                </wp:positionH>
                <wp:positionV relativeFrom="paragraph">
                  <wp:posOffset>111125</wp:posOffset>
                </wp:positionV>
                <wp:extent cx="1428750" cy="428625"/>
                <wp:effectExtent l="0" t="0" r="0" b="0"/>
                <wp:wrapNone/>
                <wp:docPr id="138" name="矩形 14"/>
                <wp:cNvGraphicFramePr/>
                <a:graphic xmlns:a="http://schemas.openxmlformats.org/drawingml/2006/main">
                  <a:graphicData uri="http://schemas.microsoft.com/office/word/2010/wordprocessingShape">
                    <wps:wsp>
                      <wps:cNvSpPr/>
                      <wps:spPr>
                        <a:xfrm>
                          <a:off x="0" y="0"/>
                          <a:ext cx="1428750" cy="428625"/>
                        </a:xfrm>
                        <a:prstGeom prst="rect">
                          <a:avLst/>
                        </a:prstGeom>
                        <a:noFill/>
                        <a:ln>
                          <a:noFill/>
                        </a:ln>
                      </wps:spPr>
                      <wps:txbx>
                        <w:txbxContent>
                          <w:p>
                            <w:r>
                              <w:rPr>
                                <w:rFonts w:ascii="Arial" w:hAnsi="Arial" w:cs="Arial"/>
                                <w:b/>
                                <w:bCs/>
                                <w:sz w:val="24"/>
                                <w:szCs w:val="24"/>
                              </w:rPr>
                              <w:t xml:space="preserve">一般防渗区 </w:t>
                            </w:r>
                          </w:p>
                        </w:txbxContent>
                      </wps:txbx>
                      <wps:bodyPr upright="1"/>
                    </wps:wsp>
                  </a:graphicData>
                </a:graphic>
              </wp:anchor>
            </w:drawing>
          </mc:Choice>
          <mc:Fallback>
            <w:pict>
              <v:rect id="矩形 14" o:spid="_x0000_s1026" o:spt="1" style="position:absolute;left:0pt;margin-left:23.15pt;margin-top:8.75pt;height:33.75pt;width:112.5pt;z-index:251670528;mso-width-relative:page;mso-height-relative:page;" filled="f" stroked="f" coordsize="21600,21600" o:gfxdata="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LLJaiHZAAAACAEAAA8A&#10;AAAAAAAAAQAgAAAAIgAAAGRycy9kb3ducmV2LnhtbFBLAQIUABQAAAAIAIdO4kD79wThpAEAAEQD&#10;AAAOAAAAAAAAAAEAIAAAACgBAABkcnMvZTJvRG9jLnhtbFBLBQYAAAAABgAGAFkBAAA+BQAAAAA=&#10;">
                <v:fill on="f" focussize="0,0"/>
                <v:stroke on="f"/>
                <v:imagedata o:title=""/>
                <o:lock v:ext="edit" aspectratio="f"/>
                <v:textbox>
                  <w:txbxContent>
                    <w:p>
                      <w:r>
                        <w:rPr>
                          <w:rFonts w:ascii="Arial" w:hAnsi="Arial" w:cs="Arial"/>
                          <w:b/>
                          <w:bCs/>
                          <w:sz w:val="24"/>
                          <w:szCs w:val="24"/>
                        </w:rPr>
                        <w:t xml:space="preserve">一般防渗区 </w:t>
                      </w:r>
                    </w:p>
                  </w:txbxContent>
                </v:textbox>
              </v:rect>
            </w:pict>
          </mc:Fallback>
        </mc:AlternateContent>
      </w:r>
      <w:r>
        <w:rPr>
          <w:rFonts w:hint="default" w:ascii="Arial" w:hAnsi="Arial" w:eastAsia="宋体" w:cs="Arial"/>
          <w:color w:val="auto"/>
          <w:highlight w:val="none"/>
        </w:rPr>
        <mc:AlternateContent>
          <mc:Choice Requires="wps">
            <w:drawing>
              <wp:anchor distT="0" distB="0" distL="114300" distR="114300" simplePos="0" relativeHeight="251674624" behindDoc="0" locked="0" layoutInCell="1" allowOverlap="1">
                <wp:simplePos x="0" y="0"/>
                <wp:positionH relativeFrom="column">
                  <wp:posOffset>-99060</wp:posOffset>
                </wp:positionH>
                <wp:positionV relativeFrom="paragraph">
                  <wp:posOffset>195580</wp:posOffset>
                </wp:positionV>
                <wp:extent cx="647700" cy="288290"/>
                <wp:effectExtent l="6350" t="6350" r="12700" b="10160"/>
                <wp:wrapNone/>
                <wp:docPr id="14" name="矩形 9"/>
                <wp:cNvGraphicFramePr/>
                <a:graphic xmlns:a="http://schemas.openxmlformats.org/drawingml/2006/main">
                  <a:graphicData uri="http://schemas.microsoft.com/office/word/2010/wordprocessingShape">
                    <wps:wsp>
                      <wps:cNvSpPr/>
                      <wps:spPr>
                        <a:xfrm>
                          <a:off x="0" y="0"/>
                          <a:ext cx="647700" cy="288290"/>
                        </a:xfrm>
                        <a:prstGeom prst="rect">
                          <a:avLst/>
                        </a:prstGeom>
                        <a:gradFill rotWithShape="0">
                          <a:gsLst>
                            <a:gs pos="0">
                              <a:srgbClr val="00B0F0">
                                <a:alpha val="50999"/>
                              </a:srgbClr>
                            </a:gs>
                            <a:gs pos="100000">
                              <a:srgbClr val="00B0F0">
                                <a:gamma/>
                                <a:shade val="45882"/>
                                <a:invGamma/>
                                <a:alpha val="50999"/>
                              </a:srgbClr>
                            </a:gs>
                          </a:gsLst>
                          <a:lin ang="5400000" scaled="1"/>
                          <a:tileRect/>
                        </a:gradFill>
                        <a:ln w="12700" cap="flat" cmpd="sng">
                          <a:solidFill>
                            <a:srgbClr val="000000"/>
                          </a:solidFill>
                          <a:prstDash val="solid"/>
                          <a:miter/>
                          <a:headEnd type="none" w="med" len="med"/>
                          <a:tailEnd type="none" w="med" len="med"/>
                        </a:ln>
                      </wps:spPr>
                      <wps:bodyPr upright="1"/>
                    </wps:wsp>
                  </a:graphicData>
                </a:graphic>
              </wp:anchor>
            </w:drawing>
          </mc:Choice>
          <mc:Fallback>
            <w:pict>
              <v:rect id="矩形 9" o:spid="_x0000_s1026" o:spt="1" style="position:absolute;left:0pt;margin-left:-7.8pt;margin-top:15.4pt;height:22.7pt;width:51pt;z-index:251674624;mso-width-relative:page;mso-height-relative:page;" fillcolor="#00B0F0" filled="t" stroked="t" coordsize="21600,21600" o:gfxdata="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EeCI19cAAAAIAQAADwAAAAAAAAABACAAAAAiAAAAZHJzL2Rvd25yZXYueG1sUEsBAhQAFAAA&#10;AAgAh07iQIMlPgtiAgAAJgUAAA4AAAAAAAAAAQAgAAAAJgEAAGRycy9lMm9Eb2MueG1sUEsFBgAA&#10;AAAGAAYAWQEAAPoFAAAAAA==&#10;">
                <v:fill type="gradient" on="t" color2="#00516E" opacity="33422f" o:opacity2="33422f" focus="100%" focussize="0,0"/>
                <v:stroke weight="1pt" color="#000000" joinstyle="miter"/>
                <v:imagedata o:title=""/>
                <o:lock v:ext="edit" aspectratio="f"/>
              </v:rect>
            </w:pict>
          </mc:Fallback>
        </mc:AlternateContent>
      </w:r>
    </w:p>
    <w:p>
      <w:pPr>
        <w:ind w:firstLine="480"/>
        <w:rPr>
          <w:rFonts w:hint="default" w:ascii="Arial" w:hAnsi="Arial" w:eastAsia="宋体" w:cs="Arial"/>
          <w:color w:val="auto"/>
          <w:highlight w:val="none"/>
          <w:lang w:eastAsia="zh-CN"/>
        </w:rPr>
      </w:pPr>
      <w:r>
        <w:rPr>
          <w:rFonts w:hint="default" w:ascii="Arial" w:hAnsi="Arial" w:eastAsia="宋体" w:cs="Arial"/>
          <w:color w:val="auto"/>
          <w:highlight w:val="none"/>
        </w:rPr>
        <mc:AlternateContent>
          <mc:Choice Requires="wps">
            <w:drawing>
              <wp:anchor distT="0" distB="0" distL="114300" distR="114300" simplePos="0" relativeHeight="251671552" behindDoc="0" locked="0" layoutInCell="1" allowOverlap="1">
                <wp:simplePos x="0" y="0"/>
                <wp:positionH relativeFrom="column">
                  <wp:posOffset>298450</wp:posOffset>
                </wp:positionH>
                <wp:positionV relativeFrom="paragraph">
                  <wp:posOffset>257810</wp:posOffset>
                </wp:positionV>
                <wp:extent cx="1428750" cy="428625"/>
                <wp:effectExtent l="0" t="0" r="0" b="0"/>
                <wp:wrapNone/>
                <wp:docPr id="139" name="矩形 15"/>
                <wp:cNvGraphicFramePr/>
                <a:graphic xmlns:a="http://schemas.openxmlformats.org/drawingml/2006/main">
                  <a:graphicData uri="http://schemas.microsoft.com/office/word/2010/wordprocessingShape">
                    <wps:wsp>
                      <wps:cNvSpPr/>
                      <wps:spPr>
                        <a:xfrm>
                          <a:off x="0" y="0"/>
                          <a:ext cx="1428750" cy="428625"/>
                        </a:xfrm>
                        <a:prstGeom prst="rect">
                          <a:avLst/>
                        </a:prstGeom>
                        <a:noFill/>
                        <a:ln>
                          <a:noFill/>
                        </a:ln>
                      </wps:spPr>
                      <wps:txbx>
                        <w:txbxContent>
                          <w:p>
                            <w:r>
                              <w:rPr>
                                <w:rFonts w:ascii="Arial" w:hAnsi="Arial" w:cs="Arial"/>
                                <w:b/>
                                <w:bCs/>
                                <w:sz w:val="24"/>
                                <w:szCs w:val="24"/>
                              </w:rPr>
                              <w:t>简单防渗区</w:t>
                            </w:r>
                          </w:p>
                        </w:txbxContent>
                      </wps:txbx>
                      <wps:bodyPr upright="1"/>
                    </wps:wsp>
                  </a:graphicData>
                </a:graphic>
              </wp:anchor>
            </w:drawing>
          </mc:Choice>
          <mc:Fallback>
            <w:pict>
              <v:rect id="矩形 15" o:spid="_x0000_s1026" o:spt="1" style="position:absolute;left:0pt;margin-left:23.5pt;margin-top:20.3pt;height:33.75pt;width:112.5pt;z-index:251671552;mso-width-relative:page;mso-height-relative:page;" filled="f" stroked="f" coordsize="21600,21600" o:gfxdata="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">
                <v:fill on="f" focussize="0,0"/>
                <v:stroke on="f"/>
                <v:imagedata o:title=""/>
                <o:lock v:ext="edit" aspectratio="f"/>
                <v:textbox>
                  <w:txbxContent>
                    <w:p>
                      <w:r>
                        <w:rPr>
                          <w:rFonts w:ascii="Arial" w:hAnsi="Arial" w:cs="Arial"/>
                          <w:b/>
                          <w:bCs/>
                          <w:sz w:val="24"/>
                          <w:szCs w:val="24"/>
                        </w:rPr>
                        <w:t>简单防渗区</w:t>
                      </w:r>
                    </w:p>
                  </w:txbxContent>
                </v:textbox>
              </v:rect>
            </w:pict>
          </mc:Fallback>
        </mc:AlternateContent>
      </w:r>
    </w:p>
    <w:p>
      <w:pPr>
        <w:pStyle w:val="2"/>
        <w:rPr>
          <w:rFonts w:hint="default" w:ascii="Arial" w:hAnsi="Arial" w:eastAsia="宋体" w:cs="Arial"/>
          <w:color w:val="auto"/>
          <w:highlight w:val="none"/>
          <w:lang w:eastAsia="zh-CN"/>
        </w:rPr>
      </w:pPr>
      <w:r>
        <w:rPr>
          <w:rFonts w:hint="default" w:ascii="Arial" w:hAnsi="Arial" w:eastAsia="宋体" w:cs="Arial"/>
          <w:color w:val="auto"/>
          <w:highlight w:val="none"/>
        </w:rPr>
        <mc:AlternateContent>
          <mc:Choice Requires="wps">
            <w:drawing>
              <wp:anchor distT="0" distB="0" distL="114300" distR="114300" simplePos="0" relativeHeight="251675648" behindDoc="0" locked="0" layoutInCell="1" allowOverlap="1">
                <wp:simplePos x="0" y="0"/>
                <wp:positionH relativeFrom="column">
                  <wp:posOffset>-71120</wp:posOffset>
                </wp:positionH>
                <wp:positionV relativeFrom="paragraph">
                  <wp:posOffset>59690</wp:posOffset>
                </wp:positionV>
                <wp:extent cx="647700" cy="288290"/>
                <wp:effectExtent l="6350" t="6350" r="12700" b="10160"/>
                <wp:wrapNone/>
                <wp:docPr id="17" name="矩形 11"/>
                <wp:cNvGraphicFramePr/>
                <a:graphic xmlns:a="http://schemas.openxmlformats.org/drawingml/2006/main">
                  <a:graphicData uri="http://schemas.microsoft.com/office/word/2010/wordprocessingShape">
                    <wps:wsp>
                      <wps:cNvSpPr/>
                      <wps:spPr>
                        <a:xfrm>
                          <a:off x="0" y="0"/>
                          <a:ext cx="647700" cy="288290"/>
                        </a:xfrm>
                        <a:prstGeom prst="rect">
                          <a:avLst/>
                        </a:prstGeom>
                        <a:gradFill rotWithShape="0">
                          <a:gsLst>
                            <a:gs pos="0">
                              <a:srgbClr val="00B050">
                                <a:alpha val="48000"/>
                              </a:srgbClr>
                            </a:gs>
                            <a:gs pos="100000">
                              <a:srgbClr val="00B050">
                                <a:gamma/>
                                <a:shade val="45882"/>
                                <a:invGamma/>
                                <a:alpha val="48000"/>
                              </a:srgbClr>
                            </a:gs>
                          </a:gsLst>
                          <a:lin ang="5400000" scaled="1"/>
                          <a:tileRect/>
                        </a:gradFill>
                        <a:ln w="12700" cap="flat" cmpd="sng">
                          <a:solidFill>
                            <a:srgbClr val="000000"/>
                          </a:solidFill>
                          <a:prstDash val="solid"/>
                          <a:miter/>
                          <a:headEnd type="none" w="med" len="med"/>
                          <a:tailEnd type="none" w="med" len="med"/>
                        </a:ln>
                      </wps:spPr>
                      <wps:bodyPr upright="1"/>
                    </wps:wsp>
                  </a:graphicData>
                </a:graphic>
              </wp:anchor>
            </w:drawing>
          </mc:Choice>
          <mc:Fallback>
            <w:pict>
              <v:rect id="矩形 11" o:spid="_x0000_s1026" o:spt="1" style="position:absolute;left:0pt;margin-left:-5.6pt;margin-top:4.7pt;height:22.7pt;width:51pt;z-index:251675648;mso-width-relative:page;mso-height-relative:page;" fillcolor="#00B050" filled="t" stroked="t" coordsize="21600,21600" o:gfxdata="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DM&#10;P5081AAAAAcBAAAPAAAAAAAAAAEAIAAAACIAAABkcnMvZG93bnJldi54bWxQSwECFAAUAAAACACH&#10;TuJAM6FKE2ECAAAnBQAADgAAAAAAAAABACAAAAAjAQAAZHJzL2Uyb0RvYy54bWxQSwUGAAAAAAYA&#10;BgBZAQAA9gUAAAAA&#10;">
                <v:fill type="gradient" on="t" color2="#005125" opacity="31457f" o:opacity2="31457f" focus="100%" focussize="0,0"/>
                <v:stroke weight="1pt" color="#000000" joinstyle="miter"/>
                <v:imagedata o:title=""/>
                <o:lock v:ext="edit" aspectratio="f"/>
              </v:rect>
            </w:pict>
          </mc:Fallback>
        </mc:AlternateContent>
      </w:r>
    </w:p>
    <w:p>
      <w:pPr>
        <w:rPr>
          <w:rFonts w:hint="default" w:ascii="Arial" w:hAnsi="Arial" w:eastAsia="宋体" w:cs="Arial"/>
          <w:color w:val="auto"/>
          <w:highlight w:val="none"/>
          <w:lang w:eastAsia="zh-CN"/>
        </w:rPr>
      </w:pPr>
    </w:p>
    <w:p>
      <w:pPr>
        <w:pStyle w:val="2"/>
        <w:ind w:left="0" w:leftChars="0" w:firstLine="0" w:firstLineChars="0"/>
        <w:jc w:val="center"/>
        <w:rPr>
          <w:rFonts w:hint="default" w:ascii="Arial" w:hAnsi="Arial" w:eastAsia="宋体" w:cs="Arial"/>
          <w:color w:val="auto"/>
          <w:highlight w:val="none"/>
          <w:lang w:eastAsia="zh-CN"/>
        </w:rPr>
      </w:pPr>
      <w:r>
        <w:rPr>
          <w:rFonts w:hint="default" w:ascii="Arial" w:hAnsi="Arial" w:eastAsia="宋体" w:cs="Arial"/>
          <w:b/>
          <w:bCs/>
          <w:color w:val="auto"/>
          <w:sz w:val="24"/>
          <w:szCs w:val="24"/>
          <w:highlight w:val="none"/>
        </w:rPr>
        <w:t>图</w:t>
      </w:r>
      <w:r>
        <w:rPr>
          <w:rFonts w:hint="default" w:ascii="Arial" w:hAnsi="Arial" w:eastAsia="宋体" w:cs="Arial"/>
          <w:b/>
          <w:bCs/>
          <w:color w:val="auto"/>
          <w:sz w:val="24"/>
          <w:szCs w:val="24"/>
          <w:highlight w:val="none"/>
          <w:lang w:val="en-US" w:eastAsia="zh-CN"/>
        </w:rPr>
        <w:t>7.4</w:t>
      </w:r>
      <w:r>
        <w:rPr>
          <w:rFonts w:hint="default" w:ascii="Arial" w:hAnsi="Arial" w:eastAsia="宋体" w:cs="Arial"/>
          <w:b/>
          <w:bCs/>
          <w:color w:val="auto"/>
          <w:sz w:val="24"/>
          <w:szCs w:val="24"/>
          <w:highlight w:val="none"/>
        </w:rPr>
        <w:t xml:space="preserve">-1 </w:t>
      </w:r>
      <w:r>
        <w:rPr>
          <w:rFonts w:hint="default" w:ascii="Arial" w:hAnsi="Arial" w:eastAsia="宋体" w:cs="Arial"/>
          <w:b/>
          <w:bCs/>
          <w:color w:val="auto"/>
          <w:sz w:val="24"/>
          <w:szCs w:val="24"/>
          <w:highlight w:val="none"/>
          <w:lang w:eastAsia="zh-CN"/>
        </w:rPr>
        <w:t>分区</w:t>
      </w:r>
      <w:r>
        <w:rPr>
          <w:rFonts w:hint="default" w:ascii="Arial" w:hAnsi="Arial" w:eastAsia="宋体" w:cs="Arial"/>
          <w:b/>
          <w:bCs/>
          <w:color w:val="auto"/>
          <w:sz w:val="24"/>
          <w:szCs w:val="24"/>
          <w:highlight w:val="none"/>
        </w:rPr>
        <w:t>防渗</w:t>
      </w:r>
      <w:r>
        <w:rPr>
          <w:rFonts w:hint="default" w:ascii="Arial" w:hAnsi="Arial" w:eastAsia="宋体" w:cs="Arial"/>
          <w:b/>
          <w:bCs/>
          <w:color w:val="auto"/>
          <w:sz w:val="24"/>
          <w:szCs w:val="24"/>
          <w:highlight w:val="none"/>
          <w:lang w:eastAsia="zh-CN"/>
        </w:rPr>
        <w:t>图</w:t>
      </w:r>
    </w:p>
    <w:bookmarkEnd w:id="500"/>
    <w:p>
      <w:pPr>
        <w:pStyle w:val="7"/>
        <w:rPr>
          <w:rFonts w:hint="default" w:ascii="Arial" w:hAnsi="Arial" w:eastAsia="宋体" w:cs="Arial"/>
          <w:color w:val="auto"/>
          <w:highlight w:val="none"/>
        </w:rPr>
      </w:pPr>
      <w:r>
        <w:rPr>
          <w:rFonts w:hint="default" w:ascii="Arial" w:hAnsi="Arial" w:eastAsia="宋体" w:cs="Arial"/>
          <w:color w:val="auto"/>
          <w:highlight w:val="none"/>
        </w:rPr>
        <w:t>7.4.2.3地下水环境监测管理体系</w:t>
      </w:r>
    </w:p>
    <w:p>
      <w:pPr>
        <w:ind w:firstLine="480"/>
        <w:rPr>
          <w:rFonts w:hint="default" w:ascii="Arial" w:hAnsi="Arial" w:eastAsia="宋体" w:cs="Arial"/>
          <w:color w:val="auto"/>
          <w:highlight w:val="none"/>
        </w:rPr>
      </w:pPr>
      <w:r>
        <w:rPr>
          <w:rFonts w:hint="default" w:ascii="Arial" w:hAnsi="Arial" w:eastAsia="宋体" w:cs="Arial"/>
          <w:color w:val="auto"/>
          <w:highlight w:val="none"/>
        </w:rPr>
        <w:t>建立地下水环境监测管理体系，包括制定地下水环境影响跟踪监测计划、建立地下水环境影响跟踪监测制度，以便及时发现问题，采取措施。</w:t>
      </w:r>
    </w:p>
    <w:p>
      <w:pPr>
        <w:ind w:firstLine="480"/>
        <w:rPr>
          <w:rFonts w:hint="default" w:ascii="Arial" w:hAnsi="Arial" w:eastAsia="宋体" w:cs="Arial"/>
          <w:color w:val="auto"/>
          <w:highlight w:val="none"/>
        </w:rPr>
      </w:pPr>
      <w:r>
        <w:rPr>
          <w:rFonts w:hint="default" w:ascii="Arial" w:hAnsi="Arial" w:eastAsia="宋体" w:cs="Arial"/>
          <w:color w:val="auto"/>
          <w:highlight w:val="none"/>
        </w:rPr>
        <w:t>通过对场区防渗规范施工、加强管理可使发生废水渗漏的可能性降到最低，为将本场区建设对地下水环境造成的影响降到最低；对场区所在地周围的地下水水质进行监测，在场区周边布设污染监控井，定期监测，以便及时准确地反馈地下水水质状况。当监测出水质异常时，应当立即采取相关检修措施，对渗漏发生区域进行防渗修补，确保污染物不进入到地下水系统中，可有效降低渗漏产生的影响。</w:t>
      </w:r>
    </w:p>
    <w:p>
      <w:pPr>
        <w:ind w:firstLine="480"/>
        <w:rPr>
          <w:rFonts w:hint="default" w:ascii="Arial" w:hAnsi="Arial" w:eastAsia="宋体" w:cs="Arial"/>
          <w:color w:val="auto"/>
          <w:highlight w:val="none"/>
        </w:rPr>
      </w:pPr>
      <w:r>
        <w:rPr>
          <w:rFonts w:hint="default" w:ascii="Arial" w:hAnsi="Arial" w:eastAsia="宋体" w:cs="Arial"/>
          <w:color w:val="auto"/>
          <w:highlight w:val="none"/>
        </w:rPr>
        <w:t>1）地下水监测原则</w:t>
      </w:r>
    </w:p>
    <w:p>
      <w:pPr>
        <w:ind w:firstLine="480"/>
        <w:rPr>
          <w:rFonts w:hint="default" w:ascii="Arial" w:hAnsi="Arial" w:eastAsia="宋体" w:cs="Arial"/>
          <w:color w:val="auto"/>
          <w:highlight w:val="none"/>
        </w:rPr>
      </w:pPr>
      <w:r>
        <w:rPr>
          <w:rFonts w:hint="default" w:ascii="Arial" w:hAnsi="Arial" w:eastAsia="宋体" w:cs="Arial"/>
          <w:color w:val="auto"/>
          <w:highlight w:val="none"/>
        </w:rPr>
        <w:t>①重点污染企业下游加密监测原则；</w:t>
      </w:r>
    </w:p>
    <w:p>
      <w:pPr>
        <w:ind w:firstLine="480"/>
        <w:rPr>
          <w:rFonts w:hint="default" w:ascii="Arial" w:hAnsi="Arial" w:eastAsia="宋体" w:cs="Arial"/>
          <w:color w:val="auto"/>
          <w:highlight w:val="none"/>
        </w:rPr>
      </w:pPr>
      <w:r>
        <w:rPr>
          <w:rFonts w:hint="default" w:ascii="Arial" w:hAnsi="Arial" w:eastAsia="宋体" w:cs="Arial"/>
          <w:color w:val="auto"/>
          <w:highlight w:val="none"/>
        </w:rPr>
        <w:t>②以浅层地下水及有开发利用价值的含水层监测为主的原则；</w:t>
      </w:r>
    </w:p>
    <w:p>
      <w:pPr>
        <w:ind w:firstLine="480"/>
        <w:rPr>
          <w:rFonts w:hint="default" w:ascii="Arial" w:hAnsi="Arial" w:eastAsia="宋体" w:cs="Arial"/>
          <w:color w:val="auto"/>
          <w:highlight w:val="none"/>
        </w:rPr>
      </w:pPr>
      <w:r>
        <w:rPr>
          <w:rFonts w:hint="default" w:ascii="Arial" w:hAnsi="Arial" w:eastAsia="宋体" w:cs="Arial"/>
          <w:color w:val="auto"/>
          <w:highlight w:val="none"/>
        </w:rPr>
        <w:t>③上、下游同步对比监测原则；</w:t>
      </w:r>
    </w:p>
    <w:p>
      <w:pPr>
        <w:ind w:firstLine="480"/>
        <w:rPr>
          <w:rFonts w:hint="default" w:ascii="Arial" w:hAnsi="Arial" w:eastAsia="宋体" w:cs="Arial"/>
          <w:color w:val="auto"/>
          <w:highlight w:val="none"/>
        </w:rPr>
      </w:pPr>
      <w:r>
        <w:rPr>
          <w:rFonts w:hint="default" w:ascii="Arial" w:hAnsi="Arial" w:eastAsia="宋体" w:cs="Arial"/>
          <w:color w:val="auto"/>
          <w:highlight w:val="none"/>
        </w:rPr>
        <w:t>④水质检测项目参照《地下水质量标准》相关要求和潜在污染源特征污染因子确定。</w:t>
      </w:r>
    </w:p>
    <w:p>
      <w:pPr>
        <w:ind w:firstLine="480"/>
        <w:rPr>
          <w:rFonts w:hint="default" w:ascii="Arial" w:hAnsi="Arial" w:eastAsia="宋体" w:cs="Arial"/>
          <w:color w:val="auto"/>
          <w:highlight w:val="none"/>
        </w:rPr>
      </w:pPr>
      <w:r>
        <w:rPr>
          <w:rFonts w:hint="default" w:ascii="Arial" w:hAnsi="Arial" w:eastAsia="宋体" w:cs="Arial"/>
          <w:color w:val="auto"/>
          <w:highlight w:val="none"/>
        </w:rPr>
        <w:t>2）跟踪监测</w:t>
      </w:r>
    </w:p>
    <w:p>
      <w:pPr>
        <w:ind w:firstLine="480"/>
        <w:rPr>
          <w:rFonts w:hint="default" w:ascii="Arial" w:hAnsi="Arial" w:eastAsia="宋体" w:cs="Arial"/>
          <w:color w:val="auto"/>
          <w:highlight w:val="none"/>
        </w:rPr>
      </w:pPr>
      <w:r>
        <w:rPr>
          <w:rFonts w:hint="default" w:ascii="Arial" w:hAnsi="Arial" w:eastAsia="宋体" w:cs="Arial"/>
          <w:color w:val="auto"/>
          <w:highlight w:val="none"/>
        </w:rPr>
        <w:t>1、监测点的布设：本项目设置地下水监控1眼，位于场区</w:t>
      </w:r>
      <w:r>
        <w:rPr>
          <w:rFonts w:hint="default" w:ascii="Arial" w:hAnsi="Arial" w:eastAsia="宋体" w:cs="Arial"/>
          <w:color w:val="auto"/>
          <w:highlight w:val="none"/>
          <w:lang w:eastAsia="zh-CN"/>
        </w:rPr>
        <w:t>内</w:t>
      </w:r>
      <w:r>
        <w:rPr>
          <w:rFonts w:hint="default" w:ascii="Arial" w:hAnsi="Arial" w:eastAsia="宋体" w:cs="Arial"/>
          <w:color w:val="auto"/>
          <w:highlight w:val="none"/>
        </w:rPr>
        <w:t>，观测井设置遵循溶质迁移的水流路径，兼顾考虑粪污处理单元位置，以便一旦发生泄漏，可第一时间观测到地下水污染情况，并进行抽水，最大程度地减少地下水污染范围。地下水监测井布置功能及监测计划见表7.4-2。</w:t>
      </w:r>
    </w:p>
    <w:p>
      <w:pPr>
        <w:pStyle w:val="8"/>
        <w:rPr>
          <w:rFonts w:hint="default" w:ascii="Arial" w:hAnsi="Arial" w:eastAsia="宋体" w:cs="Arial"/>
          <w:color w:val="auto"/>
          <w:highlight w:val="none"/>
        </w:rPr>
      </w:pPr>
      <w:r>
        <w:rPr>
          <w:rFonts w:hint="default" w:ascii="Arial" w:hAnsi="Arial" w:eastAsia="宋体" w:cs="Arial"/>
          <w:color w:val="auto"/>
          <w:highlight w:val="none"/>
        </w:rPr>
        <w:t>表7.4-2    地下水监测孔相关参数</w:t>
      </w:r>
    </w:p>
    <w:tbl>
      <w:tblPr>
        <w:tblStyle w:val="39"/>
        <w:tblW w:w="8901" w:type="dxa"/>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57" w:type="dxa"/>
          <w:bottom w:w="0" w:type="dxa"/>
          <w:right w:w="57" w:type="dxa"/>
        </w:tblCellMar>
      </w:tblPr>
      <w:tblGrid>
        <w:gridCol w:w="386"/>
        <w:gridCol w:w="1703"/>
        <w:gridCol w:w="1703"/>
        <w:gridCol w:w="1018"/>
        <w:gridCol w:w="1019"/>
        <w:gridCol w:w="1233"/>
        <w:gridCol w:w="1839"/>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PrEx>
        <w:trPr>
          <w:trHeight w:val="340" w:hRule="atLeast"/>
          <w:tblHeader/>
          <w:jc w:val="center"/>
        </w:trPr>
        <w:tc>
          <w:tcPr>
            <w:tcW w:w="433" w:type="dxa"/>
            <w:vMerge w:val="restart"/>
            <w:shd w:val="clear" w:color="auto" w:fill="auto"/>
            <w:vAlign w:val="center"/>
          </w:tcPr>
          <w:p>
            <w:pPr>
              <w:pStyle w:val="63"/>
              <w:spacing w:line="240" w:lineRule="auto"/>
              <w:jc w:val="center"/>
              <w:rPr>
                <w:rFonts w:hint="default" w:ascii="Arial" w:hAnsi="Arial" w:eastAsia="宋体" w:cs="Arial"/>
                <w:color w:val="auto"/>
                <w:highlight w:val="none"/>
              </w:rPr>
            </w:pPr>
            <w:r>
              <w:rPr>
                <w:rFonts w:hint="default" w:ascii="Arial" w:hAnsi="Arial" w:eastAsia="宋体" w:cs="Arial"/>
                <w:color w:val="auto"/>
                <w:highlight w:val="none"/>
              </w:rPr>
              <w:t>编号</w:t>
            </w:r>
          </w:p>
        </w:tc>
        <w:tc>
          <w:tcPr>
            <w:tcW w:w="1984" w:type="dxa"/>
            <w:vMerge w:val="restart"/>
            <w:vAlign w:val="center"/>
          </w:tcPr>
          <w:p>
            <w:pPr>
              <w:pStyle w:val="63"/>
              <w:spacing w:line="240" w:lineRule="auto"/>
              <w:jc w:val="center"/>
              <w:rPr>
                <w:rFonts w:hint="default" w:ascii="Arial" w:hAnsi="Arial" w:eastAsia="宋体" w:cs="Arial"/>
                <w:color w:val="auto"/>
                <w:highlight w:val="none"/>
              </w:rPr>
            </w:pPr>
            <w:r>
              <w:rPr>
                <w:rFonts w:hint="default" w:ascii="Arial" w:hAnsi="Arial" w:eastAsia="宋体" w:cs="Arial"/>
                <w:color w:val="auto"/>
                <w:highlight w:val="none"/>
              </w:rPr>
              <w:t>经度</w:t>
            </w:r>
          </w:p>
        </w:tc>
        <w:tc>
          <w:tcPr>
            <w:tcW w:w="1984" w:type="dxa"/>
            <w:vMerge w:val="restart"/>
            <w:vAlign w:val="center"/>
          </w:tcPr>
          <w:p>
            <w:pPr>
              <w:pStyle w:val="63"/>
              <w:spacing w:line="240" w:lineRule="auto"/>
              <w:jc w:val="center"/>
              <w:rPr>
                <w:rFonts w:hint="default" w:ascii="Arial" w:hAnsi="Arial" w:eastAsia="宋体" w:cs="Arial"/>
                <w:color w:val="auto"/>
                <w:highlight w:val="none"/>
              </w:rPr>
            </w:pPr>
            <w:r>
              <w:rPr>
                <w:rFonts w:hint="default" w:ascii="Arial" w:hAnsi="Arial" w:eastAsia="宋体" w:cs="Arial"/>
                <w:color w:val="auto"/>
                <w:highlight w:val="none"/>
              </w:rPr>
              <w:t>纬度</w:t>
            </w:r>
          </w:p>
        </w:tc>
        <w:tc>
          <w:tcPr>
            <w:tcW w:w="1178" w:type="dxa"/>
            <w:vMerge w:val="restart"/>
            <w:shd w:val="clear" w:color="auto" w:fill="auto"/>
            <w:vAlign w:val="center"/>
          </w:tcPr>
          <w:p>
            <w:pPr>
              <w:pStyle w:val="63"/>
              <w:spacing w:line="240" w:lineRule="auto"/>
              <w:jc w:val="center"/>
              <w:rPr>
                <w:rFonts w:hint="default" w:ascii="Arial" w:hAnsi="Arial" w:eastAsia="宋体" w:cs="Arial"/>
                <w:color w:val="auto"/>
                <w:highlight w:val="none"/>
              </w:rPr>
            </w:pPr>
            <w:r>
              <w:rPr>
                <w:rFonts w:hint="default" w:ascii="Arial" w:hAnsi="Arial" w:eastAsia="宋体" w:cs="Arial"/>
                <w:color w:val="auto"/>
                <w:highlight w:val="none"/>
              </w:rPr>
              <w:t>井深（m）</w:t>
            </w:r>
          </w:p>
        </w:tc>
        <w:tc>
          <w:tcPr>
            <w:tcW w:w="1179" w:type="dxa"/>
            <w:vMerge w:val="restart"/>
            <w:vAlign w:val="center"/>
          </w:tcPr>
          <w:p>
            <w:pPr>
              <w:pStyle w:val="63"/>
              <w:spacing w:line="240" w:lineRule="auto"/>
              <w:jc w:val="center"/>
              <w:rPr>
                <w:rFonts w:hint="default" w:ascii="Arial" w:hAnsi="Arial" w:eastAsia="宋体" w:cs="Arial"/>
                <w:color w:val="auto"/>
                <w:highlight w:val="none"/>
              </w:rPr>
            </w:pPr>
            <w:r>
              <w:rPr>
                <w:rFonts w:hint="default" w:ascii="Arial" w:hAnsi="Arial" w:eastAsia="宋体" w:cs="Arial"/>
                <w:color w:val="auto"/>
                <w:highlight w:val="none"/>
              </w:rPr>
              <w:t>监测层位</w:t>
            </w:r>
          </w:p>
        </w:tc>
        <w:tc>
          <w:tcPr>
            <w:tcW w:w="1431" w:type="dxa"/>
            <w:vMerge w:val="restart"/>
            <w:vAlign w:val="center"/>
          </w:tcPr>
          <w:p>
            <w:pPr>
              <w:pStyle w:val="63"/>
              <w:spacing w:line="240" w:lineRule="auto"/>
              <w:jc w:val="center"/>
              <w:rPr>
                <w:rFonts w:hint="default" w:ascii="Arial" w:hAnsi="Arial" w:eastAsia="宋体" w:cs="Arial"/>
                <w:color w:val="auto"/>
                <w:highlight w:val="none"/>
              </w:rPr>
            </w:pPr>
            <w:r>
              <w:rPr>
                <w:rFonts w:hint="default" w:ascii="Arial" w:hAnsi="Arial" w:eastAsia="宋体" w:cs="Arial"/>
                <w:color w:val="auto"/>
                <w:highlight w:val="none"/>
              </w:rPr>
              <w:t>监测功能</w:t>
            </w:r>
          </w:p>
        </w:tc>
        <w:tc>
          <w:tcPr>
            <w:tcW w:w="2145" w:type="dxa"/>
            <w:vMerge w:val="restart"/>
            <w:shd w:val="clear" w:color="auto" w:fill="auto"/>
            <w:vAlign w:val="center"/>
          </w:tcPr>
          <w:p>
            <w:pPr>
              <w:pStyle w:val="63"/>
              <w:spacing w:line="240" w:lineRule="auto"/>
              <w:jc w:val="center"/>
              <w:rPr>
                <w:rFonts w:hint="default" w:ascii="Arial" w:hAnsi="Arial" w:eastAsia="宋体" w:cs="Arial"/>
                <w:color w:val="auto"/>
                <w:highlight w:val="none"/>
              </w:rPr>
            </w:pPr>
            <w:r>
              <w:rPr>
                <w:rFonts w:hint="default" w:ascii="Arial" w:hAnsi="Arial" w:eastAsia="宋体" w:cs="Arial"/>
                <w:color w:val="auto"/>
                <w:highlight w:val="none"/>
              </w:rPr>
              <w:t>备注</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57" w:type="dxa"/>
            <w:bottom w:w="0" w:type="dxa"/>
            <w:right w:w="57" w:type="dxa"/>
          </w:tblCellMar>
        </w:tblPrEx>
        <w:trPr>
          <w:trHeight w:val="340" w:hRule="atLeast"/>
          <w:tblHeader/>
          <w:jc w:val="center"/>
        </w:trPr>
        <w:tc>
          <w:tcPr>
            <w:tcW w:w="433" w:type="dxa"/>
            <w:vMerge w:val="continue"/>
            <w:vAlign w:val="center"/>
          </w:tcPr>
          <w:p>
            <w:pPr>
              <w:pStyle w:val="63"/>
              <w:spacing w:line="240" w:lineRule="auto"/>
              <w:jc w:val="center"/>
              <w:rPr>
                <w:rFonts w:hint="default" w:ascii="Arial" w:hAnsi="Arial" w:eastAsia="宋体" w:cs="Arial"/>
                <w:color w:val="auto"/>
                <w:highlight w:val="none"/>
              </w:rPr>
            </w:pPr>
          </w:p>
        </w:tc>
        <w:tc>
          <w:tcPr>
            <w:tcW w:w="1984" w:type="dxa"/>
            <w:vMerge w:val="continue"/>
            <w:vAlign w:val="center"/>
          </w:tcPr>
          <w:p>
            <w:pPr>
              <w:pStyle w:val="63"/>
              <w:spacing w:line="240" w:lineRule="auto"/>
              <w:jc w:val="center"/>
              <w:rPr>
                <w:rFonts w:hint="default" w:ascii="Arial" w:hAnsi="Arial" w:eastAsia="宋体" w:cs="Arial"/>
                <w:color w:val="auto"/>
                <w:highlight w:val="none"/>
              </w:rPr>
            </w:pPr>
          </w:p>
        </w:tc>
        <w:tc>
          <w:tcPr>
            <w:tcW w:w="1984" w:type="dxa"/>
            <w:vMerge w:val="continue"/>
            <w:vAlign w:val="center"/>
          </w:tcPr>
          <w:p>
            <w:pPr>
              <w:pStyle w:val="63"/>
              <w:spacing w:line="240" w:lineRule="auto"/>
              <w:jc w:val="center"/>
              <w:rPr>
                <w:rFonts w:hint="default" w:ascii="Arial" w:hAnsi="Arial" w:eastAsia="宋体" w:cs="Arial"/>
                <w:color w:val="auto"/>
                <w:highlight w:val="none"/>
              </w:rPr>
            </w:pPr>
          </w:p>
        </w:tc>
        <w:tc>
          <w:tcPr>
            <w:tcW w:w="1178" w:type="dxa"/>
            <w:vMerge w:val="continue"/>
            <w:vAlign w:val="center"/>
          </w:tcPr>
          <w:p>
            <w:pPr>
              <w:pStyle w:val="63"/>
              <w:spacing w:line="240" w:lineRule="auto"/>
              <w:jc w:val="center"/>
              <w:rPr>
                <w:rFonts w:hint="default" w:ascii="Arial" w:hAnsi="Arial" w:eastAsia="宋体" w:cs="Arial"/>
                <w:color w:val="auto"/>
                <w:highlight w:val="none"/>
              </w:rPr>
            </w:pPr>
          </w:p>
        </w:tc>
        <w:tc>
          <w:tcPr>
            <w:tcW w:w="1179" w:type="dxa"/>
            <w:vMerge w:val="continue"/>
            <w:vAlign w:val="center"/>
          </w:tcPr>
          <w:p>
            <w:pPr>
              <w:pStyle w:val="63"/>
              <w:spacing w:line="240" w:lineRule="auto"/>
              <w:jc w:val="center"/>
              <w:rPr>
                <w:rFonts w:hint="default" w:ascii="Arial" w:hAnsi="Arial" w:eastAsia="宋体" w:cs="Arial"/>
                <w:color w:val="auto"/>
                <w:highlight w:val="none"/>
              </w:rPr>
            </w:pPr>
          </w:p>
        </w:tc>
        <w:tc>
          <w:tcPr>
            <w:tcW w:w="1431" w:type="dxa"/>
            <w:vMerge w:val="continue"/>
            <w:vAlign w:val="center"/>
          </w:tcPr>
          <w:p>
            <w:pPr>
              <w:pStyle w:val="63"/>
              <w:spacing w:line="240" w:lineRule="auto"/>
              <w:jc w:val="center"/>
              <w:rPr>
                <w:rFonts w:hint="default" w:ascii="Arial" w:hAnsi="Arial" w:eastAsia="宋体" w:cs="Arial"/>
                <w:color w:val="auto"/>
                <w:highlight w:val="none"/>
              </w:rPr>
            </w:pPr>
          </w:p>
        </w:tc>
        <w:tc>
          <w:tcPr>
            <w:tcW w:w="2145" w:type="dxa"/>
            <w:vMerge w:val="continue"/>
            <w:vAlign w:val="center"/>
          </w:tcPr>
          <w:p>
            <w:pPr>
              <w:pStyle w:val="63"/>
              <w:spacing w:line="240" w:lineRule="auto"/>
              <w:jc w:val="center"/>
              <w:rPr>
                <w:rFonts w:hint="default" w:ascii="Arial" w:hAnsi="Arial" w:eastAsia="宋体" w:cs="Arial"/>
                <w:color w:val="auto"/>
                <w:highlight w:val="none"/>
              </w:rPr>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57" w:type="dxa"/>
            <w:bottom w:w="0" w:type="dxa"/>
            <w:right w:w="57" w:type="dxa"/>
          </w:tblCellMar>
        </w:tblPrEx>
        <w:trPr>
          <w:trHeight w:val="340" w:hRule="atLeast"/>
          <w:jc w:val="center"/>
        </w:trPr>
        <w:tc>
          <w:tcPr>
            <w:tcW w:w="433" w:type="dxa"/>
            <w:shd w:val="clear" w:color="auto" w:fill="auto"/>
            <w:vAlign w:val="center"/>
          </w:tcPr>
          <w:p>
            <w:pPr>
              <w:pStyle w:val="63"/>
              <w:spacing w:line="240" w:lineRule="auto"/>
              <w:jc w:val="center"/>
              <w:rPr>
                <w:rFonts w:hint="default" w:ascii="Arial" w:hAnsi="Arial" w:eastAsia="宋体" w:cs="Arial"/>
                <w:color w:val="auto"/>
                <w:highlight w:val="none"/>
              </w:rPr>
            </w:pPr>
            <w:r>
              <w:rPr>
                <w:rFonts w:hint="default" w:ascii="Arial" w:hAnsi="Arial" w:eastAsia="宋体" w:cs="Arial"/>
                <w:color w:val="auto"/>
                <w:highlight w:val="none"/>
              </w:rPr>
              <w:t>J1</w:t>
            </w:r>
          </w:p>
        </w:tc>
        <w:tc>
          <w:tcPr>
            <w:tcW w:w="1984" w:type="dxa"/>
            <w:vAlign w:val="center"/>
          </w:tcPr>
          <w:p>
            <w:pPr>
              <w:pStyle w:val="63"/>
              <w:spacing w:line="240" w:lineRule="auto"/>
              <w:jc w:val="center"/>
              <w:rPr>
                <w:rFonts w:hint="default" w:ascii="Arial" w:hAnsi="Arial" w:eastAsia="宋体" w:cs="Arial"/>
                <w:color w:val="auto"/>
                <w:highlight w:val="none"/>
                <w:lang w:eastAsia="zh-CN"/>
              </w:rPr>
            </w:pPr>
            <w:r>
              <w:rPr>
                <w:rFonts w:hint="default" w:ascii="Arial" w:hAnsi="Arial" w:eastAsia="宋体" w:cs="Arial"/>
                <w:color w:val="auto"/>
                <w:highlight w:val="none"/>
                <w:lang w:eastAsia="zh-CN"/>
              </w:rPr>
              <w:t>107°40'52.52"</w:t>
            </w:r>
          </w:p>
        </w:tc>
        <w:tc>
          <w:tcPr>
            <w:tcW w:w="1984" w:type="dxa"/>
            <w:vAlign w:val="center"/>
          </w:tcPr>
          <w:p>
            <w:pPr>
              <w:pStyle w:val="63"/>
              <w:spacing w:line="240" w:lineRule="auto"/>
              <w:jc w:val="center"/>
              <w:rPr>
                <w:rFonts w:hint="default" w:ascii="Arial" w:hAnsi="Arial" w:eastAsia="宋体" w:cs="Arial"/>
                <w:color w:val="auto"/>
                <w:highlight w:val="none"/>
              </w:rPr>
            </w:pPr>
            <w:r>
              <w:rPr>
                <w:rFonts w:hint="default" w:ascii="Arial" w:hAnsi="Arial" w:eastAsia="宋体" w:cs="Arial"/>
                <w:color w:val="auto"/>
                <w:highlight w:val="none"/>
                <w:lang w:val="en-US" w:eastAsia="zh-CN"/>
              </w:rPr>
              <w:t>40°56'20.91"</w:t>
            </w:r>
          </w:p>
        </w:tc>
        <w:tc>
          <w:tcPr>
            <w:tcW w:w="1178" w:type="dxa"/>
            <w:shd w:val="clear" w:color="auto" w:fill="auto"/>
            <w:vAlign w:val="center"/>
          </w:tcPr>
          <w:p>
            <w:pPr>
              <w:pStyle w:val="63"/>
              <w:spacing w:line="240" w:lineRule="auto"/>
              <w:jc w:val="center"/>
              <w:rPr>
                <w:rFonts w:hint="default" w:ascii="Arial" w:hAnsi="Arial" w:eastAsia="宋体" w:cs="Arial"/>
                <w:color w:val="auto"/>
                <w:highlight w:val="none"/>
                <w:lang w:val="en-US"/>
              </w:rPr>
            </w:pPr>
            <w:r>
              <w:rPr>
                <w:rFonts w:hint="default" w:ascii="Arial" w:hAnsi="Arial" w:eastAsia="宋体" w:cs="Arial"/>
                <w:color w:val="auto"/>
                <w:highlight w:val="none"/>
                <w:lang w:val="en-US" w:eastAsia="zh-CN"/>
              </w:rPr>
              <w:t>15</w:t>
            </w:r>
          </w:p>
        </w:tc>
        <w:tc>
          <w:tcPr>
            <w:tcW w:w="1179" w:type="dxa"/>
            <w:vAlign w:val="center"/>
          </w:tcPr>
          <w:p>
            <w:pPr>
              <w:pStyle w:val="63"/>
              <w:spacing w:line="240" w:lineRule="auto"/>
              <w:jc w:val="center"/>
              <w:rPr>
                <w:rFonts w:hint="default" w:ascii="Arial" w:hAnsi="Arial" w:eastAsia="宋体" w:cs="Arial"/>
                <w:color w:val="auto"/>
                <w:highlight w:val="none"/>
              </w:rPr>
            </w:pPr>
            <w:r>
              <w:rPr>
                <w:rFonts w:hint="default" w:ascii="Arial" w:hAnsi="Arial" w:eastAsia="宋体" w:cs="Arial"/>
                <w:color w:val="auto"/>
                <w:highlight w:val="none"/>
              </w:rPr>
              <w:t>潜水含水层</w:t>
            </w:r>
          </w:p>
        </w:tc>
        <w:tc>
          <w:tcPr>
            <w:tcW w:w="1431" w:type="dxa"/>
            <w:vAlign w:val="center"/>
          </w:tcPr>
          <w:p>
            <w:pPr>
              <w:pStyle w:val="63"/>
              <w:spacing w:line="240" w:lineRule="auto"/>
              <w:jc w:val="center"/>
              <w:rPr>
                <w:rFonts w:hint="default" w:ascii="Arial" w:hAnsi="Arial" w:eastAsia="宋体" w:cs="Arial"/>
                <w:color w:val="auto"/>
                <w:highlight w:val="none"/>
              </w:rPr>
            </w:pPr>
            <w:r>
              <w:rPr>
                <w:rFonts w:hint="default" w:ascii="Arial" w:hAnsi="Arial" w:eastAsia="宋体" w:cs="Arial"/>
                <w:color w:val="auto"/>
                <w:highlight w:val="none"/>
              </w:rPr>
              <w:t>污染扩散监测点</w:t>
            </w:r>
          </w:p>
        </w:tc>
        <w:tc>
          <w:tcPr>
            <w:tcW w:w="2145" w:type="dxa"/>
            <w:shd w:val="clear" w:color="auto" w:fill="auto"/>
            <w:vAlign w:val="center"/>
          </w:tcPr>
          <w:p>
            <w:pPr>
              <w:pStyle w:val="63"/>
              <w:spacing w:line="240" w:lineRule="auto"/>
              <w:jc w:val="center"/>
              <w:rPr>
                <w:rFonts w:hint="default" w:ascii="Arial" w:hAnsi="Arial" w:eastAsia="宋体" w:cs="Arial"/>
                <w:color w:val="auto"/>
                <w:highlight w:val="none"/>
              </w:rPr>
            </w:pPr>
            <w:r>
              <w:rPr>
                <w:rFonts w:hint="default" w:ascii="Arial" w:hAnsi="Arial" w:eastAsia="宋体" w:cs="Arial"/>
                <w:color w:val="auto"/>
                <w:highlight w:val="none"/>
              </w:rPr>
              <w:t>监测可能产生的泄漏对下游潜水的污染</w:t>
            </w:r>
          </w:p>
        </w:tc>
      </w:tr>
    </w:tbl>
    <w:p>
      <w:pPr>
        <w:ind w:firstLine="480"/>
        <w:rPr>
          <w:rFonts w:hint="default" w:ascii="Arial" w:hAnsi="Arial" w:eastAsia="宋体" w:cs="Arial"/>
          <w:color w:val="auto"/>
          <w:highlight w:val="none"/>
        </w:rPr>
        <w:sectPr>
          <w:pgSz w:w="11906" w:h="16838"/>
          <w:pgMar w:top="1418" w:right="1418" w:bottom="1247" w:left="1701" w:header="851" w:footer="680" w:gutter="0"/>
          <w:pgBorders>
            <w:top w:val="none" w:sz="0" w:space="0"/>
            <w:left w:val="none" w:sz="0" w:space="0"/>
            <w:bottom w:val="none" w:sz="0" w:space="0"/>
            <w:right w:val="none" w:sz="0" w:space="0"/>
          </w:pgBorders>
          <w:pgNumType w:fmt="numberInDash"/>
          <w:cols w:space="720" w:num="1"/>
          <w:docGrid w:linePitch="326" w:charSpace="0"/>
        </w:sectPr>
      </w:pPr>
    </w:p>
    <w:p>
      <w:pPr>
        <w:pStyle w:val="3"/>
        <w:rPr>
          <w:rFonts w:hint="default" w:ascii="Arial" w:hAnsi="Arial" w:eastAsia="宋体" w:cs="Arial"/>
          <w:color w:val="auto"/>
          <w:highlight w:val="none"/>
          <w:lang w:eastAsia="zh-CN"/>
        </w:rPr>
      </w:pPr>
      <w:r>
        <w:rPr>
          <w:rFonts w:hint="default" w:ascii="Arial" w:hAnsi="Arial" w:eastAsia="宋体" w:cs="Arial"/>
          <w:color w:val="auto"/>
          <w:highlight w:val="none"/>
          <w:lang w:eastAsia="zh-CN"/>
        </w:rPr>
        <w:drawing>
          <wp:anchor distT="0" distB="0" distL="114300" distR="114300" simplePos="0" relativeHeight="251742208" behindDoc="1" locked="0" layoutInCell="1" allowOverlap="1">
            <wp:simplePos x="0" y="0"/>
            <wp:positionH relativeFrom="column">
              <wp:posOffset>1236345</wp:posOffset>
            </wp:positionH>
            <wp:positionV relativeFrom="paragraph">
              <wp:posOffset>43815</wp:posOffset>
            </wp:positionV>
            <wp:extent cx="6938645" cy="5255895"/>
            <wp:effectExtent l="0" t="0" r="14605" b="1905"/>
            <wp:wrapNone/>
            <wp:docPr id="48" name="图片 48" descr="屏幕截图22333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descr="屏幕截图22333212"/>
                    <pic:cNvPicPr>
                      <a:picLocks noChangeAspect="1"/>
                    </pic:cNvPicPr>
                  </pic:nvPicPr>
                  <pic:blipFill>
                    <a:blip r:embed="rId17"/>
                    <a:stretch>
                      <a:fillRect/>
                    </a:stretch>
                  </pic:blipFill>
                  <pic:spPr>
                    <a:xfrm>
                      <a:off x="0" y="0"/>
                      <a:ext cx="6938645" cy="5255895"/>
                    </a:xfrm>
                    <a:prstGeom prst="rect">
                      <a:avLst/>
                    </a:prstGeom>
                  </pic:spPr>
                </pic:pic>
              </a:graphicData>
            </a:graphic>
          </wp:anchor>
        </w:drawing>
      </w:r>
    </w:p>
    <w:p>
      <w:pPr>
        <w:spacing w:line="360" w:lineRule="auto"/>
        <w:ind w:firstLine="0" w:firstLineChars="0"/>
        <w:rPr>
          <w:rFonts w:hint="default" w:ascii="Arial" w:hAnsi="Arial" w:eastAsia="宋体" w:cs="Arial"/>
          <w:color w:val="auto"/>
          <w:highlight w:val="none"/>
          <w:lang w:eastAsia="zh-CN"/>
        </w:rPr>
      </w:pPr>
    </w:p>
    <w:p>
      <w:pPr>
        <w:pStyle w:val="8"/>
        <w:rPr>
          <w:rFonts w:hint="default" w:ascii="Arial" w:hAnsi="Arial" w:eastAsia="宋体" w:cs="Arial"/>
          <w:color w:val="auto"/>
          <w:highlight w:val="none"/>
        </w:rPr>
      </w:pPr>
      <w:r>
        <w:rPr>
          <w:rFonts w:hint="default" w:ascii="Arial" w:hAnsi="Arial" w:eastAsia="宋体" w:cs="Arial"/>
          <w:color w:val="auto"/>
          <w:sz w:val="24"/>
          <w:highlight w:val="none"/>
        </w:rPr>
        <mc:AlternateContent>
          <mc:Choice Requires="wps">
            <w:drawing>
              <wp:anchor distT="0" distB="0" distL="114300" distR="114300" simplePos="0" relativeHeight="251664384" behindDoc="0" locked="0" layoutInCell="1" allowOverlap="1">
                <wp:simplePos x="0" y="0"/>
                <wp:positionH relativeFrom="column">
                  <wp:posOffset>5880100</wp:posOffset>
                </wp:positionH>
                <wp:positionV relativeFrom="paragraph">
                  <wp:posOffset>162560</wp:posOffset>
                </wp:positionV>
                <wp:extent cx="690880" cy="389890"/>
                <wp:effectExtent l="97155" t="4445" r="12065" b="291465"/>
                <wp:wrapNone/>
                <wp:docPr id="75" name="自选图形 400"/>
                <wp:cNvGraphicFramePr/>
                <a:graphic xmlns:a="http://schemas.openxmlformats.org/drawingml/2006/main">
                  <a:graphicData uri="http://schemas.microsoft.com/office/word/2010/wordprocessingShape">
                    <wps:wsp>
                      <wps:cNvSpPr/>
                      <wps:spPr>
                        <a:xfrm>
                          <a:off x="0" y="0"/>
                          <a:ext cx="690880" cy="389890"/>
                        </a:xfrm>
                        <a:prstGeom prst="wedgeRectCallout">
                          <a:avLst>
                            <a:gd name="adj1" fmla="val -60935"/>
                            <a:gd name="adj2" fmla="val 116773"/>
                          </a:avLst>
                        </a:prstGeom>
                        <a:solidFill>
                          <a:srgbClr val="FFFFFF"/>
                        </a:solidFill>
                        <a:ln w="9525" cap="flat" cmpd="sng">
                          <a:solidFill>
                            <a:srgbClr val="000000"/>
                          </a:solidFill>
                          <a:prstDash val="solid"/>
                          <a:miter/>
                          <a:headEnd type="none" w="med" len="med"/>
                          <a:tailEnd type="none" w="med" len="med"/>
                        </a:ln>
                      </wps:spPr>
                      <wps:txbx>
                        <w:txbxContent>
                          <w:p>
                            <w:pPr>
                              <w:ind w:left="0" w:leftChars="0" w:firstLine="0" w:firstLineChars="0"/>
                              <w:rPr>
                                <w:rFonts w:hint="eastAsia" w:eastAsia="宋体"/>
                                <w:lang w:eastAsia="zh-CN"/>
                              </w:rPr>
                            </w:pPr>
                            <w:r>
                              <w:rPr>
                                <w:rFonts w:hint="eastAsia"/>
                                <w:lang w:eastAsia="zh-CN"/>
                              </w:rPr>
                              <w:t>监控井</w:t>
                            </w:r>
                          </w:p>
                        </w:txbxContent>
                      </wps:txbx>
                      <wps:bodyPr upright="1"/>
                    </wps:wsp>
                  </a:graphicData>
                </a:graphic>
              </wp:anchor>
            </w:drawing>
          </mc:Choice>
          <mc:Fallback>
            <w:pict>
              <v:shape id="自选图形 400" o:spid="_x0000_s1026" o:spt="61" type="#_x0000_t61" style="position:absolute;left:0pt;margin-left:463pt;margin-top:12.8pt;height:30.7pt;width:54.4pt;z-index:251664384;mso-width-relative:page;mso-height-relative:page;" fillcolor="#FFFFFF" filled="t" stroked="t" coordsize="21600,21600" o:gfxdata="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Jb3RbHYAAAACgEAAA8AAAAAAAAAAQAgAAAAIgAAAGRycy9k&#10;b3ducmV2LnhtbFBLAQIUABQAAAAIAIdO4kBcOZTxOwIAAJAEAAAOAAAAAAAAAAEAIAAAACcBAABk&#10;cnMvZTJvRG9jLnhtbFBLBQYAAAAABgAGAFkBAADUBQAAAAA=&#10;" adj="-2362,36023">
                <v:fill on="t" focussize="0,0"/>
                <v:stroke color="#000000" joinstyle="miter"/>
                <v:imagedata o:title=""/>
                <o:lock v:ext="edit" aspectratio="f"/>
                <v:textbox>
                  <w:txbxContent>
                    <w:p>
                      <w:pPr>
                        <w:ind w:left="0" w:leftChars="0" w:firstLine="0" w:firstLineChars="0"/>
                        <w:rPr>
                          <w:rFonts w:hint="eastAsia" w:eastAsia="宋体"/>
                          <w:lang w:eastAsia="zh-CN"/>
                        </w:rPr>
                      </w:pPr>
                      <w:r>
                        <w:rPr>
                          <w:rFonts w:hint="eastAsia"/>
                          <w:lang w:eastAsia="zh-CN"/>
                        </w:rPr>
                        <w:t>监控井</w:t>
                      </w:r>
                    </w:p>
                  </w:txbxContent>
                </v:textbox>
              </v:shape>
            </w:pict>
          </mc:Fallback>
        </mc:AlternateContent>
      </w:r>
    </w:p>
    <w:p>
      <w:pPr>
        <w:pStyle w:val="8"/>
        <w:rPr>
          <w:rFonts w:hint="default" w:ascii="Arial" w:hAnsi="Arial" w:eastAsia="宋体" w:cs="Arial"/>
          <w:color w:val="auto"/>
          <w:highlight w:val="none"/>
        </w:rPr>
      </w:pPr>
    </w:p>
    <w:p>
      <w:pPr>
        <w:pStyle w:val="8"/>
        <w:rPr>
          <w:rFonts w:hint="default" w:ascii="Arial" w:hAnsi="Arial" w:eastAsia="宋体" w:cs="Arial"/>
          <w:color w:val="auto"/>
          <w:highlight w:val="none"/>
        </w:rPr>
      </w:pPr>
      <w:r>
        <w:rPr>
          <w:rFonts w:hint="default" w:ascii="Arial" w:hAnsi="Arial" w:eastAsia="宋体" w:cs="Arial"/>
          <w:color w:val="auto"/>
          <w:sz w:val="24"/>
          <w:highlight w:val="none"/>
        </w:rPr>
        <mc:AlternateContent>
          <mc:Choice Requires="wps">
            <w:drawing>
              <wp:anchor distT="0" distB="0" distL="114300" distR="114300" simplePos="0" relativeHeight="251663360" behindDoc="0" locked="0" layoutInCell="1" allowOverlap="1">
                <wp:simplePos x="0" y="0"/>
                <wp:positionH relativeFrom="column">
                  <wp:posOffset>5761355</wp:posOffset>
                </wp:positionH>
                <wp:positionV relativeFrom="paragraph">
                  <wp:posOffset>185420</wp:posOffset>
                </wp:positionV>
                <wp:extent cx="107950" cy="107950"/>
                <wp:effectExtent l="4445" t="4445" r="20955" b="20955"/>
                <wp:wrapNone/>
                <wp:docPr id="73" name="椭圆 399"/>
                <wp:cNvGraphicFramePr/>
                <a:graphic xmlns:a="http://schemas.openxmlformats.org/drawingml/2006/main">
                  <a:graphicData uri="http://schemas.microsoft.com/office/word/2010/wordprocessingShape">
                    <wps:wsp>
                      <wps:cNvSpPr/>
                      <wps:spPr>
                        <a:xfrm>
                          <a:off x="0" y="0"/>
                          <a:ext cx="107950" cy="107950"/>
                        </a:xfrm>
                        <a:prstGeom prst="ellipse">
                          <a:avLst/>
                        </a:prstGeom>
                        <a:solidFill>
                          <a:srgbClr val="FF0000"/>
                        </a:solidFill>
                        <a:ln w="9525" cap="flat" cmpd="sng">
                          <a:solidFill>
                            <a:srgbClr val="FF0000"/>
                          </a:solidFill>
                          <a:prstDash val="solid"/>
                          <a:headEnd type="none" w="med" len="med"/>
                          <a:tailEnd type="none" w="med" len="med"/>
                        </a:ln>
                      </wps:spPr>
                      <wps:txbx>
                        <w:txbxContent>
                          <w:p>
                            <w:pPr>
                              <w:jc w:val="center"/>
                            </w:pPr>
                          </w:p>
                        </w:txbxContent>
                      </wps:txbx>
                      <wps:bodyPr upright="1"/>
                    </wps:wsp>
                  </a:graphicData>
                </a:graphic>
              </wp:anchor>
            </w:drawing>
          </mc:Choice>
          <mc:Fallback>
            <w:pict>
              <v:shape id="椭圆 399" o:spid="_x0000_s1026" o:spt="3" type="#_x0000_t3" style="position:absolute;left:0pt;margin-left:453.65pt;margin-top:14.6pt;height:8.5pt;width:8.5pt;z-index:251663360;mso-width-relative:page;mso-height-relative:page;" fillcolor="#FF0000" filled="t" stroked="t" coordsize="21600,21600" o:gfxdata="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AfgZt/1wAAAAkBAAAPAAAAAAAAAAEAIAAAACIAAABkcnMvZG93bnJldi54&#10;bWxQSwECFAAUAAAACACHTuJAV9yczvsBAAAkBAAADgAAAAAAAAABACAAAAAmAQAAZHJzL2Uyb0Rv&#10;Yy54bWxQSwUGAAAAAAYABgBZAQAAkwUAAAAA&#10;">
                <v:fill on="t" focussize="0,0"/>
                <v:stroke color="#FF0000" joinstyle="round"/>
                <v:imagedata o:title=""/>
                <o:lock v:ext="edit" aspectratio="f"/>
                <v:textbox>
                  <w:txbxContent>
                    <w:p>
                      <w:pPr>
                        <w:jc w:val="center"/>
                      </w:pPr>
                    </w:p>
                  </w:txbxContent>
                </v:textbox>
              </v:shape>
            </w:pict>
          </mc:Fallback>
        </mc:AlternateContent>
      </w:r>
    </w:p>
    <w:p>
      <w:pPr>
        <w:pStyle w:val="8"/>
        <w:rPr>
          <w:rFonts w:hint="default" w:ascii="Arial" w:hAnsi="Arial" w:eastAsia="宋体" w:cs="Arial"/>
          <w:color w:val="auto"/>
          <w:highlight w:val="none"/>
        </w:rPr>
      </w:pPr>
    </w:p>
    <w:p>
      <w:pPr>
        <w:pStyle w:val="8"/>
        <w:rPr>
          <w:rFonts w:hint="default" w:ascii="Arial" w:hAnsi="Arial" w:eastAsia="宋体" w:cs="Arial"/>
          <w:color w:val="auto"/>
          <w:highlight w:val="none"/>
        </w:rPr>
      </w:pPr>
    </w:p>
    <w:p>
      <w:pPr>
        <w:pStyle w:val="8"/>
        <w:rPr>
          <w:rFonts w:hint="default" w:ascii="Arial" w:hAnsi="Arial" w:eastAsia="宋体" w:cs="Arial"/>
          <w:color w:val="auto"/>
          <w:highlight w:val="none"/>
        </w:rPr>
      </w:pPr>
    </w:p>
    <w:p>
      <w:pPr>
        <w:pStyle w:val="8"/>
        <w:rPr>
          <w:rFonts w:hint="default" w:ascii="Arial" w:hAnsi="Arial" w:eastAsia="宋体" w:cs="Arial"/>
          <w:color w:val="auto"/>
          <w:highlight w:val="none"/>
        </w:rPr>
      </w:pPr>
    </w:p>
    <w:p>
      <w:pPr>
        <w:pStyle w:val="8"/>
        <w:rPr>
          <w:rFonts w:hint="default" w:ascii="Arial" w:hAnsi="Arial" w:eastAsia="宋体" w:cs="Arial"/>
          <w:color w:val="auto"/>
          <w:highlight w:val="none"/>
        </w:rPr>
      </w:pPr>
    </w:p>
    <w:p>
      <w:pPr>
        <w:pStyle w:val="8"/>
        <w:rPr>
          <w:rFonts w:hint="default" w:ascii="Arial" w:hAnsi="Arial" w:eastAsia="宋体" w:cs="Arial"/>
          <w:color w:val="auto"/>
          <w:highlight w:val="none"/>
        </w:rPr>
      </w:pPr>
    </w:p>
    <w:p>
      <w:pPr>
        <w:pStyle w:val="8"/>
        <w:rPr>
          <w:rFonts w:hint="default" w:ascii="Arial" w:hAnsi="Arial" w:eastAsia="宋体" w:cs="Arial"/>
          <w:color w:val="auto"/>
          <w:highlight w:val="none"/>
        </w:rPr>
      </w:pPr>
    </w:p>
    <w:p>
      <w:pPr>
        <w:pStyle w:val="8"/>
        <w:rPr>
          <w:rFonts w:hint="default" w:ascii="Arial" w:hAnsi="Arial" w:eastAsia="宋体" w:cs="Arial"/>
          <w:color w:val="auto"/>
          <w:highlight w:val="none"/>
        </w:rPr>
      </w:pPr>
    </w:p>
    <w:p>
      <w:pPr>
        <w:pStyle w:val="8"/>
        <w:rPr>
          <w:rFonts w:hint="default" w:ascii="Arial" w:hAnsi="Arial" w:eastAsia="宋体" w:cs="Arial"/>
          <w:color w:val="auto"/>
          <w:highlight w:val="none"/>
        </w:rPr>
      </w:pPr>
    </w:p>
    <w:p>
      <w:pPr>
        <w:pStyle w:val="8"/>
        <w:rPr>
          <w:rFonts w:hint="default" w:ascii="Arial" w:hAnsi="Arial" w:eastAsia="宋体" w:cs="Arial"/>
          <w:color w:val="auto"/>
          <w:highlight w:val="none"/>
          <w:lang w:eastAsia="zh-CN"/>
        </w:rPr>
      </w:pPr>
    </w:p>
    <w:p>
      <w:pPr>
        <w:pStyle w:val="8"/>
        <w:rPr>
          <w:rFonts w:hint="default" w:ascii="Arial" w:hAnsi="Arial" w:eastAsia="宋体" w:cs="Arial"/>
          <w:color w:val="auto"/>
          <w:highlight w:val="none"/>
        </w:rPr>
      </w:pPr>
    </w:p>
    <w:p>
      <w:pPr>
        <w:pStyle w:val="8"/>
        <w:rPr>
          <w:rFonts w:hint="default" w:ascii="Arial" w:hAnsi="Arial" w:eastAsia="宋体" w:cs="Arial"/>
          <w:color w:val="auto"/>
          <w:highlight w:val="none"/>
        </w:rPr>
      </w:pPr>
    </w:p>
    <w:p>
      <w:pPr>
        <w:pStyle w:val="8"/>
        <w:rPr>
          <w:rFonts w:hint="default" w:ascii="Arial" w:hAnsi="Arial" w:eastAsia="宋体" w:cs="Arial"/>
          <w:color w:val="auto"/>
          <w:highlight w:val="none"/>
        </w:rPr>
      </w:pPr>
      <w:r>
        <w:rPr>
          <w:rFonts w:hint="default" w:ascii="Arial" w:hAnsi="Arial" w:eastAsia="宋体" w:cs="Arial"/>
          <w:color w:val="auto"/>
          <w:highlight w:val="none"/>
        </w:rPr>
        <w:t>图7.4-1    地下水监控井布局示意图</w:t>
      </w:r>
    </w:p>
    <w:p>
      <w:pPr>
        <w:ind w:firstLine="480"/>
        <w:rPr>
          <w:rFonts w:hint="default" w:ascii="Arial" w:hAnsi="Arial" w:eastAsia="宋体" w:cs="Arial"/>
          <w:color w:val="auto"/>
          <w:highlight w:val="none"/>
        </w:rPr>
        <w:sectPr>
          <w:pgSz w:w="16838" w:h="11906" w:orient="landscape"/>
          <w:pgMar w:top="1701" w:right="1418" w:bottom="1418" w:left="1247" w:header="851" w:footer="680" w:gutter="0"/>
          <w:pgBorders>
            <w:top w:val="none" w:sz="0" w:space="0"/>
            <w:left w:val="none" w:sz="0" w:space="0"/>
            <w:bottom w:val="none" w:sz="0" w:space="0"/>
            <w:right w:val="none" w:sz="0" w:space="0"/>
          </w:pgBorders>
          <w:pgNumType w:fmt="numberInDash"/>
          <w:cols w:space="720" w:num="1"/>
          <w:docGrid w:linePitch="326" w:charSpace="0"/>
        </w:sectPr>
      </w:pPr>
    </w:p>
    <w:p>
      <w:pPr>
        <w:ind w:firstLine="480"/>
        <w:rPr>
          <w:rFonts w:hint="default" w:ascii="Arial" w:hAnsi="Arial" w:eastAsia="宋体" w:cs="Arial"/>
          <w:color w:val="auto"/>
          <w:highlight w:val="none"/>
        </w:rPr>
      </w:pPr>
      <w:r>
        <w:rPr>
          <w:rFonts w:hint="default" w:ascii="Arial" w:hAnsi="Arial" w:eastAsia="宋体" w:cs="Arial"/>
          <w:color w:val="auto"/>
          <w:highlight w:val="none"/>
        </w:rPr>
        <w:t>2、监测层位及井深：监测潜水含水层，设计监测井深度为</w:t>
      </w:r>
      <w:r>
        <w:rPr>
          <w:rFonts w:hint="default" w:ascii="Arial" w:hAnsi="Arial" w:eastAsia="宋体" w:cs="Arial"/>
          <w:color w:val="auto"/>
          <w:highlight w:val="none"/>
          <w:lang w:val="en-US" w:eastAsia="zh-CN"/>
        </w:rPr>
        <w:t>15</w:t>
      </w:r>
      <w:r>
        <w:rPr>
          <w:rFonts w:hint="default" w:ascii="Arial" w:hAnsi="Arial" w:eastAsia="宋体" w:cs="Arial"/>
          <w:color w:val="auto"/>
          <w:highlight w:val="none"/>
        </w:rPr>
        <w:t>m，实际井深以现场施工为准。</w:t>
      </w:r>
    </w:p>
    <w:p>
      <w:pPr>
        <w:ind w:firstLine="480"/>
        <w:rPr>
          <w:rFonts w:hint="default" w:ascii="Arial" w:hAnsi="Arial" w:eastAsia="宋体" w:cs="Arial"/>
          <w:color w:val="auto"/>
          <w:highlight w:val="none"/>
        </w:rPr>
      </w:pPr>
      <w:r>
        <w:rPr>
          <w:rFonts w:hint="default" w:ascii="Arial" w:hAnsi="Arial" w:eastAsia="宋体" w:cs="Arial"/>
          <w:color w:val="auto"/>
          <w:highlight w:val="none"/>
        </w:rPr>
        <w:t>3、监测频率：投入使用前监测一次本底值，投入使用后，在正常工况下，每年监测1次，全年共监测</w:t>
      </w:r>
      <w:r>
        <w:rPr>
          <w:rFonts w:hint="default" w:ascii="Arial" w:hAnsi="Arial" w:eastAsia="宋体" w:cs="Arial"/>
          <w:color w:val="auto"/>
          <w:highlight w:val="none"/>
          <w:lang w:val="en-US" w:eastAsia="zh-CN"/>
        </w:rPr>
        <w:t>1</w:t>
      </w:r>
      <w:r>
        <w:rPr>
          <w:rFonts w:hint="default" w:ascii="Arial" w:hAnsi="Arial" w:eastAsia="宋体" w:cs="Arial"/>
          <w:color w:val="auto"/>
          <w:highlight w:val="none"/>
        </w:rPr>
        <w:t>次。发生事故后应加密监测，每周监测1次，直到污染消除。</w:t>
      </w:r>
    </w:p>
    <w:p>
      <w:pPr>
        <w:ind w:firstLine="480"/>
        <w:rPr>
          <w:rFonts w:hint="default" w:ascii="Arial" w:hAnsi="Arial" w:eastAsia="宋体" w:cs="Arial"/>
          <w:color w:val="auto"/>
          <w:highlight w:val="none"/>
        </w:rPr>
      </w:pPr>
      <w:r>
        <w:rPr>
          <w:rFonts w:hint="default" w:ascii="Arial" w:hAnsi="Arial" w:eastAsia="宋体" w:cs="Arial"/>
          <w:color w:val="auto"/>
          <w:highlight w:val="none"/>
        </w:rPr>
        <w:t>4、监测因子：根据场内污染物分析，污染源产生的污水特征，确定地下水监测项目为：</w:t>
      </w:r>
      <w:r>
        <w:rPr>
          <w:rFonts w:hint="default" w:ascii="Arial" w:hAnsi="Arial" w:eastAsia="宋体" w:cs="Arial"/>
          <w:color w:val="auto"/>
          <w:kern w:val="0"/>
          <w:szCs w:val="21"/>
          <w:highlight w:val="none"/>
        </w:rPr>
        <w:t>pH、总硬度、耗氧量、硫酸盐、氯化物、硝酸盐、氨氮、亚硝酸盐、挥发性酚类、氰化物、氟、溶解性总固体、六价铬、砷、汞、铅、镉、铁、锰、</w:t>
      </w:r>
      <w:r>
        <w:rPr>
          <w:rFonts w:hint="default" w:ascii="Arial" w:hAnsi="Arial" w:eastAsia="宋体" w:cs="Arial"/>
          <w:color w:val="auto"/>
          <w:kern w:val="0"/>
          <w:szCs w:val="21"/>
          <w:highlight w:val="none"/>
          <w:lang w:eastAsia="zh-CN"/>
        </w:rPr>
        <w:t>菌落总数</w:t>
      </w:r>
      <w:r>
        <w:rPr>
          <w:rFonts w:hint="default" w:ascii="Arial" w:hAnsi="Arial" w:eastAsia="宋体" w:cs="Arial"/>
          <w:color w:val="auto"/>
          <w:kern w:val="0"/>
          <w:szCs w:val="21"/>
          <w:highlight w:val="none"/>
        </w:rPr>
        <w:t>、总大肠菌群共21项目，</w:t>
      </w:r>
      <w:r>
        <w:rPr>
          <w:rFonts w:hint="default" w:ascii="Arial" w:hAnsi="Arial" w:eastAsia="宋体" w:cs="Arial"/>
          <w:color w:val="auto"/>
          <w:highlight w:val="none"/>
        </w:rPr>
        <w:t>执行《地下水质量标准》（GB/T14848-2017）Ⅲ类标准。</w:t>
      </w:r>
    </w:p>
    <w:p>
      <w:pPr>
        <w:ind w:firstLine="480"/>
        <w:rPr>
          <w:rFonts w:hint="default" w:ascii="Arial" w:hAnsi="Arial" w:eastAsia="宋体" w:cs="Arial"/>
          <w:color w:val="auto"/>
          <w:highlight w:val="none"/>
        </w:rPr>
      </w:pPr>
      <w:r>
        <w:rPr>
          <w:rFonts w:hint="default" w:ascii="Arial" w:hAnsi="Arial" w:eastAsia="宋体" w:cs="Arial"/>
          <w:color w:val="auto"/>
          <w:highlight w:val="none"/>
        </w:rPr>
        <w:t>上述监测的结果应按项目有关规定及时建立档案，并抄送生态环境主管部门，对于常规检测数据应该进行公开，特别是对项目所在区域的居民公开，满足法律中关于知情权的要求。发现污染和水质恶化时，要及时进行处理，开展系统调查，并上报有关部门。</w:t>
      </w:r>
    </w:p>
    <w:p>
      <w:pPr>
        <w:pStyle w:val="7"/>
        <w:rPr>
          <w:rFonts w:hint="default" w:ascii="Arial" w:hAnsi="Arial" w:eastAsia="宋体" w:cs="Arial"/>
          <w:color w:val="auto"/>
          <w:highlight w:val="none"/>
        </w:rPr>
      </w:pPr>
      <w:r>
        <w:rPr>
          <w:rFonts w:hint="default" w:ascii="Arial" w:hAnsi="Arial" w:eastAsia="宋体" w:cs="Arial"/>
          <w:color w:val="auto"/>
          <w:highlight w:val="none"/>
        </w:rPr>
        <w:t>7.4.2.4应急响应措施</w:t>
      </w:r>
    </w:p>
    <w:p>
      <w:pPr>
        <w:ind w:firstLine="480"/>
        <w:rPr>
          <w:rFonts w:hint="default" w:ascii="Arial" w:hAnsi="Arial" w:eastAsia="宋体" w:cs="Arial"/>
          <w:color w:val="auto"/>
          <w:highlight w:val="none"/>
        </w:rPr>
      </w:pPr>
      <w:r>
        <w:rPr>
          <w:rFonts w:hint="default" w:ascii="Arial" w:hAnsi="Arial" w:eastAsia="宋体" w:cs="Arial"/>
          <w:color w:val="auto"/>
          <w:highlight w:val="none"/>
        </w:rPr>
        <w:t>一旦发现地下水污染事故，立即启动应急预案、采取应急措施控制地下水污染，并使污染得到治理。</w:t>
      </w:r>
    </w:p>
    <w:p>
      <w:pPr>
        <w:ind w:firstLine="480"/>
        <w:rPr>
          <w:rFonts w:hint="default" w:ascii="Arial" w:hAnsi="Arial" w:eastAsia="宋体" w:cs="Arial"/>
          <w:color w:val="auto"/>
          <w:highlight w:val="none"/>
        </w:rPr>
      </w:pPr>
      <w:r>
        <w:rPr>
          <w:rFonts w:hint="default" w:ascii="Arial" w:hAnsi="Arial" w:eastAsia="宋体" w:cs="Arial"/>
          <w:color w:val="auto"/>
          <w:highlight w:val="none"/>
        </w:rPr>
        <w:t>1）在突发地下水污染事故情况下，建议采取以下应急管理措施，以保护地下水环境：</w:t>
      </w:r>
    </w:p>
    <w:p>
      <w:pPr>
        <w:ind w:firstLine="480"/>
        <w:rPr>
          <w:rFonts w:hint="default" w:ascii="Arial" w:hAnsi="Arial" w:eastAsia="宋体" w:cs="Arial"/>
          <w:color w:val="auto"/>
          <w:highlight w:val="none"/>
        </w:rPr>
      </w:pPr>
      <w:r>
        <w:rPr>
          <w:rFonts w:hint="default" w:ascii="Arial" w:hAnsi="Arial" w:eastAsia="宋体" w:cs="Arial"/>
          <w:color w:val="auto"/>
          <w:highlight w:val="none"/>
        </w:rPr>
        <w:t>2）立即启动应急预案；</w:t>
      </w:r>
    </w:p>
    <w:p>
      <w:pPr>
        <w:ind w:firstLine="480"/>
        <w:rPr>
          <w:rFonts w:hint="default" w:ascii="Arial" w:hAnsi="Arial" w:eastAsia="宋体" w:cs="Arial"/>
          <w:color w:val="auto"/>
          <w:highlight w:val="none"/>
        </w:rPr>
      </w:pPr>
      <w:r>
        <w:rPr>
          <w:rFonts w:hint="default" w:ascii="Arial" w:hAnsi="Arial" w:eastAsia="宋体" w:cs="Arial"/>
          <w:color w:val="auto"/>
          <w:highlight w:val="none"/>
        </w:rPr>
        <w:t>3）查明并切断污染源。</w:t>
      </w:r>
    </w:p>
    <w:p>
      <w:pPr>
        <w:ind w:firstLine="480"/>
        <w:rPr>
          <w:rFonts w:hint="default" w:ascii="Arial" w:hAnsi="Arial" w:eastAsia="宋体" w:cs="Arial"/>
          <w:color w:val="auto"/>
          <w:highlight w:val="none"/>
        </w:rPr>
      </w:pPr>
      <w:r>
        <w:rPr>
          <w:rFonts w:hint="default" w:ascii="Arial" w:hAnsi="Arial" w:eastAsia="宋体" w:cs="Arial"/>
          <w:color w:val="auto"/>
          <w:highlight w:val="none"/>
        </w:rPr>
        <w:t>4）查明地下水污染深度、范围和程度；</w:t>
      </w:r>
    </w:p>
    <w:p>
      <w:pPr>
        <w:ind w:firstLine="480"/>
        <w:rPr>
          <w:rFonts w:hint="default" w:ascii="Arial" w:hAnsi="Arial" w:eastAsia="宋体" w:cs="Arial"/>
          <w:color w:val="auto"/>
          <w:highlight w:val="none"/>
        </w:rPr>
      </w:pPr>
      <w:r>
        <w:rPr>
          <w:rFonts w:hint="default" w:ascii="Arial" w:hAnsi="Arial" w:eastAsia="宋体" w:cs="Arial"/>
          <w:color w:val="auto"/>
          <w:highlight w:val="none"/>
        </w:rPr>
        <w:t>5）依据查明的地下水污染情况，合理布置浅井，并进行试抽水工作；</w:t>
      </w:r>
    </w:p>
    <w:p>
      <w:pPr>
        <w:ind w:firstLine="480"/>
        <w:rPr>
          <w:rFonts w:hint="default" w:ascii="Arial" w:hAnsi="Arial" w:eastAsia="宋体" w:cs="Arial"/>
          <w:color w:val="auto"/>
          <w:highlight w:val="none"/>
        </w:rPr>
      </w:pPr>
      <w:r>
        <w:rPr>
          <w:rFonts w:hint="default" w:ascii="Arial" w:hAnsi="Arial" w:eastAsia="宋体" w:cs="Arial"/>
          <w:color w:val="auto"/>
          <w:highlight w:val="none"/>
        </w:rPr>
        <w:t>6）依据抽水设计方案进行施工，抽出被污染的地下水体；</w:t>
      </w:r>
    </w:p>
    <w:p>
      <w:pPr>
        <w:ind w:firstLine="480"/>
        <w:rPr>
          <w:rFonts w:hint="default" w:ascii="Arial" w:hAnsi="Arial" w:eastAsia="宋体" w:cs="Arial"/>
          <w:color w:val="auto"/>
          <w:highlight w:val="none"/>
        </w:rPr>
      </w:pPr>
      <w:r>
        <w:rPr>
          <w:rFonts w:hint="default" w:ascii="Arial" w:hAnsi="Arial" w:eastAsia="宋体" w:cs="Arial"/>
          <w:color w:val="auto"/>
          <w:highlight w:val="none"/>
        </w:rPr>
        <w:t>7）将抽出的地下水进行集中收集处理，并送实验室进行化验分析；</w:t>
      </w:r>
    </w:p>
    <w:p>
      <w:pPr>
        <w:ind w:firstLine="480"/>
        <w:rPr>
          <w:rFonts w:hint="default" w:ascii="Arial" w:hAnsi="Arial" w:eastAsia="宋体" w:cs="Arial"/>
          <w:color w:val="auto"/>
          <w:highlight w:val="none"/>
        </w:rPr>
      </w:pPr>
      <w:r>
        <w:rPr>
          <w:rFonts w:hint="default" w:ascii="Arial" w:hAnsi="Arial" w:eastAsia="宋体" w:cs="Arial"/>
          <w:color w:val="auto"/>
          <w:highlight w:val="none"/>
        </w:rPr>
        <w:t>8）监测孔中的主要污染物浓度满足《地下水质量标准（GB/T14848-93）》相关级别标准后，逐步停止抽水，并进行土壤修复治理工作。</w:t>
      </w:r>
    </w:p>
    <w:p>
      <w:pPr>
        <w:ind w:firstLine="480"/>
        <w:rPr>
          <w:rFonts w:hint="default" w:ascii="Arial" w:hAnsi="Arial" w:eastAsia="宋体" w:cs="Arial"/>
          <w:color w:val="auto"/>
          <w:highlight w:val="none"/>
        </w:rPr>
      </w:pPr>
      <w:r>
        <w:rPr>
          <w:rFonts w:hint="default" w:ascii="Arial" w:hAnsi="Arial" w:eastAsia="宋体" w:cs="Arial"/>
          <w:color w:val="auto"/>
          <w:highlight w:val="none"/>
        </w:rPr>
        <w:t>应急管理建议：</w:t>
      </w:r>
    </w:p>
    <w:p>
      <w:pPr>
        <w:ind w:firstLine="480"/>
        <w:rPr>
          <w:rFonts w:hint="default" w:ascii="Arial" w:hAnsi="Arial" w:eastAsia="宋体" w:cs="Arial"/>
          <w:color w:val="auto"/>
          <w:highlight w:val="none"/>
        </w:rPr>
      </w:pPr>
      <w:r>
        <w:rPr>
          <w:rFonts w:hint="default" w:ascii="Arial" w:hAnsi="Arial" w:eastAsia="宋体" w:cs="Arial"/>
          <w:color w:val="auto"/>
          <w:highlight w:val="none"/>
        </w:rPr>
        <w:t>1）由于地下水污染具有不易发现和一旦污染很难治理的特点，因此地下水污染防控应遵循源头控制、防止渗漏、污染监测和事故应急处理的主动和被动防渗相结合的原则进行。</w:t>
      </w:r>
    </w:p>
    <w:p>
      <w:pPr>
        <w:ind w:firstLine="480"/>
        <w:rPr>
          <w:rFonts w:hint="default" w:ascii="Arial" w:hAnsi="Arial" w:eastAsia="宋体" w:cs="Arial"/>
          <w:color w:val="auto"/>
          <w:highlight w:val="none"/>
        </w:rPr>
      </w:pPr>
      <w:r>
        <w:rPr>
          <w:rFonts w:hint="default" w:ascii="Arial" w:hAnsi="Arial" w:eastAsia="宋体" w:cs="Arial"/>
          <w:color w:val="auto"/>
          <w:highlight w:val="none"/>
        </w:rPr>
        <w:t>2）地下水污染状况勘察是一项专业性很强的工作，一旦发生污染事故，应委托具有水文地质勘察资质的单位以水文地质工作为基础开展地下水污染勘察工作。</w:t>
      </w:r>
    </w:p>
    <w:p>
      <w:pPr>
        <w:ind w:firstLine="480"/>
        <w:rPr>
          <w:rFonts w:hint="default" w:ascii="Arial" w:hAnsi="Arial" w:eastAsia="宋体" w:cs="Arial"/>
          <w:color w:val="auto"/>
          <w:highlight w:val="none"/>
        </w:rPr>
      </w:pPr>
      <w:r>
        <w:rPr>
          <w:rFonts w:hint="default" w:ascii="Arial" w:hAnsi="Arial" w:eastAsia="宋体" w:cs="Arial"/>
          <w:color w:val="auto"/>
          <w:highlight w:val="none"/>
        </w:rPr>
        <w:t>3）在具体的地下水污染治理中，往往需要多种技术结合使用。一般在治理初期，先使用物理法或水动力控制法将污染区封闭，然后尽量收集污水，最后再使用抽出处理法或原位法进行治理。</w:t>
      </w:r>
    </w:p>
    <w:p>
      <w:pPr>
        <w:ind w:firstLine="480"/>
        <w:rPr>
          <w:rFonts w:hint="default" w:ascii="Arial" w:hAnsi="Arial" w:eastAsia="宋体" w:cs="Arial"/>
          <w:color w:val="auto"/>
          <w:highlight w:val="none"/>
        </w:rPr>
      </w:pPr>
      <w:r>
        <w:rPr>
          <w:rFonts w:hint="default" w:ascii="Arial" w:hAnsi="Arial" w:eastAsia="宋体" w:cs="Arial"/>
          <w:color w:val="auto"/>
          <w:highlight w:val="none"/>
        </w:rPr>
        <w:t>4）地下水污染修复的同时还须进行受污染岩土的修复。地下水接受包气带的入渗补给，赋存与含水层岩土的孔隙中，地下水中的物质受岩土的控制，因此避免地下水与岩土的交叉污染，使地下水的治理行之有效，需要进行污染岩土的修复。</w:t>
      </w:r>
    </w:p>
    <w:p>
      <w:pPr>
        <w:pStyle w:val="6"/>
        <w:rPr>
          <w:rFonts w:hint="default" w:ascii="Arial" w:hAnsi="Arial" w:eastAsia="宋体" w:cs="Arial"/>
          <w:color w:val="auto"/>
          <w:highlight w:val="none"/>
        </w:rPr>
      </w:pPr>
      <w:bookmarkStart w:id="501" w:name="_Toc41476844"/>
      <w:bookmarkStart w:id="502" w:name="_Toc18052"/>
      <w:r>
        <w:rPr>
          <w:rFonts w:hint="default" w:ascii="Arial" w:hAnsi="Arial" w:eastAsia="宋体" w:cs="Arial"/>
          <w:color w:val="auto"/>
          <w:highlight w:val="none"/>
        </w:rPr>
        <w:t>7.4.3措施可行性</w:t>
      </w:r>
      <w:bookmarkEnd w:id="501"/>
      <w:bookmarkEnd w:id="502"/>
    </w:p>
    <w:p>
      <w:pPr>
        <w:ind w:firstLine="480"/>
        <w:rPr>
          <w:rFonts w:hint="default" w:ascii="Arial" w:hAnsi="Arial" w:eastAsia="宋体" w:cs="Arial"/>
          <w:color w:val="auto"/>
          <w:highlight w:val="none"/>
        </w:rPr>
      </w:pPr>
      <w:r>
        <w:rPr>
          <w:rFonts w:hint="default" w:ascii="Arial" w:hAnsi="Arial" w:eastAsia="宋体" w:cs="Arial"/>
          <w:color w:val="auto"/>
          <w:highlight w:val="none"/>
        </w:rPr>
        <w:t>本报告中涉及到的地下水环境保护管理措施有构建地下水监测网、局部防渗等，其中：</w:t>
      </w:r>
    </w:p>
    <w:p>
      <w:pPr>
        <w:ind w:firstLine="480"/>
        <w:rPr>
          <w:rFonts w:hint="default" w:ascii="Arial" w:hAnsi="Arial" w:eastAsia="宋体" w:cs="Arial"/>
          <w:color w:val="auto"/>
          <w:highlight w:val="none"/>
        </w:rPr>
      </w:pPr>
      <w:r>
        <w:rPr>
          <w:rFonts w:hint="default" w:ascii="Arial" w:hAnsi="Arial" w:eastAsia="宋体" w:cs="Arial"/>
          <w:color w:val="auto"/>
          <w:highlight w:val="none"/>
        </w:rPr>
        <w:t>（1）地下水监测孔及地下防渗措施的建设，可以依据国家相关标准实施，如《危险废物填埋污染控制标准》和《地下水环境监测技术规范》等。</w:t>
      </w:r>
    </w:p>
    <w:p>
      <w:pPr>
        <w:ind w:firstLine="480"/>
        <w:rPr>
          <w:rFonts w:hint="default" w:ascii="Arial" w:hAnsi="Arial" w:eastAsia="宋体" w:cs="Arial"/>
          <w:color w:val="auto"/>
          <w:highlight w:val="none"/>
        </w:rPr>
      </w:pPr>
      <w:r>
        <w:rPr>
          <w:rFonts w:hint="default" w:ascii="Arial" w:hAnsi="Arial" w:eastAsia="宋体" w:cs="Arial"/>
          <w:color w:val="auto"/>
          <w:highlight w:val="none"/>
        </w:rPr>
        <w:t>（2）监测孔的建设费、维护费和水质测试费、防渗材料的购置与铺设等费用是环境保护措施中的预算之一，建设单位应按预算执行。</w:t>
      </w:r>
    </w:p>
    <w:p>
      <w:pPr>
        <w:ind w:firstLine="480"/>
        <w:rPr>
          <w:rFonts w:hint="default" w:ascii="Arial" w:hAnsi="Arial" w:eastAsia="宋体" w:cs="Arial"/>
          <w:color w:val="auto"/>
          <w:highlight w:val="none"/>
        </w:rPr>
      </w:pPr>
      <w:r>
        <w:rPr>
          <w:rFonts w:hint="default" w:ascii="Arial" w:hAnsi="Arial" w:eastAsia="宋体" w:cs="Arial"/>
          <w:color w:val="auto"/>
          <w:highlight w:val="none"/>
        </w:rPr>
        <w:t>上述分析可知，项目对地下水污染进行了严格的预防措施，不会造成污染物下渗到地下水中造成污染，本次评价提出的地下水环境保护管理措施具有可行性。</w:t>
      </w:r>
    </w:p>
    <w:p>
      <w:pPr>
        <w:pStyle w:val="5"/>
        <w:rPr>
          <w:rFonts w:hint="default" w:ascii="Arial" w:hAnsi="Arial" w:eastAsia="宋体" w:cs="Arial"/>
          <w:color w:val="auto"/>
          <w:highlight w:val="none"/>
        </w:rPr>
      </w:pPr>
      <w:bookmarkStart w:id="503" w:name="_Toc2016"/>
      <w:r>
        <w:rPr>
          <w:rFonts w:hint="default" w:ascii="Arial" w:hAnsi="Arial" w:eastAsia="宋体" w:cs="Arial"/>
          <w:color w:val="auto"/>
          <w:highlight w:val="none"/>
        </w:rPr>
        <w:t>7.5运营期土壤环境防治措施</w:t>
      </w:r>
      <w:bookmarkEnd w:id="503"/>
    </w:p>
    <w:p>
      <w:pPr>
        <w:ind w:firstLine="480"/>
        <w:rPr>
          <w:rFonts w:hint="default" w:ascii="Arial" w:hAnsi="Arial" w:eastAsia="宋体" w:cs="Arial"/>
          <w:color w:val="auto"/>
          <w:highlight w:val="none"/>
        </w:rPr>
      </w:pPr>
      <w:r>
        <w:rPr>
          <w:rFonts w:hint="default" w:ascii="Arial" w:hAnsi="Arial" w:eastAsia="宋体" w:cs="Arial"/>
          <w:color w:val="auto"/>
          <w:highlight w:val="none"/>
        </w:rPr>
        <w:t>根据《环境影响评价技术导则土壤环境（试行）》（HJ964-2018）的要求，土壤污染防治措施主要包括源头控制措施、过程控制措施。</w:t>
      </w:r>
    </w:p>
    <w:p>
      <w:pPr>
        <w:pStyle w:val="6"/>
        <w:rPr>
          <w:rFonts w:hint="default" w:ascii="Arial" w:hAnsi="Arial" w:eastAsia="宋体" w:cs="Arial"/>
          <w:color w:val="auto"/>
          <w:highlight w:val="none"/>
        </w:rPr>
      </w:pPr>
      <w:bookmarkStart w:id="504" w:name="_Toc10083"/>
      <w:r>
        <w:rPr>
          <w:rFonts w:hint="default" w:ascii="Arial" w:hAnsi="Arial" w:eastAsia="宋体" w:cs="Arial"/>
          <w:color w:val="auto"/>
          <w:highlight w:val="none"/>
        </w:rPr>
        <w:t>7.5.1源头控制措施</w:t>
      </w:r>
      <w:bookmarkEnd w:id="504"/>
    </w:p>
    <w:p>
      <w:pPr>
        <w:ind w:firstLine="480"/>
        <w:rPr>
          <w:rFonts w:hint="default" w:ascii="Arial" w:hAnsi="Arial" w:eastAsia="宋体" w:cs="Arial"/>
          <w:color w:val="auto"/>
          <w:highlight w:val="none"/>
        </w:rPr>
      </w:pPr>
      <w:r>
        <w:rPr>
          <w:rFonts w:hint="default" w:ascii="Arial" w:hAnsi="Arial" w:eastAsia="宋体" w:cs="Arial"/>
          <w:color w:val="auto"/>
          <w:highlight w:val="none"/>
        </w:rPr>
        <w:t>本项目土壤污染源头控制措施主要是减少项目废气、废水、固废等污染物的产生及排放量。本环评报告主要提出如下措施：</w:t>
      </w:r>
    </w:p>
    <w:p>
      <w:pPr>
        <w:ind w:firstLine="480"/>
        <w:rPr>
          <w:rFonts w:hint="default" w:ascii="Arial" w:hAnsi="Arial" w:eastAsia="宋体" w:cs="Arial"/>
          <w:color w:val="auto"/>
          <w:highlight w:val="none"/>
        </w:rPr>
      </w:pPr>
      <w:r>
        <w:rPr>
          <w:rFonts w:hint="default" w:ascii="Arial" w:hAnsi="Arial" w:eastAsia="宋体" w:cs="Arial"/>
          <w:color w:val="auto"/>
          <w:highlight w:val="none"/>
        </w:rPr>
        <w:t>（1）做好雨污分流工作。建设单位在运营过程中定期对</w:t>
      </w:r>
      <w:r>
        <w:rPr>
          <w:rFonts w:hint="default" w:ascii="Arial" w:hAnsi="Arial" w:eastAsia="宋体" w:cs="Arial"/>
          <w:color w:val="auto"/>
          <w:highlight w:val="none"/>
          <w:lang w:eastAsia="zh-CN"/>
        </w:rPr>
        <w:t>堆肥场</w:t>
      </w:r>
      <w:r>
        <w:rPr>
          <w:rFonts w:hint="default" w:ascii="Arial" w:hAnsi="Arial" w:eastAsia="宋体" w:cs="Arial"/>
          <w:color w:val="auto"/>
          <w:highlight w:val="none"/>
        </w:rPr>
        <w:t>、</w:t>
      </w:r>
      <w:r>
        <w:rPr>
          <w:rFonts w:hint="default" w:ascii="Arial" w:hAnsi="Arial" w:eastAsia="宋体" w:cs="Arial"/>
          <w:color w:val="auto"/>
          <w:highlight w:val="none"/>
          <w:lang w:eastAsia="zh-CN"/>
        </w:rPr>
        <w:t>化粪池</w:t>
      </w:r>
      <w:r>
        <w:rPr>
          <w:rFonts w:hint="default" w:ascii="Arial" w:hAnsi="Arial" w:eastAsia="宋体" w:cs="Arial"/>
          <w:color w:val="auto"/>
          <w:highlight w:val="none"/>
        </w:rPr>
        <w:t>等进行检查，确保正常运行，从源头上减少污染物的非正常排放量。</w:t>
      </w:r>
    </w:p>
    <w:p>
      <w:pPr>
        <w:ind w:firstLine="480"/>
        <w:rPr>
          <w:rFonts w:hint="default" w:ascii="Arial" w:hAnsi="Arial" w:eastAsia="宋体" w:cs="Arial"/>
          <w:color w:val="auto"/>
          <w:highlight w:val="none"/>
        </w:rPr>
      </w:pPr>
      <w:r>
        <w:rPr>
          <w:rFonts w:hint="default" w:ascii="Arial" w:hAnsi="Arial" w:eastAsia="宋体" w:cs="Arial"/>
          <w:color w:val="auto"/>
          <w:highlight w:val="none"/>
        </w:rPr>
        <w:t>（2）企业应加强对粪污治理措施的管理和维护，确保各污染物达标排放，有效减少废水污染物通过沉降进入土壤的量。</w:t>
      </w:r>
    </w:p>
    <w:p>
      <w:pPr>
        <w:ind w:firstLine="480"/>
        <w:rPr>
          <w:rFonts w:hint="default" w:ascii="Arial" w:hAnsi="Arial" w:eastAsia="宋体" w:cs="Arial"/>
          <w:color w:val="auto"/>
          <w:highlight w:val="none"/>
        </w:rPr>
      </w:pPr>
      <w:r>
        <w:rPr>
          <w:rFonts w:hint="default" w:ascii="Arial" w:hAnsi="Arial" w:eastAsia="宋体" w:cs="Arial"/>
          <w:color w:val="auto"/>
          <w:highlight w:val="none"/>
        </w:rPr>
        <w:t>（3）企业应采用先进的养殖工艺，减少固废的产生量，并提高固废的综合利用率，减少固废的堆存量。</w:t>
      </w:r>
    </w:p>
    <w:p>
      <w:pPr>
        <w:pStyle w:val="6"/>
        <w:rPr>
          <w:rFonts w:hint="default" w:ascii="Arial" w:hAnsi="Arial" w:eastAsia="宋体" w:cs="Arial"/>
          <w:color w:val="auto"/>
          <w:highlight w:val="none"/>
        </w:rPr>
      </w:pPr>
      <w:bookmarkStart w:id="505" w:name="_Toc16199"/>
      <w:r>
        <w:rPr>
          <w:rFonts w:hint="default" w:ascii="Arial" w:hAnsi="Arial" w:eastAsia="宋体" w:cs="Arial"/>
          <w:color w:val="auto"/>
          <w:highlight w:val="none"/>
        </w:rPr>
        <w:t>7.5.2过程控制措施</w:t>
      </w:r>
      <w:bookmarkEnd w:id="505"/>
    </w:p>
    <w:p>
      <w:pPr>
        <w:ind w:firstLine="480"/>
        <w:rPr>
          <w:rFonts w:hint="default" w:ascii="Arial" w:hAnsi="Arial" w:eastAsia="宋体" w:cs="Arial"/>
          <w:color w:val="auto"/>
          <w:highlight w:val="none"/>
        </w:rPr>
      </w:pPr>
      <w:r>
        <w:rPr>
          <w:rFonts w:hint="default" w:ascii="Arial" w:hAnsi="Arial" w:eastAsia="宋体" w:cs="Arial"/>
          <w:color w:val="auto"/>
          <w:highlight w:val="none"/>
        </w:rPr>
        <w:t>项目针对土壤污染的途径提出相应的过程控制措施：</w:t>
      </w:r>
    </w:p>
    <w:p>
      <w:pPr>
        <w:ind w:firstLine="480"/>
        <w:rPr>
          <w:rFonts w:hint="default" w:ascii="Arial" w:hAnsi="Arial" w:eastAsia="宋体" w:cs="Arial"/>
          <w:color w:val="auto"/>
          <w:highlight w:val="none"/>
        </w:rPr>
      </w:pPr>
      <w:r>
        <w:rPr>
          <w:rFonts w:hint="default" w:ascii="Arial" w:hAnsi="Arial" w:eastAsia="宋体" w:cs="Arial"/>
          <w:color w:val="auto"/>
          <w:highlight w:val="none"/>
        </w:rPr>
        <w:t>企业应在占地范围内采取绿化措施，以种植具有较强吸附能力的植物为主，加大对废气污染物的吸附量，减少最终进入土壤的污染物量，从而减小对土壤的污染。</w:t>
      </w:r>
    </w:p>
    <w:p>
      <w:pPr>
        <w:pStyle w:val="6"/>
        <w:rPr>
          <w:rFonts w:hint="default" w:ascii="Arial" w:hAnsi="Arial" w:eastAsia="宋体" w:cs="Arial"/>
          <w:color w:val="auto"/>
          <w:highlight w:val="none"/>
        </w:rPr>
      </w:pPr>
      <w:bookmarkStart w:id="506" w:name="_Toc28868"/>
      <w:r>
        <w:rPr>
          <w:rFonts w:hint="default" w:ascii="Arial" w:hAnsi="Arial" w:eastAsia="宋体" w:cs="Arial"/>
          <w:color w:val="auto"/>
          <w:highlight w:val="none"/>
        </w:rPr>
        <w:t>7.5.3末端控制措施</w:t>
      </w:r>
      <w:bookmarkEnd w:id="506"/>
    </w:p>
    <w:p>
      <w:pPr>
        <w:ind w:firstLine="480"/>
        <w:rPr>
          <w:rFonts w:hint="default" w:ascii="Arial" w:hAnsi="Arial" w:eastAsia="宋体" w:cs="Arial"/>
          <w:color w:val="auto"/>
          <w:highlight w:val="none"/>
        </w:rPr>
      </w:pPr>
      <w:r>
        <w:rPr>
          <w:rFonts w:hint="default" w:ascii="Arial" w:hAnsi="Arial" w:eastAsia="宋体" w:cs="Arial"/>
          <w:color w:val="auto"/>
          <w:highlight w:val="none"/>
        </w:rPr>
        <w:t>末端控制采取分区防渗原则，主要包括对重点防渗区（包括危险废物暂存间）场底及周围进行防渗措施，使其渗透系数小于1.0×10</w:t>
      </w:r>
      <w:r>
        <w:rPr>
          <w:rFonts w:hint="default" w:ascii="Arial" w:hAnsi="Arial" w:eastAsia="宋体" w:cs="Arial"/>
          <w:color w:val="auto"/>
          <w:highlight w:val="none"/>
          <w:vertAlign w:val="superscript"/>
        </w:rPr>
        <w:t>-10</w:t>
      </w:r>
      <w:r>
        <w:rPr>
          <w:rFonts w:hint="default" w:ascii="Arial" w:hAnsi="Arial" w:eastAsia="宋体" w:cs="Arial"/>
          <w:color w:val="auto"/>
          <w:highlight w:val="none"/>
        </w:rPr>
        <w:t>cm/s，防止渗滤液污染物渗入地下。</w:t>
      </w:r>
    </w:p>
    <w:p>
      <w:pPr>
        <w:pStyle w:val="6"/>
        <w:rPr>
          <w:rFonts w:hint="default" w:ascii="Arial" w:hAnsi="Arial" w:eastAsia="宋体" w:cs="Arial"/>
          <w:color w:val="auto"/>
          <w:highlight w:val="none"/>
        </w:rPr>
      </w:pPr>
      <w:bookmarkStart w:id="507" w:name="_Toc7036"/>
      <w:r>
        <w:rPr>
          <w:rFonts w:hint="default" w:ascii="Arial" w:hAnsi="Arial" w:eastAsia="宋体" w:cs="Arial"/>
          <w:color w:val="auto"/>
          <w:highlight w:val="none"/>
        </w:rPr>
        <w:t>7.5.</w:t>
      </w:r>
      <w:r>
        <w:rPr>
          <w:rFonts w:hint="default" w:ascii="Arial" w:hAnsi="Arial" w:eastAsia="宋体" w:cs="Arial"/>
          <w:color w:val="auto"/>
          <w:highlight w:val="none"/>
          <w:lang w:val="en-US" w:eastAsia="zh-CN"/>
        </w:rPr>
        <w:t>4</w:t>
      </w:r>
      <w:r>
        <w:rPr>
          <w:rFonts w:hint="default" w:ascii="Arial" w:hAnsi="Arial" w:eastAsia="宋体" w:cs="Arial"/>
          <w:color w:val="auto"/>
          <w:highlight w:val="none"/>
        </w:rPr>
        <w:t>应急响应措施</w:t>
      </w:r>
      <w:bookmarkEnd w:id="507"/>
    </w:p>
    <w:p>
      <w:pPr>
        <w:ind w:firstLine="480"/>
        <w:rPr>
          <w:rFonts w:hint="default" w:ascii="Arial" w:hAnsi="Arial" w:eastAsia="宋体" w:cs="Arial"/>
          <w:color w:val="auto"/>
          <w:highlight w:val="none"/>
        </w:rPr>
      </w:pPr>
      <w:r>
        <w:rPr>
          <w:rFonts w:hint="default" w:ascii="Arial" w:hAnsi="Arial" w:eastAsia="宋体" w:cs="Arial"/>
          <w:color w:val="auto"/>
          <w:highlight w:val="none"/>
        </w:rPr>
        <w:t>一旦发现土壤污染事故，立即采取应急措施控制土壤、地下水污染，并使污染得到治理。</w:t>
      </w:r>
    </w:p>
    <w:p>
      <w:pPr>
        <w:pStyle w:val="5"/>
        <w:rPr>
          <w:rFonts w:hint="default" w:ascii="Arial" w:hAnsi="Arial" w:eastAsia="宋体" w:cs="Arial"/>
          <w:color w:val="auto"/>
          <w:highlight w:val="none"/>
        </w:rPr>
      </w:pPr>
      <w:bookmarkStart w:id="508" w:name="_Toc494206376"/>
      <w:bookmarkStart w:id="509" w:name="_Toc530642993"/>
      <w:bookmarkStart w:id="510" w:name="_Toc7607"/>
      <w:r>
        <w:rPr>
          <w:rFonts w:hint="default" w:ascii="Arial" w:hAnsi="Arial" w:eastAsia="宋体" w:cs="Arial"/>
          <w:color w:val="auto"/>
          <w:highlight w:val="none"/>
        </w:rPr>
        <w:t>7.6运营期声环境防治措施</w:t>
      </w:r>
      <w:bookmarkEnd w:id="508"/>
      <w:bookmarkEnd w:id="509"/>
      <w:bookmarkEnd w:id="510"/>
    </w:p>
    <w:p>
      <w:pPr>
        <w:ind w:firstLine="480"/>
        <w:rPr>
          <w:rFonts w:hint="default" w:ascii="Arial" w:hAnsi="Arial" w:eastAsia="宋体" w:cs="Arial"/>
          <w:color w:val="auto"/>
          <w:highlight w:val="none"/>
        </w:rPr>
      </w:pPr>
      <w:r>
        <w:rPr>
          <w:rFonts w:hint="default" w:ascii="Arial" w:hAnsi="Arial" w:eastAsia="宋体" w:cs="Arial"/>
          <w:color w:val="auto"/>
          <w:highlight w:val="none"/>
        </w:rPr>
        <w:t>本项目实施后，</w:t>
      </w:r>
      <w:r>
        <w:rPr>
          <w:rFonts w:hint="default" w:ascii="Arial" w:hAnsi="Arial" w:eastAsia="宋体" w:cs="Arial"/>
          <w:color w:val="auto"/>
          <w:szCs w:val="24"/>
          <w:highlight w:val="none"/>
        </w:rPr>
        <w:t>产生噪声源主要来源于牛群叫声、牛舍排气扇以及TMR日粮搅拌机、水泵、出入场区车辆产生的噪声等</w:t>
      </w:r>
      <w:r>
        <w:rPr>
          <w:rFonts w:hint="default" w:ascii="Arial" w:hAnsi="Arial" w:eastAsia="宋体" w:cs="Arial"/>
          <w:color w:val="auto"/>
          <w:highlight w:val="none"/>
        </w:rPr>
        <w:t>。为了减轻各类噪声对工人操作环境和周围声环境影响，因此本项目应加强噪声的治理工作，主要从设备选型、阻隔传播途径和受声者保护三方面入手。</w:t>
      </w:r>
    </w:p>
    <w:p>
      <w:pPr>
        <w:ind w:firstLine="480"/>
        <w:rPr>
          <w:rFonts w:hint="default" w:ascii="Arial" w:hAnsi="Arial" w:eastAsia="宋体" w:cs="Arial"/>
          <w:color w:val="auto"/>
          <w:highlight w:val="none"/>
        </w:rPr>
      </w:pPr>
      <w:r>
        <w:rPr>
          <w:rFonts w:hint="default" w:ascii="Arial" w:hAnsi="Arial" w:eastAsia="宋体" w:cs="Arial"/>
          <w:color w:val="auto"/>
          <w:highlight w:val="none"/>
        </w:rPr>
        <w:t>①优先选用低噪声设备，对强噪声设备如水泵和风机等采取减振、隔声措施。水泵和风机等均放单独的房间内，采用隔声门窗或双层玻璃。</w:t>
      </w:r>
    </w:p>
    <w:p>
      <w:pPr>
        <w:ind w:firstLine="480"/>
        <w:rPr>
          <w:rFonts w:hint="default" w:ascii="Arial" w:hAnsi="Arial" w:eastAsia="宋体" w:cs="Arial"/>
          <w:color w:val="auto"/>
          <w:highlight w:val="none"/>
        </w:rPr>
      </w:pPr>
      <w:r>
        <w:rPr>
          <w:rFonts w:hint="default" w:ascii="Arial" w:hAnsi="Arial" w:eastAsia="宋体" w:cs="Arial"/>
          <w:color w:val="auto"/>
          <w:highlight w:val="none"/>
        </w:rPr>
        <w:t>②牛舍内安装的降温排风扇应安装牢固，并加减震圈（垫），减轻噪声对操作人员及牛只的危害和影响。</w:t>
      </w:r>
    </w:p>
    <w:p>
      <w:pPr>
        <w:ind w:firstLine="480"/>
        <w:rPr>
          <w:rFonts w:hint="default" w:ascii="Arial" w:hAnsi="Arial" w:eastAsia="宋体" w:cs="Arial"/>
          <w:color w:val="auto"/>
          <w:highlight w:val="none"/>
        </w:rPr>
      </w:pPr>
      <w:r>
        <w:rPr>
          <w:rFonts w:hint="default" w:ascii="Arial" w:hAnsi="Arial" w:eastAsia="宋体" w:cs="Arial"/>
          <w:color w:val="auto"/>
          <w:highlight w:val="none"/>
        </w:rPr>
        <w:t>③</w:t>
      </w:r>
      <w:r>
        <w:rPr>
          <w:rFonts w:hint="default" w:ascii="Arial" w:hAnsi="Arial" w:eastAsia="宋体" w:cs="Arial"/>
          <w:color w:val="auto"/>
          <w:highlight w:val="none"/>
          <w:lang w:eastAsia="zh-CN"/>
        </w:rPr>
        <w:t>养殖</w:t>
      </w:r>
      <w:r>
        <w:rPr>
          <w:rFonts w:hint="default" w:ascii="Arial" w:hAnsi="Arial" w:eastAsia="宋体" w:cs="Arial"/>
          <w:color w:val="auto"/>
          <w:highlight w:val="none"/>
        </w:rPr>
        <w:t>场场界设围墙，建隔离带，降噪林，经过生态林降噪和距离衰减后厂界噪声可满足《工业企业厂界环境噪声排放标准》（GB12348-2008）2类区排放限值；周边居民点可满足</w:t>
      </w:r>
      <w:r>
        <w:rPr>
          <w:rFonts w:hint="default" w:ascii="Arial" w:hAnsi="Arial" w:eastAsia="宋体" w:cs="Arial"/>
          <w:snapToGrid w:val="0"/>
          <w:color w:val="auto"/>
          <w:kern w:val="0"/>
          <w:highlight w:val="none"/>
        </w:rPr>
        <w:t>《声环境质量标准》（GB3096-2008）2类标准。</w:t>
      </w:r>
    </w:p>
    <w:p>
      <w:pPr>
        <w:ind w:firstLine="480"/>
        <w:rPr>
          <w:rFonts w:hint="default" w:ascii="Arial" w:hAnsi="Arial" w:eastAsia="宋体" w:cs="Arial"/>
          <w:color w:val="auto"/>
          <w:highlight w:val="none"/>
        </w:rPr>
      </w:pPr>
      <w:r>
        <w:rPr>
          <w:rFonts w:hint="default" w:ascii="Arial" w:hAnsi="Arial" w:eastAsia="宋体" w:cs="Arial"/>
          <w:color w:val="auto"/>
          <w:highlight w:val="none"/>
        </w:rPr>
        <w:t>④根据生产实际情况，合理调度汽车运输；优化运输路线，使运输路线尽量选择距离居民敏感点较远、地域较开阔的地段。</w:t>
      </w:r>
    </w:p>
    <w:p>
      <w:pPr>
        <w:ind w:firstLine="480"/>
        <w:rPr>
          <w:rFonts w:hint="default" w:ascii="Arial" w:hAnsi="Arial" w:eastAsia="宋体" w:cs="Arial"/>
          <w:color w:val="auto"/>
          <w:highlight w:val="none"/>
        </w:rPr>
      </w:pPr>
      <w:r>
        <w:rPr>
          <w:rFonts w:hint="default" w:ascii="Arial" w:hAnsi="Arial" w:eastAsia="宋体" w:cs="Arial"/>
          <w:color w:val="auto"/>
          <w:highlight w:val="none"/>
        </w:rPr>
        <w:t>⑤运输车辆应做到缓速行驶，减少鸣笛或尽量避免鸣笛来减少运输车辆进入牛场对周围声环境的影响。</w:t>
      </w:r>
    </w:p>
    <w:p>
      <w:pPr>
        <w:ind w:firstLine="480"/>
        <w:rPr>
          <w:rFonts w:hint="default" w:ascii="Arial" w:hAnsi="Arial" w:eastAsia="宋体" w:cs="Arial"/>
          <w:color w:val="auto"/>
          <w:highlight w:val="none"/>
        </w:rPr>
      </w:pPr>
      <w:r>
        <w:rPr>
          <w:rFonts w:hint="default" w:ascii="Arial" w:hAnsi="Arial" w:eastAsia="宋体" w:cs="Arial"/>
          <w:color w:val="auto"/>
          <w:highlight w:val="none"/>
        </w:rPr>
        <w:t>⑥货物运输车辆在村庄、牛场门前做到不鸣或少鸣笛，以减轻交通噪声对外环境的影响。货物运输车辆夜间在途经村庄或在场界内时禁止鸣笛。</w:t>
      </w:r>
    </w:p>
    <w:p>
      <w:pPr>
        <w:ind w:firstLine="480"/>
        <w:rPr>
          <w:rFonts w:hint="default" w:ascii="Arial" w:hAnsi="Arial" w:eastAsia="宋体" w:cs="Arial"/>
          <w:color w:val="auto"/>
          <w:highlight w:val="none"/>
        </w:rPr>
      </w:pPr>
      <w:r>
        <w:rPr>
          <w:rFonts w:hint="default" w:ascii="Arial" w:hAnsi="Arial" w:eastAsia="宋体" w:cs="Arial"/>
          <w:color w:val="auto"/>
          <w:highlight w:val="none"/>
        </w:rPr>
        <w:t>在采取上述有效的防治措施后，项目</w:t>
      </w:r>
      <w:r>
        <w:rPr>
          <w:rFonts w:hint="default" w:ascii="Arial" w:hAnsi="Arial" w:eastAsia="宋体" w:cs="Arial"/>
          <w:color w:val="auto"/>
          <w:highlight w:val="none"/>
          <w:lang w:eastAsia="zh-CN"/>
        </w:rPr>
        <w:t>养殖</w:t>
      </w:r>
      <w:r>
        <w:rPr>
          <w:rFonts w:hint="default" w:ascii="Arial" w:hAnsi="Arial" w:eastAsia="宋体" w:cs="Arial"/>
          <w:color w:val="auto"/>
          <w:highlight w:val="none"/>
        </w:rPr>
        <w:t>场界噪声可达到《工业企业厂界环境噪声排放标准》（GB12348-2008）中的2类标准，产噪设备对周围声环境影响较小。</w:t>
      </w:r>
    </w:p>
    <w:p>
      <w:pPr>
        <w:pStyle w:val="5"/>
        <w:rPr>
          <w:rFonts w:hint="default" w:ascii="Arial" w:hAnsi="Arial" w:eastAsia="宋体" w:cs="Arial"/>
          <w:color w:val="auto"/>
          <w:highlight w:val="none"/>
        </w:rPr>
      </w:pPr>
      <w:bookmarkStart w:id="511" w:name="_Toc530642994"/>
      <w:bookmarkStart w:id="512" w:name="_Toc4111"/>
      <w:r>
        <w:rPr>
          <w:rFonts w:hint="default" w:ascii="Arial" w:hAnsi="Arial" w:eastAsia="宋体" w:cs="Arial"/>
          <w:color w:val="auto"/>
          <w:highlight w:val="none"/>
        </w:rPr>
        <w:t>7.7运营期固体废物污染防治措施</w:t>
      </w:r>
      <w:bookmarkEnd w:id="511"/>
      <w:bookmarkEnd w:id="512"/>
    </w:p>
    <w:p>
      <w:pPr>
        <w:ind w:firstLine="480"/>
        <w:rPr>
          <w:rFonts w:hint="default" w:ascii="Arial" w:hAnsi="Arial" w:eastAsia="宋体" w:cs="Arial"/>
          <w:color w:val="auto"/>
          <w:highlight w:val="none"/>
        </w:rPr>
      </w:pPr>
      <w:r>
        <w:rPr>
          <w:rFonts w:hint="default" w:ascii="Arial" w:hAnsi="Arial" w:eastAsia="宋体" w:cs="Arial"/>
          <w:color w:val="auto"/>
          <w:highlight w:val="none"/>
        </w:rPr>
        <w:t>本项目固体废物的处理将遵循环境健康风险预防、安全无害以及固体废物“减量化、资源化、无害化及生态化”的原则进行，有效的解决集约化养殖场的环境污染问题，达到变废为宝、化害为利、综合利用的目的。</w:t>
      </w:r>
    </w:p>
    <w:p>
      <w:pPr>
        <w:pStyle w:val="6"/>
        <w:rPr>
          <w:rFonts w:hint="default" w:ascii="Arial" w:hAnsi="Arial" w:eastAsia="宋体" w:cs="Arial"/>
          <w:color w:val="auto"/>
          <w:highlight w:val="none"/>
        </w:rPr>
      </w:pPr>
      <w:bookmarkStart w:id="513" w:name="_Toc3420"/>
      <w:r>
        <w:rPr>
          <w:rFonts w:hint="default" w:ascii="Arial" w:hAnsi="Arial" w:eastAsia="宋体" w:cs="Arial"/>
          <w:color w:val="auto"/>
          <w:highlight w:val="none"/>
        </w:rPr>
        <w:t>7.7.1固体废物处置合理性分析</w:t>
      </w:r>
      <w:bookmarkEnd w:id="513"/>
    </w:p>
    <w:p>
      <w:pPr>
        <w:ind w:firstLine="480"/>
        <w:rPr>
          <w:rFonts w:hint="default" w:ascii="Arial" w:hAnsi="Arial" w:eastAsia="宋体" w:cs="Arial"/>
          <w:color w:val="auto"/>
          <w:highlight w:val="none"/>
        </w:rPr>
      </w:pPr>
      <w:r>
        <w:rPr>
          <w:rFonts w:hint="default" w:ascii="Arial" w:hAnsi="Arial" w:eastAsia="宋体" w:cs="Arial"/>
          <w:color w:val="auto"/>
          <w:highlight w:val="none"/>
        </w:rPr>
        <w:t>本项目产生的固废物主要是</w:t>
      </w:r>
      <w:r>
        <w:rPr>
          <w:rFonts w:hint="default" w:ascii="Arial" w:hAnsi="Arial" w:eastAsia="宋体" w:cs="Arial"/>
          <w:color w:val="auto"/>
          <w:highlight w:val="none"/>
          <w:lang w:eastAsia="zh-CN"/>
        </w:rPr>
        <w:t>牛粪便</w:t>
      </w:r>
      <w:r>
        <w:rPr>
          <w:rFonts w:hint="default" w:ascii="Arial" w:hAnsi="Arial" w:eastAsia="宋体" w:cs="Arial"/>
          <w:color w:val="auto"/>
          <w:highlight w:val="none"/>
        </w:rPr>
        <w:t>、</w:t>
      </w:r>
      <w:r>
        <w:rPr>
          <w:rFonts w:hint="default" w:ascii="Arial" w:hAnsi="Arial" w:eastAsia="宋体" w:cs="Arial"/>
          <w:color w:val="auto"/>
          <w:highlight w:val="none"/>
          <w:lang w:eastAsia="zh-CN"/>
        </w:rPr>
        <w:t>病死牛</w:t>
      </w:r>
      <w:r>
        <w:rPr>
          <w:rFonts w:hint="default" w:ascii="Arial" w:hAnsi="Arial" w:eastAsia="宋体" w:cs="Arial"/>
          <w:color w:val="auto"/>
          <w:highlight w:val="none"/>
        </w:rPr>
        <w:t>、医疗废物</w:t>
      </w:r>
      <w:r>
        <w:rPr>
          <w:rFonts w:hint="default" w:ascii="Arial" w:hAnsi="Arial" w:eastAsia="宋体" w:cs="Arial"/>
          <w:color w:val="auto"/>
          <w:highlight w:val="none"/>
          <w:lang w:eastAsia="zh-CN"/>
        </w:rPr>
        <w:t>、生活垃圾</w:t>
      </w:r>
      <w:r>
        <w:rPr>
          <w:rFonts w:hint="default" w:ascii="Arial" w:hAnsi="Arial" w:eastAsia="宋体" w:cs="Arial"/>
          <w:color w:val="auto"/>
          <w:highlight w:val="none"/>
        </w:rPr>
        <w:t>等。</w:t>
      </w:r>
    </w:p>
    <w:p>
      <w:pPr>
        <w:ind w:firstLine="480"/>
        <w:rPr>
          <w:rFonts w:hint="default" w:ascii="Arial" w:hAnsi="Arial" w:eastAsia="宋体" w:cs="Arial"/>
          <w:color w:val="auto"/>
          <w:highlight w:val="none"/>
          <w:lang w:eastAsia="zh-CN"/>
        </w:rPr>
      </w:pPr>
      <w:r>
        <w:rPr>
          <w:rFonts w:hint="default" w:ascii="Arial" w:hAnsi="Arial" w:eastAsia="宋体" w:cs="Arial"/>
          <w:color w:val="auto"/>
          <w:highlight w:val="none"/>
          <w:lang w:eastAsia="zh-CN"/>
        </w:rPr>
        <w:t>（</w:t>
      </w:r>
      <w:r>
        <w:rPr>
          <w:rFonts w:hint="default" w:ascii="Arial" w:hAnsi="Arial" w:eastAsia="宋体" w:cs="Arial"/>
          <w:color w:val="auto"/>
          <w:highlight w:val="none"/>
          <w:lang w:val="en-US" w:eastAsia="zh-CN"/>
        </w:rPr>
        <w:t>1</w:t>
      </w:r>
      <w:r>
        <w:rPr>
          <w:rFonts w:hint="default" w:ascii="Arial" w:hAnsi="Arial" w:eastAsia="宋体" w:cs="Arial"/>
          <w:color w:val="auto"/>
          <w:highlight w:val="none"/>
          <w:lang w:eastAsia="zh-CN"/>
        </w:rPr>
        <w:t>）牛粪便</w:t>
      </w:r>
    </w:p>
    <w:p>
      <w:pPr>
        <w:ind w:firstLine="480"/>
        <w:rPr>
          <w:rFonts w:hint="default" w:ascii="Arial" w:hAnsi="Arial" w:eastAsia="宋体" w:cs="Arial"/>
          <w:color w:val="auto"/>
          <w:highlight w:val="none"/>
        </w:rPr>
      </w:pPr>
      <w:r>
        <w:rPr>
          <w:rFonts w:hint="default" w:ascii="Arial" w:hAnsi="Arial" w:eastAsia="宋体" w:cs="Arial"/>
          <w:color w:val="auto"/>
          <w:highlight w:val="none"/>
          <w:lang w:eastAsia="zh-CN"/>
        </w:rPr>
        <w:t>肉牛粪便</w:t>
      </w:r>
      <w:r>
        <w:rPr>
          <w:rFonts w:hint="default" w:ascii="Arial" w:hAnsi="Arial" w:eastAsia="宋体" w:cs="Arial"/>
          <w:color w:val="auto"/>
          <w:highlight w:val="none"/>
        </w:rPr>
        <w:t>中含有大量的有机物和丰富的氮、磷、钾等营养物质，是农业可持续发展的宝贵资源。项目采用干清粪工艺</w:t>
      </w:r>
      <w:r>
        <w:rPr>
          <w:rFonts w:hint="default" w:ascii="Arial" w:hAnsi="Arial" w:eastAsia="宋体" w:cs="Arial"/>
          <w:color w:val="auto"/>
          <w:highlight w:val="none"/>
          <w:lang w:eastAsia="zh-CN"/>
        </w:rPr>
        <w:t>，牛粪便</w:t>
      </w:r>
      <w:r>
        <w:rPr>
          <w:rFonts w:hint="default" w:ascii="Arial" w:hAnsi="Arial" w:eastAsia="宋体" w:cs="Arial"/>
          <w:color w:val="auto"/>
          <w:highlight w:val="none"/>
        </w:rPr>
        <w:t>经</w:t>
      </w:r>
      <w:r>
        <w:rPr>
          <w:rFonts w:hint="default" w:ascii="Arial" w:hAnsi="Arial" w:eastAsia="宋体" w:cs="Arial"/>
          <w:color w:val="auto"/>
          <w:highlight w:val="none"/>
          <w:lang w:eastAsia="zh-CN"/>
        </w:rPr>
        <w:t>堆肥场储存并堆肥</w:t>
      </w:r>
      <w:r>
        <w:rPr>
          <w:rFonts w:hint="default" w:ascii="Arial" w:hAnsi="Arial" w:eastAsia="宋体" w:cs="Arial"/>
          <w:color w:val="auto"/>
          <w:highlight w:val="none"/>
        </w:rPr>
        <w:t>后，是优良的农家肥，富含有机质、氮磷钾及植物生长及果实形成所需的各种中、微量元素，且</w:t>
      </w:r>
      <w:r>
        <w:rPr>
          <w:rFonts w:hint="default" w:ascii="Arial" w:hAnsi="Arial" w:eastAsia="宋体" w:cs="Arial"/>
          <w:color w:val="auto"/>
          <w:highlight w:val="none"/>
          <w:lang w:eastAsia="zh-CN"/>
        </w:rPr>
        <w:t>牛粪便</w:t>
      </w:r>
      <w:r>
        <w:rPr>
          <w:rFonts w:hint="default" w:ascii="Arial" w:hAnsi="Arial" w:eastAsia="宋体" w:cs="Arial"/>
          <w:color w:val="auto"/>
          <w:highlight w:val="none"/>
        </w:rPr>
        <w:t>含有各类氨基酸、维生素、蛋白质、赤酶素、生长素、糖类、核酸等，可以促进植物的生长。</w:t>
      </w:r>
    </w:p>
    <w:p>
      <w:pPr>
        <w:ind w:firstLine="480"/>
        <w:rPr>
          <w:rFonts w:hint="default" w:ascii="Arial" w:hAnsi="Arial" w:eastAsia="宋体" w:cs="Arial"/>
          <w:color w:val="auto"/>
          <w:highlight w:val="none"/>
        </w:rPr>
      </w:pPr>
      <w:r>
        <w:rPr>
          <w:rFonts w:hint="default" w:ascii="Arial" w:hAnsi="Arial" w:eastAsia="宋体" w:cs="Arial"/>
          <w:color w:val="auto"/>
          <w:highlight w:val="none"/>
        </w:rPr>
        <w:t>本项目养殖场产生的</w:t>
      </w:r>
      <w:r>
        <w:rPr>
          <w:rFonts w:hint="default" w:ascii="Arial" w:hAnsi="Arial" w:eastAsia="宋体" w:cs="Arial"/>
          <w:color w:val="auto"/>
          <w:highlight w:val="none"/>
          <w:lang w:eastAsia="zh-CN"/>
        </w:rPr>
        <w:t>牛粪便</w:t>
      </w:r>
      <w:r>
        <w:rPr>
          <w:rFonts w:hint="default" w:ascii="Arial" w:hAnsi="Arial" w:eastAsia="宋体" w:cs="Arial"/>
          <w:color w:val="auto"/>
          <w:highlight w:val="none"/>
        </w:rPr>
        <w:t>经</w:t>
      </w:r>
      <w:r>
        <w:rPr>
          <w:rFonts w:hint="default" w:ascii="Arial" w:hAnsi="Arial" w:eastAsia="宋体" w:cs="Arial"/>
          <w:color w:val="auto"/>
          <w:highlight w:val="none"/>
          <w:lang w:eastAsia="zh-CN"/>
        </w:rPr>
        <w:t>堆肥场储存并堆肥</w:t>
      </w:r>
      <w:r>
        <w:rPr>
          <w:rFonts w:hint="default" w:ascii="Arial" w:hAnsi="Arial" w:eastAsia="宋体" w:cs="Arial"/>
          <w:color w:val="auto"/>
          <w:highlight w:val="none"/>
        </w:rPr>
        <w:t>后，作为有机肥还田利用。减少</w:t>
      </w:r>
      <w:r>
        <w:rPr>
          <w:rFonts w:hint="default" w:ascii="Arial" w:hAnsi="Arial" w:eastAsia="宋体" w:cs="Arial"/>
          <w:color w:val="auto"/>
          <w:highlight w:val="none"/>
          <w:lang w:eastAsia="zh-CN"/>
        </w:rPr>
        <w:t>牛粪便</w:t>
      </w:r>
      <w:r>
        <w:rPr>
          <w:rFonts w:hint="default" w:ascii="Arial" w:hAnsi="Arial" w:eastAsia="宋体" w:cs="Arial"/>
          <w:color w:val="auto"/>
          <w:highlight w:val="none"/>
        </w:rPr>
        <w:t>在堆肥间的堆存时间，及时翻堆将其发酵生产</w:t>
      </w:r>
      <w:r>
        <w:rPr>
          <w:rFonts w:hint="default" w:ascii="Arial" w:hAnsi="Arial" w:eastAsia="宋体" w:cs="Arial"/>
          <w:color w:val="auto"/>
          <w:highlight w:val="none"/>
          <w:lang w:eastAsia="zh-CN"/>
        </w:rPr>
        <w:t>有机肥</w:t>
      </w:r>
      <w:r>
        <w:rPr>
          <w:rFonts w:hint="default" w:ascii="Arial" w:hAnsi="Arial" w:eastAsia="宋体" w:cs="Arial"/>
          <w:color w:val="auto"/>
          <w:highlight w:val="none"/>
        </w:rPr>
        <w:t>。上述处理方法可满足</w:t>
      </w:r>
      <w:r>
        <w:rPr>
          <w:rFonts w:hint="default" w:ascii="Arial" w:hAnsi="Arial" w:eastAsia="宋体" w:cs="Arial"/>
          <w:color w:val="auto"/>
          <w:highlight w:val="none"/>
          <w:lang w:eastAsia="zh-CN"/>
        </w:rPr>
        <w:t>牛粪便</w:t>
      </w:r>
      <w:r>
        <w:rPr>
          <w:rFonts w:hint="default" w:ascii="Arial" w:hAnsi="Arial" w:eastAsia="宋体" w:cs="Arial"/>
          <w:color w:val="auto"/>
          <w:highlight w:val="none"/>
        </w:rPr>
        <w:t>的无害化处理要求，经无害化堆肥后的产品可达《粪便无害化卫生标准》（GB7959-1987），处理处置措施合理可行。</w:t>
      </w:r>
    </w:p>
    <w:p>
      <w:pPr>
        <w:keepNext w:val="0"/>
        <w:keepLines w:val="0"/>
        <w:pageBreakBefore w:val="0"/>
        <w:widowControl w:val="0"/>
        <w:kinsoku/>
        <w:wordWrap/>
        <w:overflowPunct/>
        <w:topLinePunct/>
        <w:autoSpaceDE w:val="0"/>
        <w:autoSpaceDN/>
        <w:bidi w:val="0"/>
        <w:adjustRightInd/>
        <w:snapToGrid/>
        <w:spacing w:line="480" w:lineRule="exact"/>
        <w:ind w:firstLine="480"/>
        <w:rPr>
          <w:rFonts w:hint="default" w:ascii="Arial" w:hAnsi="Arial" w:eastAsia="宋体" w:cs="Arial"/>
          <w:color w:val="auto"/>
          <w:sz w:val="24"/>
          <w:szCs w:val="24"/>
          <w:highlight w:val="none"/>
        </w:rPr>
      </w:pPr>
      <w:r>
        <w:rPr>
          <w:rFonts w:hint="default" w:ascii="Arial" w:hAnsi="Arial" w:eastAsia="宋体" w:cs="Arial"/>
          <w:color w:val="auto"/>
          <w:sz w:val="24"/>
          <w:szCs w:val="24"/>
          <w:highlight w:val="none"/>
          <w:lang w:eastAsia="zh-CN"/>
        </w:rPr>
        <w:t>（</w:t>
      </w:r>
      <w:r>
        <w:rPr>
          <w:rFonts w:hint="default" w:ascii="Arial" w:hAnsi="Arial" w:eastAsia="宋体" w:cs="Arial"/>
          <w:color w:val="auto"/>
          <w:sz w:val="24"/>
          <w:szCs w:val="24"/>
          <w:highlight w:val="none"/>
          <w:lang w:val="en-US" w:eastAsia="zh-CN"/>
        </w:rPr>
        <w:t>2</w:t>
      </w:r>
      <w:r>
        <w:rPr>
          <w:rFonts w:hint="default" w:ascii="Arial" w:hAnsi="Arial" w:eastAsia="宋体" w:cs="Arial"/>
          <w:color w:val="auto"/>
          <w:sz w:val="24"/>
          <w:szCs w:val="24"/>
          <w:highlight w:val="none"/>
          <w:lang w:eastAsia="zh-CN"/>
        </w:rPr>
        <w:t>）</w:t>
      </w:r>
      <w:r>
        <w:rPr>
          <w:rFonts w:hint="default" w:ascii="Arial" w:hAnsi="Arial" w:eastAsia="宋体" w:cs="Arial"/>
          <w:color w:val="auto"/>
          <w:sz w:val="24"/>
          <w:szCs w:val="24"/>
          <w:highlight w:val="none"/>
        </w:rPr>
        <w:t>病死牛</w:t>
      </w:r>
    </w:p>
    <w:p>
      <w:pPr>
        <w:ind w:firstLine="480"/>
        <w:rPr>
          <w:rFonts w:hint="default" w:ascii="Arial" w:hAnsi="Arial" w:eastAsia="宋体" w:cs="Arial"/>
          <w:color w:val="auto"/>
          <w:highlight w:val="none"/>
        </w:rPr>
      </w:pPr>
      <w:r>
        <w:rPr>
          <w:rFonts w:hint="default" w:ascii="Arial" w:hAnsi="Arial" w:eastAsia="宋体" w:cs="Arial"/>
          <w:color w:val="auto"/>
          <w:highlight w:val="none"/>
        </w:rPr>
        <w:t>根据企业的养殖规范要求，兽医需随时关注全场牛群的身体健康状况，如出现单体牛得病的情况，兽医需进行跟踪，如在进行治疗后仍不能治愈，实施活体淘汰，将其送到当地的定点屠宰场进行处理，如通过检疫，则可屠宰，如不满足检疫要求，则按照相关规定进行处理；因此在饲养过程中出现的死畜一般为病情发展较快而死亡的牛</w:t>
      </w:r>
      <w:r>
        <w:rPr>
          <w:rFonts w:hint="eastAsia" w:ascii="Arial" w:hAnsi="Arial" w:cs="Arial"/>
          <w:color w:val="auto"/>
          <w:highlight w:val="none"/>
          <w:lang w:eastAsia="zh-CN"/>
        </w:rPr>
        <w:t>、</w:t>
      </w:r>
      <w:r>
        <w:rPr>
          <w:rFonts w:hint="default" w:ascii="Arial" w:hAnsi="Arial" w:eastAsia="宋体" w:cs="Arial"/>
          <w:color w:val="auto"/>
          <w:highlight w:val="none"/>
        </w:rPr>
        <w:t>死犊等，其中以体弱的犊牛死亡较为多见。养殖过程由于疾病等原因产生的</w:t>
      </w:r>
      <w:r>
        <w:rPr>
          <w:rFonts w:hint="default" w:ascii="Arial" w:hAnsi="Arial" w:eastAsia="宋体" w:cs="Arial"/>
          <w:color w:val="auto"/>
          <w:highlight w:val="none"/>
          <w:lang w:eastAsia="zh-CN"/>
        </w:rPr>
        <w:t>病死牛</w:t>
      </w:r>
      <w:r>
        <w:rPr>
          <w:rFonts w:hint="default" w:ascii="Arial" w:hAnsi="Arial" w:eastAsia="宋体" w:cs="Arial"/>
          <w:color w:val="auto"/>
          <w:highlight w:val="none"/>
        </w:rPr>
        <w:t>交由巴彦淖尔市绿之源生物技术发展有限公司进行无害化处理，当疫情发展严重时，立刻隔离病死畜牛舍，并将疫情上报农牧业局动物疫病预防控制中心请求援助，并根据</w:t>
      </w:r>
      <w:r>
        <w:rPr>
          <w:rFonts w:hint="default" w:ascii="Arial" w:hAnsi="Arial" w:eastAsia="宋体" w:cs="Arial"/>
          <w:color w:val="auto"/>
          <w:highlight w:val="none"/>
          <w:lang w:eastAsia="zh-CN"/>
        </w:rPr>
        <w:t>五原县</w:t>
      </w:r>
      <w:r>
        <w:rPr>
          <w:rFonts w:hint="default" w:ascii="Arial" w:hAnsi="Arial" w:eastAsia="宋体" w:cs="Arial"/>
          <w:color w:val="auto"/>
          <w:highlight w:val="none"/>
        </w:rPr>
        <w:t>农牧业局动物疫病预防控制中心指定方式指定地点指定方式处置病死畜。</w:t>
      </w:r>
    </w:p>
    <w:p>
      <w:pPr>
        <w:keepNext w:val="0"/>
        <w:keepLines w:val="0"/>
        <w:pageBreakBefore w:val="0"/>
        <w:widowControl w:val="0"/>
        <w:kinsoku/>
        <w:wordWrap/>
        <w:overflowPunct/>
        <w:topLinePunct/>
        <w:autoSpaceDE w:val="0"/>
        <w:autoSpaceDN/>
        <w:bidi w:val="0"/>
        <w:adjustRightInd/>
        <w:snapToGrid/>
        <w:spacing w:line="480" w:lineRule="exact"/>
        <w:ind w:firstLine="480"/>
        <w:textAlignment w:val="auto"/>
        <w:rPr>
          <w:rFonts w:hint="default" w:ascii="Arial" w:hAnsi="Arial" w:eastAsia="宋体" w:cs="Arial"/>
          <w:color w:val="auto"/>
          <w:sz w:val="24"/>
          <w:szCs w:val="24"/>
          <w:highlight w:val="none"/>
        </w:rPr>
      </w:pPr>
      <w:r>
        <w:rPr>
          <w:rFonts w:hint="default" w:ascii="Arial" w:hAnsi="Arial" w:eastAsia="宋体" w:cs="Arial"/>
          <w:color w:val="auto"/>
          <w:highlight w:val="none"/>
        </w:rPr>
        <w:t>巴彦淖尔市绿之源生物技术发展有限公司是一家集畜禽无害化处理、生物有机肥、动物油脂的销售于一体的公司，生产厂址在</w:t>
      </w:r>
      <w:r>
        <w:rPr>
          <w:rFonts w:hint="default" w:ascii="Arial" w:hAnsi="Arial" w:eastAsia="宋体" w:cs="Arial"/>
          <w:color w:val="auto"/>
          <w:highlight w:val="none"/>
          <w:lang w:eastAsia="zh-CN"/>
        </w:rPr>
        <w:t>乌拉特前旗</w:t>
      </w:r>
      <w:r>
        <w:rPr>
          <w:rFonts w:hint="default" w:ascii="Arial" w:hAnsi="Arial" w:eastAsia="宋体" w:cs="Arial"/>
          <w:color w:val="auto"/>
          <w:highlight w:val="none"/>
        </w:rPr>
        <w:t>穿沙公路51公里处盘古治沙基地一分场，年处理病害动物能力达到8760吨（日处理能力达到24吨），该公司采用“原料储存→预碎输出→高温高压化制灭菌→卸压及废气处理→烘干→榨油脱脂→冷却粉碎→除尘及相关废气处理→储料→称重打包”化制法进行动物尸体无害化处理，满足《畜禽养殖业污染治理工程技术规范》（HJ497-2009）、《畜禽养殖业污染防治技术规范》（HJ/T81-2001）、《病死及病害动物无害化处理技术规范》（农医发[2</w:t>
      </w:r>
      <w:r>
        <w:rPr>
          <w:rFonts w:hint="default" w:ascii="Arial" w:hAnsi="Arial" w:eastAsia="宋体" w:cs="Arial"/>
          <w:color w:val="auto"/>
          <w:sz w:val="24"/>
          <w:szCs w:val="24"/>
          <w:highlight w:val="none"/>
        </w:rPr>
        <w:t>017]25号）等相关规范要求，因此项目动物尸体交由巴彦淖尔市绿之源生物技术发展有限公司进行无害化处理是可行的。</w:t>
      </w:r>
    </w:p>
    <w:p>
      <w:pPr>
        <w:keepNext w:val="0"/>
        <w:keepLines w:val="0"/>
        <w:pageBreakBefore w:val="0"/>
        <w:widowControl w:val="0"/>
        <w:kinsoku/>
        <w:wordWrap/>
        <w:overflowPunct/>
        <w:topLinePunct/>
        <w:autoSpaceDE w:val="0"/>
        <w:autoSpaceDN/>
        <w:bidi w:val="0"/>
        <w:adjustRightInd/>
        <w:snapToGrid/>
        <w:spacing w:line="480" w:lineRule="exact"/>
        <w:ind w:firstLine="480" w:firstLineChars="200"/>
        <w:textAlignment w:val="auto"/>
        <w:rPr>
          <w:rFonts w:hint="default" w:ascii="Arial" w:hAnsi="Arial" w:eastAsia="宋体" w:cs="Arial"/>
          <w:color w:val="auto"/>
          <w:kern w:val="2"/>
          <w:sz w:val="24"/>
          <w:szCs w:val="24"/>
          <w:highlight w:val="none"/>
          <w:lang w:val="en-US" w:eastAsia="zh-CN" w:bidi="ar-SA"/>
        </w:rPr>
      </w:pPr>
      <w:r>
        <w:rPr>
          <w:rFonts w:hint="default" w:ascii="Arial" w:hAnsi="Arial" w:eastAsia="宋体" w:cs="Arial"/>
          <w:color w:val="auto"/>
          <w:kern w:val="2"/>
          <w:sz w:val="24"/>
          <w:szCs w:val="24"/>
          <w:highlight w:val="none"/>
          <w:lang w:val="en-US" w:eastAsia="zh-CN" w:bidi="ar-SA"/>
        </w:rPr>
        <w:t>冷藏间:</w:t>
      </w:r>
    </w:p>
    <w:p>
      <w:pPr>
        <w:keepNext w:val="0"/>
        <w:keepLines w:val="0"/>
        <w:pageBreakBefore w:val="0"/>
        <w:widowControl w:val="0"/>
        <w:kinsoku/>
        <w:wordWrap/>
        <w:overflowPunct/>
        <w:topLinePunct/>
        <w:autoSpaceDE w:val="0"/>
        <w:autoSpaceDN/>
        <w:bidi w:val="0"/>
        <w:adjustRightInd/>
        <w:snapToGrid/>
        <w:spacing w:line="480" w:lineRule="exact"/>
        <w:ind w:firstLine="480" w:firstLineChars="200"/>
        <w:textAlignment w:val="auto"/>
        <w:rPr>
          <w:rFonts w:hint="default" w:ascii="Arial" w:hAnsi="Arial" w:eastAsia="宋体" w:cs="Arial"/>
          <w:color w:val="auto"/>
          <w:kern w:val="2"/>
          <w:sz w:val="24"/>
          <w:szCs w:val="24"/>
          <w:highlight w:val="none"/>
          <w:lang w:val="en-US" w:eastAsia="zh-CN" w:bidi="ar-SA"/>
        </w:rPr>
      </w:pPr>
      <w:r>
        <w:rPr>
          <w:rFonts w:hint="default" w:ascii="Arial" w:hAnsi="Arial" w:eastAsia="宋体" w:cs="Arial"/>
          <w:color w:val="auto"/>
          <w:kern w:val="2"/>
          <w:sz w:val="24"/>
          <w:szCs w:val="24"/>
          <w:highlight w:val="none"/>
          <w:lang w:val="en-US" w:eastAsia="zh-CN" w:bidi="ar-SA"/>
        </w:rPr>
        <w:t>位于养殖区，</w:t>
      </w:r>
      <w:r>
        <w:rPr>
          <w:rFonts w:hint="default" w:ascii="Arial" w:hAnsi="Arial" w:eastAsia="宋体" w:cs="Arial"/>
          <w:color w:val="auto"/>
          <w:sz w:val="24"/>
          <w:szCs w:val="24"/>
          <w:highlight w:val="none"/>
          <w:lang w:val="en-US" w:eastAsia="zh-CN"/>
        </w:rPr>
        <w:t>1层砖混结构，</w:t>
      </w:r>
      <w:r>
        <w:rPr>
          <w:rFonts w:hint="default" w:ascii="Arial" w:hAnsi="Arial" w:eastAsia="宋体" w:cs="Arial"/>
          <w:color w:val="auto"/>
          <w:kern w:val="2"/>
          <w:sz w:val="24"/>
          <w:szCs w:val="24"/>
          <w:highlight w:val="none"/>
          <w:lang w:val="zh-CN" w:eastAsia="zh-CN" w:bidi="ar-SA"/>
        </w:rPr>
        <w:t>占地面积为</w:t>
      </w:r>
      <w:r>
        <w:rPr>
          <w:rFonts w:hint="default" w:ascii="Arial" w:hAnsi="Arial" w:eastAsia="宋体" w:cs="Arial"/>
          <w:color w:val="auto"/>
          <w:kern w:val="2"/>
          <w:sz w:val="24"/>
          <w:szCs w:val="24"/>
          <w:highlight w:val="none"/>
          <w:lang w:val="en-US" w:eastAsia="zh-CN" w:bidi="ar-SA"/>
        </w:rPr>
        <w:t>50m</w:t>
      </w:r>
      <w:r>
        <w:rPr>
          <w:rFonts w:hint="default" w:ascii="Arial" w:hAnsi="Arial" w:eastAsia="宋体" w:cs="Arial"/>
          <w:color w:val="auto"/>
          <w:kern w:val="2"/>
          <w:sz w:val="24"/>
          <w:szCs w:val="24"/>
          <w:highlight w:val="none"/>
          <w:vertAlign w:val="superscript"/>
          <w:lang w:val="en-US" w:eastAsia="zh-CN" w:bidi="ar-SA"/>
        </w:rPr>
        <w:t>2</w:t>
      </w:r>
      <w:r>
        <w:rPr>
          <w:rFonts w:hint="default" w:ascii="Arial" w:hAnsi="Arial" w:eastAsia="宋体" w:cs="Arial"/>
          <w:color w:val="auto"/>
          <w:kern w:val="2"/>
          <w:sz w:val="24"/>
          <w:szCs w:val="24"/>
          <w:highlight w:val="none"/>
          <w:lang w:val="en-US" w:eastAsia="zh-CN" w:bidi="ar-SA"/>
        </w:rPr>
        <w:t>，用于储存病死牛。</w:t>
      </w:r>
    </w:p>
    <w:p>
      <w:pPr>
        <w:keepNext w:val="0"/>
        <w:keepLines w:val="0"/>
        <w:pageBreakBefore w:val="0"/>
        <w:widowControl w:val="0"/>
        <w:kinsoku/>
        <w:wordWrap/>
        <w:overflowPunct/>
        <w:topLinePunct/>
        <w:autoSpaceDE w:val="0"/>
        <w:autoSpaceDN/>
        <w:bidi w:val="0"/>
        <w:adjustRightInd/>
        <w:snapToGrid/>
        <w:spacing w:line="480" w:lineRule="exact"/>
        <w:ind w:firstLine="480"/>
        <w:textAlignment w:val="auto"/>
        <w:rPr>
          <w:rFonts w:hint="default" w:ascii="Arial" w:hAnsi="Arial" w:eastAsia="宋体" w:cs="Arial"/>
          <w:color w:val="auto"/>
          <w:sz w:val="24"/>
          <w:szCs w:val="24"/>
          <w:highlight w:val="none"/>
          <w:lang w:eastAsia="zh-CN"/>
        </w:rPr>
      </w:pPr>
      <w:r>
        <w:rPr>
          <w:rFonts w:hint="default" w:ascii="Arial" w:hAnsi="Arial" w:eastAsia="宋体" w:cs="Arial"/>
          <w:color w:val="auto"/>
          <w:sz w:val="24"/>
          <w:szCs w:val="24"/>
          <w:highlight w:val="none"/>
          <w:lang w:eastAsia="zh-CN"/>
        </w:rPr>
        <w:t>地面</w:t>
      </w:r>
      <w:r>
        <w:rPr>
          <w:rFonts w:hint="default" w:ascii="Arial" w:hAnsi="Arial" w:eastAsia="宋体" w:cs="Arial"/>
          <w:color w:val="auto"/>
          <w:sz w:val="24"/>
          <w:szCs w:val="24"/>
          <w:highlight w:val="none"/>
          <w:lang w:val="en-US" w:eastAsia="zh-CN"/>
        </w:rPr>
        <w:t>选用PE膜+C25防渗混凝土，抗渗等级不小于P6级，</w:t>
      </w:r>
      <w:r>
        <w:rPr>
          <w:rFonts w:hint="default" w:ascii="Arial" w:hAnsi="Arial" w:eastAsia="宋体" w:cs="Arial"/>
          <w:color w:val="auto"/>
          <w:kern w:val="0"/>
          <w:sz w:val="24"/>
          <w:szCs w:val="24"/>
          <w:highlight w:val="none"/>
        </w:rPr>
        <w:t>渗透系数≤10</w:t>
      </w:r>
      <w:r>
        <w:rPr>
          <w:rFonts w:hint="default" w:ascii="Arial" w:hAnsi="Arial" w:eastAsia="宋体" w:cs="Arial"/>
          <w:color w:val="auto"/>
          <w:kern w:val="0"/>
          <w:sz w:val="24"/>
          <w:szCs w:val="24"/>
          <w:highlight w:val="none"/>
          <w:vertAlign w:val="superscript"/>
        </w:rPr>
        <w:t>-</w:t>
      </w:r>
      <w:r>
        <w:rPr>
          <w:rFonts w:hint="default" w:ascii="Arial" w:hAnsi="Arial" w:eastAsia="宋体" w:cs="Arial"/>
          <w:color w:val="auto"/>
          <w:kern w:val="0"/>
          <w:sz w:val="24"/>
          <w:szCs w:val="24"/>
          <w:highlight w:val="none"/>
          <w:vertAlign w:val="superscript"/>
          <w:lang w:val="en-US" w:eastAsia="zh-CN"/>
        </w:rPr>
        <w:t>7</w:t>
      </w:r>
      <w:r>
        <w:rPr>
          <w:rFonts w:hint="default" w:ascii="Arial" w:hAnsi="Arial" w:eastAsia="宋体" w:cs="Arial"/>
          <w:color w:val="auto"/>
          <w:kern w:val="0"/>
          <w:sz w:val="24"/>
          <w:szCs w:val="24"/>
          <w:highlight w:val="none"/>
        </w:rPr>
        <w:t>cm/s</w:t>
      </w:r>
      <w:r>
        <w:rPr>
          <w:rFonts w:hint="default" w:ascii="Arial" w:hAnsi="Arial" w:eastAsia="宋体" w:cs="Arial"/>
          <w:color w:val="auto"/>
          <w:kern w:val="2"/>
          <w:sz w:val="24"/>
          <w:szCs w:val="24"/>
          <w:highlight w:val="none"/>
          <w:lang w:val="en-US" w:eastAsia="zh-CN" w:bidi="ar-SA"/>
        </w:rPr>
        <w:t>。</w:t>
      </w:r>
    </w:p>
    <w:p>
      <w:pPr>
        <w:ind w:firstLine="480"/>
        <w:rPr>
          <w:rFonts w:hint="default" w:ascii="Arial" w:hAnsi="Arial" w:eastAsia="宋体" w:cs="Arial"/>
          <w:color w:val="auto"/>
          <w:highlight w:val="none"/>
        </w:rPr>
      </w:pPr>
      <w:r>
        <w:rPr>
          <w:rFonts w:hint="default" w:ascii="Arial" w:hAnsi="Arial" w:eastAsia="宋体" w:cs="Arial"/>
          <w:color w:val="auto"/>
          <w:highlight w:val="none"/>
          <w:lang w:eastAsia="zh-CN"/>
        </w:rPr>
        <w:t>（</w:t>
      </w:r>
      <w:r>
        <w:rPr>
          <w:rFonts w:hint="default" w:ascii="Arial" w:hAnsi="Arial" w:eastAsia="宋体" w:cs="Arial"/>
          <w:color w:val="auto"/>
          <w:highlight w:val="none"/>
          <w:lang w:val="en-US" w:eastAsia="zh-CN"/>
        </w:rPr>
        <w:t>3</w:t>
      </w:r>
      <w:r>
        <w:rPr>
          <w:rFonts w:hint="default" w:ascii="Arial" w:hAnsi="Arial" w:eastAsia="宋体" w:cs="Arial"/>
          <w:color w:val="auto"/>
          <w:highlight w:val="none"/>
          <w:lang w:eastAsia="zh-CN"/>
        </w:rPr>
        <w:t>）</w:t>
      </w:r>
      <w:r>
        <w:rPr>
          <w:rFonts w:hint="default" w:ascii="Arial" w:hAnsi="Arial" w:eastAsia="宋体" w:cs="Arial"/>
          <w:color w:val="auto"/>
          <w:highlight w:val="none"/>
        </w:rPr>
        <w:t>医疗废物</w:t>
      </w:r>
    </w:p>
    <w:p>
      <w:pPr>
        <w:ind w:firstLine="480"/>
        <w:rPr>
          <w:rFonts w:hint="default" w:ascii="Arial" w:hAnsi="Arial" w:eastAsia="宋体" w:cs="Arial"/>
          <w:color w:val="auto"/>
          <w:highlight w:val="none"/>
        </w:rPr>
      </w:pPr>
      <w:r>
        <w:rPr>
          <w:rFonts w:hint="default" w:ascii="Arial" w:hAnsi="Arial" w:eastAsia="宋体" w:cs="Arial"/>
          <w:color w:val="auto"/>
          <w:highlight w:val="none"/>
        </w:rPr>
        <w:t>医疗垃圾主要为一次性医疗用品及一次性医疗器械，携带有病原微生物，易引发感染性疾病的传播，属于感染性医疗废物，集中收集单独定点存放，根据《医疗废物管理条例》中的要求，医疗废物经危废暂存间医疗隔间临时储存后交由有医疗废物处理资质的单位进行集中清运、处理。</w:t>
      </w:r>
    </w:p>
    <w:p>
      <w:pPr>
        <w:keepNext w:val="0"/>
        <w:keepLines w:val="0"/>
        <w:pageBreakBefore w:val="0"/>
        <w:widowControl w:val="0"/>
        <w:kinsoku/>
        <w:wordWrap/>
        <w:overflowPunct/>
        <w:topLinePunct/>
        <w:autoSpaceDE w:val="0"/>
        <w:autoSpaceDN/>
        <w:bidi w:val="0"/>
        <w:adjustRightInd/>
        <w:snapToGrid/>
        <w:spacing w:line="480" w:lineRule="exact"/>
        <w:ind w:firstLine="480"/>
        <w:textAlignment w:val="auto"/>
        <w:rPr>
          <w:rFonts w:hint="default" w:ascii="Arial" w:hAnsi="Arial" w:eastAsia="宋体" w:cs="Arial"/>
          <w:color w:val="auto"/>
          <w:highlight w:val="none"/>
          <w:lang w:eastAsia="zh-CN"/>
        </w:rPr>
      </w:pPr>
      <w:r>
        <w:rPr>
          <w:rFonts w:hint="default" w:ascii="Arial" w:hAnsi="Arial" w:eastAsia="宋体" w:cs="Arial"/>
          <w:color w:val="auto"/>
          <w:highlight w:val="none"/>
        </w:rPr>
        <w:t>危险废物暂存间</w:t>
      </w:r>
      <w:r>
        <w:rPr>
          <w:rFonts w:hint="default" w:ascii="Arial" w:hAnsi="Arial" w:eastAsia="宋体" w:cs="Arial"/>
          <w:color w:val="auto"/>
          <w:highlight w:val="none"/>
          <w:lang w:eastAsia="zh-CN"/>
        </w:rPr>
        <w:t>：</w:t>
      </w:r>
    </w:p>
    <w:p>
      <w:pPr>
        <w:keepNext w:val="0"/>
        <w:keepLines w:val="0"/>
        <w:pageBreakBefore w:val="0"/>
        <w:widowControl w:val="0"/>
        <w:kinsoku/>
        <w:wordWrap/>
        <w:overflowPunct/>
        <w:topLinePunct/>
        <w:autoSpaceDE w:val="0"/>
        <w:autoSpaceDN/>
        <w:bidi w:val="0"/>
        <w:adjustRightInd/>
        <w:snapToGrid/>
        <w:spacing w:line="480" w:lineRule="exact"/>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项目危险废物暂存间面积设置为10m</w:t>
      </w:r>
      <w:r>
        <w:rPr>
          <w:rFonts w:hint="default" w:ascii="Arial" w:hAnsi="Arial" w:eastAsia="宋体" w:cs="Arial"/>
          <w:color w:val="auto"/>
          <w:highlight w:val="none"/>
          <w:vertAlign w:val="superscript"/>
        </w:rPr>
        <w:t>2</w:t>
      </w:r>
      <w:r>
        <w:rPr>
          <w:rFonts w:hint="default" w:ascii="Arial" w:hAnsi="Arial" w:eastAsia="宋体" w:cs="Arial"/>
          <w:color w:val="auto"/>
          <w:highlight w:val="none"/>
        </w:rPr>
        <w:t>，内部分隔为医疗废物暂存间及其他暂存间，危废暂存间建设按照《危险废物贮存污染控制标准》（GB18597-2001）、《医疗卫生机构医疗废物管理办法》和《危险废物污染防治技术政策》的要求设置。暂存间地面铺HDPE膜防渗，渗透系数</w:t>
      </w:r>
      <w:r>
        <w:rPr>
          <w:rFonts w:hint="default" w:ascii="Arial" w:hAnsi="Arial" w:eastAsia="宋体" w:cs="Arial"/>
          <w:color w:val="auto"/>
          <w:szCs w:val="21"/>
          <w:highlight w:val="none"/>
        </w:rPr>
        <w:t>小于</w:t>
      </w:r>
      <w:r>
        <w:rPr>
          <w:rFonts w:hint="default" w:ascii="Arial" w:hAnsi="Arial" w:eastAsia="宋体" w:cs="Arial"/>
          <w:color w:val="auto"/>
          <w:highlight w:val="none"/>
        </w:rPr>
        <w:t>1.0×10</w:t>
      </w:r>
      <w:r>
        <w:rPr>
          <w:rFonts w:hint="default" w:ascii="Arial" w:hAnsi="Arial" w:eastAsia="宋体" w:cs="Arial"/>
          <w:color w:val="auto"/>
          <w:highlight w:val="none"/>
          <w:vertAlign w:val="superscript"/>
        </w:rPr>
        <w:t>-10</w:t>
      </w:r>
      <w:r>
        <w:rPr>
          <w:rFonts w:hint="default" w:ascii="Arial" w:hAnsi="Arial" w:eastAsia="宋体" w:cs="Arial"/>
          <w:color w:val="auto"/>
          <w:highlight w:val="none"/>
        </w:rPr>
        <w:t>cm/s。暂存间的地面与裙脚要用坚固、防渗的材料建造，建筑材料必须与危险废物相容。常温下贮存期不得超过1天，于5</w:t>
      </w:r>
      <w:r>
        <w:rPr>
          <w:rFonts w:hint="default" w:ascii="Arial" w:hAnsi="Arial" w:eastAsia="宋体" w:cs="Arial"/>
          <w:color w:val="auto"/>
          <w:highlight w:val="none"/>
          <w:lang w:eastAsia="zh-CN"/>
        </w:rPr>
        <w:t>℃</w:t>
      </w:r>
      <w:r>
        <w:rPr>
          <w:rFonts w:hint="default" w:ascii="Arial" w:hAnsi="Arial" w:eastAsia="宋体" w:cs="Arial"/>
          <w:color w:val="auto"/>
          <w:highlight w:val="none"/>
        </w:rPr>
        <w:t>以下冷藏的，不得超过7天。危险废物垃圾集中收集暂存、转移委外处理过程中，建设单位须按照相关规定填报转移联单，做好台账。</w:t>
      </w:r>
    </w:p>
    <w:p>
      <w:pPr>
        <w:ind w:firstLine="480"/>
        <w:rPr>
          <w:rFonts w:hint="default" w:ascii="Arial" w:hAnsi="Arial" w:eastAsia="宋体" w:cs="Arial"/>
          <w:color w:val="auto"/>
          <w:highlight w:val="none"/>
        </w:rPr>
      </w:pPr>
      <w:r>
        <w:rPr>
          <w:rFonts w:hint="default" w:ascii="Arial" w:hAnsi="Arial" w:eastAsia="宋体" w:cs="Arial"/>
          <w:color w:val="auto"/>
          <w:highlight w:val="none"/>
          <w:lang w:eastAsia="zh-CN"/>
        </w:rPr>
        <w:t>（</w:t>
      </w:r>
      <w:r>
        <w:rPr>
          <w:rFonts w:hint="default" w:ascii="Arial" w:hAnsi="Arial" w:eastAsia="宋体" w:cs="Arial"/>
          <w:color w:val="auto"/>
          <w:highlight w:val="none"/>
          <w:lang w:val="en-US" w:eastAsia="zh-CN"/>
        </w:rPr>
        <w:t>4</w:t>
      </w:r>
      <w:r>
        <w:rPr>
          <w:rFonts w:hint="default" w:ascii="Arial" w:hAnsi="Arial" w:eastAsia="宋体" w:cs="Arial"/>
          <w:color w:val="auto"/>
          <w:highlight w:val="none"/>
          <w:lang w:eastAsia="zh-CN"/>
        </w:rPr>
        <w:t>）</w:t>
      </w:r>
      <w:r>
        <w:rPr>
          <w:rFonts w:hint="default" w:ascii="Arial" w:hAnsi="Arial" w:eastAsia="宋体" w:cs="Arial"/>
          <w:color w:val="auto"/>
          <w:highlight w:val="none"/>
        </w:rPr>
        <w:t>生活垃圾</w:t>
      </w:r>
    </w:p>
    <w:p>
      <w:pPr>
        <w:ind w:firstLine="480"/>
        <w:rPr>
          <w:rFonts w:hint="default" w:ascii="Arial" w:hAnsi="Arial" w:eastAsia="宋体" w:cs="Arial"/>
          <w:color w:val="auto"/>
          <w:highlight w:val="none"/>
        </w:rPr>
      </w:pPr>
      <w:r>
        <w:rPr>
          <w:rFonts w:hint="default" w:ascii="Arial" w:hAnsi="Arial" w:eastAsia="宋体" w:cs="Arial"/>
          <w:color w:val="auto"/>
          <w:highlight w:val="none"/>
        </w:rPr>
        <w:t>生活垃圾经分类收集后，定期清运至当地</w:t>
      </w:r>
      <w:r>
        <w:rPr>
          <w:rFonts w:hint="default" w:ascii="Arial" w:hAnsi="Arial" w:eastAsia="宋体" w:cs="Arial"/>
          <w:color w:val="auto"/>
          <w:highlight w:val="none"/>
          <w:lang w:eastAsia="zh-CN"/>
        </w:rPr>
        <w:t>环卫部门</w:t>
      </w:r>
      <w:r>
        <w:rPr>
          <w:rFonts w:hint="default" w:ascii="Arial" w:hAnsi="Arial" w:eastAsia="宋体" w:cs="Arial"/>
          <w:color w:val="auto"/>
          <w:highlight w:val="none"/>
        </w:rPr>
        <w:t>指定地点集中处置。</w:t>
      </w:r>
    </w:p>
    <w:p>
      <w:pPr>
        <w:ind w:firstLine="480"/>
        <w:rPr>
          <w:rFonts w:hint="default" w:ascii="Arial" w:hAnsi="Arial" w:eastAsia="宋体" w:cs="Arial"/>
          <w:color w:val="auto"/>
          <w:highlight w:val="none"/>
        </w:rPr>
      </w:pPr>
      <w:r>
        <w:rPr>
          <w:rFonts w:hint="default" w:ascii="Arial" w:hAnsi="Arial" w:eastAsia="宋体" w:cs="Arial"/>
          <w:color w:val="auto"/>
          <w:highlight w:val="none"/>
        </w:rPr>
        <w:t>根据以上的分析可知，本项目所采取的固体废物污染物防治措施是可行的。</w:t>
      </w:r>
    </w:p>
    <w:p>
      <w:pPr>
        <w:pStyle w:val="6"/>
        <w:rPr>
          <w:rFonts w:hint="default" w:ascii="Arial" w:hAnsi="Arial" w:eastAsia="宋体" w:cs="Arial"/>
          <w:color w:val="auto"/>
          <w:highlight w:val="none"/>
        </w:rPr>
      </w:pPr>
      <w:bookmarkStart w:id="514" w:name="_Toc6695"/>
      <w:r>
        <w:rPr>
          <w:rFonts w:hint="default" w:ascii="Arial" w:hAnsi="Arial" w:eastAsia="宋体" w:cs="Arial"/>
          <w:color w:val="auto"/>
          <w:highlight w:val="none"/>
        </w:rPr>
        <w:t>7.7.2危险废物管理</w:t>
      </w:r>
      <w:bookmarkEnd w:id="514"/>
    </w:p>
    <w:p>
      <w:pPr>
        <w:ind w:firstLine="480"/>
        <w:rPr>
          <w:rFonts w:hint="default" w:ascii="Arial" w:hAnsi="Arial" w:eastAsia="宋体" w:cs="Arial"/>
          <w:color w:val="auto"/>
          <w:highlight w:val="none"/>
        </w:rPr>
      </w:pPr>
      <w:r>
        <w:rPr>
          <w:rFonts w:hint="default" w:ascii="Arial" w:hAnsi="Arial" w:eastAsia="宋体" w:cs="Arial"/>
          <w:color w:val="auto"/>
          <w:highlight w:val="none"/>
          <w:lang w:eastAsia="zh-CN"/>
        </w:rPr>
        <w:t>（</w:t>
      </w:r>
      <w:r>
        <w:rPr>
          <w:rFonts w:hint="default" w:ascii="Arial" w:hAnsi="Arial" w:eastAsia="宋体" w:cs="Arial"/>
          <w:color w:val="auto"/>
          <w:highlight w:val="none"/>
          <w:lang w:val="en-US" w:eastAsia="zh-CN"/>
        </w:rPr>
        <w:t>1</w:t>
      </w:r>
      <w:r>
        <w:rPr>
          <w:rFonts w:hint="default" w:ascii="Arial" w:hAnsi="Arial" w:eastAsia="宋体" w:cs="Arial"/>
          <w:color w:val="auto"/>
          <w:highlight w:val="none"/>
          <w:lang w:eastAsia="zh-CN"/>
        </w:rPr>
        <w:t>）</w:t>
      </w:r>
      <w:r>
        <w:rPr>
          <w:rFonts w:hint="default" w:ascii="Arial" w:hAnsi="Arial" w:eastAsia="宋体" w:cs="Arial"/>
          <w:color w:val="auto"/>
          <w:highlight w:val="none"/>
        </w:rPr>
        <w:t>危险废物环境管理相关规定</w:t>
      </w:r>
    </w:p>
    <w:p>
      <w:pPr>
        <w:ind w:firstLine="480"/>
        <w:rPr>
          <w:rFonts w:hint="default" w:ascii="Arial" w:hAnsi="Arial" w:eastAsia="宋体" w:cs="Arial"/>
          <w:color w:val="auto"/>
          <w:highlight w:val="none"/>
        </w:rPr>
      </w:pPr>
      <w:r>
        <w:rPr>
          <w:rFonts w:hint="default" w:ascii="Arial" w:hAnsi="Arial" w:eastAsia="宋体" w:cs="Arial"/>
          <w:color w:val="auto"/>
          <w:highlight w:val="none"/>
        </w:rPr>
        <w:t>危险废物环境管理应按照《中华人民共和国固体废物污染环境防治法》、《国家危险废物名录》、《危险废物贮存污染控制标准》、《危险废物污染防治技术政策》等相关规定执行，对危险废物的产生、收集、运输、分类、检测、包装、综合利用、贮存和处理等进行全过程控制，使危险废物减量化、资源化和无害化。</w:t>
      </w:r>
    </w:p>
    <w:p>
      <w:pPr>
        <w:ind w:firstLine="480"/>
        <w:rPr>
          <w:rFonts w:hint="default" w:ascii="Arial" w:hAnsi="Arial" w:eastAsia="宋体" w:cs="Arial"/>
          <w:color w:val="auto"/>
          <w:highlight w:val="none"/>
        </w:rPr>
      </w:pPr>
      <w:r>
        <w:rPr>
          <w:rFonts w:hint="default" w:ascii="Arial" w:hAnsi="Arial" w:eastAsia="宋体" w:cs="Arial"/>
          <w:color w:val="auto"/>
          <w:highlight w:val="none"/>
        </w:rPr>
        <w:t>项目建设单位必须执行国家的有关法律、法规，自觉接受环保部门的监督和日常检查，在危险废物管理工作中应做到：</w:t>
      </w:r>
    </w:p>
    <w:p>
      <w:pPr>
        <w:ind w:firstLine="480"/>
        <w:rPr>
          <w:rFonts w:hint="default" w:ascii="Arial" w:hAnsi="Arial" w:eastAsia="宋体" w:cs="Arial"/>
          <w:color w:val="auto"/>
          <w:highlight w:val="none"/>
        </w:rPr>
      </w:pPr>
      <w:r>
        <w:rPr>
          <w:rFonts w:hint="default" w:ascii="Arial" w:hAnsi="Arial" w:eastAsia="宋体" w:cs="Arial"/>
          <w:color w:val="auto"/>
          <w:highlight w:val="none"/>
        </w:rPr>
        <w:t>①在项目审批登记时应填写《危险废物申报单》，正式投产后，应输理危险废物申报登记手续，填写《危险废物申报登记》，当生产或废物产生情况与申报登记发生较大变化时应及时办理登记手续。</w:t>
      </w:r>
    </w:p>
    <w:p>
      <w:pPr>
        <w:ind w:firstLine="480"/>
        <w:rPr>
          <w:rFonts w:hint="default" w:ascii="Arial" w:hAnsi="Arial" w:eastAsia="宋体" w:cs="Arial"/>
          <w:color w:val="auto"/>
          <w:highlight w:val="none"/>
        </w:rPr>
      </w:pPr>
      <w:r>
        <w:rPr>
          <w:rFonts w:hint="default" w:ascii="Arial" w:hAnsi="Arial" w:eastAsia="宋体" w:cs="Arial"/>
          <w:color w:val="auto"/>
          <w:highlight w:val="none"/>
        </w:rPr>
        <w:t>②必须按照有关危险废物包装、标识及贮存技术规范的要求建设危险废物污染防治设施。收集、贮存、运输、利用、处置危险废物的设施、场所，必须设置危险废物识别标志。</w:t>
      </w:r>
    </w:p>
    <w:p>
      <w:pPr>
        <w:ind w:firstLine="480"/>
        <w:rPr>
          <w:rFonts w:hint="default" w:ascii="Arial" w:hAnsi="Arial" w:eastAsia="宋体" w:cs="Arial"/>
          <w:color w:val="auto"/>
          <w:highlight w:val="none"/>
        </w:rPr>
      </w:pPr>
      <w:r>
        <w:rPr>
          <w:rFonts w:hint="default" w:ascii="Arial" w:hAnsi="Arial" w:eastAsia="宋体" w:cs="Arial"/>
          <w:color w:val="auto"/>
          <w:highlight w:val="none"/>
        </w:rPr>
        <w:t>③制定危险废物管理计划：内容齐全，危险废物的产生环节、种类、危害特性、产生量、利用处置方式描述清晰：报环保部门备案。</w:t>
      </w:r>
    </w:p>
    <w:p>
      <w:pPr>
        <w:ind w:firstLine="480"/>
        <w:rPr>
          <w:rFonts w:hint="default" w:ascii="Arial" w:hAnsi="Arial" w:eastAsia="宋体" w:cs="Arial"/>
          <w:color w:val="auto"/>
          <w:highlight w:val="none"/>
        </w:rPr>
      </w:pPr>
      <w:r>
        <w:rPr>
          <w:rFonts w:hint="default" w:ascii="Arial" w:hAnsi="Arial" w:eastAsia="宋体" w:cs="Arial"/>
          <w:color w:val="auto"/>
          <w:highlight w:val="none"/>
        </w:rPr>
        <w:t>④应建立危险废物岗位操作管理制度。</w:t>
      </w:r>
    </w:p>
    <w:p>
      <w:pPr>
        <w:ind w:firstLine="480"/>
        <w:rPr>
          <w:rFonts w:hint="default" w:ascii="Arial" w:hAnsi="Arial" w:eastAsia="宋体" w:cs="Arial"/>
          <w:color w:val="auto"/>
          <w:highlight w:val="none"/>
        </w:rPr>
      </w:pPr>
      <w:r>
        <w:rPr>
          <w:rFonts w:hint="default" w:ascii="Arial" w:hAnsi="Arial" w:eastAsia="宋体" w:cs="Arial"/>
          <w:color w:val="auto"/>
          <w:highlight w:val="none"/>
        </w:rPr>
        <w:t>⑤必须将其危险废物交给有“危险废物经营许可证”的单位进行运输、利用、处理、处置，严禁擅自倾倒、混入生活垃圾中处置。</w:t>
      </w:r>
    </w:p>
    <w:p>
      <w:pPr>
        <w:ind w:firstLine="480"/>
        <w:rPr>
          <w:rFonts w:hint="default" w:ascii="Arial" w:hAnsi="Arial" w:eastAsia="宋体" w:cs="Arial"/>
          <w:color w:val="auto"/>
          <w:highlight w:val="none"/>
        </w:rPr>
      </w:pPr>
      <w:r>
        <w:rPr>
          <w:rFonts w:hint="default" w:ascii="Arial" w:hAnsi="Arial" w:eastAsia="宋体" w:cs="Arial"/>
          <w:color w:val="auto"/>
          <w:highlight w:val="none"/>
        </w:rPr>
        <w:t>⑥与危险废物处理处置单位签订废物处理合同。</w:t>
      </w:r>
    </w:p>
    <w:p>
      <w:pPr>
        <w:ind w:firstLine="480"/>
        <w:rPr>
          <w:rFonts w:hint="default" w:ascii="Arial" w:hAnsi="Arial" w:eastAsia="宋体" w:cs="Arial"/>
          <w:color w:val="auto"/>
          <w:highlight w:val="none"/>
        </w:rPr>
      </w:pPr>
      <w:r>
        <w:rPr>
          <w:rFonts w:hint="default" w:ascii="Arial" w:hAnsi="Arial" w:eastAsia="宋体" w:cs="Arial"/>
          <w:color w:val="auto"/>
          <w:highlight w:val="none"/>
        </w:rPr>
        <w:fldChar w:fldCharType="begin"/>
      </w:r>
      <w:r>
        <w:rPr>
          <w:rFonts w:hint="default" w:ascii="Arial" w:hAnsi="Arial" w:eastAsia="宋体" w:cs="Arial"/>
          <w:color w:val="auto"/>
          <w:highlight w:val="none"/>
        </w:rPr>
        <w:instrText xml:space="preserve"> = 7 \* GB3 \* MERGEFORMAT </w:instrText>
      </w:r>
      <w:r>
        <w:rPr>
          <w:rFonts w:hint="default" w:ascii="Arial" w:hAnsi="Arial" w:eastAsia="宋体" w:cs="Arial"/>
          <w:color w:val="auto"/>
          <w:highlight w:val="none"/>
        </w:rPr>
        <w:fldChar w:fldCharType="separate"/>
      </w:r>
      <w:r>
        <w:rPr>
          <w:rFonts w:hint="default" w:ascii="Arial" w:hAnsi="Arial" w:eastAsia="宋体" w:cs="Arial"/>
          <w:color w:val="auto"/>
          <w:highlight w:val="none"/>
        </w:rPr>
        <w:t>⑦</w:t>
      </w:r>
      <w:r>
        <w:rPr>
          <w:rFonts w:hint="default" w:ascii="Arial" w:hAnsi="Arial" w:eastAsia="宋体" w:cs="Arial"/>
          <w:color w:val="auto"/>
          <w:highlight w:val="none"/>
        </w:rPr>
        <w:fldChar w:fldCharType="end"/>
      </w:r>
      <w:r>
        <w:rPr>
          <w:rFonts w:hint="default" w:ascii="Arial" w:hAnsi="Arial" w:eastAsia="宋体" w:cs="Arial"/>
          <w:color w:val="auto"/>
          <w:highlight w:val="none"/>
        </w:rPr>
        <w:t>转移危险废物时需严格按照要求填写《危险废物转移联单》、《危险废物管理手册》季报表。制定培训计划，并开展相关培训。</w:t>
      </w:r>
    </w:p>
    <w:p>
      <w:pPr>
        <w:ind w:firstLine="480"/>
        <w:rPr>
          <w:rFonts w:hint="default" w:ascii="Arial" w:hAnsi="Arial" w:eastAsia="宋体" w:cs="Arial"/>
          <w:color w:val="auto"/>
          <w:highlight w:val="none"/>
        </w:rPr>
      </w:pPr>
      <w:r>
        <w:rPr>
          <w:rFonts w:hint="default" w:ascii="Arial" w:hAnsi="Arial" w:eastAsia="宋体" w:cs="Arial"/>
          <w:color w:val="auto"/>
          <w:highlight w:val="none"/>
        </w:rPr>
        <w:t>根据上述分析可知，项目产生的危险废物经过合理的处理后，不外排，实现了固体废物零排放。</w:t>
      </w:r>
    </w:p>
    <w:p>
      <w:pPr>
        <w:ind w:firstLine="480"/>
        <w:rPr>
          <w:rFonts w:hint="default" w:ascii="Arial" w:hAnsi="Arial" w:eastAsia="宋体" w:cs="Arial"/>
          <w:color w:val="auto"/>
          <w:highlight w:val="none"/>
        </w:rPr>
      </w:pPr>
      <w:r>
        <w:rPr>
          <w:rFonts w:hint="default" w:ascii="Arial" w:hAnsi="Arial" w:eastAsia="宋体" w:cs="Arial"/>
          <w:color w:val="auto"/>
          <w:highlight w:val="none"/>
        </w:rPr>
        <w:t>本项目在采取有效的措施后，能利用的废物均被有效利用，不能利用的固废也均能得到妥善处置，实现了固体废物零排放，因此本项目排放的固体废物经上述处理后不会对周围环境产生影响。</w:t>
      </w:r>
    </w:p>
    <w:p>
      <w:pPr>
        <w:pStyle w:val="5"/>
        <w:rPr>
          <w:rFonts w:hint="default" w:ascii="Arial" w:hAnsi="Arial" w:eastAsia="宋体" w:cs="Arial"/>
          <w:color w:val="auto"/>
          <w:highlight w:val="none"/>
        </w:rPr>
      </w:pPr>
      <w:bookmarkStart w:id="515" w:name="_Toc471227807"/>
      <w:bookmarkStart w:id="516" w:name="_Toc8353"/>
      <w:r>
        <w:rPr>
          <w:rFonts w:hint="default" w:ascii="Arial" w:hAnsi="Arial" w:eastAsia="宋体" w:cs="Arial"/>
          <w:color w:val="auto"/>
          <w:highlight w:val="none"/>
        </w:rPr>
        <w:t>7.8粪污资源化利用措施可行性分析</w:t>
      </w:r>
      <w:bookmarkEnd w:id="515"/>
      <w:bookmarkEnd w:id="516"/>
    </w:p>
    <w:p>
      <w:pPr>
        <w:ind w:firstLine="480"/>
        <w:rPr>
          <w:rFonts w:hint="default" w:ascii="Arial" w:hAnsi="Arial" w:eastAsia="宋体" w:cs="Arial"/>
          <w:color w:val="auto"/>
          <w:highlight w:val="none"/>
        </w:rPr>
      </w:pPr>
      <w:r>
        <w:rPr>
          <w:rFonts w:hint="default" w:ascii="Arial" w:hAnsi="Arial" w:eastAsia="宋体" w:cs="Arial"/>
          <w:color w:val="auto"/>
          <w:highlight w:val="none"/>
        </w:rPr>
        <w:t>根据《畜禽养殖污染防治管理办法》(国家环境保护总局9号令)、《畜禽养殖业污染物排放标准》(GB18596-2001)、《畜禽养殖业污染防治技术规范》(HJ/T81－2001)、《畜禽养殖业污染治理工程技术规范》（HJ497-2009）等的相关要求，畜禽养殖业的污染防治应优先考虑综合利用和资源化的技术路线，以“资源化利用、容量化控制、减量化处置、无害化处理、生态化发展、低廉化治理”为原则，以管促制，化害为利，变废为宝，将畜禽养殖产生的废物转化为种植业可利用的资源，最终实现种养结合、互为促进的良性生态农业生产链，促进农业生产和生态环境的协调发展。</w:t>
      </w:r>
    </w:p>
    <w:p>
      <w:pPr>
        <w:ind w:firstLine="480"/>
        <w:rPr>
          <w:rFonts w:hint="default" w:ascii="Arial" w:hAnsi="Arial" w:eastAsia="宋体" w:cs="Arial"/>
          <w:color w:val="auto"/>
          <w:highlight w:val="none"/>
        </w:rPr>
      </w:pPr>
      <w:r>
        <w:rPr>
          <w:rFonts w:hint="default" w:ascii="Arial" w:hAnsi="Arial" w:eastAsia="宋体" w:cs="Arial"/>
          <w:color w:val="auto"/>
          <w:highlight w:val="none"/>
        </w:rPr>
        <w:t>本次评价的环境保护措施主要从“资源化利用、容量化控制、减量化处置、无害化处理、生态化发展、低廉化治理”等方面进行经济、技术论证。</w:t>
      </w:r>
    </w:p>
    <w:p>
      <w:pPr>
        <w:pStyle w:val="6"/>
        <w:rPr>
          <w:rFonts w:hint="default" w:ascii="Arial" w:hAnsi="Arial" w:eastAsia="宋体" w:cs="Arial"/>
          <w:color w:val="auto"/>
          <w:highlight w:val="none"/>
        </w:rPr>
      </w:pPr>
      <w:bookmarkStart w:id="517" w:name="_Toc5587"/>
      <w:r>
        <w:rPr>
          <w:rFonts w:hint="default" w:ascii="Arial" w:hAnsi="Arial" w:eastAsia="宋体" w:cs="Arial"/>
          <w:color w:val="auto"/>
          <w:highlight w:val="none"/>
        </w:rPr>
        <w:t>7.8.1粪污资源化利用可行性</w:t>
      </w:r>
      <w:bookmarkEnd w:id="517"/>
    </w:p>
    <w:p>
      <w:pPr>
        <w:ind w:firstLine="480"/>
        <w:rPr>
          <w:rFonts w:hint="default" w:ascii="Arial" w:hAnsi="Arial" w:eastAsia="宋体" w:cs="Arial"/>
          <w:color w:val="auto"/>
          <w:highlight w:val="none"/>
        </w:rPr>
      </w:pPr>
      <w:r>
        <w:rPr>
          <w:rFonts w:hint="default" w:ascii="Arial" w:hAnsi="Arial" w:eastAsia="宋体" w:cs="Arial"/>
          <w:color w:val="auto"/>
          <w:highlight w:val="none"/>
        </w:rPr>
        <w:t>项目</w:t>
      </w:r>
      <w:r>
        <w:rPr>
          <w:rFonts w:hint="default" w:ascii="Arial" w:hAnsi="Arial" w:eastAsia="宋体" w:cs="Arial"/>
          <w:color w:val="auto"/>
          <w:highlight w:val="none"/>
          <w:lang w:eastAsia="zh-CN"/>
        </w:rPr>
        <w:t>牛粪便产生</w:t>
      </w:r>
      <w:r>
        <w:rPr>
          <w:rFonts w:hint="default" w:ascii="Arial" w:hAnsi="Arial" w:eastAsia="宋体" w:cs="Arial"/>
          <w:color w:val="auto"/>
          <w:highlight w:val="none"/>
        </w:rPr>
        <w:t>量为</w:t>
      </w:r>
      <w:r>
        <w:rPr>
          <w:rFonts w:hint="default" w:ascii="Arial" w:hAnsi="Arial" w:eastAsia="宋体" w:cs="Arial"/>
          <w:color w:val="auto"/>
          <w:szCs w:val="21"/>
          <w:highlight w:val="none"/>
          <w:lang w:val="en-US" w:eastAsia="zh-CN"/>
        </w:rPr>
        <w:t>39712</w:t>
      </w:r>
      <w:r>
        <w:rPr>
          <w:rFonts w:hint="default" w:ascii="Arial" w:hAnsi="Arial" w:eastAsia="宋体" w:cs="Arial"/>
          <w:color w:val="auto"/>
          <w:highlight w:val="none"/>
        </w:rPr>
        <w:t>t/a，项目采用“（固）堆肥发酵+（液）厌氧发酵+土地消纳”的种养结合的</w:t>
      </w:r>
      <w:r>
        <w:rPr>
          <w:rFonts w:hint="default" w:ascii="Arial" w:hAnsi="Arial" w:eastAsia="宋体" w:cs="Arial"/>
          <w:color w:val="auto"/>
          <w:highlight w:val="none"/>
          <w:lang w:eastAsia="zh-CN"/>
        </w:rPr>
        <w:t>有机肥</w:t>
      </w:r>
      <w:r>
        <w:rPr>
          <w:rFonts w:hint="default" w:ascii="Arial" w:hAnsi="Arial" w:eastAsia="宋体" w:cs="Arial"/>
          <w:color w:val="auto"/>
          <w:highlight w:val="none"/>
        </w:rPr>
        <w:t>资源化利用处理模式，每半年还田一次，实现粪便的资源化综合利用。</w:t>
      </w:r>
    </w:p>
    <w:p>
      <w:pPr>
        <w:ind w:firstLine="480"/>
        <w:rPr>
          <w:rFonts w:hint="default" w:ascii="Arial" w:hAnsi="Arial" w:eastAsia="宋体" w:cs="Arial"/>
          <w:color w:val="auto"/>
          <w:highlight w:val="none"/>
        </w:rPr>
      </w:pPr>
      <w:r>
        <w:rPr>
          <w:rFonts w:hint="default" w:ascii="Arial" w:hAnsi="Arial" w:eastAsia="宋体" w:cs="Arial"/>
          <w:color w:val="auto"/>
          <w:highlight w:val="none"/>
        </w:rPr>
        <w:t>牛的粪便中含有N、P、K、微量矿物质、各种有机物等，而作物的生长也正是需要N、P、K、微量矿物质、各种有机物等。基于这个事实，项目通过对牛的粪便进行收集、储存、运输，最后还田，达到既充分利用</w:t>
      </w:r>
      <w:r>
        <w:rPr>
          <w:rFonts w:hint="default" w:ascii="Arial" w:hAnsi="Arial" w:eastAsia="宋体" w:cs="Arial"/>
          <w:color w:val="auto"/>
          <w:highlight w:val="none"/>
          <w:lang w:eastAsia="zh-CN"/>
        </w:rPr>
        <w:t>牛粪便</w:t>
      </w:r>
      <w:r>
        <w:rPr>
          <w:rFonts w:hint="default" w:ascii="Arial" w:hAnsi="Arial" w:eastAsia="宋体" w:cs="Arial"/>
          <w:color w:val="auto"/>
          <w:highlight w:val="none"/>
        </w:rPr>
        <w:t>的营养价值又很好的解决了</w:t>
      </w:r>
      <w:r>
        <w:rPr>
          <w:rFonts w:hint="default" w:ascii="Arial" w:hAnsi="Arial" w:eastAsia="宋体" w:cs="Arial"/>
          <w:color w:val="auto"/>
          <w:highlight w:val="none"/>
          <w:lang w:eastAsia="zh-CN"/>
        </w:rPr>
        <w:t>牛粪便</w:t>
      </w:r>
      <w:r>
        <w:rPr>
          <w:rFonts w:hint="default" w:ascii="Arial" w:hAnsi="Arial" w:eastAsia="宋体" w:cs="Arial"/>
          <w:color w:val="auto"/>
          <w:highlight w:val="none"/>
        </w:rPr>
        <w:t>对环境的污染难题，变害为宝。</w:t>
      </w:r>
      <w:r>
        <w:rPr>
          <w:rFonts w:hint="default" w:ascii="Arial" w:hAnsi="Arial" w:eastAsia="宋体" w:cs="Arial"/>
          <w:color w:val="auto"/>
          <w:highlight w:val="none"/>
          <w:lang w:eastAsia="zh-CN"/>
        </w:rPr>
        <w:t>牛粪便</w:t>
      </w:r>
      <w:r>
        <w:rPr>
          <w:rFonts w:hint="default" w:ascii="Arial" w:hAnsi="Arial" w:eastAsia="宋体" w:cs="Arial"/>
          <w:color w:val="auto"/>
          <w:highlight w:val="none"/>
        </w:rPr>
        <w:t>的主要成分见下表。</w:t>
      </w:r>
    </w:p>
    <w:p>
      <w:pPr>
        <w:pStyle w:val="8"/>
        <w:rPr>
          <w:rFonts w:hint="default" w:ascii="Arial" w:hAnsi="Arial" w:eastAsia="宋体" w:cs="Arial"/>
          <w:color w:val="auto"/>
          <w:highlight w:val="none"/>
        </w:rPr>
      </w:pPr>
      <w:r>
        <w:rPr>
          <w:rFonts w:hint="default" w:ascii="Arial" w:hAnsi="Arial" w:eastAsia="宋体" w:cs="Arial"/>
          <w:color w:val="auto"/>
          <w:highlight w:val="none"/>
        </w:rPr>
        <w:t xml:space="preserve">表7.8-1    </w:t>
      </w:r>
      <w:r>
        <w:rPr>
          <w:rFonts w:hint="default" w:ascii="Arial" w:hAnsi="Arial" w:eastAsia="宋体" w:cs="Arial"/>
          <w:color w:val="auto"/>
          <w:highlight w:val="none"/>
          <w:lang w:eastAsia="zh-CN"/>
        </w:rPr>
        <w:t>牛粪便</w:t>
      </w:r>
      <w:r>
        <w:rPr>
          <w:rFonts w:hint="default" w:ascii="Arial" w:hAnsi="Arial" w:eastAsia="宋体" w:cs="Arial"/>
          <w:color w:val="auto"/>
          <w:highlight w:val="none"/>
        </w:rPr>
        <w:t>组成表</w:t>
      </w:r>
    </w:p>
    <w:tbl>
      <w:tblPr>
        <w:tblStyle w:val="39"/>
        <w:tblW w:w="9003" w:type="dxa"/>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1342"/>
        <w:gridCol w:w="1345"/>
        <w:gridCol w:w="902"/>
        <w:gridCol w:w="902"/>
        <w:gridCol w:w="902"/>
        <w:gridCol w:w="903"/>
        <w:gridCol w:w="903"/>
        <w:gridCol w:w="903"/>
        <w:gridCol w:w="901"/>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342" w:type="dxa"/>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粪便组成</w:t>
            </w:r>
          </w:p>
        </w:tc>
        <w:tc>
          <w:tcPr>
            <w:tcW w:w="1345" w:type="dxa"/>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挥发性固体</w:t>
            </w:r>
          </w:p>
        </w:tc>
        <w:tc>
          <w:tcPr>
            <w:tcW w:w="902" w:type="dxa"/>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粗脂肪</w:t>
            </w:r>
          </w:p>
        </w:tc>
        <w:tc>
          <w:tcPr>
            <w:tcW w:w="902" w:type="dxa"/>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木质素</w:t>
            </w:r>
          </w:p>
        </w:tc>
        <w:tc>
          <w:tcPr>
            <w:tcW w:w="902" w:type="dxa"/>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纤维素</w:t>
            </w:r>
          </w:p>
        </w:tc>
        <w:tc>
          <w:tcPr>
            <w:tcW w:w="903" w:type="dxa"/>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蛋白质</w:t>
            </w:r>
          </w:p>
        </w:tc>
        <w:tc>
          <w:tcPr>
            <w:tcW w:w="903" w:type="dxa"/>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含氮量</w:t>
            </w:r>
          </w:p>
        </w:tc>
        <w:tc>
          <w:tcPr>
            <w:tcW w:w="903" w:type="dxa"/>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含碳量</w:t>
            </w:r>
          </w:p>
        </w:tc>
        <w:tc>
          <w:tcPr>
            <w:tcW w:w="901" w:type="dxa"/>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碳氮比</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342" w:type="dxa"/>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含量（％）</w:t>
            </w:r>
          </w:p>
        </w:tc>
        <w:tc>
          <w:tcPr>
            <w:tcW w:w="1345" w:type="dxa"/>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76.54</w:t>
            </w:r>
          </w:p>
        </w:tc>
        <w:tc>
          <w:tcPr>
            <w:tcW w:w="902" w:type="dxa"/>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11.5</w:t>
            </w:r>
          </w:p>
        </w:tc>
        <w:tc>
          <w:tcPr>
            <w:tcW w:w="902" w:type="dxa"/>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21.49</w:t>
            </w:r>
          </w:p>
        </w:tc>
        <w:tc>
          <w:tcPr>
            <w:tcW w:w="902" w:type="dxa"/>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59.95</w:t>
            </w:r>
          </w:p>
        </w:tc>
        <w:tc>
          <w:tcPr>
            <w:tcW w:w="903" w:type="dxa"/>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10.95</w:t>
            </w:r>
          </w:p>
        </w:tc>
        <w:tc>
          <w:tcPr>
            <w:tcW w:w="903" w:type="dxa"/>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0.60</w:t>
            </w:r>
          </w:p>
        </w:tc>
        <w:tc>
          <w:tcPr>
            <w:tcW w:w="903" w:type="dxa"/>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7.8</w:t>
            </w:r>
          </w:p>
        </w:tc>
        <w:tc>
          <w:tcPr>
            <w:tcW w:w="901" w:type="dxa"/>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13:1</w:t>
            </w:r>
          </w:p>
        </w:tc>
      </w:tr>
    </w:tbl>
    <w:p>
      <w:pPr>
        <w:ind w:firstLine="480"/>
        <w:rPr>
          <w:rFonts w:hint="default" w:ascii="Arial" w:hAnsi="Arial" w:eastAsia="宋体" w:cs="Arial"/>
          <w:color w:val="auto"/>
          <w:highlight w:val="none"/>
        </w:rPr>
      </w:pPr>
      <w:r>
        <w:rPr>
          <w:rFonts w:hint="default" w:ascii="Arial" w:hAnsi="Arial" w:eastAsia="宋体" w:cs="Arial"/>
          <w:color w:val="auto"/>
          <w:highlight w:val="none"/>
        </w:rPr>
        <w:t>由上表可见，</w:t>
      </w:r>
      <w:r>
        <w:rPr>
          <w:rFonts w:hint="default" w:ascii="Arial" w:hAnsi="Arial" w:eastAsia="宋体" w:cs="Arial"/>
          <w:color w:val="auto"/>
          <w:highlight w:val="none"/>
          <w:lang w:eastAsia="zh-CN"/>
        </w:rPr>
        <w:t>牛粪便</w:t>
      </w:r>
      <w:r>
        <w:rPr>
          <w:rFonts w:hint="default" w:ascii="Arial" w:hAnsi="Arial" w:eastAsia="宋体" w:cs="Arial"/>
          <w:color w:val="auto"/>
          <w:highlight w:val="none"/>
        </w:rPr>
        <w:t>中含有大量的有机质和氮等植物必需的营养物质，是很好的有机肥料，但其中的营养成分必须经微生物降解腐熟后才能被植物吸收利用。同时，还有病原微生物和寄生虫，如果不加处理直接施用鲜粪便，则有机质在被土壤微生物降解过程中产生的热量、氨和硫化氢等物质会对植物根系产生不利，并有可能对环境造成恶臭和污染，因此必须经过无害化处理后才能施用。</w:t>
      </w:r>
    </w:p>
    <w:p>
      <w:pPr>
        <w:pStyle w:val="6"/>
        <w:rPr>
          <w:rFonts w:hint="default" w:ascii="Arial" w:hAnsi="Arial" w:eastAsia="宋体" w:cs="Arial"/>
          <w:color w:val="auto"/>
          <w:highlight w:val="none"/>
        </w:rPr>
      </w:pPr>
      <w:bookmarkStart w:id="518" w:name="_Toc11976"/>
      <w:r>
        <w:rPr>
          <w:rFonts w:hint="default" w:ascii="Arial" w:hAnsi="Arial" w:eastAsia="宋体" w:cs="Arial"/>
          <w:color w:val="auto"/>
          <w:highlight w:val="none"/>
        </w:rPr>
        <w:t>7.8.2粪污农肥还田利用合规性分析</w:t>
      </w:r>
      <w:bookmarkEnd w:id="518"/>
    </w:p>
    <w:p>
      <w:pPr>
        <w:ind w:firstLine="480"/>
        <w:rPr>
          <w:rFonts w:hint="default" w:ascii="Arial" w:hAnsi="Arial" w:eastAsia="宋体" w:cs="Arial"/>
          <w:color w:val="auto"/>
          <w:highlight w:val="none"/>
        </w:rPr>
      </w:pPr>
      <w:r>
        <w:rPr>
          <w:rFonts w:hint="default" w:ascii="Arial" w:hAnsi="Arial" w:eastAsia="宋体" w:cs="Arial"/>
          <w:color w:val="auto"/>
          <w:highlight w:val="none"/>
        </w:rPr>
        <w:t>根据相关管理办法、排放标准、技术规范及防治政策要求，项目</w:t>
      </w:r>
      <w:r>
        <w:rPr>
          <w:rFonts w:hint="default" w:ascii="Arial" w:hAnsi="Arial" w:eastAsia="宋体" w:cs="Arial"/>
          <w:color w:val="auto"/>
          <w:highlight w:val="none"/>
          <w:lang w:eastAsia="zh-CN"/>
        </w:rPr>
        <w:t>有机肥</w:t>
      </w:r>
      <w:r>
        <w:rPr>
          <w:rFonts w:hint="default" w:ascii="Arial" w:hAnsi="Arial" w:eastAsia="宋体" w:cs="Arial"/>
          <w:color w:val="auto"/>
          <w:highlight w:val="none"/>
        </w:rPr>
        <w:t>还田利用合规性分析，见下表。</w:t>
      </w:r>
    </w:p>
    <w:p>
      <w:pPr>
        <w:pStyle w:val="8"/>
        <w:rPr>
          <w:rFonts w:hint="default" w:ascii="Arial" w:hAnsi="Arial" w:eastAsia="宋体" w:cs="Arial"/>
          <w:color w:val="auto"/>
          <w:highlight w:val="none"/>
        </w:rPr>
      </w:pPr>
      <w:r>
        <w:rPr>
          <w:rFonts w:hint="default" w:ascii="Arial" w:hAnsi="Arial" w:eastAsia="宋体" w:cs="Arial"/>
          <w:color w:val="auto"/>
          <w:highlight w:val="none"/>
        </w:rPr>
        <w:t xml:space="preserve">表7.8-2    </w:t>
      </w:r>
      <w:r>
        <w:rPr>
          <w:rFonts w:hint="default" w:ascii="Arial" w:hAnsi="Arial" w:eastAsia="宋体" w:cs="Arial"/>
          <w:color w:val="auto"/>
          <w:highlight w:val="none"/>
          <w:lang w:eastAsia="zh-CN"/>
        </w:rPr>
        <w:t>有机肥</w:t>
      </w:r>
      <w:r>
        <w:rPr>
          <w:rFonts w:hint="default" w:ascii="Arial" w:hAnsi="Arial" w:eastAsia="宋体" w:cs="Arial"/>
          <w:color w:val="auto"/>
          <w:highlight w:val="none"/>
        </w:rPr>
        <w:t>还田利用合规性分析</w:t>
      </w:r>
    </w:p>
    <w:tbl>
      <w:tblPr>
        <w:tblStyle w:val="39"/>
        <w:tblW w:w="9003"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924"/>
        <w:gridCol w:w="3772"/>
        <w:gridCol w:w="3307"/>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24"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政策法规</w:t>
            </w:r>
          </w:p>
        </w:tc>
        <w:tc>
          <w:tcPr>
            <w:tcW w:w="3772"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相关条款及规定</w:t>
            </w:r>
          </w:p>
        </w:tc>
        <w:tc>
          <w:tcPr>
            <w:tcW w:w="3307"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符合性分析</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24"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《畜禽养殖业污染物排放标准》(GB18596-2001)</w:t>
            </w:r>
          </w:p>
        </w:tc>
        <w:tc>
          <w:tcPr>
            <w:tcW w:w="3772"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畜禽养殖业应积极通过废水和粪便的还田或其他措施对所排放的污染物进行综合利用，实现污染物的资源化。</w:t>
            </w:r>
          </w:p>
        </w:tc>
        <w:tc>
          <w:tcPr>
            <w:tcW w:w="3307"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项目采用“（固）堆肥发酵+土地消纳”的种养结合的</w:t>
            </w:r>
            <w:r>
              <w:rPr>
                <w:rFonts w:hint="default" w:ascii="Arial" w:hAnsi="Arial" w:eastAsia="宋体" w:cs="Arial"/>
                <w:color w:val="auto"/>
                <w:sz w:val="21"/>
                <w:szCs w:val="21"/>
                <w:highlight w:val="none"/>
                <w:lang w:eastAsia="zh-CN"/>
              </w:rPr>
              <w:t>有机肥</w:t>
            </w:r>
            <w:r>
              <w:rPr>
                <w:rFonts w:hint="default" w:ascii="Arial" w:hAnsi="Arial" w:eastAsia="宋体" w:cs="Arial"/>
                <w:color w:val="auto"/>
                <w:sz w:val="21"/>
                <w:szCs w:val="21"/>
                <w:highlight w:val="none"/>
              </w:rPr>
              <w:t>资源化利用处理模式，每半年还田一次，实现粪便的资源化综合利用，化害为利，变废为宝，符合相关要求</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24"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《畜禽规模养殖污染防治条例》（国务院令第643号）</w:t>
            </w:r>
          </w:p>
        </w:tc>
        <w:tc>
          <w:tcPr>
            <w:tcW w:w="3772"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国家鼓励和支持采取种植和养殖相结合的方式消纳利用畜禽养殖废弃物，促进畜禽粪便、污水等废弃物就地就近利用。</w:t>
            </w:r>
          </w:p>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将畜禽粪便、污水、沼渣、沼液等用作肥料的，应当与土地的消纳能力相适应，并采取有效措施，消除可能引起传染病的微生物，防止污染环境和传播疫病。</w:t>
            </w:r>
          </w:p>
        </w:tc>
        <w:tc>
          <w:tcPr>
            <w:tcW w:w="3307"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项目采用“（固）堆肥发酵+土地消纳”的种养结合的</w:t>
            </w:r>
            <w:r>
              <w:rPr>
                <w:rFonts w:hint="default" w:ascii="Arial" w:hAnsi="Arial" w:eastAsia="宋体" w:cs="Arial"/>
                <w:color w:val="auto"/>
                <w:sz w:val="21"/>
                <w:szCs w:val="21"/>
                <w:highlight w:val="none"/>
                <w:lang w:eastAsia="zh-CN"/>
              </w:rPr>
              <w:t>有机肥</w:t>
            </w:r>
            <w:r>
              <w:rPr>
                <w:rFonts w:hint="default" w:ascii="Arial" w:hAnsi="Arial" w:eastAsia="宋体" w:cs="Arial"/>
                <w:color w:val="auto"/>
                <w:sz w:val="21"/>
                <w:szCs w:val="21"/>
                <w:highlight w:val="none"/>
              </w:rPr>
              <w:t>资源化利用处理模式，每半年还田一次，</w:t>
            </w:r>
            <w:r>
              <w:rPr>
                <w:rFonts w:hint="default" w:ascii="Arial" w:hAnsi="Arial" w:eastAsia="宋体" w:cs="Arial"/>
                <w:color w:val="auto"/>
                <w:sz w:val="21"/>
                <w:szCs w:val="21"/>
                <w:highlight w:val="none"/>
                <w:lang w:eastAsia="zh-CN"/>
              </w:rPr>
              <w:t>周边</w:t>
            </w:r>
            <w:r>
              <w:rPr>
                <w:rFonts w:hint="default" w:ascii="Arial" w:hAnsi="Arial" w:eastAsia="宋体" w:cs="Arial"/>
                <w:color w:val="auto"/>
                <w:sz w:val="21"/>
                <w:szCs w:val="21"/>
                <w:highlight w:val="none"/>
              </w:rPr>
              <w:t>配套</w:t>
            </w:r>
            <w:r>
              <w:rPr>
                <w:rFonts w:hint="default" w:ascii="Arial" w:hAnsi="Arial" w:eastAsia="宋体" w:cs="Arial"/>
                <w:color w:val="auto"/>
                <w:sz w:val="21"/>
                <w:szCs w:val="21"/>
                <w:highlight w:val="none"/>
                <w:lang w:eastAsia="zh-CN"/>
              </w:rPr>
              <w:t>有</w:t>
            </w:r>
            <w:r>
              <w:rPr>
                <w:rFonts w:hint="default" w:ascii="Arial" w:hAnsi="Arial" w:eastAsia="宋体" w:cs="Arial"/>
                <w:color w:val="auto"/>
                <w:sz w:val="21"/>
                <w:szCs w:val="21"/>
                <w:highlight w:val="none"/>
                <w:lang w:val="en-US" w:eastAsia="zh-CN"/>
              </w:rPr>
              <w:t>1</w:t>
            </w:r>
            <w:r>
              <w:rPr>
                <w:rFonts w:hint="default" w:ascii="Arial" w:hAnsi="Arial" w:eastAsia="宋体" w:cs="Arial"/>
                <w:color w:val="auto"/>
                <w:sz w:val="21"/>
                <w:szCs w:val="21"/>
                <w:highlight w:val="none"/>
                <w:lang w:eastAsia="zh-CN"/>
              </w:rPr>
              <w:t>25</w:t>
            </w:r>
            <w:r>
              <w:rPr>
                <w:rFonts w:hint="default" w:ascii="Arial" w:hAnsi="Arial" w:eastAsia="宋体" w:cs="Arial"/>
                <w:color w:val="auto"/>
                <w:sz w:val="21"/>
                <w:szCs w:val="21"/>
                <w:highlight w:val="none"/>
                <w:lang w:val="en-US" w:eastAsia="zh-CN"/>
              </w:rPr>
              <w:t>0</w:t>
            </w:r>
            <w:r>
              <w:rPr>
                <w:rFonts w:hint="default" w:ascii="Arial" w:hAnsi="Arial" w:eastAsia="宋体" w:cs="Arial"/>
                <w:color w:val="auto"/>
                <w:sz w:val="21"/>
                <w:szCs w:val="21"/>
                <w:highlight w:val="none"/>
                <w:lang w:eastAsia="zh-CN"/>
              </w:rPr>
              <w:t>0亩</w:t>
            </w:r>
            <w:r>
              <w:rPr>
                <w:rFonts w:hint="default" w:ascii="Arial" w:hAnsi="Arial" w:eastAsia="宋体" w:cs="Arial"/>
                <w:color w:val="auto"/>
                <w:sz w:val="21"/>
                <w:szCs w:val="21"/>
                <w:highlight w:val="none"/>
              </w:rPr>
              <w:t>消纳土地，土地消纳能力与粪污产生量相适应，符合相关要求</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24"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《关于进一步贯彻落实《畜禽规模养殖污染防治条例》促进养殖废弃物综合利用加强污染防治的通知》</w:t>
            </w:r>
          </w:p>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（内农牧畜发（2016）228号）</w:t>
            </w:r>
          </w:p>
        </w:tc>
        <w:tc>
          <w:tcPr>
            <w:tcW w:w="3772"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按照生态文明建设的总体要求，全面贯彻落实《条例》和“水十条”要求，坚持源头减量、过程控制、综合利用相结合，以提高畜禽养殖废弃物综合利用水平为核心，以农牧结合、种养平衡、生态循环为基本要求，加强规划引导、优化区域布局、健全政策体系、加强科技运用、规范行业管理、强化指导服务。加强试点示范和典型引领，大力推广废弃物产生减量化、处理无害化、利用资源化。</w:t>
            </w:r>
          </w:p>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因地制宜发展多种形式的畜禽生态养殖，大力推行种养结合，打通种养业协调发展通道，促进循环利用、变废为宝。</w:t>
            </w:r>
          </w:p>
        </w:tc>
        <w:tc>
          <w:tcPr>
            <w:tcW w:w="3307"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项目采用“（固）堆肥发酵+土地消纳”的种养结合的</w:t>
            </w:r>
            <w:r>
              <w:rPr>
                <w:rFonts w:hint="default" w:ascii="Arial" w:hAnsi="Arial" w:eastAsia="宋体" w:cs="Arial"/>
                <w:color w:val="auto"/>
                <w:sz w:val="21"/>
                <w:szCs w:val="21"/>
                <w:highlight w:val="none"/>
                <w:lang w:eastAsia="zh-CN"/>
              </w:rPr>
              <w:t>有机肥</w:t>
            </w:r>
            <w:r>
              <w:rPr>
                <w:rFonts w:hint="default" w:ascii="Arial" w:hAnsi="Arial" w:eastAsia="宋体" w:cs="Arial"/>
                <w:color w:val="auto"/>
                <w:sz w:val="21"/>
                <w:szCs w:val="21"/>
                <w:highlight w:val="none"/>
              </w:rPr>
              <w:t>资源化利用处理模式，每半年还田一次，配套消纳土地</w:t>
            </w:r>
            <w:r>
              <w:rPr>
                <w:rFonts w:hint="default" w:ascii="Arial" w:hAnsi="Arial" w:eastAsia="宋体" w:cs="Arial"/>
                <w:color w:val="auto"/>
                <w:sz w:val="21"/>
                <w:szCs w:val="21"/>
                <w:highlight w:val="none"/>
                <w:lang w:val="en-US" w:eastAsia="zh-CN"/>
              </w:rPr>
              <w:t>1</w:t>
            </w:r>
            <w:r>
              <w:rPr>
                <w:rFonts w:hint="default" w:ascii="Arial" w:hAnsi="Arial" w:eastAsia="宋体" w:cs="Arial"/>
                <w:color w:val="auto"/>
                <w:sz w:val="21"/>
                <w:szCs w:val="21"/>
                <w:highlight w:val="none"/>
                <w:lang w:eastAsia="zh-CN"/>
              </w:rPr>
              <w:t>250</w:t>
            </w:r>
            <w:r>
              <w:rPr>
                <w:rFonts w:hint="default" w:ascii="Arial" w:hAnsi="Arial" w:eastAsia="宋体" w:cs="Arial"/>
                <w:color w:val="auto"/>
                <w:sz w:val="21"/>
                <w:szCs w:val="21"/>
                <w:highlight w:val="none"/>
                <w:lang w:val="en-US" w:eastAsia="zh-CN"/>
              </w:rPr>
              <w:t>0</w:t>
            </w:r>
            <w:r>
              <w:rPr>
                <w:rFonts w:hint="default" w:ascii="Arial" w:hAnsi="Arial" w:eastAsia="宋体" w:cs="Arial"/>
                <w:color w:val="auto"/>
                <w:sz w:val="21"/>
                <w:szCs w:val="21"/>
                <w:highlight w:val="none"/>
                <w:lang w:eastAsia="zh-CN"/>
              </w:rPr>
              <w:t>亩</w:t>
            </w:r>
            <w:r>
              <w:rPr>
                <w:rFonts w:hint="default" w:ascii="Arial" w:hAnsi="Arial" w:eastAsia="宋体" w:cs="Arial"/>
                <w:color w:val="auto"/>
                <w:sz w:val="21"/>
                <w:szCs w:val="21"/>
                <w:highlight w:val="none"/>
              </w:rPr>
              <w:t>，土地消纳能力与粪污产生量相适应，种养平衡；</w:t>
            </w:r>
          </w:p>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实现粪便的资源化综合利用，化害为利，变废为宝，符合相关要求</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924"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畜禽养殖业污染治理工程技术规范（HJ497－2009）</w:t>
            </w:r>
          </w:p>
        </w:tc>
        <w:tc>
          <w:tcPr>
            <w:tcW w:w="3772"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经无害化处理后进行还田综合利用的，粪肥用量不能超过作物当年生长所需的养分量。在确定粪肥的最佳施用量时，应对土壤肥力和粪肥肥效进行测试评价，并符合当地环境容量的要求。同时应有一倍以上的土地用于轮作施肥，不得长期施肥于同一土地。</w:t>
            </w:r>
          </w:p>
        </w:tc>
        <w:tc>
          <w:tcPr>
            <w:tcW w:w="3307"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项目每半年还田一次，粪肥用量不超过作物当年生长所需的养分量，配套消纳土地</w:t>
            </w:r>
            <w:r>
              <w:rPr>
                <w:rFonts w:hint="default" w:ascii="Arial" w:hAnsi="Arial" w:eastAsia="宋体" w:cs="Arial"/>
                <w:color w:val="auto"/>
                <w:sz w:val="21"/>
                <w:szCs w:val="21"/>
                <w:highlight w:val="none"/>
                <w:lang w:val="en-US" w:eastAsia="zh-CN"/>
              </w:rPr>
              <w:t>1</w:t>
            </w:r>
            <w:r>
              <w:rPr>
                <w:rFonts w:hint="default" w:ascii="Arial" w:hAnsi="Arial" w:eastAsia="宋体" w:cs="Arial"/>
                <w:color w:val="auto"/>
                <w:sz w:val="21"/>
                <w:szCs w:val="21"/>
                <w:highlight w:val="none"/>
                <w:lang w:eastAsia="zh-CN"/>
              </w:rPr>
              <w:t>25</w:t>
            </w:r>
            <w:r>
              <w:rPr>
                <w:rFonts w:hint="default" w:ascii="Arial" w:hAnsi="Arial" w:eastAsia="宋体" w:cs="Arial"/>
                <w:color w:val="auto"/>
                <w:sz w:val="21"/>
                <w:szCs w:val="21"/>
                <w:highlight w:val="none"/>
                <w:lang w:val="en-US" w:eastAsia="zh-CN"/>
              </w:rPr>
              <w:t>0</w:t>
            </w:r>
            <w:r>
              <w:rPr>
                <w:rFonts w:hint="default" w:ascii="Arial" w:hAnsi="Arial" w:eastAsia="宋体" w:cs="Arial"/>
                <w:color w:val="auto"/>
                <w:sz w:val="21"/>
                <w:szCs w:val="21"/>
                <w:highlight w:val="none"/>
                <w:lang w:eastAsia="zh-CN"/>
              </w:rPr>
              <w:t>0亩</w:t>
            </w:r>
            <w:r>
              <w:rPr>
                <w:rFonts w:hint="default" w:ascii="Arial" w:hAnsi="Arial" w:eastAsia="宋体" w:cs="Arial"/>
                <w:color w:val="auto"/>
                <w:sz w:val="21"/>
                <w:szCs w:val="21"/>
                <w:highlight w:val="none"/>
              </w:rPr>
              <w:t>，实现粪便的资源化综合利用，化害为利，变废为宝，符合相关要求</w:t>
            </w:r>
          </w:p>
        </w:tc>
      </w:tr>
    </w:tbl>
    <w:p>
      <w:pPr>
        <w:ind w:firstLine="480"/>
        <w:rPr>
          <w:rFonts w:hint="default" w:ascii="Arial" w:hAnsi="Arial" w:eastAsia="宋体" w:cs="Arial"/>
          <w:color w:val="auto"/>
          <w:highlight w:val="none"/>
          <w:shd w:val="clear" w:color="auto" w:fill="FFFFFF"/>
        </w:rPr>
      </w:pPr>
      <w:r>
        <w:rPr>
          <w:rFonts w:hint="default" w:ascii="Arial" w:hAnsi="Arial" w:eastAsia="宋体" w:cs="Arial"/>
          <w:color w:val="auto"/>
          <w:highlight w:val="none"/>
          <w:shd w:val="clear" w:color="auto" w:fill="FFFFFF"/>
        </w:rPr>
        <w:t>项目种养结合的养牛模式符合《</w:t>
      </w:r>
      <w:r>
        <w:rPr>
          <w:rFonts w:hint="default" w:ascii="Arial" w:hAnsi="Arial" w:eastAsia="宋体" w:cs="Arial"/>
          <w:color w:val="auto"/>
          <w:highlight w:val="none"/>
        </w:rPr>
        <w:t>畜禽规模养殖污染防治条例</w:t>
      </w:r>
      <w:r>
        <w:rPr>
          <w:rFonts w:hint="default" w:ascii="Arial" w:hAnsi="Arial" w:eastAsia="宋体" w:cs="Arial"/>
          <w:color w:val="auto"/>
          <w:highlight w:val="none"/>
          <w:shd w:val="clear" w:color="auto" w:fill="FFFFFF"/>
        </w:rPr>
        <w:t>》精神和要求，积极推进种养结合、种养平衡，发展养殖业＋种植业复合型产业模式，拉长产业链条，提高粪便等废弃物资源的综合利用水平，增加盈利点，提升产业综合效益。</w:t>
      </w:r>
    </w:p>
    <w:p>
      <w:pPr>
        <w:pStyle w:val="6"/>
        <w:rPr>
          <w:rFonts w:hint="default" w:ascii="Arial" w:hAnsi="Arial" w:eastAsia="宋体" w:cs="Arial"/>
          <w:color w:val="auto"/>
          <w:highlight w:val="none"/>
        </w:rPr>
      </w:pPr>
      <w:bookmarkStart w:id="519" w:name="_Toc763"/>
      <w:r>
        <w:rPr>
          <w:rFonts w:hint="default" w:ascii="Arial" w:hAnsi="Arial" w:eastAsia="宋体" w:cs="Arial"/>
          <w:color w:val="auto"/>
          <w:highlight w:val="none"/>
        </w:rPr>
        <w:t>7.8.3粪污资源化工艺可行性分析</w:t>
      </w:r>
      <w:bookmarkEnd w:id="519"/>
    </w:p>
    <w:p>
      <w:pPr>
        <w:pStyle w:val="7"/>
        <w:rPr>
          <w:rFonts w:hint="default" w:ascii="Arial" w:hAnsi="Arial" w:eastAsia="宋体" w:cs="Arial"/>
          <w:color w:val="auto"/>
          <w:highlight w:val="none"/>
        </w:rPr>
      </w:pPr>
      <w:r>
        <w:rPr>
          <w:rFonts w:hint="default" w:ascii="Arial" w:hAnsi="Arial" w:eastAsia="宋体" w:cs="Arial"/>
          <w:color w:val="auto"/>
          <w:highlight w:val="none"/>
        </w:rPr>
        <w:t>7.8.3.1固体堆肥工艺可行分析</w:t>
      </w:r>
    </w:p>
    <w:p>
      <w:pPr>
        <w:ind w:firstLine="480"/>
        <w:rPr>
          <w:rFonts w:hint="default" w:ascii="Arial" w:hAnsi="Arial" w:eastAsia="宋体" w:cs="Arial"/>
          <w:color w:val="auto"/>
          <w:highlight w:val="none"/>
        </w:rPr>
      </w:pPr>
      <w:r>
        <w:rPr>
          <w:rFonts w:hint="default" w:ascii="Arial" w:hAnsi="Arial" w:eastAsia="宋体" w:cs="Arial"/>
          <w:color w:val="auto"/>
          <w:highlight w:val="none"/>
          <w:lang w:eastAsia="zh-CN"/>
        </w:rPr>
        <w:t>牛粪便</w:t>
      </w:r>
      <w:r>
        <w:rPr>
          <w:rFonts w:hint="default" w:ascii="Arial" w:hAnsi="Arial" w:eastAsia="宋体" w:cs="Arial"/>
          <w:color w:val="auto"/>
          <w:highlight w:val="none"/>
        </w:rPr>
        <w:t>中含有大量的有机质和氮等植物必需的营养物质，是很好的有机肥料，但其中的营养成分必须经微生物降解腐熟后才能被植物吸收利用。同时，还有病原微生物和寄生虫，如果不加处理直接施用鲜粪尿，则有机质在被土壤微生物降解过程中产生的热量、氨和硫化氢等物质会对植物根系产生不利，并有可能对环境造成恶臭和污染，因此必须经过无害化处理后才能施用。</w:t>
      </w:r>
    </w:p>
    <w:p>
      <w:pPr>
        <w:ind w:firstLine="480"/>
        <w:rPr>
          <w:rFonts w:hint="default" w:ascii="Arial" w:hAnsi="Arial" w:eastAsia="宋体" w:cs="Arial"/>
          <w:color w:val="auto"/>
          <w:highlight w:val="none"/>
        </w:rPr>
      </w:pPr>
      <w:r>
        <w:rPr>
          <w:rFonts w:hint="default" w:ascii="Arial" w:hAnsi="Arial" w:eastAsia="宋体" w:cs="Arial"/>
          <w:color w:val="auto"/>
          <w:highlight w:val="none"/>
        </w:rPr>
        <w:t>常见的固体粪便处理方法有堆肥法、干燥法、焚烧法等。由于好氧堆肥法与其它无害化方法相比，具有省能源、低成本、发酵产物活性强、处理过程养分损失少等优点，并且也可达到去除臭味、灭菌的目的，处理的最终产物较干燥，易包装、施用，因此，对固体粪便采用好氧堆肥法处理是最佳的处置方式。</w:t>
      </w:r>
    </w:p>
    <w:p>
      <w:pPr>
        <w:ind w:firstLine="480"/>
        <w:rPr>
          <w:rFonts w:hint="default" w:ascii="Arial" w:hAnsi="Arial" w:eastAsia="宋体" w:cs="Arial"/>
          <w:color w:val="auto"/>
          <w:highlight w:val="none"/>
        </w:rPr>
      </w:pPr>
      <w:r>
        <w:rPr>
          <w:rFonts w:hint="default" w:ascii="Arial" w:hAnsi="Arial" w:eastAsia="宋体" w:cs="Arial"/>
          <w:color w:val="auto"/>
          <w:highlight w:val="none"/>
        </w:rPr>
        <w:t>根据农业部办公厅印发的《畜禽规模养殖场粪污资源化利用设施建设规范（试行）》（农办牧</w:t>
      </w:r>
      <w:r>
        <w:rPr>
          <w:rFonts w:hint="default" w:ascii="Arial" w:hAnsi="Arial" w:eastAsia="宋体" w:cs="Arial"/>
          <w:color w:val="auto"/>
          <w:highlight w:val="none"/>
          <w:lang w:eastAsia="zh-CN"/>
        </w:rPr>
        <w:t>[</w:t>
      </w:r>
      <w:r>
        <w:rPr>
          <w:rFonts w:hint="default" w:ascii="Arial" w:hAnsi="Arial" w:eastAsia="宋体" w:cs="Arial"/>
          <w:color w:val="auto"/>
          <w:highlight w:val="none"/>
        </w:rPr>
        <w:t>2018</w:t>
      </w:r>
      <w:r>
        <w:rPr>
          <w:rFonts w:hint="default" w:ascii="Arial" w:hAnsi="Arial" w:eastAsia="宋体" w:cs="Arial"/>
          <w:color w:val="auto"/>
          <w:highlight w:val="none"/>
          <w:lang w:eastAsia="zh-CN"/>
        </w:rPr>
        <w:t>]</w:t>
      </w:r>
      <w:r>
        <w:rPr>
          <w:rFonts w:hint="default" w:ascii="Arial" w:hAnsi="Arial" w:eastAsia="宋体" w:cs="Arial"/>
          <w:color w:val="auto"/>
          <w:highlight w:val="none"/>
        </w:rPr>
        <w:t>2号）“猪场堆肥设施发酵容积不小于0.002m</w:t>
      </w:r>
      <w:r>
        <w:rPr>
          <w:rFonts w:hint="default" w:ascii="Arial" w:hAnsi="Arial" w:eastAsia="宋体" w:cs="Arial"/>
          <w:color w:val="auto"/>
          <w:highlight w:val="none"/>
          <w:vertAlign w:val="superscript"/>
        </w:rPr>
        <w:t>3</w:t>
      </w:r>
      <w:r>
        <w:rPr>
          <w:rFonts w:hint="default" w:ascii="Arial" w:hAnsi="Arial" w:eastAsia="宋体" w:cs="Arial"/>
          <w:color w:val="auto"/>
          <w:highlight w:val="none"/>
        </w:rPr>
        <w:t>×发酵周期(天)×设计存栏量(头)，其它畜禽按GB18596折算成猪的存栏量计算”。经折算，发酵周期</w:t>
      </w:r>
      <w:r>
        <w:rPr>
          <w:rFonts w:hint="default" w:ascii="Arial" w:hAnsi="Arial" w:eastAsia="宋体" w:cs="Arial"/>
          <w:color w:val="auto"/>
          <w:highlight w:val="none"/>
          <w:lang w:val="en-US" w:eastAsia="zh-CN"/>
        </w:rPr>
        <w:t>6</w:t>
      </w:r>
      <w:r>
        <w:rPr>
          <w:rFonts w:hint="default" w:ascii="Arial" w:hAnsi="Arial" w:eastAsia="宋体" w:cs="Arial"/>
          <w:color w:val="auto"/>
          <w:highlight w:val="none"/>
        </w:rPr>
        <w:t>0d，项目完成后，全场牛群存栏</w:t>
      </w:r>
      <w:r>
        <w:rPr>
          <w:rFonts w:hint="default" w:ascii="Arial" w:hAnsi="Arial" w:eastAsia="宋体" w:cs="Arial"/>
          <w:color w:val="auto"/>
          <w:highlight w:val="none"/>
          <w:lang w:val="en-US" w:eastAsia="zh-CN"/>
        </w:rPr>
        <w:t>10</w:t>
      </w:r>
      <w:r>
        <w:rPr>
          <w:rFonts w:hint="default" w:ascii="Arial" w:hAnsi="Arial" w:eastAsia="宋体" w:cs="Arial"/>
          <w:color w:val="auto"/>
          <w:highlight w:val="none"/>
        </w:rPr>
        <w:t>000头，堆肥设施发酵容积不小于</w:t>
      </w:r>
      <w:r>
        <w:rPr>
          <w:rFonts w:hint="default" w:ascii="Arial" w:hAnsi="Arial" w:eastAsia="宋体" w:cs="Arial"/>
          <w:color w:val="auto"/>
          <w:highlight w:val="none"/>
          <w:lang w:val="en-US" w:eastAsia="zh-CN"/>
        </w:rPr>
        <w:t>600</w:t>
      </w:r>
      <w:r>
        <w:rPr>
          <w:rFonts w:hint="default" w:ascii="Arial" w:hAnsi="Arial" w:eastAsia="宋体" w:cs="Arial"/>
          <w:color w:val="auto"/>
          <w:highlight w:val="none"/>
        </w:rPr>
        <w:t>0m</w:t>
      </w:r>
      <w:r>
        <w:rPr>
          <w:rFonts w:hint="default" w:ascii="Arial" w:hAnsi="Arial" w:eastAsia="宋体" w:cs="Arial"/>
          <w:color w:val="auto"/>
          <w:highlight w:val="none"/>
          <w:vertAlign w:val="superscript"/>
        </w:rPr>
        <w:t>3</w:t>
      </w:r>
      <w:r>
        <w:rPr>
          <w:rFonts w:hint="default" w:ascii="Arial" w:hAnsi="Arial" w:eastAsia="宋体" w:cs="Arial"/>
          <w:color w:val="auto"/>
          <w:highlight w:val="none"/>
        </w:rPr>
        <w:t>。</w:t>
      </w:r>
      <w:r>
        <w:rPr>
          <w:rFonts w:hint="default" w:ascii="Arial" w:hAnsi="Arial" w:eastAsia="宋体" w:cs="Arial"/>
          <w:color w:val="auto"/>
          <w:highlight w:val="none"/>
          <w:lang w:eastAsia="zh-CN"/>
        </w:rPr>
        <w:t>堆肥场</w:t>
      </w:r>
      <w:r>
        <w:rPr>
          <w:rFonts w:hint="default" w:ascii="Arial" w:hAnsi="Arial" w:eastAsia="宋体" w:cs="Arial"/>
          <w:color w:val="auto"/>
          <w:highlight w:val="none"/>
        </w:rPr>
        <w:t>占地面积</w:t>
      </w:r>
      <w:r>
        <w:rPr>
          <w:rFonts w:hint="default" w:ascii="Arial" w:hAnsi="Arial" w:eastAsia="宋体" w:cs="Arial"/>
          <w:color w:val="auto"/>
          <w:highlight w:val="none"/>
          <w:lang w:val="en-US" w:eastAsia="zh-CN"/>
        </w:rPr>
        <w:t>15</w:t>
      </w:r>
      <w:r>
        <w:rPr>
          <w:rFonts w:hint="default" w:ascii="Arial" w:hAnsi="Arial" w:eastAsia="宋体" w:cs="Arial"/>
          <w:color w:val="auto"/>
          <w:highlight w:val="none"/>
          <w:lang w:eastAsia="zh-CN"/>
        </w:rPr>
        <w:t>00</w:t>
      </w:r>
      <w:r>
        <w:rPr>
          <w:rFonts w:hint="default" w:ascii="Arial" w:hAnsi="Arial" w:eastAsia="宋体" w:cs="Arial"/>
          <w:color w:val="auto"/>
          <w:highlight w:val="none"/>
        </w:rPr>
        <w:t>m</w:t>
      </w:r>
      <w:r>
        <w:rPr>
          <w:rFonts w:hint="default" w:ascii="Arial" w:hAnsi="Arial" w:eastAsia="宋体" w:cs="Arial"/>
          <w:color w:val="auto"/>
          <w:highlight w:val="none"/>
          <w:vertAlign w:val="superscript"/>
        </w:rPr>
        <w:t>2</w:t>
      </w:r>
      <w:r>
        <w:rPr>
          <w:rFonts w:hint="default" w:ascii="Arial" w:hAnsi="Arial" w:eastAsia="宋体" w:cs="Arial"/>
          <w:color w:val="auto"/>
          <w:highlight w:val="none"/>
        </w:rPr>
        <w:t>，容积为</w:t>
      </w:r>
      <w:r>
        <w:rPr>
          <w:rFonts w:hint="default" w:ascii="Arial" w:hAnsi="Arial" w:eastAsia="宋体" w:cs="Arial"/>
          <w:color w:val="auto"/>
          <w:highlight w:val="none"/>
          <w:lang w:val="en-US" w:eastAsia="zh-CN"/>
        </w:rPr>
        <w:t>60000</w:t>
      </w:r>
      <w:r>
        <w:rPr>
          <w:rFonts w:hint="default" w:ascii="Arial" w:hAnsi="Arial" w:eastAsia="宋体" w:cs="Arial"/>
          <w:color w:val="auto"/>
          <w:highlight w:val="none"/>
        </w:rPr>
        <w:t>m</w:t>
      </w:r>
      <w:r>
        <w:rPr>
          <w:rFonts w:hint="default" w:ascii="Arial" w:hAnsi="Arial" w:eastAsia="宋体" w:cs="Arial"/>
          <w:color w:val="auto"/>
          <w:highlight w:val="none"/>
          <w:vertAlign w:val="superscript"/>
        </w:rPr>
        <w:t>3</w:t>
      </w:r>
      <w:r>
        <w:rPr>
          <w:rFonts w:hint="default" w:ascii="Arial" w:hAnsi="Arial" w:eastAsia="宋体" w:cs="Arial"/>
          <w:color w:val="auto"/>
          <w:highlight w:val="none"/>
        </w:rPr>
        <w:t>。</w:t>
      </w:r>
    </w:p>
    <w:p>
      <w:pPr>
        <w:ind w:firstLine="480"/>
        <w:rPr>
          <w:rFonts w:hint="default" w:ascii="Arial" w:hAnsi="Arial" w:eastAsia="宋体" w:cs="Arial"/>
          <w:color w:val="auto"/>
          <w:highlight w:val="none"/>
        </w:rPr>
      </w:pPr>
      <w:r>
        <w:rPr>
          <w:rFonts w:hint="default" w:ascii="Arial" w:hAnsi="Arial" w:eastAsia="宋体" w:cs="Arial"/>
          <w:color w:val="auto"/>
          <w:highlight w:val="none"/>
        </w:rPr>
        <w:t>主要利用</w:t>
      </w:r>
      <w:r>
        <w:rPr>
          <w:rFonts w:hint="default" w:ascii="Arial" w:hAnsi="Arial" w:eastAsia="宋体" w:cs="Arial"/>
          <w:color w:val="auto"/>
          <w:highlight w:val="none"/>
          <w:lang w:eastAsia="zh-CN"/>
        </w:rPr>
        <w:t>牛粪便</w:t>
      </w:r>
      <w:r>
        <w:rPr>
          <w:rFonts w:hint="default" w:ascii="Arial" w:hAnsi="Arial" w:eastAsia="宋体" w:cs="Arial"/>
          <w:color w:val="auto"/>
          <w:highlight w:val="none"/>
        </w:rPr>
        <w:t>在存储阶段同时进行好氧发酵的过程。进行搅拌使其充分通风曝气供氧并进行好氧堆肥的机械翻堆，好氧发酵可对粪便的有机物进行分解，同时也杀灭粪便中的有害微生物，如有害细菌、虫卵等。</w:t>
      </w:r>
    </w:p>
    <w:p>
      <w:pPr>
        <w:ind w:firstLine="480"/>
        <w:rPr>
          <w:rFonts w:hint="default" w:ascii="Arial" w:hAnsi="Arial" w:eastAsia="宋体" w:cs="Arial"/>
          <w:color w:val="auto"/>
          <w:highlight w:val="none"/>
        </w:rPr>
      </w:pPr>
      <w:r>
        <w:rPr>
          <w:rFonts w:hint="default" w:ascii="Arial" w:hAnsi="Arial" w:eastAsia="宋体" w:cs="Arial"/>
          <w:color w:val="auto"/>
          <w:highlight w:val="none"/>
        </w:rPr>
        <w:t>好氧堆肥主要为通气、调节pH值、好氧发酵（升温阶段、高温阶段、降温阶段）项目经过发酵60天的长期中高温发酵，粪便中绝大多数有机物被降解，粪便也达到腐熟的程度。经发酵降解腐熟的农肥进行还田的应符合</w:t>
      </w:r>
      <w:r>
        <w:rPr>
          <w:rFonts w:hint="default" w:ascii="Arial" w:hAnsi="Arial" w:eastAsia="宋体" w:cs="Arial"/>
          <w:bCs/>
          <w:color w:val="auto"/>
          <w:highlight w:val="none"/>
        </w:rPr>
        <w:t>《畜禽养殖业污染物排放标准》（GB18596-2001）</w:t>
      </w:r>
      <w:r>
        <w:rPr>
          <w:rFonts w:hint="default" w:ascii="Arial" w:hAnsi="Arial" w:eastAsia="宋体" w:cs="Arial"/>
          <w:color w:val="auto"/>
          <w:highlight w:val="none"/>
        </w:rPr>
        <w:t>中废渣无害化环境标准要求，见下表。</w:t>
      </w:r>
    </w:p>
    <w:p>
      <w:pPr>
        <w:pStyle w:val="8"/>
        <w:rPr>
          <w:rFonts w:hint="default" w:ascii="Arial" w:hAnsi="Arial" w:eastAsia="宋体" w:cs="Arial"/>
          <w:color w:val="auto"/>
          <w:highlight w:val="none"/>
        </w:rPr>
      </w:pPr>
      <w:r>
        <w:rPr>
          <w:rFonts w:hint="default" w:ascii="Arial" w:hAnsi="Arial" w:eastAsia="宋体" w:cs="Arial"/>
          <w:color w:val="auto"/>
          <w:highlight w:val="none"/>
        </w:rPr>
        <w:t>表7.8-3    畜禽养殖业废渣无害化环境标准</w:t>
      </w:r>
    </w:p>
    <w:tbl>
      <w:tblPr>
        <w:tblStyle w:val="39"/>
        <w:tblW w:w="9003" w:type="dxa"/>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3092"/>
        <w:gridCol w:w="3091"/>
        <w:gridCol w:w="2820"/>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PrEx>
        <w:trPr>
          <w:trHeight w:val="340" w:hRule="atLeast"/>
          <w:jc w:val="center"/>
        </w:trPr>
        <w:tc>
          <w:tcPr>
            <w:tcW w:w="3092"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标准名称及编号</w:t>
            </w:r>
          </w:p>
        </w:tc>
        <w:tc>
          <w:tcPr>
            <w:tcW w:w="3091"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控制项目</w:t>
            </w:r>
          </w:p>
        </w:tc>
        <w:tc>
          <w:tcPr>
            <w:tcW w:w="2820"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指标</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092" w:type="dxa"/>
            <w:vMerge w:val="restart"/>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《畜禽养殖业污染物排放标准》（GB18596-2001）</w:t>
            </w:r>
          </w:p>
        </w:tc>
        <w:tc>
          <w:tcPr>
            <w:tcW w:w="3091"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蛔虫卵</w:t>
            </w:r>
          </w:p>
        </w:tc>
        <w:tc>
          <w:tcPr>
            <w:tcW w:w="2820"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死亡率≥95%</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3092" w:type="dxa"/>
            <w:vMerge w:val="continue"/>
            <w:vAlign w:val="center"/>
          </w:tcPr>
          <w:p>
            <w:pPr>
              <w:pStyle w:val="63"/>
              <w:rPr>
                <w:rFonts w:hint="default" w:ascii="Arial" w:hAnsi="Arial" w:eastAsia="宋体" w:cs="Arial"/>
                <w:color w:val="auto"/>
                <w:sz w:val="21"/>
                <w:szCs w:val="21"/>
                <w:highlight w:val="none"/>
              </w:rPr>
            </w:pPr>
          </w:p>
        </w:tc>
        <w:tc>
          <w:tcPr>
            <w:tcW w:w="3091"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粪大肠菌群数</w:t>
            </w:r>
          </w:p>
        </w:tc>
        <w:tc>
          <w:tcPr>
            <w:tcW w:w="2820" w:type="dxa"/>
            <w:vAlign w:val="center"/>
          </w:tcPr>
          <w:p>
            <w:pPr>
              <w:pStyle w:val="63"/>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≤10</w:t>
            </w:r>
            <w:r>
              <w:rPr>
                <w:rFonts w:hint="default" w:ascii="Arial" w:hAnsi="Arial" w:eastAsia="宋体" w:cs="Arial"/>
                <w:color w:val="auto"/>
                <w:sz w:val="21"/>
                <w:szCs w:val="21"/>
                <w:highlight w:val="none"/>
                <w:vertAlign w:val="superscript"/>
              </w:rPr>
              <w:t>5</w:t>
            </w:r>
            <w:r>
              <w:rPr>
                <w:rFonts w:hint="default" w:ascii="Arial" w:hAnsi="Arial" w:eastAsia="宋体" w:cs="Arial"/>
                <w:color w:val="auto"/>
                <w:sz w:val="21"/>
                <w:szCs w:val="21"/>
                <w:highlight w:val="none"/>
              </w:rPr>
              <w:t>个/kg</w:t>
            </w:r>
          </w:p>
        </w:tc>
      </w:tr>
    </w:tbl>
    <w:p>
      <w:pPr>
        <w:ind w:firstLine="480"/>
        <w:rPr>
          <w:rFonts w:hint="default" w:ascii="Arial" w:hAnsi="Arial" w:eastAsia="宋体" w:cs="Arial"/>
          <w:color w:val="auto"/>
          <w:highlight w:val="none"/>
        </w:rPr>
      </w:pPr>
      <w:r>
        <w:rPr>
          <w:rFonts w:hint="default" w:ascii="Arial" w:hAnsi="Arial" w:eastAsia="宋体" w:cs="Arial"/>
          <w:color w:val="auto"/>
          <w:highlight w:val="none"/>
        </w:rPr>
        <w:t>综上所述，项目用于还田的农肥为发酵降解腐熟的</w:t>
      </w:r>
      <w:r>
        <w:rPr>
          <w:rFonts w:hint="default" w:ascii="Arial" w:hAnsi="Arial" w:eastAsia="宋体" w:cs="Arial"/>
          <w:color w:val="auto"/>
          <w:highlight w:val="none"/>
          <w:lang w:eastAsia="zh-CN"/>
        </w:rPr>
        <w:t>有机肥</w:t>
      </w:r>
      <w:r>
        <w:rPr>
          <w:rFonts w:hint="default" w:ascii="Arial" w:hAnsi="Arial" w:eastAsia="宋体" w:cs="Arial"/>
          <w:color w:val="auto"/>
          <w:highlight w:val="none"/>
        </w:rPr>
        <w:t>，从工艺及无害化的要求是项目采用堆肥工艺是可行的。</w:t>
      </w:r>
    </w:p>
    <w:p>
      <w:pPr>
        <w:pStyle w:val="6"/>
        <w:rPr>
          <w:rFonts w:hint="default" w:ascii="Arial" w:hAnsi="Arial" w:eastAsia="宋体" w:cs="Arial"/>
          <w:color w:val="auto"/>
          <w:sz w:val="24"/>
          <w:szCs w:val="24"/>
          <w:highlight w:val="none"/>
        </w:rPr>
      </w:pPr>
      <w:bookmarkStart w:id="520" w:name="_Toc20257"/>
      <w:r>
        <w:rPr>
          <w:rFonts w:hint="default" w:ascii="Arial" w:hAnsi="Arial" w:eastAsia="宋体" w:cs="Arial"/>
          <w:color w:val="auto"/>
          <w:sz w:val="24"/>
          <w:szCs w:val="24"/>
          <w:highlight w:val="none"/>
        </w:rPr>
        <w:t>7.8.4还田利用可行性分析</w:t>
      </w:r>
      <w:bookmarkEnd w:id="520"/>
    </w:p>
    <w:p>
      <w:pPr>
        <w:ind w:firstLine="480"/>
        <w:rPr>
          <w:rFonts w:hint="default" w:ascii="Arial" w:hAnsi="Arial" w:eastAsia="宋体" w:cs="Arial"/>
          <w:snapToGrid w:val="0"/>
          <w:color w:val="auto"/>
          <w:kern w:val="0"/>
          <w:sz w:val="24"/>
          <w:szCs w:val="24"/>
          <w:highlight w:val="none"/>
        </w:rPr>
      </w:pPr>
      <w:r>
        <w:rPr>
          <w:rFonts w:hint="default" w:ascii="Arial" w:hAnsi="Arial" w:eastAsia="宋体" w:cs="Arial"/>
          <w:snapToGrid w:val="0"/>
          <w:color w:val="auto"/>
          <w:kern w:val="0"/>
          <w:sz w:val="24"/>
          <w:szCs w:val="24"/>
          <w:highlight w:val="none"/>
        </w:rPr>
        <w:t>粪便作为农肥施用于农田，对于土壤来说，其机理类似于粪污土地处理系统，其净化机理包含了物理过滤、物理吸附、物理沉积、物理化学吸附、化学反应和化学沉淀、微生物对有机物的降解等过程，粪污在土地处理系统中的净化是一个综合净化过程。主要污染物的去除途径如下：</w:t>
      </w:r>
    </w:p>
    <w:p>
      <w:pPr>
        <w:ind w:firstLine="480"/>
        <w:rPr>
          <w:rFonts w:hint="default" w:ascii="Arial" w:hAnsi="Arial" w:eastAsia="宋体" w:cs="Arial"/>
          <w:snapToGrid w:val="0"/>
          <w:color w:val="auto"/>
          <w:kern w:val="0"/>
          <w:sz w:val="24"/>
          <w:szCs w:val="24"/>
          <w:highlight w:val="none"/>
        </w:rPr>
      </w:pPr>
      <w:bookmarkStart w:id="521" w:name="_Toc471227811"/>
      <w:r>
        <w:rPr>
          <w:rFonts w:hint="default" w:ascii="Arial" w:hAnsi="Arial" w:eastAsia="宋体" w:cs="Arial"/>
          <w:color w:val="auto"/>
          <w:highlight w:val="none"/>
          <w:lang w:eastAsia="zh-CN"/>
        </w:rPr>
        <w:t>（</w:t>
      </w:r>
      <w:r>
        <w:rPr>
          <w:rFonts w:hint="default" w:ascii="Arial" w:hAnsi="Arial" w:eastAsia="宋体" w:cs="Arial"/>
          <w:color w:val="auto"/>
          <w:highlight w:val="none"/>
          <w:lang w:val="en-US" w:eastAsia="zh-CN"/>
        </w:rPr>
        <w:t>1</w:t>
      </w:r>
      <w:r>
        <w:rPr>
          <w:rFonts w:hint="default" w:ascii="Arial" w:hAnsi="Arial" w:eastAsia="宋体" w:cs="Arial"/>
          <w:color w:val="auto"/>
          <w:highlight w:val="none"/>
          <w:lang w:eastAsia="zh-CN"/>
        </w:rPr>
        <w:t>）</w:t>
      </w:r>
      <w:r>
        <w:rPr>
          <w:rFonts w:hint="default" w:ascii="Arial" w:hAnsi="Arial" w:eastAsia="宋体" w:cs="Arial"/>
          <w:snapToGrid w:val="0"/>
          <w:color w:val="auto"/>
          <w:kern w:val="0"/>
          <w:sz w:val="24"/>
          <w:szCs w:val="24"/>
          <w:highlight w:val="none"/>
        </w:rPr>
        <w:t>BOD的去除</w:t>
      </w:r>
      <w:bookmarkEnd w:id="521"/>
    </w:p>
    <w:p>
      <w:pPr>
        <w:ind w:firstLine="480"/>
        <w:rPr>
          <w:rFonts w:hint="default" w:ascii="Arial" w:hAnsi="Arial" w:eastAsia="宋体" w:cs="Arial"/>
          <w:snapToGrid w:val="0"/>
          <w:color w:val="auto"/>
          <w:kern w:val="0"/>
          <w:sz w:val="24"/>
          <w:szCs w:val="24"/>
          <w:highlight w:val="none"/>
        </w:rPr>
      </w:pPr>
      <w:r>
        <w:rPr>
          <w:rFonts w:hint="default" w:ascii="Arial" w:hAnsi="Arial" w:eastAsia="宋体" w:cs="Arial"/>
          <w:snapToGrid w:val="0"/>
          <w:color w:val="auto"/>
          <w:kern w:val="0"/>
          <w:sz w:val="24"/>
          <w:szCs w:val="24"/>
          <w:highlight w:val="none"/>
        </w:rPr>
        <w:t>BOD大部分是在土壤表层土中去除的。土壤中含有大量的种类繁多的异养型微生物，它们能对被过滤、截留在土壤颗粒空隙间的悬浮有机物和溶解有机物进行生物降解，并合成微生物新细胞。当处理水的BOD负荷超过土壤微生物分解BOD的生物氧化能力时，会引起好氧状态或土壤堵塞。</w:t>
      </w:r>
    </w:p>
    <w:p>
      <w:pPr>
        <w:ind w:firstLine="480"/>
        <w:rPr>
          <w:rFonts w:hint="default" w:ascii="Arial" w:hAnsi="Arial" w:eastAsia="宋体" w:cs="Arial"/>
          <w:snapToGrid w:val="0"/>
          <w:color w:val="auto"/>
          <w:kern w:val="0"/>
          <w:sz w:val="24"/>
          <w:szCs w:val="24"/>
          <w:highlight w:val="none"/>
        </w:rPr>
      </w:pPr>
      <w:bookmarkStart w:id="522" w:name="_Toc471227812"/>
      <w:r>
        <w:rPr>
          <w:rFonts w:hint="default" w:ascii="Arial" w:hAnsi="Arial" w:eastAsia="宋体" w:cs="Arial"/>
          <w:color w:val="auto"/>
          <w:highlight w:val="none"/>
          <w:lang w:eastAsia="zh-CN"/>
        </w:rPr>
        <w:t>（</w:t>
      </w:r>
      <w:r>
        <w:rPr>
          <w:rFonts w:hint="default" w:ascii="Arial" w:hAnsi="Arial" w:eastAsia="宋体" w:cs="Arial"/>
          <w:color w:val="auto"/>
          <w:highlight w:val="none"/>
          <w:lang w:val="en-US" w:eastAsia="zh-CN"/>
        </w:rPr>
        <w:t>2</w:t>
      </w:r>
      <w:r>
        <w:rPr>
          <w:rFonts w:hint="default" w:ascii="Arial" w:hAnsi="Arial" w:eastAsia="宋体" w:cs="Arial"/>
          <w:color w:val="auto"/>
          <w:highlight w:val="none"/>
          <w:lang w:eastAsia="zh-CN"/>
        </w:rPr>
        <w:t>）</w:t>
      </w:r>
      <w:r>
        <w:rPr>
          <w:rFonts w:hint="default" w:ascii="Arial" w:hAnsi="Arial" w:eastAsia="宋体" w:cs="Arial"/>
          <w:snapToGrid w:val="0"/>
          <w:color w:val="auto"/>
          <w:kern w:val="0"/>
          <w:sz w:val="24"/>
          <w:szCs w:val="24"/>
          <w:highlight w:val="none"/>
        </w:rPr>
        <w:t>磷和氮的去除</w:t>
      </w:r>
      <w:bookmarkEnd w:id="522"/>
    </w:p>
    <w:p>
      <w:pPr>
        <w:ind w:firstLine="480"/>
        <w:rPr>
          <w:rFonts w:hint="default" w:ascii="Arial" w:hAnsi="Arial" w:eastAsia="宋体" w:cs="Arial"/>
          <w:snapToGrid w:val="0"/>
          <w:color w:val="auto"/>
          <w:kern w:val="0"/>
          <w:sz w:val="24"/>
          <w:szCs w:val="24"/>
          <w:highlight w:val="none"/>
        </w:rPr>
      </w:pPr>
      <w:r>
        <w:rPr>
          <w:rFonts w:hint="default" w:ascii="Arial" w:hAnsi="Arial" w:eastAsia="宋体" w:cs="Arial"/>
          <w:snapToGrid w:val="0"/>
          <w:color w:val="auto"/>
          <w:kern w:val="0"/>
          <w:sz w:val="24"/>
          <w:szCs w:val="24"/>
          <w:highlight w:val="none"/>
        </w:rPr>
        <w:t>在土地处理中，磷主要是通过植物吸收，化学反应和沉淀(与土壤中的钙、铝、铁等离子形成难溶的磷酸盐)，物理吸附和沉积(土壤中的黏土矿物对磷酸盐的吸附和沉积)，物理化学吸附(离子交换、络合吸附)等方式被去除。其去除效果受土壤结构、阳离子交换容量、铁铝氧化物和植物对磷的吸收等因素影响。氮主要是通过植物吸收，微生物脱氮(氨化、硝化、反硝化)，挥发、渗出(氨在碱性条件下逸出、硝酸盐的渗出)等方式被去除。其去除率受作物的类型、生长期、对氮的吸收能力，以及土地处理系统的工艺等因素影响。</w:t>
      </w:r>
    </w:p>
    <w:p>
      <w:pPr>
        <w:ind w:firstLine="480"/>
        <w:rPr>
          <w:rFonts w:hint="default" w:ascii="Arial" w:hAnsi="Arial" w:eastAsia="宋体" w:cs="Arial"/>
          <w:snapToGrid w:val="0"/>
          <w:color w:val="auto"/>
          <w:kern w:val="0"/>
          <w:sz w:val="24"/>
          <w:szCs w:val="24"/>
          <w:highlight w:val="none"/>
        </w:rPr>
      </w:pPr>
      <w:bookmarkStart w:id="523" w:name="_Toc471227813"/>
      <w:r>
        <w:rPr>
          <w:rFonts w:hint="default" w:ascii="Arial" w:hAnsi="Arial" w:eastAsia="宋体" w:cs="Arial"/>
          <w:color w:val="auto"/>
          <w:highlight w:val="none"/>
          <w:lang w:eastAsia="zh-CN"/>
        </w:rPr>
        <w:t>（</w:t>
      </w:r>
      <w:r>
        <w:rPr>
          <w:rFonts w:hint="default" w:ascii="Arial" w:hAnsi="Arial" w:eastAsia="宋体" w:cs="Arial"/>
          <w:color w:val="auto"/>
          <w:highlight w:val="none"/>
          <w:lang w:val="en-US" w:eastAsia="zh-CN"/>
        </w:rPr>
        <w:t>3</w:t>
      </w:r>
      <w:r>
        <w:rPr>
          <w:rFonts w:hint="default" w:ascii="Arial" w:hAnsi="Arial" w:eastAsia="宋体" w:cs="Arial"/>
          <w:color w:val="auto"/>
          <w:highlight w:val="none"/>
          <w:lang w:eastAsia="zh-CN"/>
        </w:rPr>
        <w:t>）</w:t>
      </w:r>
      <w:r>
        <w:rPr>
          <w:rFonts w:hint="default" w:ascii="Arial" w:hAnsi="Arial" w:eastAsia="宋体" w:cs="Arial"/>
          <w:snapToGrid w:val="0"/>
          <w:color w:val="auto"/>
          <w:kern w:val="0"/>
          <w:sz w:val="24"/>
          <w:szCs w:val="24"/>
          <w:highlight w:val="none"/>
        </w:rPr>
        <w:t>病原体的去除</w:t>
      </w:r>
      <w:bookmarkEnd w:id="523"/>
    </w:p>
    <w:p>
      <w:pPr>
        <w:ind w:firstLine="480"/>
        <w:rPr>
          <w:rFonts w:hint="default" w:ascii="Arial" w:hAnsi="Arial" w:eastAsia="宋体" w:cs="Arial"/>
          <w:snapToGrid w:val="0"/>
          <w:color w:val="auto"/>
          <w:kern w:val="0"/>
          <w:sz w:val="24"/>
          <w:szCs w:val="24"/>
          <w:highlight w:val="none"/>
        </w:rPr>
      </w:pPr>
      <w:r>
        <w:rPr>
          <w:rFonts w:hint="default" w:ascii="Arial" w:hAnsi="Arial" w:eastAsia="宋体" w:cs="Arial"/>
          <w:snapToGrid w:val="0"/>
          <w:color w:val="auto"/>
          <w:kern w:val="0"/>
          <w:sz w:val="24"/>
          <w:szCs w:val="24"/>
          <w:highlight w:val="none"/>
        </w:rPr>
        <w:t>农肥经土壤过滤后，水中大部分的病菌和病毒可被去除，去除率可达92％～97％。其去除率与选用的土地处理系统工艺有关，其中地表漫流的去除率略低，但若有较长的漫流距离和停留时间，也可达到较高的去除效率。</w:t>
      </w:r>
    </w:p>
    <w:p>
      <w:pPr>
        <w:ind w:firstLine="480"/>
        <w:rPr>
          <w:rFonts w:hint="default" w:ascii="Arial" w:hAnsi="Arial" w:eastAsia="宋体" w:cs="Arial"/>
          <w:snapToGrid w:val="0"/>
          <w:color w:val="auto"/>
          <w:kern w:val="0"/>
          <w:sz w:val="24"/>
          <w:szCs w:val="24"/>
          <w:highlight w:val="none"/>
        </w:rPr>
      </w:pPr>
      <w:r>
        <w:rPr>
          <w:rFonts w:hint="default" w:ascii="Arial" w:hAnsi="Arial" w:eastAsia="宋体" w:cs="Arial"/>
          <w:snapToGrid w:val="0"/>
          <w:color w:val="auto"/>
          <w:kern w:val="0"/>
          <w:sz w:val="24"/>
          <w:szCs w:val="24"/>
          <w:highlight w:val="none"/>
        </w:rPr>
        <w:t>农肥中的废水的在下渗过程中，通过土壤的过滤、吸附、离子交换、化学反应等作用，可使水质有所改善，因此越向下渗，水质将越好。因此只要粪便经好氧发酵处理后的农肥施用量适度，就不会造成土壤和地下水的污染。</w:t>
      </w:r>
    </w:p>
    <w:p>
      <w:pPr>
        <w:ind w:firstLine="480"/>
        <w:rPr>
          <w:rFonts w:hint="default" w:ascii="Arial" w:hAnsi="Arial" w:eastAsia="宋体" w:cs="Arial"/>
          <w:color w:val="auto"/>
          <w:sz w:val="24"/>
          <w:szCs w:val="24"/>
          <w:highlight w:val="none"/>
        </w:rPr>
      </w:pPr>
      <w:r>
        <w:rPr>
          <w:rFonts w:hint="default" w:ascii="Arial" w:hAnsi="Arial" w:eastAsia="宋体" w:cs="Arial"/>
          <w:color w:val="auto"/>
          <w:sz w:val="24"/>
          <w:szCs w:val="24"/>
          <w:highlight w:val="none"/>
        </w:rPr>
        <w:t>经过发酵后的</w:t>
      </w:r>
      <w:r>
        <w:rPr>
          <w:rFonts w:hint="default" w:ascii="Arial" w:hAnsi="Arial" w:eastAsia="宋体" w:cs="Arial"/>
          <w:color w:val="auto"/>
          <w:sz w:val="24"/>
          <w:szCs w:val="24"/>
          <w:highlight w:val="none"/>
          <w:lang w:eastAsia="zh-CN"/>
        </w:rPr>
        <w:t>有机肥</w:t>
      </w:r>
      <w:r>
        <w:rPr>
          <w:rFonts w:hint="default" w:ascii="Arial" w:hAnsi="Arial" w:eastAsia="宋体" w:cs="Arial"/>
          <w:color w:val="auto"/>
          <w:sz w:val="24"/>
          <w:szCs w:val="24"/>
          <w:highlight w:val="none"/>
        </w:rPr>
        <w:t>，在还田前，需要进行以下几个工作：</w:t>
      </w:r>
    </w:p>
    <w:p>
      <w:pPr>
        <w:ind w:firstLine="480"/>
        <w:rPr>
          <w:rFonts w:hint="default" w:ascii="Arial" w:hAnsi="Arial" w:eastAsia="宋体" w:cs="Arial"/>
          <w:color w:val="auto"/>
          <w:sz w:val="24"/>
          <w:szCs w:val="24"/>
          <w:highlight w:val="none"/>
        </w:rPr>
      </w:pPr>
      <w:r>
        <w:rPr>
          <w:rFonts w:hint="default" w:ascii="Arial" w:hAnsi="Arial" w:eastAsia="宋体" w:cs="Arial"/>
          <w:color w:val="auto"/>
          <w:highlight w:val="none"/>
          <w:lang w:eastAsia="zh-CN"/>
        </w:rPr>
        <w:t>（</w:t>
      </w:r>
      <w:r>
        <w:rPr>
          <w:rFonts w:hint="default" w:ascii="Arial" w:hAnsi="Arial" w:eastAsia="宋体" w:cs="Arial"/>
          <w:color w:val="auto"/>
          <w:highlight w:val="none"/>
          <w:lang w:val="en-US" w:eastAsia="zh-CN"/>
        </w:rPr>
        <w:t>1</w:t>
      </w:r>
      <w:r>
        <w:rPr>
          <w:rFonts w:hint="default" w:ascii="Arial" w:hAnsi="Arial" w:eastAsia="宋体" w:cs="Arial"/>
          <w:color w:val="auto"/>
          <w:highlight w:val="none"/>
          <w:lang w:eastAsia="zh-CN"/>
        </w:rPr>
        <w:t>）</w:t>
      </w:r>
      <w:r>
        <w:rPr>
          <w:rFonts w:hint="default" w:ascii="Arial" w:hAnsi="Arial" w:eastAsia="宋体" w:cs="Arial"/>
          <w:color w:val="auto"/>
          <w:sz w:val="24"/>
          <w:szCs w:val="24"/>
          <w:highlight w:val="none"/>
        </w:rPr>
        <w:t>利用时必须对</w:t>
      </w:r>
      <w:r>
        <w:rPr>
          <w:rFonts w:hint="default" w:ascii="Arial" w:hAnsi="Arial" w:eastAsia="宋体" w:cs="Arial"/>
          <w:color w:val="auto"/>
          <w:sz w:val="24"/>
          <w:szCs w:val="24"/>
          <w:highlight w:val="none"/>
          <w:lang w:eastAsia="zh-CN"/>
        </w:rPr>
        <w:t>有机肥</w:t>
      </w:r>
      <w:r>
        <w:rPr>
          <w:rFonts w:hint="default" w:ascii="Arial" w:hAnsi="Arial" w:eastAsia="宋体" w:cs="Arial"/>
          <w:color w:val="auto"/>
          <w:sz w:val="24"/>
          <w:szCs w:val="24"/>
          <w:highlight w:val="none"/>
        </w:rPr>
        <w:t>成分进行科学的测定。满足《畜禽规模养殖污染防治条例》（第643号）有关畜禽粪便综合利用与治理相关要求及《畜禽养殖业污染物排放标准》（GB18596-2001）中表6畜禽养殖业废渣无害化环境标准关于无害化的要求后，进行还田，避免污染食物链。</w:t>
      </w:r>
    </w:p>
    <w:p>
      <w:pPr>
        <w:ind w:firstLine="480"/>
        <w:rPr>
          <w:rFonts w:hint="default" w:ascii="Arial" w:hAnsi="Arial" w:eastAsia="宋体" w:cs="Arial"/>
          <w:color w:val="auto"/>
          <w:sz w:val="24"/>
          <w:szCs w:val="24"/>
          <w:highlight w:val="none"/>
        </w:rPr>
      </w:pPr>
      <w:r>
        <w:rPr>
          <w:rFonts w:hint="default" w:ascii="Arial" w:hAnsi="Arial" w:eastAsia="宋体" w:cs="Arial"/>
          <w:color w:val="auto"/>
          <w:highlight w:val="none"/>
          <w:lang w:eastAsia="zh-CN"/>
        </w:rPr>
        <w:t>（</w:t>
      </w:r>
      <w:r>
        <w:rPr>
          <w:rFonts w:hint="default" w:ascii="Arial" w:hAnsi="Arial" w:eastAsia="宋体" w:cs="Arial"/>
          <w:color w:val="auto"/>
          <w:highlight w:val="none"/>
          <w:lang w:val="en-US" w:eastAsia="zh-CN"/>
        </w:rPr>
        <w:t>2</w:t>
      </w:r>
      <w:r>
        <w:rPr>
          <w:rFonts w:hint="default" w:ascii="Arial" w:hAnsi="Arial" w:eastAsia="宋体" w:cs="Arial"/>
          <w:color w:val="auto"/>
          <w:highlight w:val="none"/>
          <w:lang w:eastAsia="zh-CN"/>
        </w:rPr>
        <w:t>）</w:t>
      </w:r>
      <w:r>
        <w:rPr>
          <w:rFonts w:hint="default" w:ascii="Arial" w:hAnsi="Arial" w:eastAsia="宋体" w:cs="Arial"/>
          <w:color w:val="auto"/>
          <w:sz w:val="24"/>
          <w:szCs w:val="24"/>
          <w:highlight w:val="none"/>
        </w:rPr>
        <w:t>对农肥的所含物质进行检测。主要检测N、P、K、微量元素、有机物质以及PH值等。</w:t>
      </w:r>
    </w:p>
    <w:p>
      <w:pPr>
        <w:ind w:firstLine="480"/>
        <w:rPr>
          <w:rFonts w:hint="default" w:ascii="Arial" w:hAnsi="Arial" w:eastAsia="宋体" w:cs="Arial"/>
          <w:color w:val="auto"/>
          <w:sz w:val="24"/>
          <w:szCs w:val="24"/>
          <w:highlight w:val="none"/>
        </w:rPr>
      </w:pPr>
      <w:r>
        <w:rPr>
          <w:rFonts w:hint="default" w:ascii="Arial" w:hAnsi="Arial" w:eastAsia="宋体" w:cs="Arial"/>
          <w:color w:val="auto"/>
          <w:highlight w:val="none"/>
          <w:lang w:eastAsia="zh-CN"/>
        </w:rPr>
        <w:t>（</w:t>
      </w:r>
      <w:r>
        <w:rPr>
          <w:rFonts w:hint="default" w:ascii="Arial" w:hAnsi="Arial" w:eastAsia="宋体" w:cs="Arial"/>
          <w:color w:val="auto"/>
          <w:highlight w:val="none"/>
          <w:lang w:val="en-US" w:eastAsia="zh-CN"/>
        </w:rPr>
        <w:t>3</w:t>
      </w:r>
      <w:r>
        <w:rPr>
          <w:rFonts w:hint="default" w:ascii="Arial" w:hAnsi="Arial" w:eastAsia="宋体" w:cs="Arial"/>
          <w:color w:val="auto"/>
          <w:highlight w:val="none"/>
          <w:lang w:eastAsia="zh-CN"/>
        </w:rPr>
        <w:t>）</w:t>
      </w:r>
      <w:r>
        <w:rPr>
          <w:rFonts w:hint="default" w:ascii="Arial" w:hAnsi="Arial" w:eastAsia="宋体" w:cs="Arial"/>
          <w:color w:val="auto"/>
          <w:sz w:val="24"/>
          <w:szCs w:val="24"/>
          <w:highlight w:val="none"/>
        </w:rPr>
        <w:t>对土壤进行土化检测，测定所含N、P、K、有机物的含量。</w:t>
      </w:r>
    </w:p>
    <w:p>
      <w:pPr>
        <w:ind w:firstLine="480"/>
        <w:rPr>
          <w:rFonts w:hint="default" w:ascii="Arial" w:hAnsi="Arial" w:eastAsia="宋体" w:cs="Arial"/>
          <w:color w:val="auto"/>
          <w:sz w:val="24"/>
          <w:szCs w:val="24"/>
          <w:highlight w:val="none"/>
        </w:rPr>
      </w:pPr>
      <w:r>
        <w:rPr>
          <w:rFonts w:hint="default" w:ascii="Arial" w:hAnsi="Arial" w:eastAsia="宋体" w:cs="Arial"/>
          <w:color w:val="auto"/>
          <w:highlight w:val="none"/>
          <w:lang w:eastAsia="zh-CN"/>
        </w:rPr>
        <w:t>（</w:t>
      </w:r>
      <w:r>
        <w:rPr>
          <w:rFonts w:hint="default" w:ascii="Arial" w:hAnsi="Arial" w:eastAsia="宋体" w:cs="Arial"/>
          <w:color w:val="auto"/>
          <w:highlight w:val="none"/>
          <w:lang w:val="en-US" w:eastAsia="zh-CN"/>
        </w:rPr>
        <w:t>4</w:t>
      </w:r>
      <w:r>
        <w:rPr>
          <w:rFonts w:hint="default" w:ascii="Arial" w:hAnsi="Arial" w:eastAsia="宋体" w:cs="Arial"/>
          <w:color w:val="auto"/>
          <w:highlight w:val="none"/>
          <w:lang w:eastAsia="zh-CN"/>
        </w:rPr>
        <w:t>）</w:t>
      </w:r>
      <w:r>
        <w:rPr>
          <w:rFonts w:hint="default" w:ascii="Arial" w:hAnsi="Arial" w:eastAsia="宋体" w:cs="Arial"/>
          <w:color w:val="auto"/>
          <w:sz w:val="24"/>
          <w:szCs w:val="24"/>
          <w:highlight w:val="none"/>
        </w:rPr>
        <w:t>测定耕种作物的营养需求和</w:t>
      </w:r>
      <w:r>
        <w:rPr>
          <w:rFonts w:hint="default" w:ascii="Arial" w:hAnsi="Arial" w:eastAsia="宋体" w:cs="Arial"/>
          <w:color w:val="auto"/>
          <w:sz w:val="24"/>
          <w:szCs w:val="24"/>
          <w:highlight w:val="none"/>
          <w:lang w:eastAsia="zh-CN"/>
        </w:rPr>
        <w:t>有机肥</w:t>
      </w:r>
      <w:r>
        <w:rPr>
          <w:rFonts w:hint="default" w:ascii="Arial" w:hAnsi="Arial" w:eastAsia="宋体" w:cs="Arial"/>
          <w:color w:val="auto"/>
          <w:sz w:val="24"/>
          <w:szCs w:val="24"/>
          <w:highlight w:val="none"/>
        </w:rPr>
        <w:t>养分，并对区域内作物的养分需求进行核算，平衡粪肥养分供给量和作物粪肥养分需求量，根据超载或者不足情况决定粪肥施用量。</w:t>
      </w:r>
    </w:p>
    <w:p>
      <w:pPr>
        <w:ind w:firstLine="480"/>
        <w:rPr>
          <w:rFonts w:hint="default" w:ascii="Arial" w:hAnsi="Arial" w:eastAsia="宋体" w:cs="Arial"/>
          <w:color w:val="auto"/>
          <w:sz w:val="24"/>
          <w:szCs w:val="24"/>
          <w:highlight w:val="none"/>
        </w:rPr>
      </w:pPr>
      <w:r>
        <w:rPr>
          <w:rFonts w:hint="default" w:ascii="Arial" w:hAnsi="Arial" w:eastAsia="宋体" w:cs="Arial"/>
          <w:color w:val="auto"/>
          <w:sz w:val="24"/>
          <w:szCs w:val="24"/>
          <w:highlight w:val="none"/>
        </w:rPr>
        <w:t>通过以上措施，项目</w:t>
      </w:r>
      <w:r>
        <w:rPr>
          <w:rFonts w:hint="default" w:ascii="Arial" w:hAnsi="Arial" w:eastAsia="宋体" w:cs="Arial"/>
          <w:color w:val="auto"/>
          <w:sz w:val="24"/>
          <w:szCs w:val="24"/>
          <w:highlight w:val="none"/>
          <w:lang w:eastAsia="zh-CN"/>
        </w:rPr>
        <w:t>有机肥</w:t>
      </w:r>
      <w:r>
        <w:rPr>
          <w:rFonts w:hint="default" w:ascii="Arial" w:hAnsi="Arial" w:eastAsia="宋体" w:cs="Arial"/>
          <w:color w:val="auto"/>
          <w:sz w:val="24"/>
          <w:szCs w:val="24"/>
          <w:highlight w:val="none"/>
        </w:rPr>
        <w:t>资源化还田利用是可行的。</w:t>
      </w:r>
    </w:p>
    <w:p>
      <w:pPr>
        <w:pStyle w:val="6"/>
        <w:rPr>
          <w:rFonts w:hint="default" w:ascii="Arial" w:hAnsi="Arial" w:eastAsia="宋体" w:cs="Arial"/>
          <w:color w:val="auto"/>
          <w:highlight w:val="none"/>
        </w:rPr>
      </w:pPr>
      <w:bookmarkStart w:id="524" w:name="_Toc24229"/>
      <w:r>
        <w:rPr>
          <w:rFonts w:hint="default" w:ascii="Arial" w:hAnsi="Arial" w:eastAsia="宋体" w:cs="Arial"/>
          <w:color w:val="auto"/>
          <w:highlight w:val="none"/>
        </w:rPr>
        <w:t>7.8.</w:t>
      </w:r>
      <w:r>
        <w:rPr>
          <w:rFonts w:hint="eastAsia" w:ascii="Arial" w:hAnsi="Arial" w:eastAsia="宋体" w:cs="Arial"/>
          <w:color w:val="auto"/>
          <w:highlight w:val="none"/>
          <w:lang w:val="en-US" w:eastAsia="zh-CN"/>
        </w:rPr>
        <w:t>5</w:t>
      </w:r>
      <w:r>
        <w:rPr>
          <w:rFonts w:hint="default" w:ascii="Arial" w:hAnsi="Arial" w:eastAsia="宋体" w:cs="Arial"/>
          <w:color w:val="auto"/>
          <w:highlight w:val="none"/>
        </w:rPr>
        <w:t>土地承载力分析</w:t>
      </w:r>
      <w:bookmarkEnd w:id="524"/>
    </w:p>
    <w:p>
      <w:pPr>
        <w:ind w:firstLine="480"/>
        <w:rPr>
          <w:rFonts w:hint="default" w:ascii="Arial" w:hAnsi="Arial" w:eastAsia="宋体" w:cs="Arial"/>
          <w:color w:val="auto"/>
          <w:highlight w:val="none"/>
        </w:rPr>
      </w:pPr>
      <w:r>
        <w:rPr>
          <w:rFonts w:hint="default" w:ascii="Arial" w:hAnsi="Arial" w:eastAsia="宋体" w:cs="Arial"/>
          <w:color w:val="auto"/>
          <w:highlight w:val="none"/>
        </w:rPr>
        <w:t>根据《畜禽规模养殖污染防治条例》第十八条规定：“</w:t>
      </w:r>
      <w:r>
        <w:rPr>
          <w:rFonts w:hint="default" w:ascii="Arial" w:hAnsi="Arial" w:eastAsia="宋体" w:cs="Arial"/>
          <w:color w:val="auto"/>
          <w:szCs w:val="24"/>
          <w:highlight w:val="none"/>
        </w:rPr>
        <w:t>将畜禽粪便、污水、沼渣、沼液等用作肥料的，应当与土地的消纳能力相适应，并采取有效措施，消除可能引起传染病的微生物，防止污染环境和传播疫病</w:t>
      </w:r>
      <w:r>
        <w:rPr>
          <w:rFonts w:hint="default" w:ascii="Arial" w:hAnsi="Arial" w:eastAsia="宋体" w:cs="Arial"/>
          <w:color w:val="auto"/>
          <w:highlight w:val="none"/>
        </w:rPr>
        <w:t>”</w:t>
      </w:r>
      <w:r>
        <w:rPr>
          <w:rFonts w:hint="default" w:ascii="Arial" w:hAnsi="Arial" w:eastAsia="宋体" w:cs="Arial"/>
          <w:color w:val="auto"/>
          <w:szCs w:val="24"/>
          <w:highlight w:val="none"/>
        </w:rPr>
        <w:t>。项目产生的牛只粪便</w:t>
      </w:r>
      <w:r>
        <w:rPr>
          <w:rFonts w:hint="default" w:ascii="Arial" w:hAnsi="Arial" w:eastAsia="宋体" w:cs="Arial"/>
          <w:color w:val="auto"/>
          <w:highlight w:val="none"/>
        </w:rPr>
        <w:t>经好氧降解无害化处理施于农田并不超过土地养分需求，不造成环境污染，即属于粪肥还田，而不是向环境排污。</w:t>
      </w:r>
    </w:p>
    <w:p>
      <w:pPr>
        <w:ind w:firstLine="480"/>
        <w:rPr>
          <w:rFonts w:hint="default" w:ascii="Arial" w:hAnsi="Arial" w:eastAsia="宋体" w:cs="Arial"/>
          <w:color w:val="auto"/>
          <w:highlight w:val="none"/>
        </w:rPr>
      </w:pPr>
      <w:r>
        <w:rPr>
          <w:rFonts w:hint="default" w:ascii="Arial" w:hAnsi="Arial" w:eastAsia="宋体" w:cs="Arial"/>
          <w:color w:val="auto"/>
          <w:highlight w:val="none"/>
        </w:rPr>
        <w:t>《畜禽养殖业污染防治技术规范》提出了原则性规定：畜禽养殖场的建设应坚持“农牧结合、种养平衡”的原则，根据本项目区域土地（包括与其他土地经营者签约承诺消纳本场区产生粪便污水的土地）对畜禽粪便的消纳能力，确定新建畜禽养殖场的养殖规模。对于无相应消纳土地的养殖场，必须配套建立具有相应加工（处理）能力的粪便污水处理设施或处理（处置）机制。</w:t>
      </w:r>
    </w:p>
    <w:p>
      <w:pPr>
        <w:ind w:firstLine="480"/>
        <w:rPr>
          <w:rFonts w:hint="default" w:ascii="Arial" w:hAnsi="Arial" w:eastAsia="宋体" w:cs="Arial"/>
          <w:snapToGrid w:val="0"/>
          <w:color w:val="auto"/>
          <w:kern w:val="0"/>
          <w:highlight w:val="none"/>
          <w:lang w:eastAsia="zh-CN"/>
        </w:rPr>
      </w:pPr>
      <w:r>
        <w:rPr>
          <w:rFonts w:hint="default" w:ascii="Arial" w:hAnsi="Arial" w:eastAsia="宋体" w:cs="Arial"/>
          <w:color w:val="auto"/>
          <w:highlight w:val="none"/>
        </w:rPr>
        <w:t>综上，项目粪便经处理后达到《畜禽养殖业污染物排放标准》（GB18596-2001）及《畜禽粪便无害化处理技术规范》（GB／T36195-2018）要求后还田利用，同时消纳土地满足《内蒙古自治区畜禽养殖主要污染物减排工程项目建设技术指南（试行）》（内环发</w:t>
      </w:r>
      <w:r>
        <w:rPr>
          <w:rFonts w:hint="default" w:ascii="Arial" w:hAnsi="Arial" w:eastAsia="宋体" w:cs="Arial"/>
          <w:color w:val="auto"/>
          <w:highlight w:val="none"/>
          <w:lang w:eastAsia="zh-CN"/>
        </w:rPr>
        <w:t>[</w:t>
      </w:r>
      <w:r>
        <w:rPr>
          <w:rFonts w:hint="default" w:ascii="Arial" w:hAnsi="Arial" w:eastAsia="宋体" w:cs="Arial"/>
          <w:color w:val="auto"/>
          <w:highlight w:val="none"/>
        </w:rPr>
        <w:t>2014</w:t>
      </w:r>
      <w:r>
        <w:rPr>
          <w:rFonts w:hint="default" w:ascii="Arial" w:hAnsi="Arial" w:eastAsia="宋体" w:cs="Arial"/>
          <w:color w:val="auto"/>
          <w:highlight w:val="none"/>
          <w:lang w:eastAsia="zh-CN"/>
        </w:rPr>
        <w:t>]</w:t>
      </w:r>
      <w:r>
        <w:rPr>
          <w:rFonts w:hint="default" w:ascii="Arial" w:hAnsi="Arial" w:eastAsia="宋体" w:cs="Arial"/>
          <w:color w:val="auto"/>
          <w:highlight w:val="none"/>
        </w:rPr>
        <w:t>83号），消纳土地面积要求每头牛不少于1.25亩土地</w:t>
      </w:r>
      <w:bookmarkStart w:id="525" w:name="_Toc304537918"/>
      <w:bookmarkStart w:id="526" w:name="_Toc304736430"/>
      <w:bookmarkStart w:id="527" w:name="_Toc303002857"/>
      <w:bookmarkStart w:id="528" w:name="_Toc439090937"/>
      <w:bookmarkStart w:id="529" w:name="_Toc305308441"/>
      <w:bookmarkStart w:id="530" w:name="_Toc307561344"/>
      <w:bookmarkStart w:id="531" w:name="_Toc347090031"/>
      <w:bookmarkStart w:id="532" w:name="_Toc305323649"/>
      <w:bookmarkStart w:id="533" w:name="_Toc307566463"/>
      <w:r>
        <w:rPr>
          <w:rFonts w:hint="default" w:ascii="Arial" w:hAnsi="Arial" w:eastAsia="宋体" w:cs="Arial"/>
          <w:color w:val="auto"/>
          <w:highlight w:val="none"/>
        </w:rPr>
        <w:t>的要求，项目配套消纳土地</w:t>
      </w:r>
      <w:r>
        <w:rPr>
          <w:rFonts w:hint="default" w:ascii="Arial" w:hAnsi="Arial" w:eastAsia="宋体" w:cs="Arial"/>
          <w:color w:val="auto"/>
          <w:highlight w:val="none"/>
          <w:lang w:val="en-US" w:eastAsia="zh-CN"/>
        </w:rPr>
        <w:t>1</w:t>
      </w:r>
      <w:r>
        <w:rPr>
          <w:rFonts w:hint="default" w:ascii="Arial" w:hAnsi="Arial" w:eastAsia="宋体" w:cs="Arial"/>
          <w:color w:val="auto"/>
          <w:highlight w:val="none"/>
          <w:lang w:eastAsia="zh-CN"/>
        </w:rPr>
        <w:t>25</w:t>
      </w:r>
      <w:r>
        <w:rPr>
          <w:rFonts w:hint="default" w:ascii="Arial" w:hAnsi="Arial" w:eastAsia="宋体" w:cs="Arial"/>
          <w:color w:val="auto"/>
          <w:highlight w:val="none"/>
          <w:lang w:val="en-US" w:eastAsia="zh-CN"/>
        </w:rPr>
        <w:t>0</w:t>
      </w:r>
      <w:r>
        <w:rPr>
          <w:rFonts w:hint="default" w:ascii="Arial" w:hAnsi="Arial" w:eastAsia="宋体" w:cs="Arial"/>
          <w:color w:val="auto"/>
          <w:highlight w:val="none"/>
          <w:lang w:eastAsia="zh-CN"/>
        </w:rPr>
        <w:t>0亩</w:t>
      </w:r>
      <w:r>
        <w:rPr>
          <w:rFonts w:hint="default" w:ascii="Arial" w:hAnsi="Arial" w:eastAsia="宋体" w:cs="Arial"/>
          <w:color w:val="auto"/>
          <w:highlight w:val="none"/>
        </w:rPr>
        <w:t>。</w:t>
      </w:r>
      <w:r>
        <w:rPr>
          <w:rFonts w:hint="default" w:ascii="Arial" w:hAnsi="Arial" w:eastAsia="宋体" w:cs="Arial"/>
          <w:color w:val="auto"/>
          <w:kern w:val="0"/>
          <w:highlight w:val="none"/>
        </w:rPr>
        <w:t>项目产生的粪便完全可以得以消纳，不会有超过农田负荷的情况出现，因此项目养殖粪便有机肥及液肥</w:t>
      </w:r>
      <w:r>
        <w:rPr>
          <w:rFonts w:hint="default" w:ascii="Arial" w:hAnsi="Arial" w:eastAsia="宋体" w:cs="Arial"/>
          <w:snapToGrid w:val="0"/>
          <w:color w:val="auto"/>
          <w:kern w:val="0"/>
          <w:highlight w:val="none"/>
        </w:rPr>
        <w:t>作为肥料用于还田资源化利用的方案可行</w:t>
      </w:r>
      <w:r>
        <w:rPr>
          <w:rFonts w:hint="default" w:ascii="Arial" w:hAnsi="Arial" w:eastAsia="宋体" w:cs="Arial"/>
          <w:snapToGrid w:val="0"/>
          <w:color w:val="auto"/>
          <w:kern w:val="0"/>
          <w:highlight w:val="none"/>
          <w:lang w:eastAsia="zh-CN"/>
        </w:rPr>
        <w:t>。</w:t>
      </w:r>
    </w:p>
    <w:bookmarkEnd w:id="525"/>
    <w:bookmarkEnd w:id="526"/>
    <w:bookmarkEnd w:id="527"/>
    <w:bookmarkEnd w:id="528"/>
    <w:bookmarkEnd w:id="529"/>
    <w:bookmarkEnd w:id="530"/>
    <w:bookmarkEnd w:id="531"/>
    <w:bookmarkEnd w:id="532"/>
    <w:bookmarkEnd w:id="533"/>
    <w:p>
      <w:pPr>
        <w:pStyle w:val="5"/>
        <w:rPr>
          <w:rFonts w:hint="default" w:ascii="Arial" w:hAnsi="Arial" w:eastAsia="宋体" w:cs="Arial"/>
          <w:color w:val="auto"/>
          <w:highlight w:val="none"/>
        </w:rPr>
      </w:pPr>
      <w:bookmarkStart w:id="534" w:name="_Toc10659"/>
      <w:r>
        <w:rPr>
          <w:rFonts w:hint="default" w:ascii="Arial" w:hAnsi="Arial" w:eastAsia="宋体" w:cs="Arial"/>
          <w:color w:val="auto"/>
          <w:highlight w:val="none"/>
        </w:rPr>
        <w:t>7.9运营期生态环境保护措施</w:t>
      </w:r>
      <w:bookmarkEnd w:id="534"/>
    </w:p>
    <w:p>
      <w:pPr>
        <w:ind w:firstLine="480"/>
        <w:rPr>
          <w:rFonts w:hint="default" w:ascii="Arial" w:hAnsi="Arial" w:eastAsia="宋体" w:cs="Arial"/>
          <w:color w:val="auto"/>
          <w:highlight w:val="none"/>
        </w:rPr>
      </w:pPr>
      <w:r>
        <w:rPr>
          <w:rFonts w:hint="default" w:ascii="Arial" w:hAnsi="Arial" w:eastAsia="宋体" w:cs="Arial"/>
          <w:color w:val="auto"/>
          <w:highlight w:val="none"/>
        </w:rPr>
        <w:t>营运期生态环境保护措施，主要为在</w:t>
      </w:r>
      <w:r>
        <w:rPr>
          <w:rFonts w:hint="default" w:ascii="Arial" w:hAnsi="Arial" w:eastAsia="宋体" w:cs="Arial"/>
          <w:color w:val="auto"/>
          <w:highlight w:val="none"/>
          <w:lang w:eastAsia="zh-CN"/>
        </w:rPr>
        <w:t>养殖</w:t>
      </w:r>
      <w:r>
        <w:rPr>
          <w:rFonts w:hint="default" w:ascii="Arial" w:hAnsi="Arial" w:eastAsia="宋体" w:cs="Arial"/>
          <w:color w:val="auto"/>
          <w:highlight w:val="none"/>
        </w:rPr>
        <w:t>场四周及场内道路两侧种植对硫化氢</w:t>
      </w:r>
      <w:r>
        <w:rPr>
          <w:rFonts w:hint="default" w:ascii="Arial" w:hAnsi="Arial" w:eastAsia="宋体" w:cs="Arial"/>
          <w:color w:val="auto"/>
          <w:highlight w:val="none"/>
          <w:lang w:eastAsia="zh-CN"/>
        </w:rPr>
        <w:t>、氨气</w:t>
      </w:r>
      <w:r>
        <w:rPr>
          <w:rFonts w:hint="default" w:ascii="Arial" w:hAnsi="Arial" w:eastAsia="宋体" w:cs="Arial"/>
          <w:color w:val="auto"/>
          <w:highlight w:val="none"/>
        </w:rPr>
        <w:t>等有害气体吸收能力较强的树木，如：杨树等乔木树种，以吸收有害气体，杀灭细菌，降低其在周围环境中的浓度。</w:t>
      </w:r>
    </w:p>
    <w:p>
      <w:pPr>
        <w:ind w:firstLine="480"/>
        <w:rPr>
          <w:rFonts w:hint="default" w:ascii="Arial" w:hAnsi="Arial" w:eastAsia="宋体" w:cs="Arial"/>
          <w:color w:val="auto"/>
          <w:highlight w:val="none"/>
        </w:rPr>
      </w:pPr>
      <w:r>
        <w:rPr>
          <w:rFonts w:hint="default" w:ascii="Arial" w:hAnsi="Arial" w:eastAsia="宋体" w:cs="Arial"/>
          <w:color w:val="auto"/>
          <w:highlight w:val="none"/>
        </w:rPr>
        <w:t>绿色植物，特别是树木，对粉尘也有明显的阻挡、过滤和吸附作用。树木的枝冠能降低风速，使灰尘下降，叶子表面不平，还分泌粘性的油汁和汁浆，能吸附空气中的尘埃。一般情况下，绿化树木能使降尘量减少23-25%；而飘尘量减少37-60%，落叶阔叶树比常绿阔叶树滞尘能力要强。</w:t>
      </w:r>
    </w:p>
    <w:p>
      <w:pPr>
        <w:ind w:firstLine="480"/>
        <w:rPr>
          <w:rFonts w:hint="default" w:ascii="Arial" w:hAnsi="Arial" w:eastAsia="宋体" w:cs="Arial"/>
          <w:color w:val="auto"/>
          <w:highlight w:val="none"/>
        </w:rPr>
      </w:pPr>
      <w:r>
        <w:rPr>
          <w:rFonts w:hint="default" w:ascii="Arial" w:hAnsi="Arial" w:eastAsia="宋体" w:cs="Arial"/>
          <w:color w:val="auto"/>
          <w:highlight w:val="none"/>
        </w:rPr>
        <w:t>因此，为了减噪和净化空气，减少异味，保护环境，应在园区根据不同地段的要求，合理搭配各种植物。在绿化的同时，充分发挥植物净化、防尘、隔噪等效应。例如废气污染源与其它建筑物之间应设置高大阔叶乔木林带，并选择降尘、吸收效果好的树种；而在发生噪声的车间周围则应选择降噪效果明显的树种，设置较宽的防护林带。达到既发展生产，又改善和保护环境的目的。</w:t>
      </w:r>
    </w:p>
    <w:p>
      <w:pPr>
        <w:ind w:firstLine="480"/>
        <w:rPr>
          <w:rFonts w:hint="default" w:ascii="Arial" w:hAnsi="Arial" w:eastAsia="宋体" w:cs="Arial"/>
          <w:color w:val="auto"/>
          <w:highlight w:val="none"/>
        </w:rPr>
      </w:pPr>
      <w:r>
        <w:rPr>
          <w:rFonts w:hint="default" w:ascii="Arial" w:hAnsi="Arial" w:eastAsia="宋体" w:cs="Arial"/>
          <w:color w:val="auto"/>
          <w:highlight w:val="none"/>
        </w:rPr>
        <w:t>牛场绿化对于吸收有害气体，补充新鲜空气，阻隔噪声，保护生态环境，改善工作环境，美化劳动环境，改善小气候等均有着十分重要的作用。项目建成后，场区内栽种适合当地耐寒的植物及树种，场区绿化面积约为</w:t>
      </w:r>
      <w:r>
        <w:rPr>
          <w:rFonts w:hint="default" w:ascii="Arial" w:hAnsi="Arial" w:eastAsia="宋体" w:cs="Arial"/>
          <w:color w:val="auto"/>
          <w:highlight w:val="none"/>
          <w:lang w:val="en-US" w:eastAsia="zh-CN"/>
        </w:rPr>
        <w:t>10000</w:t>
      </w:r>
      <w:r>
        <w:rPr>
          <w:rFonts w:hint="default" w:ascii="Arial" w:hAnsi="Arial" w:eastAsia="宋体" w:cs="Arial"/>
          <w:color w:val="auto"/>
          <w:highlight w:val="none"/>
        </w:rPr>
        <w:t>平方米。</w:t>
      </w:r>
    </w:p>
    <w:p>
      <w:pPr>
        <w:ind w:firstLine="480"/>
        <w:rPr>
          <w:rFonts w:hint="default" w:ascii="Arial" w:hAnsi="Arial" w:eastAsia="宋体" w:cs="Arial"/>
          <w:color w:val="auto"/>
          <w:highlight w:val="none"/>
        </w:rPr>
      </w:pPr>
      <w:r>
        <w:rPr>
          <w:rFonts w:hint="default" w:ascii="Arial" w:hAnsi="Arial" w:eastAsia="宋体" w:cs="Arial"/>
          <w:color w:val="auto"/>
          <w:highlight w:val="none"/>
        </w:rPr>
        <w:t>①场区林带</w:t>
      </w:r>
    </w:p>
    <w:p>
      <w:pPr>
        <w:ind w:firstLine="480"/>
        <w:rPr>
          <w:rFonts w:hint="default" w:ascii="Arial" w:hAnsi="Arial" w:eastAsia="宋体" w:cs="Arial"/>
          <w:color w:val="auto"/>
          <w:highlight w:val="none"/>
        </w:rPr>
      </w:pPr>
      <w:r>
        <w:rPr>
          <w:rFonts w:hint="default" w:ascii="Arial" w:hAnsi="Arial" w:eastAsia="宋体" w:cs="Arial"/>
          <w:color w:val="auto"/>
          <w:highlight w:val="none"/>
        </w:rPr>
        <w:t>在场界周边种植乔木和灌木混合林带，并栽种刺笆。乔木类的大叶杨、早柳、钻天杨、榆树及常绿针叶树等；灌木类的河柳、紫穗槐、侧柏等起到防风阻沙等作用。</w:t>
      </w:r>
    </w:p>
    <w:p>
      <w:pPr>
        <w:ind w:firstLine="480"/>
        <w:rPr>
          <w:rFonts w:hint="default" w:ascii="Arial" w:hAnsi="Arial" w:eastAsia="宋体" w:cs="Arial"/>
          <w:color w:val="auto"/>
          <w:highlight w:val="none"/>
        </w:rPr>
      </w:pPr>
      <w:r>
        <w:rPr>
          <w:rFonts w:hint="default" w:ascii="Arial" w:hAnsi="Arial" w:eastAsia="宋体" w:cs="Arial"/>
          <w:color w:val="auto"/>
          <w:highlight w:val="none"/>
        </w:rPr>
        <w:t>②绿化隔离带</w:t>
      </w:r>
    </w:p>
    <w:p>
      <w:pPr>
        <w:ind w:firstLine="480"/>
        <w:rPr>
          <w:rFonts w:hint="default" w:ascii="Arial" w:hAnsi="Arial" w:eastAsia="宋体" w:cs="Arial"/>
          <w:color w:val="auto"/>
          <w:highlight w:val="none"/>
        </w:rPr>
      </w:pPr>
      <w:r>
        <w:rPr>
          <w:rFonts w:hint="default" w:ascii="Arial" w:hAnsi="Arial" w:eastAsia="宋体" w:cs="Arial"/>
          <w:color w:val="auto"/>
          <w:highlight w:val="none"/>
        </w:rPr>
        <w:t>在各个分区之间设置绿化隔离带，一般可用杨树、榆树或灌木，以起到隔离作用；场址边缘地带种植适应当地的高大树种形成多层防护林带，建设单位规划沿牛场四周栽植模式为2米×2行模式，形成防护林。</w:t>
      </w:r>
    </w:p>
    <w:p>
      <w:pPr>
        <w:ind w:firstLine="480"/>
        <w:rPr>
          <w:rFonts w:hint="default" w:ascii="Arial" w:hAnsi="Arial" w:eastAsia="宋体" w:cs="Arial"/>
          <w:color w:val="auto"/>
          <w:highlight w:val="none"/>
        </w:rPr>
      </w:pPr>
      <w:r>
        <w:rPr>
          <w:rFonts w:hint="default" w:ascii="Arial" w:hAnsi="Arial" w:eastAsia="宋体" w:cs="Arial"/>
          <w:color w:val="auto"/>
          <w:highlight w:val="none"/>
        </w:rPr>
        <w:t>③道路绿化</w:t>
      </w:r>
    </w:p>
    <w:p>
      <w:pPr>
        <w:ind w:firstLine="480"/>
        <w:rPr>
          <w:rFonts w:hint="default" w:ascii="Arial" w:hAnsi="Arial" w:eastAsia="宋体" w:cs="Arial"/>
          <w:color w:val="auto"/>
          <w:highlight w:val="none"/>
        </w:rPr>
      </w:pPr>
      <w:r>
        <w:rPr>
          <w:rFonts w:hint="default" w:ascii="Arial" w:hAnsi="Arial" w:eastAsia="宋体" w:cs="Arial"/>
          <w:color w:val="auto"/>
          <w:highlight w:val="none"/>
        </w:rPr>
        <w:t>主干道两侧用适合当地气候的槐树、榆树等四季常青树种，进行绿化。</w:t>
      </w:r>
    </w:p>
    <w:p>
      <w:pPr>
        <w:ind w:firstLine="480"/>
        <w:rPr>
          <w:rFonts w:hint="default" w:ascii="Arial" w:hAnsi="Arial" w:eastAsia="宋体" w:cs="Arial"/>
          <w:color w:val="auto"/>
          <w:highlight w:val="none"/>
        </w:rPr>
      </w:pPr>
      <w:r>
        <w:rPr>
          <w:rFonts w:hint="default" w:ascii="Arial" w:hAnsi="Arial" w:eastAsia="宋体" w:cs="Arial"/>
          <w:color w:val="auto"/>
          <w:highlight w:val="none"/>
        </w:rPr>
        <w:t>④管理中心绿化</w:t>
      </w:r>
    </w:p>
    <w:p>
      <w:pPr>
        <w:ind w:firstLine="480"/>
        <w:rPr>
          <w:rFonts w:hint="default" w:ascii="Arial" w:hAnsi="Arial" w:eastAsia="宋体" w:cs="Arial"/>
          <w:color w:val="auto"/>
          <w:highlight w:val="none"/>
        </w:rPr>
      </w:pPr>
      <w:r>
        <w:rPr>
          <w:rFonts w:hint="default" w:ascii="Arial" w:hAnsi="Arial" w:eastAsia="宋体" w:cs="Arial"/>
          <w:color w:val="auto"/>
          <w:highlight w:val="none"/>
        </w:rPr>
        <w:t>生活管理区及场区大门周围种花种草进行绿化，净化空气，美化环境。</w:t>
      </w:r>
    </w:p>
    <w:p>
      <w:pPr>
        <w:ind w:firstLine="480"/>
        <w:rPr>
          <w:rFonts w:hint="default" w:ascii="Arial" w:hAnsi="Arial" w:eastAsia="宋体" w:cs="Arial"/>
          <w:color w:val="auto"/>
          <w:highlight w:val="none"/>
          <w:lang w:val="en-US" w:eastAsia="zh-CN"/>
        </w:rPr>
      </w:pPr>
      <w:r>
        <w:rPr>
          <w:rFonts w:hint="default" w:ascii="Arial" w:hAnsi="Arial" w:eastAsia="宋体" w:cs="Arial"/>
          <w:color w:val="auto"/>
          <w:highlight w:val="none"/>
        </w:rPr>
        <w:t>采取以上措施后，建设项目对区域生态环境影响很小</w:t>
      </w:r>
      <w:r>
        <w:rPr>
          <w:rFonts w:hint="default" w:ascii="Arial" w:hAnsi="Arial" w:eastAsia="宋体" w:cs="Arial"/>
          <w:color w:val="auto"/>
          <w:highlight w:val="none"/>
          <w:lang w:val="en-US" w:eastAsia="zh-CN"/>
        </w:rPr>
        <w:t>。</w:t>
      </w:r>
    </w:p>
    <w:p>
      <w:pPr>
        <w:ind w:firstLine="480"/>
        <w:rPr>
          <w:rFonts w:hint="default" w:ascii="Arial" w:hAnsi="Arial" w:eastAsia="宋体" w:cs="Arial"/>
          <w:color w:val="auto"/>
          <w:highlight w:val="none"/>
          <w:lang w:val="en-US" w:eastAsia="zh-CN"/>
        </w:rPr>
        <w:sectPr>
          <w:pgSz w:w="11906" w:h="16838"/>
          <w:pgMar w:top="1418" w:right="1418" w:bottom="1247" w:left="1701" w:header="851" w:footer="680" w:gutter="0"/>
          <w:pgBorders>
            <w:top w:val="none" w:sz="0" w:space="0"/>
            <w:left w:val="none" w:sz="0" w:space="0"/>
            <w:bottom w:val="none" w:sz="0" w:space="0"/>
            <w:right w:val="none" w:sz="0" w:space="0"/>
          </w:pgBorders>
          <w:pgNumType w:fmt="numberInDash"/>
          <w:cols w:space="720" w:num="1"/>
          <w:docGrid w:linePitch="326" w:charSpace="0"/>
        </w:sectPr>
      </w:pPr>
    </w:p>
    <w:p>
      <w:pPr>
        <w:keepNext w:val="0"/>
        <w:keepLines w:val="0"/>
        <w:pageBreakBefore w:val="0"/>
        <w:widowControl w:val="0"/>
        <w:kinsoku/>
        <w:wordWrap/>
        <w:overflowPunct/>
        <w:topLinePunct/>
        <w:autoSpaceDE w:val="0"/>
        <w:autoSpaceDN/>
        <w:bidi w:val="0"/>
        <w:adjustRightInd/>
        <w:snapToGrid/>
        <w:ind w:firstLine="0" w:firstLineChars="0"/>
        <w:textAlignment w:val="auto"/>
        <w:rPr>
          <w:rFonts w:hint="default" w:ascii="Arial" w:hAnsi="Arial" w:eastAsia="宋体" w:cs="Arial"/>
          <w:color w:val="auto"/>
          <w:highlight w:val="none"/>
          <w:lang w:eastAsia="zh-CN"/>
        </w:rPr>
      </w:pPr>
    </w:p>
    <w:p>
      <w:pPr>
        <w:keepNext w:val="0"/>
        <w:keepLines w:val="0"/>
        <w:pageBreakBefore w:val="0"/>
        <w:widowControl w:val="0"/>
        <w:kinsoku/>
        <w:wordWrap/>
        <w:overflowPunct/>
        <w:topLinePunct/>
        <w:autoSpaceDE w:val="0"/>
        <w:autoSpaceDN/>
        <w:bidi w:val="0"/>
        <w:adjustRightInd/>
        <w:snapToGrid/>
        <w:spacing w:line="240" w:lineRule="auto"/>
        <w:ind w:firstLine="0" w:firstLineChars="0"/>
        <w:jc w:val="center"/>
        <w:textAlignment w:val="auto"/>
        <w:rPr>
          <w:rFonts w:hint="default" w:ascii="Arial" w:hAnsi="Arial" w:eastAsia="宋体" w:cs="Arial"/>
          <w:color w:val="auto"/>
          <w:highlight w:val="none"/>
          <w:lang w:eastAsia="zh-CN"/>
        </w:rPr>
      </w:pPr>
      <w:r>
        <w:rPr>
          <w:rFonts w:hint="default" w:ascii="Arial" w:hAnsi="Arial" w:eastAsia="宋体" w:cs="Arial"/>
          <w:color w:val="auto"/>
          <w:sz w:val="24"/>
          <w:highlight w:val="none"/>
        </w:rPr>
        <mc:AlternateContent>
          <mc:Choice Requires="wps">
            <w:drawing>
              <wp:anchor distT="0" distB="0" distL="114300" distR="114300" simplePos="0" relativeHeight="251666432" behindDoc="0" locked="0" layoutInCell="1" allowOverlap="1">
                <wp:simplePos x="0" y="0"/>
                <wp:positionH relativeFrom="column">
                  <wp:posOffset>74930</wp:posOffset>
                </wp:positionH>
                <wp:positionV relativeFrom="paragraph">
                  <wp:posOffset>65405</wp:posOffset>
                </wp:positionV>
                <wp:extent cx="865505" cy="1663700"/>
                <wp:effectExtent l="12700" t="12700" r="1198245" b="57150"/>
                <wp:wrapNone/>
                <wp:docPr id="109" name="矩形标注 109"/>
                <wp:cNvGraphicFramePr/>
                <a:graphic xmlns:a="http://schemas.openxmlformats.org/drawingml/2006/main">
                  <a:graphicData uri="http://schemas.microsoft.com/office/word/2010/wordprocessingShape">
                    <wps:wsp>
                      <wps:cNvSpPr/>
                      <wps:spPr>
                        <a:xfrm>
                          <a:off x="0" y="0"/>
                          <a:ext cx="865505" cy="1663700"/>
                        </a:xfrm>
                        <a:prstGeom prst="wedgeRectCallout">
                          <a:avLst>
                            <a:gd name="adj1" fmla="val 186463"/>
                            <a:gd name="adj2" fmla="val 52022"/>
                          </a:avLst>
                        </a:prstGeom>
                        <a:noFill/>
                        <a:ln>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txbx>
                        <w:txbxContent>
                          <w:p>
                            <w:pPr>
                              <w:spacing w:line="240" w:lineRule="auto"/>
                              <w:ind w:left="0" w:leftChars="0" w:firstLine="0" w:firstLineChars="0"/>
                              <w:jc w:val="both"/>
                              <w:rPr>
                                <w:rFonts w:hint="eastAsia" w:eastAsia="宋体"/>
                                <w:color w:val="FF0000"/>
                                <w:sz w:val="21"/>
                                <w:szCs w:val="20"/>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pPr>
                            <w:r>
                              <w:rPr>
                                <w:rFonts w:hint="eastAsia"/>
                                <w:color w:val="FF0000"/>
                                <w:sz w:val="21"/>
                                <w:szCs w:val="20"/>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t>在各个分区之间设置绿化隔离带，一般可用杨树、榆树或灌木，以起到隔离作用</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5.9pt;margin-top:5.15pt;height:131pt;width:68.15pt;z-index:251666432;v-text-anchor:middle;mso-width-relative:page;mso-height-relative:page;" filled="f" stroked="t" coordsize="21600,21600" o:gfxdata="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" adj="51076,22037">
                <v:fill on="f" focussize="0,0"/>
                <v:stroke weight="2pt" color="#00B050 [3204]" joinstyle="round"/>
                <v:imagedata o:title=""/>
                <o:lock v:ext="edit" aspectratio="f"/>
                <v:textbox>
                  <w:txbxContent>
                    <w:p>
                      <w:pPr>
                        <w:spacing w:line="240" w:lineRule="auto"/>
                        <w:ind w:left="0" w:leftChars="0" w:firstLine="0" w:firstLineChars="0"/>
                        <w:jc w:val="both"/>
                        <w:rPr>
                          <w:rFonts w:hint="eastAsia" w:eastAsia="宋体"/>
                          <w:color w:val="FF0000"/>
                          <w:sz w:val="21"/>
                          <w:szCs w:val="20"/>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pPr>
                      <w:r>
                        <w:rPr>
                          <w:rFonts w:hint="eastAsia"/>
                          <w:color w:val="FF0000"/>
                          <w:sz w:val="21"/>
                          <w:szCs w:val="20"/>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t>在各个分区之间设置绿化隔离带，一般可用杨树、榆树或灌木，以起到隔离作用</w:t>
                      </w:r>
                    </w:p>
                  </w:txbxContent>
                </v:textbox>
              </v:shape>
            </w:pict>
          </mc:Fallback>
        </mc:AlternateContent>
      </w:r>
      <w:r>
        <w:rPr>
          <w:rFonts w:hint="default" w:ascii="Arial" w:hAnsi="Arial" w:eastAsia="宋体" w:cs="Arial"/>
          <w:color w:val="auto"/>
          <w:highlight w:val="none"/>
          <w:lang w:eastAsia="zh-CN"/>
        </w:rPr>
        <w:pict>
          <v:shape id="_x0000_s1030" o:spid="_x0000_s1030" o:spt="75" type="#_x0000_t75" style="position:absolute;left:0pt;margin-left:-6.45pt;margin-top:-15.7pt;height:447.25pt;width:453.55pt;z-index:-251566080;mso-width-relative:page;mso-height-relative:page;" o:ole="t" filled="f" o:preferrelative="t" stroked="f" coordsize="21600,21600">
            <v:path/>
            <v:fill on="f" focussize="0,0"/>
            <v:stroke on="f"/>
            <v:imagedata r:id="rId25" o:title=""/>
            <o:lock v:ext="edit" aspectratio="t"/>
          </v:shape>
          <o:OLEObject Type="Embed" ProgID="Visio.Drawing.11" ShapeID="_x0000_s1030" DrawAspect="Content" ObjectID="_1468075740" r:id="rId67">
            <o:LockedField>false</o:LockedField>
          </o:OLEObject>
        </w:pict>
      </w:r>
    </w:p>
    <w:p>
      <w:pPr>
        <w:ind w:left="0" w:leftChars="0" w:firstLine="0" w:firstLineChars="0"/>
        <w:jc w:val="center"/>
        <w:rPr>
          <w:rFonts w:hint="default" w:ascii="Arial" w:hAnsi="Arial" w:eastAsia="宋体" w:cs="Arial"/>
          <w:b/>
          <w:bCs/>
          <w:color w:val="auto"/>
          <w:highlight w:val="none"/>
        </w:rPr>
      </w:pPr>
    </w:p>
    <w:p>
      <w:pPr>
        <w:ind w:left="0" w:leftChars="0" w:firstLine="0" w:firstLineChars="0"/>
        <w:jc w:val="center"/>
        <w:rPr>
          <w:rFonts w:hint="default" w:ascii="Arial" w:hAnsi="Arial" w:eastAsia="宋体" w:cs="Arial"/>
          <w:b/>
          <w:bCs/>
          <w:color w:val="auto"/>
          <w:highlight w:val="none"/>
        </w:rPr>
      </w:pPr>
    </w:p>
    <w:p>
      <w:pPr>
        <w:ind w:left="0" w:leftChars="0" w:firstLine="0" w:firstLineChars="0"/>
        <w:jc w:val="center"/>
        <w:rPr>
          <w:rFonts w:hint="default" w:ascii="Arial" w:hAnsi="Arial" w:eastAsia="宋体" w:cs="Arial"/>
          <w:b/>
          <w:bCs/>
          <w:color w:val="auto"/>
          <w:highlight w:val="none"/>
        </w:rPr>
      </w:pPr>
    </w:p>
    <w:p>
      <w:pPr>
        <w:ind w:left="0" w:leftChars="0" w:firstLine="0" w:firstLineChars="0"/>
        <w:jc w:val="center"/>
        <w:rPr>
          <w:rFonts w:hint="default" w:ascii="Arial" w:hAnsi="Arial" w:eastAsia="宋体" w:cs="Arial"/>
          <w:b/>
          <w:bCs/>
          <w:color w:val="auto"/>
          <w:highlight w:val="none"/>
        </w:rPr>
      </w:pPr>
    </w:p>
    <w:p>
      <w:pPr>
        <w:ind w:left="0" w:leftChars="0" w:firstLine="0" w:firstLineChars="0"/>
        <w:jc w:val="center"/>
        <w:rPr>
          <w:rFonts w:hint="default" w:ascii="Arial" w:hAnsi="Arial" w:eastAsia="宋体" w:cs="Arial"/>
          <w:b/>
          <w:bCs/>
          <w:color w:val="auto"/>
          <w:highlight w:val="none"/>
        </w:rPr>
      </w:pPr>
    </w:p>
    <w:p>
      <w:pPr>
        <w:ind w:left="0" w:leftChars="0" w:firstLine="0" w:firstLineChars="0"/>
        <w:jc w:val="center"/>
        <w:rPr>
          <w:rFonts w:hint="default" w:ascii="Arial" w:hAnsi="Arial" w:eastAsia="宋体" w:cs="Arial"/>
          <w:b/>
          <w:bCs/>
          <w:color w:val="auto"/>
          <w:highlight w:val="none"/>
        </w:rPr>
      </w:pPr>
      <w:r>
        <w:rPr>
          <w:rFonts w:hint="default" w:ascii="Arial" w:hAnsi="Arial" w:eastAsia="宋体" w:cs="Arial"/>
          <w:color w:val="auto"/>
          <w:sz w:val="24"/>
          <w:highlight w:val="none"/>
        </w:rPr>
        <mc:AlternateContent>
          <mc:Choice Requires="wps">
            <w:drawing>
              <wp:anchor distT="0" distB="0" distL="114300" distR="114300" simplePos="0" relativeHeight="251668480" behindDoc="0" locked="0" layoutInCell="1" allowOverlap="1">
                <wp:simplePos x="0" y="0"/>
                <wp:positionH relativeFrom="column">
                  <wp:posOffset>5006975</wp:posOffset>
                </wp:positionH>
                <wp:positionV relativeFrom="paragraph">
                  <wp:posOffset>232410</wp:posOffset>
                </wp:positionV>
                <wp:extent cx="622300" cy="1722755"/>
                <wp:effectExtent l="990600" t="12700" r="25400" b="17145"/>
                <wp:wrapNone/>
                <wp:docPr id="111" name="矩形标注 111"/>
                <wp:cNvGraphicFramePr/>
                <a:graphic xmlns:a="http://schemas.openxmlformats.org/drawingml/2006/main">
                  <a:graphicData uri="http://schemas.microsoft.com/office/word/2010/wordprocessingShape">
                    <wps:wsp>
                      <wps:cNvSpPr/>
                      <wps:spPr>
                        <a:xfrm>
                          <a:off x="0" y="0"/>
                          <a:ext cx="622300" cy="1722755"/>
                        </a:xfrm>
                        <a:prstGeom prst="wedgeRectCallout">
                          <a:avLst>
                            <a:gd name="adj1" fmla="val -207142"/>
                            <a:gd name="adj2" fmla="val -9085"/>
                          </a:avLst>
                        </a:prstGeom>
                        <a:noFill/>
                        <a:ln>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txbx>
                        <w:txbxContent>
                          <w:p>
                            <w:pPr>
                              <w:spacing w:line="240" w:lineRule="auto"/>
                              <w:ind w:left="0" w:leftChars="0" w:firstLine="0" w:firstLineChars="0"/>
                              <w:jc w:val="both"/>
                              <w:rPr>
                                <w:rFonts w:hint="eastAsia" w:eastAsia="宋体"/>
                                <w:color w:val="FF0000"/>
                                <w:sz w:val="21"/>
                                <w:szCs w:val="20"/>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pPr>
                            <w:r>
                              <w:rPr>
                                <w:rFonts w:hint="eastAsia"/>
                                <w:color w:val="FF0000"/>
                                <w:sz w:val="21"/>
                                <w:szCs w:val="20"/>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t>生活区周围种植花草等进行绿化，净化空气，美化环境</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394.25pt;margin-top:18.3pt;height:135.65pt;width:49pt;z-index:251668480;v-text-anchor:middle;mso-width-relative:page;mso-height-relative:page;" filled="f" stroked="t" coordsize="21600,21600" o:gfxdata="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" adj="-33943,8838">
                <v:fill on="f" focussize="0,0"/>
                <v:stroke weight="2pt" color="#00B050 [3204]" joinstyle="round"/>
                <v:imagedata o:title=""/>
                <o:lock v:ext="edit" aspectratio="f"/>
                <v:textbox>
                  <w:txbxContent>
                    <w:p>
                      <w:pPr>
                        <w:spacing w:line="240" w:lineRule="auto"/>
                        <w:ind w:left="0" w:leftChars="0" w:firstLine="0" w:firstLineChars="0"/>
                        <w:jc w:val="both"/>
                        <w:rPr>
                          <w:rFonts w:hint="eastAsia" w:eastAsia="宋体"/>
                          <w:color w:val="FF0000"/>
                          <w:sz w:val="21"/>
                          <w:szCs w:val="20"/>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pPr>
                      <w:r>
                        <w:rPr>
                          <w:rFonts w:hint="eastAsia"/>
                          <w:color w:val="FF0000"/>
                          <w:sz w:val="21"/>
                          <w:szCs w:val="20"/>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t>生活区周围种植花草等进行绿化，净化空气，美化环境</w:t>
                      </w:r>
                    </w:p>
                  </w:txbxContent>
                </v:textbox>
              </v:shape>
            </w:pict>
          </mc:Fallback>
        </mc:AlternateContent>
      </w:r>
    </w:p>
    <w:p>
      <w:pPr>
        <w:ind w:left="0" w:leftChars="0" w:firstLine="0" w:firstLineChars="0"/>
        <w:jc w:val="center"/>
        <w:rPr>
          <w:rFonts w:hint="default" w:ascii="Arial" w:hAnsi="Arial" w:eastAsia="宋体" w:cs="Arial"/>
          <w:b/>
          <w:bCs/>
          <w:color w:val="auto"/>
          <w:highlight w:val="none"/>
        </w:rPr>
      </w:pPr>
    </w:p>
    <w:p>
      <w:pPr>
        <w:ind w:left="0" w:leftChars="0" w:firstLine="0" w:firstLineChars="0"/>
        <w:jc w:val="center"/>
        <w:rPr>
          <w:rFonts w:hint="default" w:ascii="Arial" w:hAnsi="Arial" w:eastAsia="宋体" w:cs="Arial"/>
          <w:b/>
          <w:bCs/>
          <w:color w:val="auto"/>
          <w:highlight w:val="none"/>
        </w:rPr>
      </w:pPr>
    </w:p>
    <w:p>
      <w:pPr>
        <w:ind w:left="0" w:leftChars="0" w:firstLine="0" w:firstLineChars="0"/>
        <w:jc w:val="center"/>
        <w:rPr>
          <w:rFonts w:hint="default" w:ascii="Arial" w:hAnsi="Arial" w:eastAsia="宋体" w:cs="Arial"/>
          <w:b/>
          <w:bCs/>
          <w:color w:val="auto"/>
          <w:highlight w:val="none"/>
        </w:rPr>
      </w:pPr>
    </w:p>
    <w:p>
      <w:pPr>
        <w:ind w:left="0" w:leftChars="0" w:firstLine="0" w:firstLineChars="0"/>
        <w:jc w:val="center"/>
        <w:rPr>
          <w:rFonts w:hint="default" w:ascii="Arial" w:hAnsi="Arial" w:eastAsia="宋体" w:cs="Arial"/>
          <w:b/>
          <w:bCs/>
          <w:color w:val="auto"/>
          <w:highlight w:val="none"/>
        </w:rPr>
      </w:pPr>
    </w:p>
    <w:p>
      <w:pPr>
        <w:ind w:left="0" w:leftChars="0" w:firstLine="0" w:firstLineChars="0"/>
        <w:jc w:val="center"/>
        <w:rPr>
          <w:rFonts w:hint="default" w:ascii="Arial" w:hAnsi="Arial" w:eastAsia="宋体" w:cs="Arial"/>
          <w:b/>
          <w:bCs/>
          <w:color w:val="auto"/>
          <w:highlight w:val="none"/>
        </w:rPr>
      </w:pPr>
    </w:p>
    <w:p>
      <w:pPr>
        <w:ind w:left="0" w:leftChars="0" w:firstLine="0" w:firstLineChars="0"/>
        <w:jc w:val="center"/>
        <w:rPr>
          <w:rFonts w:hint="default" w:ascii="Arial" w:hAnsi="Arial" w:eastAsia="宋体" w:cs="Arial"/>
          <w:b/>
          <w:bCs/>
          <w:color w:val="auto"/>
          <w:highlight w:val="none"/>
        </w:rPr>
      </w:pPr>
      <w:r>
        <w:rPr>
          <w:rFonts w:hint="default" w:ascii="Arial" w:hAnsi="Arial" w:eastAsia="宋体" w:cs="Arial"/>
          <w:color w:val="auto"/>
          <w:sz w:val="24"/>
          <w:highlight w:val="none"/>
        </w:rPr>
        <mc:AlternateContent>
          <mc:Choice Requires="wps">
            <w:drawing>
              <wp:anchor distT="0" distB="0" distL="114300" distR="114300" simplePos="0" relativeHeight="251667456" behindDoc="0" locked="0" layoutInCell="1" allowOverlap="1">
                <wp:simplePos x="0" y="0"/>
                <wp:positionH relativeFrom="column">
                  <wp:posOffset>4332605</wp:posOffset>
                </wp:positionH>
                <wp:positionV relativeFrom="paragraph">
                  <wp:posOffset>229870</wp:posOffset>
                </wp:positionV>
                <wp:extent cx="1310640" cy="737235"/>
                <wp:effectExtent l="12700" t="681355" r="29210" b="29210"/>
                <wp:wrapNone/>
                <wp:docPr id="110" name="矩形标注 110"/>
                <wp:cNvGraphicFramePr/>
                <a:graphic xmlns:a="http://schemas.openxmlformats.org/drawingml/2006/main">
                  <a:graphicData uri="http://schemas.microsoft.com/office/word/2010/wordprocessingShape">
                    <wps:wsp>
                      <wps:cNvSpPr/>
                      <wps:spPr>
                        <a:xfrm>
                          <a:off x="0" y="0"/>
                          <a:ext cx="1310640" cy="737235"/>
                        </a:xfrm>
                        <a:prstGeom prst="wedgeRectCallout">
                          <a:avLst>
                            <a:gd name="adj1" fmla="val -41279"/>
                            <a:gd name="adj2" fmla="val -140697"/>
                          </a:avLst>
                        </a:prstGeom>
                        <a:noFill/>
                        <a:ln>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txbx>
                        <w:txbxContent>
                          <w:p>
                            <w:pPr>
                              <w:spacing w:line="240" w:lineRule="auto"/>
                              <w:ind w:left="0" w:leftChars="0" w:firstLine="0" w:firstLineChars="0"/>
                              <w:jc w:val="both"/>
                              <w:rPr>
                                <w:rFonts w:hint="eastAsia" w:eastAsia="宋体"/>
                                <w:color w:val="FF0000"/>
                                <w:sz w:val="21"/>
                                <w:szCs w:val="20"/>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pPr>
                            <w:r>
                              <w:rPr>
                                <w:rFonts w:hint="eastAsia"/>
                                <w:color w:val="FF0000"/>
                                <w:sz w:val="21"/>
                                <w:szCs w:val="20"/>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t>主干道两侧用适合当地气候的槐树、榆树等进行绿化</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341.15pt;margin-top:18.1pt;height:58.05pt;width:103.2pt;z-index:251667456;v-text-anchor:middle;mso-width-relative:page;mso-height-relative:page;" filled="f" stroked="t" coordsize="21600,21600" o:gfxdata="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" adj="1884,-19591">
                <v:fill on="f" focussize="0,0"/>
                <v:stroke weight="2pt" color="#00B050 [3204]" joinstyle="round"/>
                <v:imagedata o:title=""/>
                <o:lock v:ext="edit" aspectratio="f"/>
                <v:textbox>
                  <w:txbxContent>
                    <w:p>
                      <w:pPr>
                        <w:spacing w:line="240" w:lineRule="auto"/>
                        <w:ind w:left="0" w:leftChars="0" w:firstLine="0" w:firstLineChars="0"/>
                        <w:jc w:val="both"/>
                        <w:rPr>
                          <w:rFonts w:hint="eastAsia" w:eastAsia="宋体"/>
                          <w:color w:val="FF0000"/>
                          <w:sz w:val="21"/>
                          <w:szCs w:val="20"/>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pPr>
                      <w:r>
                        <w:rPr>
                          <w:rFonts w:hint="eastAsia"/>
                          <w:color w:val="FF0000"/>
                          <w:sz w:val="21"/>
                          <w:szCs w:val="20"/>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t>主干道两侧用适合当地气候的槐树、榆树等进行绿化</w:t>
                      </w:r>
                    </w:p>
                  </w:txbxContent>
                </v:textbox>
              </v:shape>
            </w:pict>
          </mc:Fallback>
        </mc:AlternateContent>
      </w:r>
    </w:p>
    <w:p>
      <w:pPr>
        <w:ind w:left="0" w:leftChars="0" w:firstLine="0" w:firstLineChars="0"/>
        <w:jc w:val="center"/>
        <w:rPr>
          <w:rFonts w:hint="default" w:ascii="Arial" w:hAnsi="Arial" w:eastAsia="宋体" w:cs="Arial"/>
          <w:b/>
          <w:bCs/>
          <w:color w:val="auto"/>
          <w:highlight w:val="none"/>
        </w:rPr>
      </w:pPr>
    </w:p>
    <w:p>
      <w:pPr>
        <w:ind w:left="0" w:leftChars="0" w:firstLine="0" w:firstLineChars="0"/>
        <w:jc w:val="center"/>
        <w:rPr>
          <w:rFonts w:hint="default" w:ascii="Arial" w:hAnsi="Arial" w:eastAsia="宋体" w:cs="Arial"/>
          <w:b/>
          <w:bCs/>
          <w:color w:val="auto"/>
          <w:highlight w:val="none"/>
        </w:rPr>
      </w:pPr>
      <w:r>
        <w:rPr>
          <w:rFonts w:hint="default" w:ascii="Arial" w:hAnsi="Arial" w:eastAsia="宋体" w:cs="Arial"/>
          <w:color w:val="auto"/>
          <w:sz w:val="24"/>
          <w:highlight w:val="none"/>
        </w:rPr>
        <mc:AlternateContent>
          <mc:Choice Requires="wps">
            <w:drawing>
              <wp:anchor distT="0" distB="0" distL="114300" distR="114300" simplePos="0" relativeHeight="251665408" behindDoc="0" locked="0" layoutInCell="1" allowOverlap="1">
                <wp:simplePos x="0" y="0"/>
                <wp:positionH relativeFrom="column">
                  <wp:posOffset>239395</wp:posOffset>
                </wp:positionH>
                <wp:positionV relativeFrom="paragraph">
                  <wp:posOffset>94615</wp:posOffset>
                </wp:positionV>
                <wp:extent cx="1881505" cy="852170"/>
                <wp:effectExtent l="12700" t="593725" r="29845" b="20955"/>
                <wp:wrapNone/>
                <wp:docPr id="108" name="矩形标注 108"/>
                <wp:cNvGraphicFramePr/>
                <a:graphic xmlns:a="http://schemas.openxmlformats.org/drawingml/2006/main">
                  <a:graphicData uri="http://schemas.microsoft.com/office/word/2010/wordprocessingShape">
                    <wps:wsp>
                      <wps:cNvSpPr/>
                      <wps:spPr>
                        <a:xfrm>
                          <a:off x="2012950" y="2874010"/>
                          <a:ext cx="1881505" cy="852170"/>
                        </a:xfrm>
                        <a:prstGeom prst="wedgeRectCallout">
                          <a:avLst>
                            <a:gd name="adj1" fmla="val 8926"/>
                            <a:gd name="adj2" fmla="val -118181"/>
                          </a:avLst>
                        </a:prstGeom>
                        <a:noFill/>
                        <a:ln>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txbx>
                        <w:txbxContent>
                          <w:p>
                            <w:pPr>
                              <w:spacing w:line="240" w:lineRule="auto"/>
                              <w:ind w:left="0" w:leftChars="0" w:firstLine="0" w:firstLineChars="0"/>
                              <w:jc w:val="both"/>
                              <w:rPr>
                                <w:rFonts w:hint="eastAsia" w:eastAsia="宋体"/>
                                <w:color w:val="FF0000"/>
                                <w:sz w:val="21"/>
                                <w:szCs w:val="20"/>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pPr>
                            <w:r>
                              <w:rPr>
                                <w:rFonts w:hint="eastAsia"/>
                                <w:color w:val="FF0000"/>
                                <w:sz w:val="21"/>
                                <w:szCs w:val="20"/>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t>在场界周边种植乔木和灌木混合林带，并栽种刺笆；场址边缘地带种植适应当地的高大树种形成多层防护林带</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18.85pt;margin-top:7.45pt;height:67.1pt;width:148.15pt;z-index:251665408;v-text-anchor:middle;mso-width-relative:page;mso-height-relative:page;" filled="f" stroked="t" coordsize="21600,21600" o:gfxdata="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" adj="12728,-14727">
                <v:fill on="f" focussize="0,0"/>
                <v:stroke weight="2pt" color="#00B050 [3204]" joinstyle="round"/>
                <v:imagedata o:title=""/>
                <o:lock v:ext="edit" aspectratio="f"/>
                <v:textbox>
                  <w:txbxContent>
                    <w:p>
                      <w:pPr>
                        <w:spacing w:line="240" w:lineRule="auto"/>
                        <w:ind w:left="0" w:leftChars="0" w:firstLine="0" w:firstLineChars="0"/>
                        <w:jc w:val="both"/>
                        <w:rPr>
                          <w:rFonts w:hint="eastAsia" w:eastAsia="宋体"/>
                          <w:color w:val="FF0000"/>
                          <w:sz w:val="21"/>
                          <w:szCs w:val="20"/>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pPr>
                      <w:r>
                        <w:rPr>
                          <w:rFonts w:hint="eastAsia"/>
                          <w:color w:val="FF0000"/>
                          <w:sz w:val="21"/>
                          <w:szCs w:val="20"/>
                          <w:lang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props3d w14:extrusionH="0" w14:contourW="0" w14:prstMaterial="clear"/>
                        </w:rPr>
                        <w:t>在场界周边种植乔木和灌木混合林带，并栽种刺笆；场址边缘地带种植适应当地的高大树种形成多层防护林带</w:t>
                      </w:r>
                    </w:p>
                  </w:txbxContent>
                </v:textbox>
              </v:shape>
            </w:pict>
          </mc:Fallback>
        </mc:AlternateContent>
      </w:r>
    </w:p>
    <w:p>
      <w:pPr>
        <w:ind w:left="0" w:leftChars="0" w:firstLine="0" w:firstLineChars="0"/>
        <w:jc w:val="center"/>
        <w:rPr>
          <w:rFonts w:hint="default" w:ascii="Arial" w:hAnsi="Arial" w:eastAsia="宋体" w:cs="Arial"/>
          <w:b/>
          <w:bCs/>
          <w:color w:val="auto"/>
          <w:highlight w:val="none"/>
        </w:rPr>
      </w:pPr>
    </w:p>
    <w:p>
      <w:pPr>
        <w:ind w:left="0" w:leftChars="0" w:firstLine="0" w:firstLineChars="0"/>
        <w:jc w:val="center"/>
        <w:rPr>
          <w:rFonts w:hint="default" w:ascii="Arial" w:hAnsi="Arial" w:eastAsia="宋体" w:cs="Arial"/>
          <w:b/>
          <w:bCs/>
          <w:color w:val="auto"/>
          <w:highlight w:val="none"/>
        </w:rPr>
      </w:pPr>
    </w:p>
    <w:p>
      <w:pPr>
        <w:ind w:left="0" w:leftChars="0" w:firstLine="0" w:firstLineChars="0"/>
        <w:jc w:val="center"/>
        <w:rPr>
          <w:rFonts w:hint="default" w:ascii="Arial" w:hAnsi="Arial" w:eastAsia="宋体" w:cs="Arial"/>
          <w:b/>
          <w:bCs/>
          <w:color w:val="auto"/>
          <w:highlight w:val="none"/>
        </w:rPr>
      </w:pPr>
    </w:p>
    <w:p>
      <w:pPr>
        <w:ind w:left="0" w:leftChars="0" w:firstLine="0" w:firstLineChars="0"/>
        <w:jc w:val="center"/>
        <w:rPr>
          <w:rFonts w:hint="default" w:ascii="Arial" w:hAnsi="Arial" w:eastAsia="宋体" w:cs="Arial"/>
          <w:b/>
          <w:bCs/>
          <w:color w:val="auto"/>
          <w:highlight w:val="none"/>
        </w:rPr>
      </w:pPr>
    </w:p>
    <w:p>
      <w:pPr>
        <w:ind w:left="0" w:leftChars="0" w:firstLine="0" w:firstLineChars="0"/>
        <w:jc w:val="center"/>
        <w:rPr>
          <w:rFonts w:hint="default" w:ascii="Arial" w:hAnsi="Arial" w:eastAsia="宋体" w:cs="Arial"/>
          <w:b/>
          <w:bCs/>
          <w:color w:val="auto"/>
          <w:highlight w:val="none"/>
        </w:rPr>
      </w:pPr>
      <w:r>
        <w:rPr>
          <w:rFonts w:hint="default" w:ascii="Arial" w:hAnsi="Arial" w:eastAsia="宋体" w:cs="Arial"/>
          <w:b/>
          <w:bCs/>
          <w:color w:val="auto"/>
          <w:highlight w:val="none"/>
        </w:rPr>
        <w:t>图7.9-1    典型生态措施示意图</w:t>
      </w:r>
    </w:p>
    <w:p>
      <w:pPr>
        <w:ind w:left="0" w:leftChars="0" w:firstLine="0" w:firstLineChars="0"/>
        <w:jc w:val="center"/>
        <w:rPr>
          <w:rFonts w:hint="default" w:ascii="Arial" w:hAnsi="Arial" w:eastAsia="宋体" w:cs="Arial"/>
          <w:b/>
          <w:bCs/>
          <w:color w:val="auto"/>
          <w:highlight w:val="none"/>
        </w:rPr>
      </w:pPr>
    </w:p>
    <w:p>
      <w:pPr>
        <w:ind w:left="0" w:leftChars="0" w:firstLine="0" w:firstLineChars="0"/>
        <w:jc w:val="center"/>
        <w:rPr>
          <w:rFonts w:hint="default" w:ascii="Arial" w:hAnsi="Arial" w:eastAsia="宋体" w:cs="Arial"/>
          <w:b/>
          <w:bCs/>
          <w:color w:val="auto"/>
          <w:highlight w:val="none"/>
        </w:rPr>
        <w:sectPr>
          <w:pgSz w:w="11906" w:h="16838"/>
          <w:pgMar w:top="1418" w:right="1418" w:bottom="1247" w:left="1701" w:header="851" w:footer="680" w:gutter="0"/>
          <w:pgBorders>
            <w:top w:val="none" w:sz="0" w:space="0"/>
            <w:left w:val="none" w:sz="0" w:space="0"/>
            <w:bottom w:val="none" w:sz="0" w:space="0"/>
            <w:right w:val="none" w:sz="0" w:space="0"/>
          </w:pgBorders>
          <w:pgNumType w:fmt="numberInDash"/>
          <w:cols w:space="720" w:num="1"/>
          <w:docGrid w:linePitch="326" w:charSpace="0"/>
        </w:sectPr>
      </w:pPr>
    </w:p>
    <w:p>
      <w:pPr>
        <w:pStyle w:val="5"/>
        <w:rPr>
          <w:rFonts w:hint="default" w:ascii="Arial" w:hAnsi="Arial" w:eastAsia="宋体" w:cs="Arial"/>
          <w:color w:val="auto"/>
          <w:highlight w:val="none"/>
        </w:rPr>
      </w:pPr>
      <w:bookmarkStart w:id="535" w:name="_Toc7093"/>
      <w:r>
        <w:rPr>
          <w:rFonts w:hint="default" w:ascii="Arial" w:hAnsi="Arial" w:eastAsia="宋体" w:cs="Arial"/>
          <w:color w:val="auto"/>
          <w:highlight w:val="none"/>
        </w:rPr>
        <w:t>7.10营运期人群健康保护措施</w:t>
      </w:r>
      <w:bookmarkEnd w:id="535"/>
    </w:p>
    <w:p>
      <w:pPr>
        <w:ind w:firstLine="480"/>
        <w:rPr>
          <w:rFonts w:hint="default" w:ascii="Arial" w:hAnsi="Arial" w:eastAsia="宋体" w:cs="Arial"/>
          <w:color w:val="auto"/>
          <w:highlight w:val="none"/>
        </w:rPr>
      </w:pPr>
      <w:r>
        <w:rPr>
          <w:rFonts w:hint="default" w:ascii="Arial" w:hAnsi="Arial" w:eastAsia="宋体" w:cs="Arial"/>
          <w:color w:val="auto"/>
          <w:highlight w:val="none"/>
        </w:rPr>
        <w:t>运行期为保护场区人员不受牛病疫情传染，项目在场区大门口设</w:t>
      </w:r>
      <w:r>
        <w:rPr>
          <w:rFonts w:hint="default" w:ascii="Arial" w:hAnsi="Arial" w:eastAsia="宋体" w:cs="Arial"/>
          <w:color w:val="auto"/>
          <w:highlight w:val="none"/>
          <w:lang w:eastAsia="zh-CN"/>
        </w:rPr>
        <w:t>消毒室</w:t>
      </w:r>
      <w:r>
        <w:rPr>
          <w:rFonts w:hint="default" w:ascii="Arial" w:hAnsi="Arial" w:eastAsia="宋体" w:cs="Arial"/>
          <w:color w:val="auto"/>
          <w:highlight w:val="none"/>
        </w:rPr>
        <w:t>，配备消毒设备和消毒池，所有车辆及有关用具等均须进行彻底消毒后方准进入园区。严格控制外来人员进出牛场养殖区，特别情况下，外来人员经淋浴后穿戴消毒过的工作服经过消毒间后方可进入，要同时做好来访记录。本场人员进场前，要遵守生物防疫程序，经洗澡淋浴，更换干净的工作服（鞋）后方可进入养殖区。在养殖区内，工作人员和来访人员进出牛舍时，必须清洗消毒双手和鞋靴等。牛场内要分设净道和污道，人员、动物和相关物品运转应采取单一流向，防止发生污染和疫病传播。饲养管理人员每年要定期进行健康检查，取得《健康证》后上岗。</w:t>
      </w:r>
    </w:p>
    <w:p>
      <w:pPr>
        <w:pStyle w:val="5"/>
        <w:rPr>
          <w:rFonts w:hint="default" w:ascii="Arial" w:hAnsi="Arial" w:eastAsia="宋体" w:cs="Arial"/>
          <w:color w:val="auto"/>
          <w:highlight w:val="none"/>
        </w:rPr>
      </w:pPr>
      <w:bookmarkStart w:id="536" w:name="_Toc494206378"/>
      <w:bookmarkStart w:id="537" w:name="_Toc530642995"/>
      <w:bookmarkStart w:id="538" w:name="_Toc19790"/>
      <w:r>
        <w:rPr>
          <w:rFonts w:hint="default" w:ascii="Arial" w:hAnsi="Arial" w:eastAsia="宋体" w:cs="Arial"/>
          <w:color w:val="auto"/>
          <w:highlight w:val="none"/>
        </w:rPr>
        <w:t>7.</w:t>
      </w:r>
      <w:bookmarkEnd w:id="536"/>
      <w:r>
        <w:rPr>
          <w:rFonts w:hint="default" w:ascii="Arial" w:hAnsi="Arial" w:eastAsia="宋体" w:cs="Arial"/>
          <w:color w:val="auto"/>
          <w:highlight w:val="none"/>
        </w:rPr>
        <w:t>11运营期污染防治对策和措施及环保投资汇总</w:t>
      </w:r>
      <w:bookmarkEnd w:id="537"/>
      <w:bookmarkEnd w:id="538"/>
    </w:p>
    <w:p>
      <w:pPr>
        <w:ind w:firstLine="480"/>
        <w:rPr>
          <w:rFonts w:hint="default" w:ascii="Arial" w:hAnsi="Arial" w:eastAsia="宋体" w:cs="Arial"/>
          <w:color w:val="auto"/>
          <w:highlight w:val="none"/>
        </w:rPr>
        <w:sectPr>
          <w:pgSz w:w="11906" w:h="16838"/>
          <w:pgMar w:top="1418" w:right="1418" w:bottom="1247" w:left="1701" w:header="851" w:footer="680" w:gutter="0"/>
          <w:pgBorders>
            <w:top w:val="none" w:sz="0" w:space="0"/>
            <w:left w:val="none" w:sz="0" w:space="0"/>
            <w:bottom w:val="none" w:sz="0" w:space="0"/>
            <w:right w:val="none" w:sz="0" w:space="0"/>
          </w:pgBorders>
          <w:pgNumType w:fmt="numberInDash"/>
          <w:cols w:space="720" w:num="1"/>
          <w:docGrid w:linePitch="326" w:charSpace="0"/>
        </w:sectPr>
      </w:pPr>
      <w:r>
        <w:rPr>
          <w:rFonts w:hint="default" w:ascii="Arial" w:hAnsi="Arial" w:eastAsia="宋体" w:cs="Arial"/>
          <w:color w:val="auto"/>
          <w:highlight w:val="none"/>
        </w:rPr>
        <w:t>本项目所有污染源均采取有效地的污染防治措施。环保投资项目主要有废气治理、废水治理、场区防渗、噪声治理等。总投资</w:t>
      </w:r>
      <w:r>
        <w:rPr>
          <w:rFonts w:hint="default" w:ascii="Arial" w:hAnsi="Arial" w:eastAsia="宋体" w:cs="Arial"/>
          <w:color w:val="auto"/>
          <w:highlight w:val="none"/>
          <w:lang w:val="en-US" w:eastAsia="zh-CN"/>
        </w:rPr>
        <w:t>5</w:t>
      </w:r>
      <w:r>
        <w:rPr>
          <w:rFonts w:hint="default" w:ascii="Arial" w:hAnsi="Arial" w:eastAsia="宋体" w:cs="Arial"/>
          <w:color w:val="auto"/>
          <w:highlight w:val="none"/>
          <w:lang w:eastAsia="zh-CN"/>
        </w:rPr>
        <w:t>000万元</w:t>
      </w:r>
      <w:r>
        <w:rPr>
          <w:rFonts w:hint="default" w:ascii="Arial" w:hAnsi="Arial" w:eastAsia="宋体" w:cs="Arial"/>
          <w:color w:val="auto"/>
          <w:highlight w:val="none"/>
        </w:rPr>
        <w:t>，其中环保投资193.1万元，占总投资比例为</w:t>
      </w:r>
      <w:r>
        <w:rPr>
          <w:rFonts w:hint="default" w:ascii="Arial" w:hAnsi="Arial" w:eastAsia="宋体" w:cs="Arial"/>
          <w:color w:val="auto"/>
          <w:highlight w:val="none"/>
          <w:lang w:val="en-US" w:eastAsia="zh-CN"/>
        </w:rPr>
        <w:t>3.86</w:t>
      </w:r>
      <w:r>
        <w:rPr>
          <w:rFonts w:hint="default" w:ascii="Arial" w:hAnsi="Arial" w:eastAsia="宋体" w:cs="Arial"/>
          <w:color w:val="auto"/>
          <w:highlight w:val="none"/>
        </w:rPr>
        <w:t>%，污染防治措施及环保投资见表7.11-1。</w:t>
      </w:r>
    </w:p>
    <w:p>
      <w:pPr>
        <w:pStyle w:val="8"/>
        <w:rPr>
          <w:rFonts w:hint="default" w:ascii="Arial" w:hAnsi="Arial" w:eastAsia="宋体" w:cs="Arial"/>
          <w:color w:val="auto"/>
          <w:highlight w:val="none"/>
        </w:rPr>
      </w:pPr>
      <w:r>
        <w:rPr>
          <w:rFonts w:hint="default" w:ascii="Arial" w:hAnsi="Arial" w:eastAsia="宋体" w:cs="Arial"/>
          <w:color w:val="auto"/>
          <w:highlight w:val="none"/>
        </w:rPr>
        <w:t>表7.11-1    项目环境保护措施一览表</w:t>
      </w:r>
    </w:p>
    <w:tbl>
      <w:tblPr>
        <w:tblStyle w:val="39"/>
        <w:tblW w:w="14389" w:type="dxa"/>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549"/>
        <w:gridCol w:w="1295"/>
        <w:gridCol w:w="1313"/>
        <w:gridCol w:w="7130"/>
        <w:gridCol w:w="3002"/>
        <w:gridCol w:w="1100"/>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549"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类型</w:t>
            </w:r>
          </w:p>
        </w:tc>
        <w:tc>
          <w:tcPr>
            <w:tcW w:w="1295"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产污点</w:t>
            </w:r>
          </w:p>
        </w:tc>
        <w:tc>
          <w:tcPr>
            <w:tcW w:w="1313"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污染物</w:t>
            </w:r>
          </w:p>
        </w:tc>
        <w:tc>
          <w:tcPr>
            <w:tcW w:w="7130"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治理措施</w:t>
            </w:r>
          </w:p>
        </w:tc>
        <w:tc>
          <w:tcPr>
            <w:tcW w:w="3002"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治理效果</w:t>
            </w:r>
          </w:p>
        </w:tc>
        <w:tc>
          <w:tcPr>
            <w:tcW w:w="1100"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环保投资</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549" w:type="dxa"/>
            <w:vMerge w:val="restart"/>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废气</w:t>
            </w:r>
          </w:p>
        </w:tc>
        <w:tc>
          <w:tcPr>
            <w:tcW w:w="1295"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lang w:eastAsia="zh-CN"/>
              </w:rPr>
            </w:pPr>
            <w:r>
              <w:rPr>
                <w:rFonts w:hint="default" w:ascii="Arial" w:hAnsi="Arial" w:eastAsia="宋体" w:cs="Arial"/>
                <w:color w:val="auto"/>
                <w:sz w:val="21"/>
                <w:szCs w:val="21"/>
                <w:highlight w:val="none"/>
                <w:lang w:eastAsia="zh-CN"/>
              </w:rPr>
              <w:t>牛舍及</w:t>
            </w:r>
            <w:r>
              <w:rPr>
                <w:rFonts w:hint="default" w:ascii="Arial" w:hAnsi="Arial" w:eastAsia="宋体" w:cs="Arial"/>
                <w:color w:val="auto"/>
                <w:sz w:val="21"/>
                <w:szCs w:val="21"/>
                <w:highlight w:val="none"/>
              </w:rPr>
              <w:t>运动场</w:t>
            </w:r>
          </w:p>
        </w:tc>
        <w:tc>
          <w:tcPr>
            <w:tcW w:w="1313" w:type="dxa"/>
            <w:vMerge w:val="restart"/>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氨气</w:t>
            </w:r>
          </w:p>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硫化氢</w:t>
            </w:r>
          </w:p>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臭气浓度</w:t>
            </w:r>
          </w:p>
        </w:tc>
        <w:tc>
          <w:tcPr>
            <w:tcW w:w="7130"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rPr>
            </w:pPr>
            <w:r>
              <w:rPr>
                <w:rFonts w:hint="default" w:ascii="Arial" w:hAnsi="Arial" w:eastAsia="宋体" w:cs="Arial"/>
                <w:bCs/>
                <w:color w:val="auto"/>
                <w:sz w:val="21"/>
                <w:szCs w:val="21"/>
                <w:highlight w:val="none"/>
              </w:rPr>
              <w:t>通过日粮设计，</w:t>
            </w:r>
            <w:r>
              <w:rPr>
                <w:rFonts w:hint="default" w:ascii="Arial" w:hAnsi="Arial" w:eastAsia="宋体" w:cs="Arial"/>
                <w:color w:val="auto"/>
                <w:sz w:val="21"/>
                <w:szCs w:val="21"/>
                <w:highlight w:val="none"/>
              </w:rPr>
              <w:t>饲料添加EM复合微生物制剂，</w:t>
            </w:r>
            <w:r>
              <w:rPr>
                <w:rFonts w:hint="default" w:ascii="Arial" w:hAnsi="Arial" w:eastAsia="宋体" w:cs="Arial"/>
                <w:color w:val="auto"/>
                <w:kern w:val="0"/>
                <w:sz w:val="21"/>
                <w:szCs w:val="21"/>
                <w:highlight w:val="none"/>
              </w:rPr>
              <w:t>牛舍采用及时清理粪尿，加强牛舍通风（除冬季封闭保暖外，均为敞开式通风）</w:t>
            </w:r>
          </w:p>
        </w:tc>
        <w:tc>
          <w:tcPr>
            <w:tcW w:w="3002" w:type="dxa"/>
            <w:vMerge w:val="restart"/>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《恶臭污染物排放标准》（GB14554-93）二级标准中氨气和硫化氢的浓度标准限值；</w:t>
            </w:r>
          </w:p>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《畜禽养殖业污染物排放标准》（GB18596-2001）中臭气浓度的限值要求</w:t>
            </w:r>
          </w:p>
        </w:tc>
        <w:tc>
          <w:tcPr>
            <w:tcW w:w="1100"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default" w:ascii="Arial" w:hAnsi="Arial" w:eastAsia="宋体" w:cs="Arial"/>
                <w:color w:val="auto"/>
                <w:sz w:val="21"/>
                <w:szCs w:val="21"/>
                <w:highlight w:val="none"/>
                <w:lang w:val="en-US"/>
              </w:rPr>
            </w:pPr>
            <w:r>
              <w:rPr>
                <w:rFonts w:hint="default" w:ascii="Arial" w:hAnsi="Arial" w:eastAsia="宋体" w:cs="Arial"/>
                <w:color w:val="auto"/>
                <w:sz w:val="21"/>
                <w:szCs w:val="21"/>
                <w:highlight w:val="none"/>
                <w:lang w:val="en-US" w:eastAsia="zh-CN"/>
              </w:rPr>
              <w:t>15</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549" w:type="dxa"/>
            <w:vMerge w:val="continue"/>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rPr>
            </w:pPr>
          </w:p>
        </w:tc>
        <w:tc>
          <w:tcPr>
            <w:tcW w:w="1295"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lang w:eastAsia="zh-CN"/>
              </w:rPr>
            </w:pPr>
            <w:r>
              <w:rPr>
                <w:rFonts w:hint="default" w:ascii="Arial" w:hAnsi="Arial" w:eastAsia="宋体" w:cs="Arial"/>
                <w:color w:val="auto"/>
                <w:sz w:val="21"/>
                <w:szCs w:val="21"/>
                <w:highlight w:val="none"/>
                <w:lang w:eastAsia="zh-CN"/>
              </w:rPr>
              <w:t>堆肥场</w:t>
            </w:r>
          </w:p>
        </w:tc>
        <w:tc>
          <w:tcPr>
            <w:tcW w:w="1313" w:type="dxa"/>
            <w:vMerge w:val="continue"/>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rPr>
            </w:pPr>
          </w:p>
        </w:tc>
        <w:tc>
          <w:tcPr>
            <w:tcW w:w="7130" w:type="dxa"/>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lang w:eastAsia="zh-CN"/>
              </w:rPr>
              <w:t>牛粪便</w:t>
            </w:r>
            <w:r>
              <w:rPr>
                <w:rFonts w:hint="default" w:ascii="Arial" w:hAnsi="Arial" w:eastAsia="宋体" w:cs="Arial"/>
                <w:color w:val="auto"/>
                <w:sz w:val="21"/>
                <w:szCs w:val="21"/>
                <w:highlight w:val="none"/>
                <w:lang w:val="en-US" w:eastAsia="zh-CN"/>
              </w:rPr>
              <w:t>清运至</w:t>
            </w:r>
            <w:r>
              <w:rPr>
                <w:rFonts w:hint="default" w:ascii="Arial" w:hAnsi="Arial" w:eastAsia="宋体" w:cs="Arial"/>
                <w:color w:val="auto"/>
                <w:sz w:val="21"/>
                <w:szCs w:val="21"/>
                <w:highlight w:val="none"/>
                <w:lang w:eastAsia="zh-CN"/>
              </w:rPr>
              <w:t>堆肥场储存并堆肥，</w:t>
            </w:r>
            <w:r>
              <w:rPr>
                <w:rFonts w:hint="default" w:ascii="Arial" w:hAnsi="Arial" w:eastAsia="宋体" w:cs="Arial"/>
                <w:color w:val="auto"/>
                <w:sz w:val="21"/>
                <w:szCs w:val="21"/>
                <w:highlight w:val="none"/>
                <w:lang w:val="en-US" w:eastAsia="zh-CN"/>
              </w:rPr>
              <w:t>采取</w:t>
            </w:r>
            <w:r>
              <w:rPr>
                <w:rFonts w:hint="default" w:ascii="Arial" w:hAnsi="Arial" w:eastAsia="宋体" w:cs="Arial"/>
                <w:color w:val="auto"/>
                <w:kern w:val="0"/>
                <w:sz w:val="21"/>
                <w:szCs w:val="21"/>
                <w:highlight w:val="none"/>
              </w:rPr>
              <w:t>定期喷洒</w:t>
            </w:r>
            <w:r>
              <w:rPr>
                <w:rFonts w:hint="default" w:ascii="Arial" w:hAnsi="Arial" w:eastAsia="宋体" w:cs="Arial"/>
                <w:color w:val="auto"/>
                <w:sz w:val="21"/>
                <w:szCs w:val="21"/>
                <w:highlight w:val="none"/>
              </w:rPr>
              <w:t>减少氨释放和保氮的复合菌剂</w:t>
            </w:r>
            <w:r>
              <w:rPr>
                <w:rFonts w:hint="default" w:ascii="Arial" w:hAnsi="Arial" w:eastAsia="宋体" w:cs="Arial"/>
                <w:color w:val="auto"/>
                <w:sz w:val="21"/>
                <w:szCs w:val="21"/>
                <w:highlight w:val="none"/>
                <w:lang w:eastAsia="zh-CN"/>
              </w:rPr>
              <w:t>，</w:t>
            </w:r>
            <w:r>
              <w:rPr>
                <w:rFonts w:hint="default" w:ascii="Arial" w:hAnsi="Arial" w:eastAsia="宋体" w:cs="Arial"/>
                <w:color w:val="auto"/>
                <w:sz w:val="21"/>
                <w:szCs w:val="21"/>
                <w:highlight w:val="none"/>
              </w:rPr>
              <w:t>同时场区内加强绿化</w:t>
            </w:r>
          </w:p>
        </w:tc>
        <w:tc>
          <w:tcPr>
            <w:tcW w:w="3002" w:type="dxa"/>
            <w:vMerge w:val="continue"/>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rPr>
            </w:pPr>
          </w:p>
        </w:tc>
        <w:tc>
          <w:tcPr>
            <w:tcW w:w="1100"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default" w:ascii="Arial" w:hAnsi="Arial" w:eastAsia="宋体" w:cs="Arial"/>
                <w:color w:val="auto"/>
                <w:sz w:val="21"/>
                <w:szCs w:val="21"/>
                <w:highlight w:val="none"/>
                <w:lang w:val="en-US"/>
              </w:rPr>
            </w:pPr>
            <w:r>
              <w:rPr>
                <w:rFonts w:hint="default" w:ascii="Arial" w:hAnsi="Arial" w:eastAsia="宋体" w:cs="Arial"/>
                <w:color w:val="auto"/>
                <w:sz w:val="21"/>
                <w:szCs w:val="21"/>
                <w:highlight w:val="none"/>
                <w:lang w:val="en-US" w:eastAsia="zh-CN"/>
              </w:rPr>
              <w:t>8</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549" w:type="dxa"/>
            <w:vMerge w:val="continue"/>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rPr>
            </w:pPr>
          </w:p>
        </w:tc>
        <w:tc>
          <w:tcPr>
            <w:tcW w:w="1295"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lang w:eastAsia="zh-CN"/>
              </w:rPr>
              <w:t>饲草料库房</w:t>
            </w:r>
          </w:p>
        </w:tc>
        <w:tc>
          <w:tcPr>
            <w:tcW w:w="1313"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颗粒物</w:t>
            </w:r>
          </w:p>
        </w:tc>
        <w:tc>
          <w:tcPr>
            <w:tcW w:w="7130"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lang w:eastAsia="zh-CN"/>
              </w:rPr>
            </w:pPr>
            <w:r>
              <w:rPr>
                <w:rFonts w:hint="default" w:ascii="Arial" w:hAnsi="Arial" w:eastAsia="宋体" w:cs="Arial"/>
                <w:color w:val="auto"/>
                <w:sz w:val="21"/>
                <w:szCs w:val="21"/>
                <w:highlight w:val="none"/>
              </w:rPr>
              <w:t>全封闭</w:t>
            </w:r>
            <w:r>
              <w:rPr>
                <w:rFonts w:hint="default" w:ascii="Arial" w:hAnsi="Arial" w:eastAsia="宋体" w:cs="Arial"/>
                <w:color w:val="auto"/>
                <w:sz w:val="21"/>
                <w:szCs w:val="21"/>
                <w:highlight w:val="none"/>
                <w:lang w:eastAsia="zh-CN"/>
              </w:rPr>
              <w:t>饲草料库房</w:t>
            </w:r>
          </w:p>
        </w:tc>
        <w:tc>
          <w:tcPr>
            <w:tcW w:w="3002"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《大气污染物综合排放标准》（GB16297-1996）表2中无组织排放监控浓度限值要求</w:t>
            </w:r>
          </w:p>
        </w:tc>
        <w:tc>
          <w:tcPr>
            <w:tcW w:w="1100"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highlight w:val="none"/>
                <w:lang w:val="en-US" w:eastAsia="zh-CN"/>
              </w:rPr>
              <w:t>22</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549" w:type="dxa"/>
            <w:vMerge w:val="restart"/>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废水</w:t>
            </w:r>
          </w:p>
        </w:tc>
        <w:tc>
          <w:tcPr>
            <w:tcW w:w="1295"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生活污水</w:t>
            </w:r>
          </w:p>
        </w:tc>
        <w:tc>
          <w:tcPr>
            <w:tcW w:w="1313"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COD</w:t>
            </w:r>
            <w:r>
              <w:rPr>
                <w:rFonts w:hint="default" w:ascii="Arial" w:hAnsi="Arial" w:eastAsia="宋体" w:cs="Arial"/>
                <w:color w:val="auto"/>
                <w:sz w:val="21"/>
                <w:szCs w:val="21"/>
                <w:highlight w:val="none"/>
                <w:vertAlign w:val="subscript"/>
              </w:rPr>
              <w:t>Cr</w:t>
            </w:r>
            <w:r>
              <w:rPr>
                <w:rFonts w:hint="default" w:ascii="Arial" w:hAnsi="Arial" w:eastAsia="宋体" w:cs="Arial"/>
                <w:color w:val="auto"/>
                <w:sz w:val="21"/>
                <w:szCs w:val="21"/>
                <w:highlight w:val="none"/>
              </w:rPr>
              <w:t>、SS、NH</w:t>
            </w:r>
            <w:r>
              <w:rPr>
                <w:rFonts w:hint="default" w:ascii="Arial" w:hAnsi="Arial" w:eastAsia="宋体" w:cs="Arial"/>
                <w:color w:val="auto"/>
                <w:sz w:val="21"/>
                <w:szCs w:val="21"/>
                <w:highlight w:val="none"/>
                <w:vertAlign w:val="subscript"/>
              </w:rPr>
              <w:t>3</w:t>
            </w:r>
            <w:r>
              <w:rPr>
                <w:rFonts w:hint="default" w:ascii="Arial" w:hAnsi="Arial" w:eastAsia="宋体" w:cs="Arial"/>
                <w:color w:val="auto"/>
                <w:sz w:val="21"/>
                <w:szCs w:val="21"/>
                <w:highlight w:val="none"/>
              </w:rPr>
              <w:t>-N</w:t>
            </w:r>
          </w:p>
        </w:tc>
        <w:tc>
          <w:tcPr>
            <w:tcW w:w="7130"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经化粪池暂存处理后，定期清掏。</w:t>
            </w:r>
          </w:p>
        </w:tc>
        <w:tc>
          <w:tcPr>
            <w:tcW w:w="3002"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w:t>
            </w:r>
          </w:p>
        </w:tc>
        <w:tc>
          <w:tcPr>
            <w:tcW w:w="1100"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lang w:val="en-US" w:eastAsia="zh-CN"/>
              </w:rPr>
              <w:t>3</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549" w:type="dxa"/>
            <w:vMerge w:val="continue"/>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rPr>
            </w:pPr>
          </w:p>
        </w:tc>
        <w:tc>
          <w:tcPr>
            <w:tcW w:w="1295" w:type="dxa"/>
            <w:vMerge w:val="restart"/>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场区雨水</w:t>
            </w:r>
          </w:p>
        </w:tc>
        <w:tc>
          <w:tcPr>
            <w:tcW w:w="1313" w:type="dxa"/>
            <w:vMerge w:val="restart"/>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w:t>
            </w:r>
          </w:p>
        </w:tc>
        <w:tc>
          <w:tcPr>
            <w:tcW w:w="7130"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牛舍屋面设置合适坡度并在屋檐设置导流槽，将雨水导出不排入运动场内，屋面雨水采用自流式排水，经过雨水管道排入场区排水沟排出。</w:t>
            </w:r>
          </w:p>
        </w:tc>
        <w:tc>
          <w:tcPr>
            <w:tcW w:w="3002" w:type="dxa"/>
            <w:vMerge w:val="restart"/>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w:t>
            </w:r>
          </w:p>
        </w:tc>
        <w:tc>
          <w:tcPr>
            <w:tcW w:w="1100"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lang w:val="en-US" w:eastAsia="zh-CN"/>
              </w:rPr>
              <w:t>4</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549" w:type="dxa"/>
            <w:vMerge w:val="continue"/>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rPr>
            </w:pPr>
          </w:p>
        </w:tc>
        <w:tc>
          <w:tcPr>
            <w:tcW w:w="1295" w:type="dxa"/>
            <w:vMerge w:val="continue"/>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rPr>
            </w:pPr>
          </w:p>
        </w:tc>
        <w:tc>
          <w:tcPr>
            <w:tcW w:w="1313" w:type="dxa"/>
            <w:vMerge w:val="continue"/>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rPr>
            </w:pPr>
          </w:p>
        </w:tc>
        <w:tc>
          <w:tcPr>
            <w:tcW w:w="7130"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运动场设置挡水坡道，防止雨水进入运动场</w:t>
            </w:r>
          </w:p>
        </w:tc>
        <w:tc>
          <w:tcPr>
            <w:tcW w:w="3002" w:type="dxa"/>
            <w:vMerge w:val="continue"/>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rPr>
            </w:pPr>
          </w:p>
        </w:tc>
        <w:tc>
          <w:tcPr>
            <w:tcW w:w="1100"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lang w:val="en-US" w:eastAsia="zh-CN"/>
              </w:rPr>
              <w:t>2</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549" w:type="dxa"/>
            <w:vMerge w:val="continue"/>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rPr>
            </w:pPr>
          </w:p>
        </w:tc>
        <w:tc>
          <w:tcPr>
            <w:tcW w:w="1295" w:type="dxa"/>
            <w:vMerge w:val="continue"/>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rPr>
            </w:pPr>
          </w:p>
        </w:tc>
        <w:tc>
          <w:tcPr>
            <w:tcW w:w="1313" w:type="dxa"/>
            <w:vMerge w:val="continue"/>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rPr>
            </w:pPr>
          </w:p>
        </w:tc>
        <w:tc>
          <w:tcPr>
            <w:tcW w:w="7130"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lang w:eastAsia="zh-CN"/>
              </w:rPr>
              <w:t>堆肥场</w:t>
            </w:r>
            <w:r>
              <w:rPr>
                <w:rFonts w:hint="default" w:ascii="Arial" w:hAnsi="Arial" w:eastAsia="宋体" w:cs="Arial"/>
                <w:color w:val="auto"/>
                <w:sz w:val="21"/>
                <w:szCs w:val="21"/>
                <w:highlight w:val="none"/>
              </w:rPr>
              <w:t>底部进行硬化防渗处理，四面设围墙墙高</w:t>
            </w:r>
            <w:r>
              <w:rPr>
                <w:rFonts w:hint="default" w:ascii="Arial" w:hAnsi="Arial" w:eastAsia="宋体" w:cs="Arial"/>
                <w:color w:val="auto"/>
                <w:sz w:val="21"/>
                <w:szCs w:val="21"/>
                <w:highlight w:val="none"/>
                <w:lang w:val="en-US" w:eastAsia="zh-CN"/>
              </w:rPr>
              <w:t>1</w:t>
            </w:r>
            <w:r>
              <w:rPr>
                <w:rFonts w:hint="default" w:ascii="Arial" w:hAnsi="Arial" w:eastAsia="宋体" w:cs="Arial"/>
                <w:color w:val="auto"/>
                <w:sz w:val="21"/>
                <w:szCs w:val="21"/>
                <w:highlight w:val="none"/>
              </w:rPr>
              <w:t>m，出入口处及四周建设导流槽</w:t>
            </w:r>
            <w:r>
              <w:rPr>
                <w:rFonts w:hint="default" w:ascii="Arial" w:hAnsi="Arial" w:eastAsia="宋体" w:cs="Arial"/>
                <w:color w:val="auto"/>
                <w:sz w:val="21"/>
                <w:szCs w:val="21"/>
                <w:highlight w:val="none"/>
                <w:lang w:eastAsia="zh-CN"/>
              </w:rPr>
              <w:t>，</w:t>
            </w:r>
            <w:r>
              <w:rPr>
                <w:rFonts w:hint="default" w:ascii="Arial" w:hAnsi="Arial" w:eastAsia="宋体" w:cs="Arial"/>
                <w:color w:val="auto"/>
                <w:sz w:val="21"/>
                <w:szCs w:val="21"/>
                <w:highlight w:val="none"/>
              </w:rPr>
              <w:t>防止进因雨水进入造成外溢，形成二次污染</w:t>
            </w:r>
          </w:p>
        </w:tc>
        <w:tc>
          <w:tcPr>
            <w:tcW w:w="3002" w:type="dxa"/>
            <w:vMerge w:val="continue"/>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rPr>
            </w:pPr>
          </w:p>
        </w:tc>
        <w:tc>
          <w:tcPr>
            <w:tcW w:w="1100"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sz w:val="21"/>
                <w:szCs w:val="21"/>
                <w:highlight w:val="none"/>
                <w:lang w:val="en-US" w:eastAsia="zh-CN"/>
              </w:rPr>
              <w:t>6</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549" w:type="dxa"/>
            <w:vMerge w:val="restart"/>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地下水</w:t>
            </w:r>
          </w:p>
        </w:tc>
        <w:tc>
          <w:tcPr>
            <w:tcW w:w="1295"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地下水监控井</w:t>
            </w:r>
          </w:p>
        </w:tc>
        <w:tc>
          <w:tcPr>
            <w:tcW w:w="1313"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w:t>
            </w:r>
          </w:p>
        </w:tc>
        <w:tc>
          <w:tcPr>
            <w:tcW w:w="7130"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bCs/>
                <w:color w:val="auto"/>
                <w:sz w:val="21"/>
                <w:szCs w:val="21"/>
                <w:highlight w:val="none"/>
              </w:rPr>
            </w:pPr>
            <w:r>
              <w:rPr>
                <w:rFonts w:hint="default" w:ascii="Arial" w:hAnsi="Arial" w:eastAsia="宋体" w:cs="Arial"/>
                <w:color w:val="auto"/>
                <w:sz w:val="21"/>
                <w:szCs w:val="21"/>
                <w:highlight w:val="none"/>
                <w:lang w:eastAsia="zh-CN"/>
              </w:rPr>
              <w:t>厂区北侧</w:t>
            </w:r>
            <w:r>
              <w:rPr>
                <w:rFonts w:hint="default" w:ascii="Arial" w:hAnsi="Arial" w:eastAsia="宋体" w:cs="Arial"/>
                <w:bCs/>
                <w:color w:val="auto"/>
                <w:sz w:val="21"/>
                <w:szCs w:val="21"/>
                <w:highlight w:val="none"/>
              </w:rPr>
              <w:t>设置地下水监控井1眼，设置标示等</w:t>
            </w:r>
          </w:p>
        </w:tc>
        <w:tc>
          <w:tcPr>
            <w:tcW w:w="3002"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《地下水质量标准》（GB/T14848-2017）中Ⅲ类标准</w:t>
            </w:r>
          </w:p>
        </w:tc>
        <w:tc>
          <w:tcPr>
            <w:tcW w:w="1100"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lang w:eastAsia="zh-CN"/>
              </w:rPr>
            </w:pPr>
            <w:r>
              <w:rPr>
                <w:rFonts w:hint="default" w:ascii="Arial" w:hAnsi="Arial" w:eastAsia="宋体" w:cs="Arial"/>
                <w:color w:val="auto"/>
                <w:sz w:val="21"/>
                <w:szCs w:val="21"/>
                <w:highlight w:val="none"/>
                <w:lang w:val="en-US" w:eastAsia="zh-CN"/>
              </w:rPr>
              <w:t>3</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549" w:type="dxa"/>
            <w:vMerge w:val="continue"/>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rPr>
            </w:pPr>
          </w:p>
        </w:tc>
        <w:tc>
          <w:tcPr>
            <w:tcW w:w="1295"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工程防渗要求</w:t>
            </w:r>
          </w:p>
        </w:tc>
        <w:tc>
          <w:tcPr>
            <w:tcW w:w="1313"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w:t>
            </w:r>
          </w:p>
        </w:tc>
        <w:tc>
          <w:tcPr>
            <w:tcW w:w="7130"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jc w:val="both"/>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1、重点防渗区涉及</w:t>
            </w:r>
            <w:r>
              <w:rPr>
                <w:rFonts w:hint="default" w:ascii="Arial" w:hAnsi="Arial" w:eastAsia="宋体" w:cs="Arial"/>
                <w:color w:val="auto"/>
                <w:sz w:val="21"/>
                <w:szCs w:val="21"/>
                <w:highlight w:val="none"/>
                <w:lang w:val="zh-CN"/>
              </w:rPr>
              <w:t>危险废物暂存间</w:t>
            </w:r>
            <w:r>
              <w:rPr>
                <w:rFonts w:hint="default" w:ascii="Arial" w:hAnsi="Arial" w:eastAsia="宋体" w:cs="Arial"/>
                <w:color w:val="auto"/>
                <w:lang w:eastAsia="zh-CN"/>
              </w:rPr>
              <w:t>、</w:t>
            </w:r>
            <w:r>
              <w:rPr>
                <w:rFonts w:hint="default" w:ascii="Arial" w:hAnsi="Arial" w:eastAsia="宋体" w:cs="Arial"/>
                <w:color w:val="auto"/>
                <w:kern w:val="2"/>
                <w:sz w:val="21"/>
                <w:szCs w:val="21"/>
                <w:highlight w:val="none"/>
                <w:lang w:val="en-US" w:eastAsia="zh-CN" w:bidi="ar-SA"/>
              </w:rPr>
              <w:t>冷藏间</w:t>
            </w:r>
            <w:r>
              <w:rPr>
                <w:rFonts w:hint="default" w:ascii="Arial" w:hAnsi="Arial" w:eastAsia="宋体" w:cs="Arial"/>
                <w:color w:val="auto"/>
                <w:sz w:val="21"/>
                <w:szCs w:val="21"/>
                <w:highlight w:val="none"/>
              </w:rPr>
              <w:t>渗透系数要求小于1.0×10-</w:t>
            </w:r>
            <w:r>
              <w:rPr>
                <w:rFonts w:hint="default" w:ascii="Arial" w:hAnsi="Arial" w:eastAsia="宋体" w:cs="Arial"/>
                <w:color w:val="auto"/>
                <w:sz w:val="21"/>
                <w:szCs w:val="21"/>
                <w:highlight w:val="none"/>
                <w:vertAlign w:val="superscript"/>
              </w:rPr>
              <w:t>10</w:t>
            </w:r>
            <w:r>
              <w:rPr>
                <w:rFonts w:hint="default" w:ascii="Arial" w:hAnsi="Arial" w:eastAsia="宋体" w:cs="Arial"/>
                <w:color w:val="auto"/>
                <w:sz w:val="21"/>
                <w:szCs w:val="21"/>
                <w:highlight w:val="none"/>
              </w:rPr>
              <w:t>cm/s；</w:t>
            </w:r>
          </w:p>
          <w:p>
            <w:pPr>
              <w:pStyle w:val="63"/>
              <w:keepNext w:val="0"/>
              <w:keepLines w:val="0"/>
              <w:pageBreakBefore w:val="0"/>
              <w:widowControl w:val="0"/>
              <w:kinsoku/>
              <w:wordWrap/>
              <w:overflowPunct/>
              <w:topLinePunct/>
              <w:autoSpaceDE w:val="0"/>
              <w:autoSpaceDN/>
              <w:bidi w:val="0"/>
              <w:adjustRightInd/>
              <w:snapToGrid/>
              <w:spacing w:line="360" w:lineRule="exact"/>
              <w:jc w:val="both"/>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2、一般防渗区：</w:t>
            </w:r>
          </w:p>
          <w:p>
            <w:pPr>
              <w:pStyle w:val="63"/>
              <w:keepNext w:val="0"/>
              <w:keepLines w:val="0"/>
              <w:pageBreakBefore w:val="0"/>
              <w:widowControl w:val="0"/>
              <w:kinsoku/>
              <w:wordWrap/>
              <w:overflowPunct/>
              <w:topLinePunct/>
              <w:autoSpaceDE w:val="0"/>
              <w:autoSpaceDN/>
              <w:bidi w:val="0"/>
              <w:adjustRightInd/>
              <w:snapToGrid/>
              <w:spacing w:line="360" w:lineRule="exact"/>
              <w:jc w:val="both"/>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1）对</w:t>
            </w:r>
            <w:r>
              <w:rPr>
                <w:rFonts w:hint="default" w:ascii="Arial" w:hAnsi="Arial" w:eastAsia="宋体" w:cs="Arial"/>
                <w:color w:val="auto"/>
                <w:sz w:val="21"/>
                <w:szCs w:val="21"/>
                <w:highlight w:val="none"/>
                <w:lang w:eastAsia="zh-CN"/>
              </w:rPr>
              <w:t>堆肥场</w:t>
            </w:r>
            <w:r>
              <w:rPr>
                <w:rFonts w:hint="default" w:ascii="Arial" w:hAnsi="Arial" w:eastAsia="宋体" w:cs="Arial"/>
                <w:color w:val="auto"/>
                <w:sz w:val="21"/>
                <w:szCs w:val="21"/>
                <w:highlight w:val="none"/>
              </w:rPr>
              <w:t>底部基础防渗具体做法为：防渗层为敷设不小于2mm的高密度聚氯乙烯（HDPE）人工防渗膜，膜上、膜下设置“长丝无纺土工布”保护层，并铺设不小于100mm的混凝土保护层，或其他材料可满足渗透系数小于1.0×10</w:t>
            </w:r>
            <w:r>
              <w:rPr>
                <w:rFonts w:hint="default" w:ascii="Arial" w:hAnsi="Arial" w:eastAsia="宋体" w:cs="Arial"/>
                <w:color w:val="auto"/>
                <w:sz w:val="21"/>
                <w:szCs w:val="21"/>
                <w:highlight w:val="none"/>
                <w:vertAlign w:val="superscript"/>
              </w:rPr>
              <w:t>-7</w:t>
            </w:r>
            <w:r>
              <w:rPr>
                <w:rFonts w:hint="default" w:ascii="Arial" w:hAnsi="Arial" w:eastAsia="宋体" w:cs="Arial"/>
                <w:color w:val="auto"/>
                <w:sz w:val="21"/>
                <w:szCs w:val="21"/>
                <w:highlight w:val="none"/>
              </w:rPr>
              <w:t>cm/s。</w:t>
            </w:r>
          </w:p>
          <w:p>
            <w:pPr>
              <w:pStyle w:val="63"/>
              <w:keepNext w:val="0"/>
              <w:keepLines w:val="0"/>
              <w:pageBreakBefore w:val="0"/>
              <w:widowControl w:val="0"/>
              <w:kinsoku/>
              <w:wordWrap/>
              <w:overflowPunct/>
              <w:topLinePunct/>
              <w:autoSpaceDE w:val="0"/>
              <w:autoSpaceDN/>
              <w:bidi w:val="0"/>
              <w:adjustRightInd/>
              <w:snapToGrid/>
              <w:spacing w:line="360" w:lineRule="exact"/>
              <w:jc w:val="both"/>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2）对</w:t>
            </w:r>
            <w:r>
              <w:rPr>
                <w:rFonts w:hint="default" w:ascii="Arial" w:hAnsi="Arial" w:eastAsia="宋体" w:cs="Arial"/>
                <w:color w:val="auto"/>
                <w:sz w:val="21"/>
                <w:szCs w:val="21"/>
                <w:highlight w:val="none"/>
                <w:lang w:eastAsia="zh-CN"/>
              </w:rPr>
              <w:t>化粪池</w:t>
            </w:r>
            <w:r>
              <w:rPr>
                <w:rFonts w:hint="default" w:ascii="Arial" w:hAnsi="Arial" w:eastAsia="宋体" w:cs="Arial"/>
                <w:color w:val="auto"/>
                <w:sz w:val="21"/>
                <w:szCs w:val="21"/>
                <w:highlight w:val="none"/>
              </w:rPr>
              <w:t>采取以下防渗措施：</w:t>
            </w:r>
          </w:p>
          <w:p>
            <w:pPr>
              <w:pStyle w:val="63"/>
              <w:keepNext w:val="0"/>
              <w:keepLines w:val="0"/>
              <w:pageBreakBefore w:val="0"/>
              <w:widowControl w:val="0"/>
              <w:kinsoku/>
              <w:wordWrap/>
              <w:overflowPunct/>
              <w:topLinePunct/>
              <w:autoSpaceDE w:val="0"/>
              <w:autoSpaceDN/>
              <w:bidi w:val="0"/>
              <w:adjustRightInd/>
              <w:snapToGrid/>
              <w:spacing w:line="360" w:lineRule="exact"/>
              <w:jc w:val="both"/>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池底及坡道采用粘土找平，底部素土夯实，夯实层以上设20mm厚1:3水泥砂浆找平层，防渗层为敷设不小于2mm的高密度聚氯乙烯（HDPE）人工防渗膜，膜上、膜下设置“长丝无纺土工布”保护层，并铺设不小于100mm的混凝土保护层，或其他材料可满足渗透系数小于1.0×10</w:t>
            </w:r>
            <w:r>
              <w:rPr>
                <w:rFonts w:hint="default" w:ascii="Arial" w:hAnsi="Arial" w:eastAsia="宋体" w:cs="Arial"/>
                <w:color w:val="auto"/>
                <w:sz w:val="21"/>
                <w:szCs w:val="21"/>
                <w:highlight w:val="none"/>
                <w:vertAlign w:val="superscript"/>
              </w:rPr>
              <w:t>-7</w:t>
            </w:r>
            <w:r>
              <w:rPr>
                <w:rFonts w:hint="default" w:ascii="Arial" w:hAnsi="Arial" w:eastAsia="宋体" w:cs="Arial"/>
                <w:color w:val="auto"/>
                <w:sz w:val="21"/>
                <w:szCs w:val="21"/>
                <w:highlight w:val="none"/>
              </w:rPr>
              <w:t>cm/s。</w:t>
            </w:r>
          </w:p>
          <w:p>
            <w:pPr>
              <w:pStyle w:val="63"/>
              <w:keepNext w:val="0"/>
              <w:keepLines w:val="0"/>
              <w:pageBreakBefore w:val="0"/>
              <w:widowControl w:val="0"/>
              <w:kinsoku/>
              <w:wordWrap/>
              <w:overflowPunct/>
              <w:topLinePunct/>
              <w:autoSpaceDE w:val="0"/>
              <w:autoSpaceDN/>
              <w:bidi w:val="0"/>
              <w:adjustRightInd/>
              <w:snapToGrid/>
              <w:spacing w:line="360" w:lineRule="exact"/>
              <w:jc w:val="both"/>
              <w:rPr>
                <w:rFonts w:hint="default" w:ascii="Arial" w:hAnsi="Arial" w:eastAsia="宋体" w:cs="Arial"/>
                <w:bCs/>
                <w:color w:val="auto"/>
                <w:sz w:val="21"/>
                <w:szCs w:val="21"/>
                <w:highlight w:val="none"/>
              </w:rPr>
            </w:pPr>
            <w:r>
              <w:rPr>
                <w:rFonts w:hint="default" w:ascii="Arial" w:hAnsi="Arial" w:eastAsia="宋体" w:cs="Arial"/>
                <w:color w:val="auto"/>
                <w:sz w:val="21"/>
                <w:szCs w:val="21"/>
                <w:highlight w:val="none"/>
              </w:rPr>
              <w:t>3、对于饲草料库房、消毒室、</w:t>
            </w:r>
            <w:r>
              <w:rPr>
                <w:rFonts w:hint="default" w:ascii="Arial" w:hAnsi="Arial" w:eastAsia="宋体" w:cs="Arial"/>
                <w:color w:val="auto"/>
                <w:sz w:val="21"/>
                <w:szCs w:val="21"/>
                <w:highlight w:val="none"/>
                <w:lang w:eastAsia="zh-CN"/>
              </w:rPr>
              <w:t>青贮池</w:t>
            </w:r>
            <w:r>
              <w:rPr>
                <w:rFonts w:hint="default" w:ascii="Arial" w:hAnsi="Arial" w:eastAsia="宋体" w:cs="Arial"/>
                <w:color w:val="auto"/>
                <w:sz w:val="21"/>
                <w:szCs w:val="21"/>
                <w:highlight w:val="none"/>
              </w:rPr>
              <w:t>、场区道路等生产区，铺设防渗混凝土地面进行防渗。</w:t>
            </w:r>
          </w:p>
        </w:tc>
        <w:tc>
          <w:tcPr>
            <w:tcW w:w="3002"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《畜禽养殖业污染物排放标（GB18596-2001）》，《危险废物贮存污染控制标准》（GB18597-2001）</w:t>
            </w:r>
          </w:p>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参照《一般工业固体废物贮存、处置场污染控制标准》（GB18599-2001）</w:t>
            </w:r>
          </w:p>
        </w:tc>
        <w:tc>
          <w:tcPr>
            <w:tcW w:w="1100"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lang w:val="en-US"/>
              </w:rPr>
            </w:pPr>
            <w:r>
              <w:rPr>
                <w:rFonts w:hint="default" w:ascii="Arial" w:hAnsi="Arial" w:eastAsia="宋体" w:cs="Arial"/>
                <w:color w:val="auto"/>
                <w:sz w:val="21"/>
                <w:szCs w:val="21"/>
                <w:highlight w:val="none"/>
                <w:lang w:val="en-US" w:eastAsia="zh-CN"/>
              </w:rPr>
              <w:t>50</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203" w:hRule="atLeast"/>
          <w:jc w:val="center"/>
        </w:trPr>
        <w:tc>
          <w:tcPr>
            <w:tcW w:w="549" w:type="dxa"/>
            <w:vMerge w:val="restart"/>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固体废物</w:t>
            </w:r>
          </w:p>
        </w:tc>
        <w:tc>
          <w:tcPr>
            <w:tcW w:w="1295" w:type="dxa"/>
            <w:vAlign w:val="center"/>
          </w:tcPr>
          <w:p>
            <w:pPr>
              <w:pStyle w:val="63"/>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lang w:bidi="zh-CN"/>
              </w:rPr>
              <w:t>医疗垃圾</w:t>
            </w:r>
          </w:p>
        </w:tc>
        <w:tc>
          <w:tcPr>
            <w:tcW w:w="1313"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w:t>
            </w:r>
          </w:p>
        </w:tc>
        <w:tc>
          <w:tcPr>
            <w:tcW w:w="7130"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设危险废物暂存间1座，建筑面积10m</w:t>
            </w:r>
            <w:r>
              <w:rPr>
                <w:rFonts w:hint="default" w:ascii="Arial" w:hAnsi="Arial" w:eastAsia="宋体" w:cs="Arial"/>
                <w:color w:val="auto"/>
                <w:sz w:val="21"/>
                <w:szCs w:val="21"/>
                <w:highlight w:val="none"/>
                <w:vertAlign w:val="superscript"/>
              </w:rPr>
              <w:t>2</w:t>
            </w:r>
            <w:r>
              <w:rPr>
                <w:rFonts w:hint="default" w:ascii="Arial" w:hAnsi="Arial" w:eastAsia="宋体" w:cs="Arial"/>
                <w:color w:val="auto"/>
                <w:sz w:val="21"/>
                <w:szCs w:val="21"/>
                <w:highlight w:val="none"/>
              </w:rPr>
              <w:t>，暂存运营过程产生的医疗废弃物，暂存</w:t>
            </w:r>
            <w:r>
              <w:rPr>
                <w:rFonts w:hint="default" w:ascii="Arial" w:hAnsi="Arial" w:eastAsia="宋体" w:cs="Arial"/>
                <w:color w:val="auto"/>
                <w:sz w:val="21"/>
                <w:szCs w:val="21"/>
                <w:highlight w:val="none"/>
                <w:lang w:eastAsia="zh-CN"/>
              </w:rPr>
              <w:t>定期由有资质单位处置</w:t>
            </w:r>
            <w:r>
              <w:rPr>
                <w:rFonts w:hint="default" w:ascii="Arial" w:hAnsi="Arial" w:eastAsia="宋体" w:cs="Arial"/>
                <w:color w:val="auto"/>
                <w:sz w:val="21"/>
                <w:szCs w:val="21"/>
                <w:highlight w:val="none"/>
              </w:rPr>
              <w:t>；</w:t>
            </w:r>
          </w:p>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1）贮存场所地面须作硬化处理，以混凝土、砖、或经过防止腐化处理的钢材料进行建设，地面敷设2mm厚HDPE膜进行防渗处理，以防止渗漏和腐蚀。存放液体性危险废物的贮存场所必须设计导流槽和收集井。场所需要密闭且有通风口。</w:t>
            </w:r>
          </w:p>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2）危废暂存间的地面与裙脚要用坚固、防渗的材料建造，建筑材料必须与危险废物相容。</w:t>
            </w:r>
          </w:p>
        </w:tc>
        <w:tc>
          <w:tcPr>
            <w:tcW w:w="3002"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《危险废物贮存污染控制标准》（GB18597-2001）</w:t>
            </w:r>
          </w:p>
        </w:tc>
        <w:tc>
          <w:tcPr>
            <w:tcW w:w="1100"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lang w:eastAsia="zh-CN"/>
              </w:rPr>
            </w:pPr>
            <w:r>
              <w:rPr>
                <w:rFonts w:hint="default" w:ascii="Arial" w:hAnsi="Arial" w:eastAsia="宋体" w:cs="Arial"/>
                <w:color w:val="auto"/>
                <w:sz w:val="21"/>
                <w:szCs w:val="21"/>
                <w:highlight w:val="none"/>
                <w:lang w:val="en-US" w:eastAsia="zh-CN"/>
              </w:rPr>
              <w:t>7</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549" w:type="dxa"/>
            <w:vMerge w:val="continue"/>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rPr>
            </w:pPr>
          </w:p>
        </w:tc>
        <w:tc>
          <w:tcPr>
            <w:tcW w:w="1295"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lang w:eastAsia="zh-CN"/>
              </w:rPr>
            </w:pPr>
            <w:r>
              <w:rPr>
                <w:rFonts w:hint="default" w:ascii="Arial" w:hAnsi="Arial" w:eastAsia="宋体" w:cs="Arial"/>
                <w:color w:val="auto"/>
                <w:sz w:val="21"/>
                <w:szCs w:val="21"/>
                <w:highlight w:val="none"/>
                <w:lang w:eastAsia="zh-CN"/>
              </w:rPr>
              <w:t>病死牛</w:t>
            </w:r>
          </w:p>
        </w:tc>
        <w:tc>
          <w:tcPr>
            <w:tcW w:w="1313"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w:t>
            </w:r>
          </w:p>
        </w:tc>
        <w:tc>
          <w:tcPr>
            <w:tcW w:w="7130"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交由巴彦淖尔市绿之源生物技术发展有限公司进行无害化处理。</w:t>
            </w:r>
          </w:p>
        </w:tc>
        <w:tc>
          <w:tcPr>
            <w:tcW w:w="3002"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《畜禽养殖业污染治理工程技术规范》（HJ497-2009）、《畜禽养殖业污染防治技术规范》（HJ/T81-2001）、《病死及病害动物无害化处理技术规范》（农医发[2017]25号）</w:t>
            </w:r>
          </w:p>
        </w:tc>
        <w:tc>
          <w:tcPr>
            <w:tcW w:w="1100"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highlight w:val="none"/>
                <w:lang w:val="en-US" w:eastAsia="zh-CN"/>
              </w:rPr>
              <w:t>10</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549" w:type="dxa"/>
            <w:vMerge w:val="continue"/>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rPr>
            </w:pPr>
          </w:p>
        </w:tc>
        <w:tc>
          <w:tcPr>
            <w:tcW w:w="1295"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lang w:eastAsia="zh-CN"/>
              </w:rPr>
            </w:pPr>
            <w:r>
              <w:rPr>
                <w:rFonts w:hint="default" w:ascii="Arial" w:hAnsi="Arial" w:eastAsia="宋体" w:cs="Arial"/>
                <w:color w:val="auto"/>
                <w:sz w:val="21"/>
                <w:szCs w:val="21"/>
                <w:highlight w:val="none"/>
                <w:lang w:eastAsia="zh-CN"/>
              </w:rPr>
              <w:t>牛粪便</w:t>
            </w:r>
          </w:p>
        </w:tc>
        <w:tc>
          <w:tcPr>
            <w:tcW w:w="1313"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w:t>
            </w:r>
          </w:p>
        </w:tc>
        <w:tc>
          <w:tcPr>
            <w:tcW w:w="7130"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日产日清，</w:t>
            </w:r>
            <w:r>
              <w:rPr>
                <w:rFonts w:hint="default" w:ascii="Arial" w:hAnsi="Arial" w:eastAsia="宋体" w:cs="Arial"/>
                <w:color w:val="auto"/>
                <w:sz w:val="21"/>
                <w:szCs w:val="21"/>
                <w:highlight w:val="none"/>
                <w:lang w:eastAsia="zh-CN"/>
              </w:rPr>
              <w:t>堆肥场</w:t>
            </w:r>
            <w:r>
              <w:rPr>
                <w:rFonts w:hint="default" w:ascii="Arial" w:hAnsi="Arial" w:eastAsia="宋体" w:cs="Arial"/>
                <w:color w:val="auto"/>
                <w:sz w:val="21"/>
                <w:szCs w:val="21"/>
                <w:highlight w:val="none"/>
              </w:rPr>
              <w:t>收集经堆肥发酵后，用于还田利用；</w:t>
            </w:r>
          </w:p>
        </w:tc>
        <w:tc>
          <w:tcPr>
            <w:tcW w:w="3002"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资源化利用，满足《畜禽养殖业污染物排放标准》（GB18596-2001）</w:t>
            </w:r>
          </w:p>
        </w:tc>
        <w:tc>
          <w:tcPr>
            <w:tcW w:w="1100"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highlight w:val="none"/>
                <w:lang w:val="en-US" w:eastAsia="zh-CN"/>
              </w:rPr>
              <w:t>36</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549" w:type="dxa"/>
            <w:vMerge w:val="continue"/>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rPr>
            </w:pPr>
          </w:p>
        </w:tc>
        <w:tc>
          <w:tcPr>
            <w:tcW w:w="1295"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人员</w:t>
            </w:r>
          </w:p>
        </w:tc>
        <w:tc>
          <w:tcPr>
            <w:tcW w:w="1313"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生活垃圾</w:t>
            </w:r>
          </w:p>
        </w:tc>
        <w:tc>
          <w:tcPr>
            <w:tcW w:w="7130"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场区设置垃圾桶分类收集，</w:t>
            </w:r>
            <w:r>
              <w:rPr>
                <w:rFonts w:hint="default" w:ascii="Arial" w:hAnsi="Arial" w:eastAsia="宋体" w:cs="Arial"/>
                <w:color w:val="auto"/>
                <w:sz w:val="21"/>
                <w:szCs w:val="21"/>
                <w:highlight w:val="none"/>
                <w:lang w:bidi="zh-CN"/>
              </w:rPr>
              <w:t>清运到环卫部门指定的地点集中处理</w:t>
            </w:r>
          </w:p>
        </w:tc>
        <w:tc>
          <w:tcPr>
            <w:tcW w:w="3002"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w:t>
            </w:r>
          </w:p>
        </w:tc>
        <w:tc>
          <w:tcPr>
            <w:tcW w:w="1100"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highlight w:val="none"/>
                <w:lang w:val="en-US" w:eastAsia="zh-CN"/>
              </w:rPr>
              <w:t>0.1</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549"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噪声</w:t>
            </w:r>
          </w:p>
        </w:tc>
        <w:tc>
          <w:tcPr>
            <w:tcW w:w="1295"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风机和泵类</w:t>
            </w:r>
          </w:p>
        </w:tc>
        <w:tc>
          <w:tcPr>
            <w:tcW w:w="1313"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lang w:val="en-GB"/>
              </w:rPr>
              <w:t>噪声</w:t>
            </w:r>
          </w:p>
        </w:tc>
        <w:tc>
          <w:tcPr>
            <w:tcW w:w="7130"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基础减振、全封闭厂房等措施</w:t>
            </w:r>
          </w:p>
        </w:tc>
        <w:tc>
          <w:tcPr>
            <w:tcW w:w="3002"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《工业企业厂界环境噪声排放标准》（GB12348-2008）2类标准值</w:t>
            </w:r>
          </w:p>
        </w:tc>
        <w:tc>
          <w:tcPr>
            <w:tcW w:w="1100"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lang w:eastAsia="zh-CN"/>
              </w:rPr>
            </w:pPr>
            <w:r>
              <w:rPr>
                <w:rFonts w:hint="default" w:ascii="Arial" w:hAnsi="Arial" w:eastAsia="宋体" w:cs="Arial"/>
                <w:color w:val="auto"/>
                <w:sz w:val="21"/>
                <w:szCs w:val="21"/>
                <w:highlight w:val="none"/>
                <w:lang w:val="en-US" w:eastAsia="zh-CN"/>
              </w:rPr>
              <w:t>2</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549"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绿化</w:t>
            </w:r>
          </w:p>
        </w:tc>
        <w:tc>
          <w:tcPr>
            <w:tcW w:w="2608" w:type="dxa"/>
            <w:gridSpan w:val="2"/>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lang w:val="en-GB"/>
              </w:rPr>
            </w:pPr>
            <w:r>
              <w:rPr>
                <w:rFonts w:hint="default" w:ascii="Arial" w:hAnsi="Arial" w:eastAsia="宋体" w:cs="Arial"/>
                <w:color w:val="auto"/>
                <w:sz w:val="21"/>
                <w:szCs w:val="21"/>
                <w:highlight w:val="none"/>
                <w:lang w:val="en-GB"/>
              </w:rPr>
              <w:t>绿化工程</w:t>
            </w:r>
          </w:p>
        </w:tc>
        <w:tc>
          <w:tcPr>
            <w:tcW w:w="7130"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在场区四周、建筑物及道路两侧要种植乔灌相间的常青树，尤其应对牛场进行重点绿化，选择适宜的树种和草本植物，结合地区气候条件进行绿化美化工作环境，绿化面积为</w:t>
            </w:r>
            <w:r>
              <w:rPr>
                <w:rFonts w:hint="default" w:ascii="Arial" w:hAnsi="Arial" w:eastAsia="宋体" w:cs="Arial"/>
                <w:color w:val="auto"/>
                <w:sz w:val="21"/>
                <w:szCs w:val="21"/>
                <w:highlight w:val="none"/>
                <w:lang w:eastAsia="zh-CN"/>
              </w:rPr>
              <w:t>63138</w:t>
            </w:r>
            <w:r>
              <w:rPr>
                <w:rFonts w:hint="default" w:ascii="Arial" w:hAnsi="Arial" w:eastAsia="宋体" w:cs="Arial"/>
                <w:color w:val="auto"/>
                <w:sz w:val="21"/>
                <w:szCs w:val="21"/>
                <w:highlight w:val="none"/>
              </w:rPr>
              <w:t>m</w:t>
            </w:r>
            <w:r>
              <w:rPr>
                <w:rFonts w:hint="default" w:ascii="Arial" w:hAnsi="Arial" w:eastAsia="宋体" w:cs="Arial"/>
                <w:color w:val="auto"/>
                <w:sz w:val="21"/>
                <w:szCs w:val="21"/>
                <w:highlight w:val="none"/>
                <w:vertAlign w:val="superscript"/>
              </w:rPr>
              <w:t>2</w:t>
            </w:r>
            <w:r>
              <w:rPr>
                <w:rFonts w:hint="default" w:ascii="Arial" w:hAnsi="Arial" w:eastAsia="宋体" w:cs="Arial"/>
                <w:color w:val="auto"/>
                <w:sz w:val="21"/>
                <w:szCs w:val="21"/>
                <w:highlight w:val="none"/>
              </w:rPr>
              <w:t>。</w:t>
            </w:r>
          </w:p>
        </w:tc>
        <w:tc>
          <w:tcPr>
            <w:tcW w:w="3002"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w:t>
            </w:r>
          </w:p>
        </w:tc>
        <w:tc>
          <w:tcPr>
            <w:tcW w:w="1100"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highlight w:val="none"/>
                <w:lang w:val="en-US" w:eastAsia="zh-CN"/>
              </w:rPr>
              <w:t>20</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844" w:type="dxa"/>
            <w:gridSpan w:val="2"/>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环境监测</w:t>
            </w:r>
          </w:p>
        </w:tc>
        <w:tc>
          <w:tcPr>
            <w:tcW w:w="8443" w:type="dxa"/>
            <w:gridSpan w:val="2"/>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委托有资质的监测单位每年进行例行监测。</w:t>
            </w:r>
          </w:p>
        </w:tc>
        <w:tc>
          <w:tcPr>
            <w:tcW w:w="3002"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按相关操作规程进行</w:t>
            </w:r>
          </w:p>
        </w:tc>
        <w:tc>
          <w:tcPr>
            <w:tcW w:w="1100"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5</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0287" w:type="dxa"/>
            <w:gridSpan w:val="4"/>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合计</w:t>
            </w:r>
          </w:p>
        </w:tc>
        <w:tc>
          <w:tcPr>
            <w:tcW w:w="3002"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rPr>
            </w:pPr>
          </w:p>
        </w:tc>
        <w:tc>
          <w:tcPr>
            <w:tcW w:w="1100"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lang w:val="en-US" w:eastAsia="zh-CN"/>
              </w:rPr>
            </w:pPr>
            <w:r>
              <w:rPr>
                <w:rFonts w:hint="default" w:ascii="Arial" w:hAnsi="Arial" w:eastAsia="宋体" w:cs="Arial"/>
                <w:color w:val="auto"/>
                <w:sz w:val="21"/>
                <w:szCs w:val="21"/>
                <w:highlight w:val="none"/>
                <w:lang w:val="en-US" w:eastAsia="zh-CN"/>
              </w:rPr>
              <w:t>193.1</w:t>
            </w:r>
          </w:p>
        </w:tc>
      </w:tr>
    </w:tbl>
    <w:p>
      <w:pPr>
        <w:ind w:firstLine="480"/>
        <w:rPr>
          <w:rFonts w:hint="default" w:ascii="Arial" w:hAnsi="Arial" w:eastAsia="宋体" w:cs="Arial"/>
          <w:color w:val="auto"/>
          <w:highlight w:val="none"/>
        </w:rPr>
      </w:pPr>
    </w:p>
    <w:p>
      <w:pPr>
        <w:ind w:firstLine="480"/>
        <w:rPr>
          <w:rFonts w:hint="default" w:ascii="Arial" w:hAnsi="Arial" w:eastAsia="宋体" w:cs="Arial"/>
          <w:color w:val="auto"/>
          <w:highlight w:val="none"/>
        </w:rPr>
      </w:pPr>
    </w:p>
    <w:p>
      <w:pPr>
        <w:pStyle w:val="4"/>
        <w:rPr>
          <w:rFonts w:hint="default" w:ascii="Arial" w:hAnsi="Arial" w:eastAsia="宋体" w:cs="Arial"/>
          <w:color w:val="auto"/>
          <w:highlight w:val="none"/>
        </w:rPr>
        <w:sectPr>
          <w:pgSz w:w="16838" w:h="11906" w:orient="landscape"/>
          <w:pgMar w:top="1418" w:right="1247" w:bottom="1701" w:left="1418" w:header="851" w:footer="992" w:gutter="0"/>
          <w:pgBorders>
            <w:top w:val="none" w:sz="0" w:space="0"/>
            <w:left w:val="none" w:sz="0" w:space="0"/>
            <w:bottom w:val="none" w:sz="0" w:space="0"/>
            <w:right w:val="none" w:sz="0" w:space="0"/>
          </w:pgBorders>
          <w:pgNumType w:fmt="numberInDash"/>
          <w:cols w:space="720" w:num="1"/>
          <w:docGrid w:linePitch="326" w:charSpace="0"/>
        </w:sectPr>
      </w:pPr>
    </w:p>
    <w:p>
      <w:pPr>
        <w:pStyle w:val="4"/>
        <w:rPr>
          <w:rFonts w:hint="default" w:ascii="Arial" w:hAnsi="Arial" w:eastAsia="宋体" w:cs="Arial"/>
          <w:color w:val="auto"/>
          <w:highlight w:val="none"/>
        </w:rPr>
      </w:pPr>
      <w:bookmarkStart w:id="539" w:name="_Toc24139"/>
      <w:r>
        <w:rPr>
          <w:rFonts w:hint="default" w:ascii="Arial" w:hAnsi="Arial" w:eastAsia="宋体" w:cs="Arial"/>
          <w:color w:val="auto"/>
          <w:highlight w:val="none"/>
        </w:rPr>
        <w:t>8环境影响经济损益分析</w:t>
      </w:r>
      <w:bookmarkEnd w:id="463"/>
      <w:bookmarkEnd w:id="539"/>
    </w:p>
    <w:p>
      <w:pPr>
        <w:ind w:firstLine="480"/>
        <w:rPr>
          <w:rFonts w:hint="default" w:ascii="Arial" w:hAnsi="Arial" w:eastAsia="宋体" w:cs="Arial"/>
          <w:color w:val="auto"/>
          <w:highlight w:val="none"/>
        </w:rPr>
      </w:pPr>
      <w:r>
        <w:rPr>
          <w:rFonts w:hint="default" w:ascii="Arial" w:hAnsi="Arial" w:eastAsia="宋体" w:cs="Arial"/>
          <w:color w:val="auto"/>
          <w:highlight w:val="none"/>
        </w:rPr>
        <w:t>环境经济损益分析主要任务是估算建设项目需要投入的环保投资和所能收到的环境保护效果。因此，在环境经济损益分析中，除需计算用于控制污染所需投资和费用外，还要同时核算可能收到的环境与经济实效。</w:t>
      </w:r>
    </w:p>
    <w:p>
      <w:pPr>
        <w:ind w:firstLine="480"/>
        <w:rPr>
          <w:rFonts w:hint="default" w:ascii="Arial" w:hAnsi="Arial" w:eastAsia="宋体" w:cs="Arial"/>
          <w:color w:val="auto"/>
          <w:highlight w:val="none"/>
        </w:rPr>
      </w:pPr>
      <w:r>
        <w:rPr>
          <w:rFonts w:hint="default" w:ascii="Arial" w:hAnsi="Arial" w:eastAsia="宋体" w:cs="Arial"/>
          <w:color w:val="auto"/>
          <w:highlight w:val="none"/>
        </w:rPr>
        <w:t>然而，经济效益比较直观，很容易用货币直接计算，而污染影响带来的损失一般是间接的，很难用货币直接计算。因此，目前环境影响经济定量化分析难度较大，本项目环境经济损益采用定性与半定量相结合的方法进行讨论。</w:t>
      </w:r>
    </w:p>
    <w:p>
      <w:pPr>
        <w:pStyle w:val="5"/>
        <w:rPr>
          <w:rFonts w:hint="default" w:ascii="Arial" w:hAnsi="Arial" w:eastAsia="宋体" w:cs="Arial"/>
          <w:color w:val="auto"/>
          <w:highlight w:val="none"/>
        </w:rPr>
      </w:pPr>
      <w:bookmarkStart w:id="540" w:name="_Toc494206391"/>
      <w:bookmarkStart w:id="541" w:name="_Toc487188665"/>
      <w:bookmarkStart w:id="542" w:name="_Toc523322384"/>
      <w:bookmarkStart w:id="543" w:name="_Toc17005"/>
      <w:r>
        <w:rPr>
          <w:rFonts w:hint="default" w:ascii="Arial" w:hAnsi="Arial" w:eastAsia="宋体" w:cs="Arial"/>
          <w:color w:val="auto"/>
          <w:highlight w:val="none"/>
        </w:rPr>
        <w:t>8.1经济效益分析</w:t>
      </w:r>
      <w:bookmarkEnd w:id="540"/>
      <w:bookmarkEnd w:id="541"/>
      <w:bookmarkEnd w:id="542"/>
      <w:bookmarkEnd w:id="543"/>
    </w:p>
    <w:p>
      <w:pPr>
        <w:ind w:firstLine="480"/>
        <w:rPr>
          <w:rFonts w:hint="default" w:ascii="Arial" w:hAnsi="Arial" w:eastAsia="宋体" w:cs="Arial"/>
          <w:color w:val="auto"/>
          <w:highlight w:val="none"/>
        </w:rPr>
      </w:pPr>
      <w:r>
        <w:rPr>
          <w:rFonts w:hint="default" w:ascii="Arial" w:hAnsi="Arial" w:eastAsia="宋体" w:cs="Arial"/>
          <w:color w:val="auto"/>
          <w:highlight w:val="none"/>
        </w:rPr>
        <w:t>项目总投资</w:t>
      </w:r>
      <w:r>
        <w:rPr>
          <w:rFonts w:hint="default" w:ascii="Arial" w:hAnsi="Arial" w:eastAsia="宋体" w:cs="Arial"/>
          <w:color w:val="auto"/>
          <w:highlight w:val="none"/>
          <w:lang w:val="en-US" w:eastAsia="zh-CN"/>
        </w:rPr>
        <w:t>5000万元</w:t>
      </w:r>
      <w:r>
        <w:rPr>
          <w:rFonts w:hint="default" w:ascii="Arial" w:hAnsi="Arial" w:eastAsia="宋体" w:cs="Arial"/>
          <w:color w:val="auto"/>
          <w:highlight w:val="none"/>
        </w:rPr>
        <w:t>，资金来源企业自筹。项目的投产运营，经济效益主要通过产品销售获得。根据项目可研，项目年运行成本及利润估算见表8.1-1。</w:t>
      </w:r>
    </w:p>
    <w:p>
      <w:pPr>
        <w:pStyle w:val="8"/>
        <w:rPr>
          <w:rFonts w:hint="default" w:ascii="Arial" w:hAnsi="Arial" w:eastAsia="宋体" w:cs="Arial"/>
          <w:color w:val="auto"/>
          <w:highlight w:val="none"/>
        </w:rPr>
      </w:pPr>
      <w:r>
        <w:rPr>
          <w:rFonts w:hint="default" w:ascii="Arial" w:hAnsi="Arial" w:eastAsia="宋体" w:cs="Arial"/>
          <w:color w:val="auto"/>
          <w:highlight w:val="none"/>
        </w:rPr>
        <w:t>表8.1-1    运行成本及利润估算表</w:t>
      </w:r>
    </w:p>
    <w:tbl>
      <w:tblPr>
        <w:tblStyle w:val="39"/>
        <w:tblW w:w="9003" w:type="dxa"/>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930"/>
        <w:gridCol w:w="5619"/>
        <w:gridCol w:w="2454"/>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tblHeader/>
          <w:jc w:val="center"/>
        </w:trPr>
        <w:tc>
          <w:tcPr>
            <w:tcW w:w="930" w:type="dxa"/>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序号</w:t>
            </w:r>
          </w:p>
        </w:tc>
        <w:tc>
          <w:tcPr>
            <w:tcW w:w="5619" w:type="dxa"/>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项目</w:t>
            </w:r>
          </w:p>
        </w:tc>
        <w:tc>
          <w:tcPr>
            <w:tcW w:w="2454" w:type="dxa"/>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单位（万元/年）</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30" w:type="dxa"/>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1</w:t>
            </w:r>
          </w:p>
        </w:tc>
        <w:tc>
          <w:tcPr>
            <w:tcW w:w="5619" w:type="dxa"/>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总投资</w:t>
            </w:r>
          </w:p>
        </w:tc>
        <w:tc>
          <w:tcPr>
            <w:tcW w:w="2454" w:type="dxa"/>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lang w:val="en-US" w:eastAsia="zh-CN"/>
              </w:rPr>
              <w:t>5000</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30" w:type="dxa"/>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2</w:t>
            </w:r>
          </w:p>
        </w:tc>
        <w:tc>
          <w:tcPr>
            <w:tcW w:w="5619" w:type="dxa"/>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总成本费用</w:t>
            </w:r>
          </w:p>
        </w:tc>
        <w:tc>
          <w:tcPr>
            <w:tcW w:w="2454" w:type="dxa"/>
            <w:vAlign w:val="center"/>
          </w:tcPr>
          <w:p>
            <w:pPr>
              <w:pStyle w:val="63"/>
              <w:rPr>
                <w:rFonts w:hint="default" w:ascii="Arial" w:hAnsi="Arial" w:eastAsia="宋体" w:cs="Arial"/>
                <w:color w:val="auto"/>
                <w:highlight w:val="none"/>
                <w:lang w:val="en-US" w:eastAsia="zh-CN"/>
              </w:rPr>
            </w:pPr>
            <w:r>
              <w:rPr>
                <w:rFonts w:hint="default" w:ascii="Arial" w:hAnsi="Arial" w:eastAsia="宋体" w:cs="Arial"/>
                <w:color w:val="auto"/>
                <w:highlight w:val="none"/>
                <w:lang w:val="en-US" w:eastAsia="zh-CN"/>
              </w:rPr>
              <w:t>2646</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30" w:type="dxa"/>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3</w:t>
            </w:r>
          </w:p>
        </w:tc>
        <w:tc>
          <w:tcPr>
            <w:tcW w:w="5619" w:type="dxa"/>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年销售收入</w:t>
            </w:r>
          </w:p>
        </w:tc>
        <w:tc>
          <w:tcPr>
            <w:tcW w:w="2454" w:type="dxa"/>
            <w:vAlign w:val="center"/>
          </w:tcPr>
          <w:p>
            <w:pPr>
              <w:pStyle w:val="63"/>
              <w:rPr>
                <w:rFonts w:hint="default" w:ascii="Arial" w:hAnsi="Arial" w:eastAsia="宋体" w:cs="Arial"/>
                <w:color w:val="auto"/>
                <w:highlight w:val="none"/>
                <w:lang w:val="en-US" w:eastAsia="zh-CN"/>
              </w:rPr>
            </w:pPr>
            <w:r>
              <w:rPr>
                <w:rFonts w:hint="default" w:ascii="Arial" w:hAnsi="Arial" w:eastAsia="宋体" w:cs="Arial"/>
                <w:color w:val="auto"/>
                <w:highlight w:val="none"/>
                <w:lang w:val="en-US" w:eastAsia="zh-CN"/>
              </w:rPr>
              <w:t>3891.1</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930" w:type="dxa"/>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4</w:t>
            </w:r>
          </w:p>
        </w:tc>
        <w:tc>
          <w:tcPr>
            <w:tcW w:w="5619" w:type="dxa"/>
            <w:vAlign w:val="center"/>
          </w:tcPr>
          <w:p>
            <w:pPr>
              <w:pStyle w:val="63"/>
              <w:rPr>
                <w:rFonts w:hint="default" w:ascii="Arial" w:hAnsi="Arial" w:eastAsia="宋体" w:cs="Arial"/>
                <w:color w:val="auto"/>
                <w:highlight w:val="none"/>
              </w:rPr>
            </w:pPr>
            <w:r>
              <w:rPr>
                <w:rFonts w:hint="default" w:ascii="Arial" w:hAnsi="Arial" w:eastAsia="宋体" w:cs="Arial"/>
                <w:color w:val="auto"/>
                <w:highlight w:val="none"/>
              </w:rPr>
              <w:t>年均利润总额</w:t>
            </w:r>
          </w:p>
        </w:tc>
        <w:tc>
          <w:tcPr>
            <w:tcW w:w="2454" w:type="dxa"/>
            <w:vAlign w:val="center"/>
          </w:tcPr>
          <w:p>
            <w:pPr>
              <w:pStyle w:val="63"/>
              <w:rPr>
                <w:rFonts w:hint="default" w:ascii="Arial" w:hAnsi="Arial" w:eastAsia="宋体" w:cs="Arial"/>
                <w:color w:val="auto"/>
                <w:highlight w:val="none"/>
                <w:lang w:val="en-US" w:eastAsia="zh-CN"/>
              </w:rPr>
            </w:pPr>
            <w:r>
              <w:rPr>
                <w:rFonts w:hint="default" w:ascii="Arial" w:hAnsi="Arial" w:eastAsia="宋体" w:cs="Arial"/>
                <w:color w:val="auto"/>
                <w:highlight w:val="none"/>
                <w:lang w:val="en-US" w:eastAsia="zh-CN"/>
              </w:rPr>
              <w:t>1884.5</w:t>
            </w:r>
          </w:p>
        </w:tc>
      </w:tr>
    </w:tbl>
    <w:p>
      <w:pPr>
        <w:ind w:firstLine="480"/>
        <w:rPr>
          <w:rFonts w:hint="default" w:ascii="Arial" w:hAnsi="Arial" w:eastAsia="宋体" w:cs="Arial"/>
          <w:color w:val="auto"/>
          <w:highlight w:val="none"/>
        </w:rPr>
      </w:pPr>
      <w:r>
        <w:rPr>
          <w:rFonts w:hint="default" w:ascii="Arial" w:hAnsi="Arial" w:eastAsia="宋体" w:cs="Arial"/>
          <w:color w:val="auto"/>
          <w:highlight w:val="none"/>
        </w:rPr>
        <w:t>从表8.1-1可见，本项目财务生存能力良好，工程财务指标较好，具有较强的清偿能力和抗风险能力，因而从经济方面考虑本项目可行。</w:t>
      </w:r>
    </w:p>
    <w:p>
      <w:pPr>
        <w:pStyle w:val="5"/>
        <w:rPr>
          <w:rFonts w:hint="default" w:ascii="Arial" w:hAnsi="Arial" w:eastAsia="宋体" w:cs="Arial"/>
          <w:color w:val="auto"/>
          <w:highlight w:val="none"/>
        </w:rPr>
      </w:pPr>
      <w:bookmarkStart w:id="544" w:name="_Toc523322385"/>
      <w:bookmarkStart w:id="545" w:name="_Toc494206392"/>
      <w:bookmarkStart w:id="546" w:name="_Toc487188666"/>
      <w:bookmarkStart w:id="547" w:name="_Toc30569"/>
      <w:r>
        <w:rPr>
          <w:rFonts w:hint="default" w:ascii="Arial" w:hAnsi="Arial" w:eastAsia="宋体" w:cs="Arial"/>
          <w:color w:val="auto"/>
          <w:highlight w:val="none"/>
        </w:rPr>
        <w:t>8.2社会效益分析</w:t>
      </w:r>
      <w:bookmarkEnd w:id="544"/>
      <w:bookmarkEnd w:id="545"/>
      <w:bookmarkEnd w:id="546"/>
      <w:bookmarkEnd w:id="547"/>
    </w:p>
    <w:p>
      <w:pPr>
        <w:ind w:firstLine="480"/>
        <w:rPr>
          <w:rFonts w:hint="default" w:ascii="Arial" w:hAnsi="Arial" w:eastAsia="宋体" w:cs="Arial"/>
          <w:color w:val="auto"/>
          <w:highlight w:val="none"/>
        </w:rPr>
      </w:pPr>
      <w:r>
        <w:rPr>
          <w:rFonts w:hint="default" w:ascii="Arial" w:hAnsi="Arial" w:eastAsia="宋体" w:cs="Arial"/>
          <w:color w:val="auto"/>
          <w:highlight w:val="none"/>
        </w:rPr>
        <w:t>本项目建成投产后，不仅可以增加国家和地方财税收入，同时可以增加新的就业岗位，带动相关产业的发展，增加间接的就业机会，对促进区域经济和社会发展具有重要意义。</w:t>
      </w:r>
    </w:p>
    <w:p>
      <w:pPr>
        <w:pStyle w:val="5"/>
        <w:rPr>
          <w:rFonts w:hint="default" w:ascii="Arial" w:hAnsi="Arial" w:eastAsia="宋体" w:cs="Arial"/>
          <w:color w:val="auto"/>
          <w:highlight w:val="none"/>
        </w:rPr>
      </w:pPr>
      <w:bookmarkStart w:id="548" w:name="_Toc523322386"/>
      <w:bookmarkStart w:id="549" w:name="_Toc487188667"/>
      <w:bookmarkStart w:id="550" w:name="_Toc494206393"/>
      <w:bookmarkStart w:id="551" w:name="_Toc62"/>
      <w:r>
        <w:rPr>
          <w:rFonts w:hint="default" w:ascii="Arial" w:hAnsi="Arial" w:eastAsia="宋体" w:cs="Arial"/>
          <w:color w:val="auto"/>
          <w:highlight w:val="none"/>
        </w:rPr>
        <w:t>8.3环境效益分析</w:t>
      </w:r>
      <w:bookmarkEnd w:id="548"/>
      <w:bookmarkEnd w:id="549"/>
      <w:bookmarkEnd w:id="550"/>
      <w:bookmarkEnd w:id="551"/>
    </w:p>
    <w:p>
      <w:pPr>
        <w:pStyle w:val="6"/>
        <w:rPr>
          <w:rFonts w:hint="default" w:ascii="Arial" w:hAnsi="Arial" w:eastAsia="宋体" w:cs="Arial"/>
          <w:color w:val="auto"/>
          <w:highlight w:val="none"/>
        </w:rPr>
      </w:pPr>
      <w:bookmarkStart w:id="552" w:name="_Toc494206394"/>
      <w:bookmarkStart w:id="553" w:name="_Toc523322387"/>
      <w:bookmarkStart w:id="554" w:name="_Toc487188668"/>
      <w:bookmarkStart w:id="555" w:name="_Toc19090"/>
      <w:r>
        <w:rPr>
          <w:rFonts w:hint="default" w:ascii="Arial" w:hAnsi="Arial" w:eastAsia="宋体" w:cs="Arial"/>
          <w:color w:val="auto"/>
          <w:highlight w:val="none"/>
        </w:rPr>
        <w:t>8.3.1环保投资费用</w:t>
      </w:r>
      <w:bookmarkEnd w:id="552"/>
      <w:bookmarkEnd w:id="553"/>
      <w:bookmarkEnd w:id="554"/>
      <w:bookmarkEnd w:id="555"/>
    </w:p>
    <w:p>
      <w:pPr>
        <w:ind w:firstLine="480"/>
        <w:rPr>
          <w:rFonts w:hint="default" w:ascii="Arial" w:hAnsi="Arial" w:eastAsia="宋体" w:cs="Arial"/>
          <w:color w:val="auto"/>
          <w:highlight w:val="none"/>
        </w:rPr>
      </w:pPr>
      <w:r>
        <w:rPr>
          <w:rFonts w:hint="default" w:ascii="Arial" w:hAnsi="Arial" w:eastAsia="宋体" w:cs="Arial"/>
          <w:color w:val="auto"/>
          <w:highlight w:val="none"/>
        </w:rPr>
        <w:t>环保投资主要包括废气处理工程、地下水防治工程、噪声处理工程和其它不可预见费用等。本工程总投资</w:t>
      </w:r>
      <w:r>
        <w:rPr>
          <w:rFonts w:hint="default" w:ascii="Arial" w:hAnsi="Arial" w:eastAsia="宋体" w:cs="Arial"/>
          <w:color w:val="auto"/>
          <w:highlight w:val="none"/>
          <w:lang w:val="en-US" w:eastAsia="zh-CN"/>
        </w:rPr>
        <w:t>5000万元</w:t>
      </w:r>
      <w:r>
        <w:rPr>
          <w:rFonts w:hint="default" w:ascii="Arial" w:hAnsi="Arial" w:eastAsia="宋体" w:cs="Arial"/>
          <w:color w:val="auto"/>
          <w:highlight w:val="none"/>
        </w:rPr>
        <w:t>，其中环保投资193.1万元，占总投资比例为3.86%，投资分配情况见下表。</w:t>
      </w:r>
    </w:p>
    <w:p>
      <w:pPr>
        <w:pStyle w:val="6"/>
        <w:rPr>
          <w:rFonts w:hint="default" w:ascii="Arial" w:hAnsi="Arial" w:eastAsia="宋体" w:cs="Arial"/>
          <w:color w:val="auto"/>
          <w:highlight w:val="none"/>
        </w:rPr>
      </w:pPr>
      <w:bookmarkStart w:id="556" w:name="_Toc523322388"/>
      <w:bookmarkStart w:id="557" w:name="_Toc494206395"/>
      <w:bookmarkStart w:id="558" w:name="_Toc487188669"/>
      <w:bookmarkStart w:id="559" w:name="_Toc26763"/>
      <w:r>
        <w:rPr>
          <w:rFonts w:hint="default" w:ascii="Arial" w:hAnsi="Arial" w:eastAsia="宋体" w:cs="Arial"/>
          <w:color w:val="auto"/>
          <w:highlight w:val="none"/>
        </w:rPr>
        <w:t>8.3.2环保设施运行费用</w:t>
      </w:r>
      <w:bookmarkEnd w:id="556"/>
      <w:bookmarkEnd w:id="557"/>
      <w:bookmarkEnd w:id="558"/>
      <w:bookmarkEnd w:id="559"/>
    </w:p>
    <w:p>
      <w:pPr>
        <w:ind w:firstLine="480"/>
        <w:rPr>
          <w:rFonts w:hint="default" w:ascii="Arial" w:hAnsi="Arial" w:eastAsia="宋体" w:cs="Arial"/>
          <w:color w:val="auto"/>
          <w:highlight w:val="none"/>
        </w:rPr>
      </w:pPr>
      <w:r>
        <w:rPr>
          <w:rFonts w:hint="default" w:ascii="Arial" w:hAnsi="Arial" w:eastAsia="宋体" w:cs="Arial"/>
          <w:color w:val="auto"/>
          <w:highlight w:val="none"/>
        </w:rPr>
        <w:t>（1）设备运行费用</w:t>
      </w:r>
    </w:p>
    <w:p>
      <w:pPr>
        <w:ind w:firstLine="480"/>
        <w:rPr>
          <w:rFonts w:hint="default" w:ascii="Arial" w:hAnsi="Arial" w:eastAsia="宋体" w:cs="Arial"/>
          <w:color w:val="auto"/>
          <w:highlight w:val="none"/>
        </w:rPr>
      </w:pPr>
      <w:r>
        <w:rPr>
          <w:rFonts w:hint="default" w:ascii="Arial" w:hAnsi="Arial" w:eastAsia="宋体" w:cs="Arial"/>
          <w:color w:val="auto"/>
          <w:highlight w:val="none"/>
        </w:rPr>
        <w:fldChar w:fldCharType="begin"/>
      </w:r>
      <w:r>
        <w:rPr>
          <w:rFonts w:hint="default" w:ascii="Arial" w:hAnsi="Arial" w:eastAsia="宋体" w:cs="Arial"/>
          <w:color w:val="auto"/>
          <w:highlight w:val="none"/>
        </w:rPr>
        <w:instrText xml:space="preserve"> = 1 \* GB3 </w:instrText>
      </w:r>
      <w:r>
        <w:rPr>
          <w:rFonts w:hint="default" w:ascii="Arial" w:hAnsi="Arial" w:eastAsia="宋体" w:cs="Arial"/>
          <w:color w:val="auto"/>
          <w:highlight w:val="none"/>
        </w:rPr>
        <w:fldChar w:fldCharType="separate"/>
      </w:r>
      <w:r>
        <w:rPr>
          <w:rFonts w:hint="default" w:ascii="Arial" w:hAnsi="Arial" w:eastAsia="宋体" w:cs="Arial"/>
          <w:color w:val="auto"/>
          <w:highlight w:val="none"/>
        </w:rPr>
        <w:t>①</w:t>
      </w:r>
      <w:r>
        <w:rPr>
          <w:rFonts w:hint="default" w:ascii="Arial" w:hAnsi="Arial" w:eastAsia="宋体" w:cs="Arial"/>
          <w:color w:val="auto"/>
          <w:highlight w:val="none"/>
        </w:rPr>
        <w:fldChar w:fldCharType="end"/>
      </w:r>
      <w:r>
        <w:rPr>
          <w:rFonts w:hint="default" w:ascii="Arial" w:hAnsi="Arial" w:eastAsia="宋体" w:cs="Arial"/>
          <w:color w:val="auto"/>
          <w:highlight w:val="none"/>
        </w:rPr>
        <w:t>环保设施折旧费C1</w:t>
      </w:r>
    </w:p>
    <w:p>
      <w:pPr>
        <w:ind w:firstLine="480"/>
        <w:rPr>
          <w:rFonts w:hint="default" w:ascii="Arial" w:hAnsi="Arial" w:eastAsia="宋体" w:cs="Arial"/>
          <w:color w:val="auto"/>
          <w:highlight w:val="none"/>
        </w:rPr>
      </w:pPr>
      <w:r>
        <w:rPr>
          <w:rFonts w:hint="default" w:ascii="Arial" w:hAnsi="Arial" w:eastAsia="宋体" w:cs="Arial"/>
          <w:color w:val="auto"/>
          <w:highlight w:val="none"/>
        </w:rPr>
        <w:t>本项目环保设施投资折旧费由下式计算：</w:t>
      </w:r>
    </w:p>
    <w:p>
      <w:pPr>
        <w:ind w:firstLine="480"/>
        <w:jc w:val="center"/>
        <w:rPr>
          <w:rFonts w:hint="default" w:ascii="Arial" w:hAnsi="Arial" w:eastAsia="宋体" w:cs="Arial"/>
          <w:color w:val="auto"/>
          <w:highlight w:val="none"/>
        </w:rPr>
      </w:pPr>
      <w:r>
        <w:rPr>
          <w:rFonts w:hint="default" w:ascii="Arial" w:hAnsi="Arial" w:eastAsia="宋体" w:cs="Arial"/>
          <w:color w:val="auto"/>
          <w:highlight w:val="none"/>
        </w:rPr>
        <w:t>C1=a×C0/n</w:t>
      </w:r>
    </w:p>
    <w:p>
      <w:pPr>
        <w:ind w:firstLine="480"/>
        <w:rPr>
          <w:rFonts w:hint="default" w:ascii="Arial" w:hAnsi="Arial" w:eastAsia="宋体" w:cs="Arial"/>
          <w:color w:val="auto"/>
          <w:highlight w:val="none"/>
        </w:rPr>
      </w:pPr>
      <w:r>
        <w:rPr>
          <w:rFonts w:hint="default" w:ascii="Arial" w:hAnsi="Arial" w:eastAsia="宋体" w:cs="Arial"/>
          <w:color w:val="auto"/>
          <w:highlight w:val="none"/>
        </w:rPr>
        <w:t>式中：</w:t>
      </w:r>
    </w:p>
    <w:p>
      <w:pPr>
        <w:ind w:firstLine="480"/>
        <w:rPr>
          <w:rFonts w:hint="default" w:ascii="Arial" w:hAnsi="Arial" w:eastAsia="宋体" w:cs="Arial"/>
          <w:color w:val="auto"/>
          <w:highlight w:val="none"/>
        </w:rPr>
      </w:pPr>
      <w:r>
        <w:rPr>
          <w:rFonts w:hint="default" w:ascii="Arial" w:hAnsi="Arial" w:eastAsia="宋体" w:cs="Arial"/>
          <w:color w:val="auto"/>
          <w:highlight w:val="none"/>
        </w:rPr>
        <w:t>a——固定资产形成率，取环保投资的85%；</w:t>
      </w:r>
    </w:p>
    <w:p>
      <w:pPr>
        <w:ind w:firstLine="480"/>
        <w:rPr>
          <w:rFonts w:hint="default" w:ascii="Arial" w:hAnsi="Arial" w:eastAsia="宋体" w:cs="Arial"/>
          <w:color w:val="auto"/>
          <w:highlight w:val="none"/>
        </w:rPr>
      </w:pPr>
      <w:r>
        <w:rPr>
          <w:rFonts w:hint="default" w:ascii="Arial" w:hAnsi="Arial" w:eastAsia="宋体" w:cs="Arial"/>
          <w:color w:val="auto"/>
          <w:highlight w:val="none"/>
        </w:rPr>
        <w:t>C0——环保总投资（万元）</w:t>
      </w:r>
    </w:p>
    <w:p>
      <w:pPr>
        <w:ind w:firstLine="480"/>
        <w:rPr>
          <w:rFonts w:hint="default" w:ascii="Arial" w:hAnsi="Arial" w:eastAsia="宋体" w:cs="Arial"/>
          <w:color w:val="auto"/>
          <w:highlight w:val="none"/>
        </w:rPr>
      </w:pPr>
      <w:r>
        <w:rPr>
          <w:rFonts w:hint="default" w:ascii="Arial" w:hAnsi="Arial" w:eastAsia="宋体" w:cs="Arial"/>
          <w:color w:val="auto"/>
          <w:highlight w:val="none"/>
        </w:rPr>
        <w:t>n——折旧年限，取10年</w:t>
      </w:r>
    </w:p>
    <w:p>
      <w:pPr>
        <w:ind w:firstLine="480"/>
        <w:rPr>
          <w:rFonts w:hint="default" w:ascii="Arial" w:hAnsi="Arial" w:eastAsia="宋体" w:cs="Arial"/>
          <w:color w:val="auto"/>
          <w:highlight w:val="none"/>
        </w:rPr>
      </w:pPr>
      <w:r>
        <w:rPr>
          <w:rFonts w:hint="default" w:ascii="Arial" w:hAnsi="Arial" w:eastAsia="宋体" w:cs="Arial"/>
          <w:color w:val="auto"/>
          <w:highlight w:val="none"/>
        </w:rPr>
        <w:t>环保设施投资折旧费计算结果为</w:t>
      </w:r>
      <w:r>
        <w:rPr>
          <w:rFonts w:hint="default" w:ascii="Arial" w:hAnsi="Arial" w:eastAsia="宋体" w:cs="Arial"/>
          <w:color w:val="auto"/>
          <w:highlight w:val="none"/>
          <w:lang w:val="en-US" w:eastAsia="zh-CN"/>
        </w:rPr>
        <w:t>16.4</w:t>
      </w:r>
      <w:r>
        <w:rPr>
          <w:rFonts w:hint="default" w:ascii="Arial" w:hAnsi="Arial" w:eastAsia="宋体" w:cs="Arial"/>
          <w:color w:val="auto"/>
          <w:highlight w:val="none"/>
        </w:rPr>
        <w:t>万元/年。</w:t>
      </w:r>
    </w:p>
    <w:p>
      <w:pPr>
        <w:ind w:firstLine="480"/>
        <w:rPr>
          <w:rFonts w:hint="default" w:ascii="Arial" w:hAnsi="Arial" w:eastAsia="宋体" w:cs="Arial"/>
          <w:color w:val="auto"/>
          <w:highlight w:val="none"/>
        </w:rPr>
      </w:pPr>
      <w:r>
        <w:rPr>
          <w:rFonts w:hint="default" w:ascii="Arial" w:hAnsi="Arial" w:eastAsia="宋体" w:cs="Arial"/>
          <w:color w:val="auto"/>
          <w:highlight w:val="none"/>
        </w:rPr>
        <w:fldChar w:fldCharType="begin"/>
      </w:r>
      <w:r>
        <w:rPr>
          <w:rFonts w:hint="default" w:ascii="Arial" w:hAnsi="Arial" w:eastAsia="宋体" w:cs="Arial"/>
          <w:color w:val="auto"/>
          <w:highlight w:val="none"/>
        </w:rPr>
        <w:instrText xml:space="preserve"> = 2 \* GB3 </w:instrText>
      </w:r>
      <w:r>
        <w:rPr>
          <w:rFonts w:hint="default" w:ascii="Arial" w:hAnsi="Arial" w:eastAsia="宋体" w:cs="Arial"/>
          <w:color w:val="auto"/>
          <w:highlight w:val="none"/>
        </w:rPr>
        <w:fldChar w:fldCharType="separate"/>
      </w:r>
      <w:r>
        <w:rPr>
          <w:rFonts w:hint="default" w:ascii="Arial" w:hAnsi="Arial" w:eastAsia="宋体" w:cs="Arial"/>
          <w:color w:val="auto"/>
          <w:highlight w:val="none"/>
        </w:rPr>
        <w:t>②</w:t>
      </w:r>
      <w:r>
        <w:rPr>
          <w:rFonts w:hint="default" w:ascii="Arial" w:hAnsi="Arial" w:eastAsia="宋体" w:cs="Arial"/>
          <w:color w:val="auto"/>
          <w:highlight w:val="none"/>
        </w:rPr>
        <w:fldChar w:fldCharType="end"/>
      </w:r>
      <w:r>
        <w:rPr>
          <w:rFonts w:hint="default" w:ascii="Arial" w:hAnsi="Arial" w:eastAsia="宋体" w:cs="Arial"/>
          <w:color w:val="auto"/>
          <w:highlight w:val="none"/>
        </w:rPr>
        <w:t>环保设施运行费用C2</w:t>
      </w:r>
    </w:p>
    <w:p>
      <w:pPr>
        <w:ind w:firstLine="480"/>
        <w:rPr>
          <w:rFonts w:hint="default" w:ascii="Arial" w:hAnsi="Arial" w:eastAsia="宋体" w:cs="Arial"/>
          <w:color w:val="auto"/>
          <w:highlight w:val="none"/>
        </w:rPr>
      </w:pPr>
      <w:r>
        <w:rPr>
          <w:rFonts w:hint="default" w:ascii="Arial" w:hAnsi="Arial" w:eastAsia="宋体" w:cs="Arial"/>
          <w:color w:val="auto"/>
          <w:highlight w:val="none"/>
        </w:rPr>
        <w:t>参照国内外企业环保设施运行费的相关资料，环保设施的年运行得用可按环保投资的5%计算。</w:t>
      </w:r>
    </w:p>
    <w:p>
      <w:pPr>
        <w:ind w:firstLine="480"/>
        <w:jc w:val="center"/>
        <w:rPr>
          <w:rFonts w:hint="default" w:ascii="Arial" w:hAnsi="Arial" w:eastAsia="宋体" w:cs="Arial"/>
          <w:color w:val="auto"/>
          <w:highlight w:val="none"/>
        </w:rPr>
      </w:pPr>
      <w:r>
        <w:rPr>
          <w:rFonts w:hint="default" w:ascii="Arial" w:hAnsi="Arial" w:eastAsia="宋体" w:cs="Arial"/>
          <w:color w:val="auto"/>
          <w:highlight w:val="none"/>
        </w:rPr>
        <w:t>C2=C0×5%=</w:t>
      </w:r>
      <w:r>
        <w:rPr>
          <w:rFonts w:hint="default" w:ascii="Arial" w:hAnsi="Arial" w:eastAsia="宋体" w:cs="Arial"/>
          <w:color w:val="auto"/>
          <w:highlight w:val="none"/>
          <w:lang w:val="en-US" w:eastAsia="zh-CN"/>
        </w:rPr>
        <w:t>9.7</w:t>
      </w:r>
      <w:r>
        <w:rPr>
          <w:rFonts w:hint="default" w:ascii="Arial" w:hAnsi="Arial" w:eastAsia="宋体" w:cs="Arial"/>
          <w:color w:val="auto"/>
          <w:highlight w:val="none"/>
        </w:rPr>
        <w:t>（万元/年）</w:t>
      </w:r>
    </w:p>
    <w:p>
      <w:pPr>
        <w:ind w:firstLine="480"/>
        <w:rPr>
          <w:rFonts w:hint="default" w:ascii="Arial" w:hAnsi="Arial" w:eastAsia="宋体" w:cs="Arial"/>
          <w:color w:val="auto"/>
          <w:highlight w:val="none"/>
        </w:rPr>
      </w:pPr>
      <w:r>
        <w:rPr>
          <w:rFonts w:hint="default" w:ascii="Arial" w:hAnsi="Arial" w:eastAsia="宋体" w:cs="Arial"/>
          <w:color w:val="auto"/>
          <w:highlight w:val="none"/>
        </w:rPr>
        <w:fldChar w:fldCharType="begin"/>
      </w:r>
      <w:r>
        <w:rPr>
          <w:rFonts w:hint="default" w:ascii="Arial" w:hAnsi="Arial" w:eastAsia="宋体" w:cs="Arial"/>
          <w:color w:val="auto"/>
          <w:highlight w:val="none"/>
        </w:rPr>
        <w:instrText xml:space="preserve"> = 3 \* GB3 </w:instrText>
      </w:r>
      <w:r>
        <w:rPr>
          <w:rFonts w:hint="default" w:ascii="Arial" w:hAnsi="Arial" w:eastAsia="宋体" w:cs="Arial"/>
          <w:color w:val="auto"/>
          <w:highlight w:val="none"/>
        </w:rPr>
        <w:fldChar w:fldCharType="separate"/>
      </w:r>
      <w:r>
        <w:rPr>
          <w:rFonts w:hint="default" w:ascii="Arial" w:hAnsi="Arial" w:eastAsia="宋体" w:cs="Arial"/>
          <w:color w:val="auto"/>
          <w:highlight w:val="none"/>
        </w:rPr>
        <w:t>③</w:t>
      </w:r>
      <w:r>
        <w:rPr>
          <w:rFonts w:hint="default" w:ascii="Arial" w:hAnsi="Arial" w:eastAsia="宋体" w:cs="Arial"/>
          <w:color w:val="auto"/>
          <w:highlight w:val="none"/>
        </w:rPr>
        <w:fldChar w:fldCharType="end"/>
      </w:r>
      <w:r>
        <w:rPr>
          <w:rFonts w:hint="default" w:ascii="Arial" w:hAnsi="Arial" w:eastAsia="宋体" w:cs="Arial"/>
          <w:color w:val="auto"/>
          <w:highlight w:val="none"/>
        </w:rPr>
        <w:t>环保管理费用C3</w:t>
      </w:r>
    </w:p>
    <w:p>
      <w:pPr>
        <w:ind w:firstLine="480"/>
        <w:rPr>
          <w:rFonts w:hint="default" w:ascii="Arial" w:hAnsi="Arial" w:eastAsia="宋体" w:cs="Arial"/>
          <w:color w:val="auto"/>
          <w:highlight w:val="none"/>
        </w:rPr>
      </w:pPr>
      <w:r>
        <w:rPr>
          <w:rFonts w:hint="default" w:ascii="Arial" w:hAnsi="Arial" w:eastAsia="宋体" w:cs="Arial"/>
          <w:color w:val="auto"/>
          <w:highlight w:val="none"/>
        </w:rPr>
        <w:t>环保管理费用包括管理部门的办公费、检测费、技术咨询、学术交流和科研等费用，按环保投资的1.0%计算。</w:t>
      </w:r>
    </w:p>
    <w:p>
      <w:pPr>
        <w:ind w:firstLine="480"/>
        <w:jc w:val="center"/>
        <w:rPr>
          <w:rFonts w:hint="default" w:ascii="Arial" w:hAnsi="Arial" w:eastAsia="宋体" w:cs="Arial"/>
          <w:color w:val="auto"/>
          <w:highlight w:val="none"/>
        </w:rPr>
      </w:pPr>
      <w:r>
        <w:rPr>
          <w:rFonts w:hint="default" w:ascii="Arial" w:hAnsi="Arial" w:eastAsia="宋体" w:cs="Arial"/>
          <w:color w:val="auto"/>
          <w:highlight w:val="none"/>
        </w:rPr>
        <w:t>C3=C0×1.0%=</w:t>
      </w:r>
      <w:r>
        <w:rPr>
          <w:rFonts w:hint="default" w:ascii="Arial" w:hAnsi="Arial" w:eastAsia="宋体" w:cs="Arial"/>
          <w:color w:val="auto"/>
          <w:highlight w:val="none"/>
          <w:lang w:val="en-US" w:eastAsia="zh-CN"/>
        </w:rPr>
        <w:t>1.9</w:t>
      </w:r>
      <w:r>
        <w:rPr>
          <w:rFonts w:hint="default" w:ascii="Arial" w:hAnsi="Arial" w:eastAsia="宋体" w:cs="Arial"/>
          <w:color w:val="auto"/>
          <w:highlight w:val="none"/>
        </w:rPr>
        <w:t>（万元/年）</w:t>
      </w:r>
    </w:p>
    <w:p>
      <w:pPr>
        <w:ind w:firstLine="480"/>
        <w:rPr>
          <w:rFonts w:hint="default" w:ascii="Arial" w:hAnsi="Arial" w:eastAsia="宋体" w:cs="Arial"/>
          <w:color w:val="auto"/>
          <w:highlight w:val="none"/>
        </w:rPr>
      </w:pPr>
      <w:r>
        <w:rPr>
          <w:rFonts w:hint="default" w:ascii="Arial" w:hAnsi="Arial" w:eastAsia="宋体" w:cs="Arial"/>
          <w:color w:val="auto"/>
          <w:highlight w:val="none"/>
        </w:rPr>
        <w:fldChar w:fldCharType="begin"/>
      </w:r>
      <w:r>
        <w:rPr>
          <w:rFonts w:hint="default" w:ascii="Arial" w:hAnsi="Arial" w:eastAsia="宋体" w:cs="Arial"/>
          <w:color w:val="auto"/>
          <w:highlight w:val="none"/>
        </w:rPr>
        <w:instrText xml:space="preserve"> = 4 \* GB3 </w:instrText>
      </w:r>
      <w:r>
        <w:rPr>
          <w:rFonts w:hint="default" w:ascii="Arial" w:hAnsi="Arial" w:eastAsia="宋体" w:cs="Arial"/>
          <w:color w:val="auto"/>
          <w:highlight w:val="none"/>
        </w:rPr>
        <w:fldChar w:fldCharType="separate"/>
      </w:r>
      <w:r>
        <w:rPr>
          <w:rFonts w:hint="default" w:ascii="Arial" w:hAnsi="Arial" w:eastAsia="宋体" w:cs="Arial"/>
          <w:color w:val="auto"/>
          <w:highlight w:val="none"/>
        </w:rPr>
        <w:t>④</w:t>
      </w:r>
      <w:r>
        <w:rPr>
          <w:rFonts w:hint="default" w:ascii="Arial" w:hAnsi="Arial" w:eastAsia="宋体" w:cs="Arial"/>
          <w:color w:val="auto"/>
          <w:highlight w:val="none"/>
        </w:rPr>
        <w:fldChar w:fldCharType="end"/>
      </w:r>
      <w:r>
        <w:rPr>
          <w:rFonts w:hint="default" w:ascii="Arial" w:hAnsi="Arial" w:eastAsia="宋体" w:cs="Arial"/>
          <w:color w:val="auto"/>
          <w:highlight w:val="none"/>
        </w:rPr>
        <w:t>环保设施经营支出C</w:t>
      </w:r>
    </w:p>
    <w:p>
      <w:pPr>
        <w:ind w:firstLine="480"/>
        <w:rPr>
          <w:rFonts w:hint="default" w:ascii="Arial" w:hAnsi="Arial" w:eastAsia="宋体" w:cs="Arial"/>
          <w:color w:val="auto"/>
          <w:highlight w:val="none"/>
        </w:rPr>
      </w:pPr>
      <w:r>
        <w:rPr>
          <w:rFonts w:hint="default" w:ascii="Arial" w:hAnsi="Arial" w:eastAsia="宋体" w:cs="Arial"/>
          <w:color w:val="auto"/>
          <w:highlight w:val="none"/>
        </w:rPr>
        <w:t>环保设施经营支出费用为折旧费、运行费和管理费之和，即：</w:t>
      </w:r>
    </w:p>
    <w:p>
      <w:pPr>
        <w:ind w:firstLine="480"/>
        <w:jc w:val="center"/>
        <w:rPr>
          <w:rFonts w:hint="default" w:ascii="Arial" w:hAnsi="Arial" w:eastAsia="宋体" w:cs="Arial"/>
          <w:color w:val="auto"/>
          <w:highlight w:val="none"/>
        </w:rPr>
      </w:pPr>
      <w:r>
        <w:rPr>
          <w:rFonts w:hint="default" w:ascii="Arial" w:hAnsi="Arial" w:eastAsia="宋体" w:cs="Arial"/>
          <w:color w:val="auto"/>
          <w:highlight w:val="none"/>
        </w:rPr>
        <w:t>C=C1+C2+C3=</w:t>
      </w:r>
      <w:r>
        <w:rPr>
          <w:rFonts w:hint="default" w:ascii="Arial" w:hAnsi="Arial" w:eastAsia="宋体" w:cs="Arial"/>
          <w:color w:val="auto"/>
          <w:highlight w:val="none"/>
          <w:lang w:val="en-US" w:eastAsia="zh-CN"/>
        </w:rPr>
        <w:t>28</w:t>
      </w:r>
      <w:r>
        <w:rPr>
          <w:rFonts w:hint="default" w:ascii="Arial" w:hAnsi="Arial" w:eastAsia="宋体" w:cs="Arial"/>
          <w:color w:val="auto"/>
          <w:highlight w:val="none"/>
        </w:rPr>
        <w:t>（万元/年）</w:t>
      </w:r>
    </w:p>
    <w:p>
      <w:pPr>
        <w:ind w:firstLine="480"/>
        <w:rPr>
          <w:rFonts w:hint="default" w:ascii="Arial" w:hAnsi="Arial" w:eastAsia="宋体" w:cs="Arial"/>
          <w:color w:val="auto"/>
          <w:highlight w:val="none"/>
        </w:rPr>
      </w:pPr>
      <w:r>
        <w:rPr>
          <w:rFonts w:hint="default" w:ascii="Arial" w:hAnsi="Arial" w:eastAsia="宋体" w:cs="Arial"/>
          <w:color w:val="auto"/>
          <w:highlight w:val="none"/>
        </w:rPr>
        <w:t>项目完成后，环保投资193.1万元，各项治理措施的运行每年还需投入经营费用（即负效益）</w:t>
      </w:r>
      <w:r>
        <w:rPr>
          <w:rFonts w:hint="default" w:ascii="Arial" w:hAnsi="Arial" w:eastAsia="宋体" w:cs="Arial"/>
          <w:color w:val="auto"/>
          <w:highlight w:val="none"/>
          <w:lang w:val="en-US" w:eastAsia="zh-CN"/>
        </w:rPr>
        <w:t>28</w:t>
      </w:r>
      <w:r>
        <w:rPr>
          <w:rFonts w:hint="default" w:ascii="Arial" w:hAnsi="Arial" w:eastAsia="宋体" w:cs="Arial"/>
          <w:color w:val="auto"/>
          <w:highlight w:val="none"/>
        </w:rPr>
        <w:t>万元。</w:t>
      </w:r>
    </w:p>
    <w:p>
      <w:pPr>
        <w:pStyle w:val="6"/>
        <w:rPr>
          <w:rFonts w:hint="default" w:ascii="Arial" w:hAnsi="Arial" w:eastAsia="宋体" w:cs="Arial"/>
          <w:color w:val="auto"/>
          <w:highlight w:val="none"/>
        </w:rPr>
      </w:pPr>
      <w:bookmarkStart w:id="560" w:name="_Toc523322389"/>
      <w:bookmarkStart w:id="561" w:name="_Toc21876"/>
      <w:r>
        <w:rPr>
          <w:rFonts w:hint="default" w:ascii="Arial" w:hAnsi="Arial" w:eastAsia="宋体" w:cs="Arial"/>
          <w:color w:val="auto"/>
          <w:highlight w:val="none"/>
        </w:rPr>
        <w:t>8.3.3环保效益估算</w:t>
      </w:r>
      <w:bookmarkEnd w:id="560"/>
      <w:bookmarkEnd w:id="561"/>
    </w:p>
    <w:p>
      <w:pPr>
        <w:ind w:firstLine="480"/>
        <w:rPr>
          <w:rFonts w:hint="default" w:ascii="Arial" w:hAnsi="Arial" w:eastAsia="宋体" w:cs="Arial"/>
          <w:color w:val="auto"/>
          <w:highlight w:val="none"/>
        </w:rPr>
      </w:pPr>
      <w:r>
        <w:rPr>
          <w:rFonts w:hint="default" w:ascii="Arial" w:hAnsi="Arial" w:eastAsia="宋体" w:cs="Arial"/>
          <w:color w:val="auto"/>
          <w:highlight w:val="none"/>
        </w:rPr>
        <w:t>环保效益即环保设施的环境经济效益，包括直接经济效益和间接经济效益。</w:t>
      </w:r>
    </w:p>
    <w:p>
      <w:pPr>
        <w:ind w:firstLine="480"/>
        <w:rPr>
          <w:rFonts w:hint="default" w:ascii="Arial" w:hAnsi="Arial" w:eastAsia="宋体" w:cs="Arial"/>
          <w:color w:val="auto"/>
          <w:highlight w:val="none"/>
        </w:rPr>
      </w:pPr>
      <w:r>
        <w:rPr>
          <w:rFonts w:hint="default" w:ascii="Arial" w:hAnsi="Arial" w:eastAsia="宋体" w:cs="Arial"/>
          <w:color w:val="auto"/>
          <w:highlight w:val="none"/>
        </w:rPr>
        <w:t>（1）直接经济效益</w:t>
      </w:r>
    </w:p>
    <w:p>
      <w:pPr>
        <w:ind w:firstLine="480"/>
        <w:rPr>
          <w:rFonts w:hint="default" w:ascii="Arial" w:hAnsi="Arial" w:eastAsia="宋体" w:cs="Arial"/>
          <w:color w:val="auto"/>
          <w:highlight w:val="none"/>
        </w:rPr>
      </w:pPr>
      <w:r>
        <w:rPr>
          <w:rFonts w:hint="default" w:ascii="Arial" w:hAnsi="Arial" w:eastAsia="宋体" w:cs="Arial"/>
          <w:color w:val="auto"/>
          <w:highlight w:val="none"/>
        </w:rPr>
        <w:t>直接经济效益是指实施污染治理措施后，循环利用及回收资源所产生的经济效益。对拟建项目而言，生产过程中的废水进行了循环利用，既节约能源，又减少了污染物的排放。类比同类项目，资源能源循环利用后产生的直接经济效益约为2</w:t>
      </w:r>
      <w:r>
        <w:rPr>
          <w:rFonts w:hint="default" w:ascii="Arial" w:hAnsi="Arial" w:eastAsia="宋体" w:cs="Arial"/>
          <w:color w:val="auto"/>
          <w:highlight w:val="none"/>
          <w:lang w:val="en-US" w:eastAsia="zh-CN"/>
        </w:rPr>
        <w:t>2</w:t>
      </w:r>
      <w:r>
        <w:rPr>
          <w:rFonts w:hint="default" w:ascii="Arial" w:hAnsi="Arial" w:eastAsia="宋体" w:cs="Arial"/>
          <w:color w:val="auto"/>
          <w:highlight w:val="none"/>
        </w:rPr>
        <w:t>0万元。</w:t>
      </w:r>
    </w:p>
    <w:p>
      <w:pPr>
        <w:ind w:firstLine="480"/>
        <w:rPr>
          <w:rFonts w:hint="default" w:ascii="Arial" w:hAnsi="Arial" w:eastAsia="宋体" w:cs="Arial"/>
          <w:color w:val="auto"/>
          <w:highlight w:val="none"/>
        </w:rPr>
      </w:pPr>
      <w:r>
        <w:rPr>
          <w:rFonts w:hint="default" w:ascii="Arial" w:hAnsi="Arial" w:eastAsia="宋体" w:cs="Arial"/>
          <w:color w:val="auto"/>
          <w:highlight w:val="none"/>
        </w:rPr>
        <w:t>（2）间接经济效益</w:t>
      </w:r>
    </w:p>
    <w:p>
      <w:pPr>
        <w:ind w:firstLine="480"/>
        <w:rPr>
          <w:rFonts w:hint="default" w:ascii="Arial" w:hAnsi="Arial" w:eastAsia="宋体" w:cs="Arial"/>
          <w:color w:val="auto"/>
          <w:highlight w:val="none"/>
        </w:rPr>
      </w:pPr>
      <w:r>
        <w:rPr>
          <w:rFonts w:hint="default" w:ascii="Arial" w:hAnsi="Arial" w:eastAsia="宋体" w:cs="Arial"/>
          <w:color w:val="auto"/>
          <w:highlight w:val="none"/>
        </w:rPr>
        <w:t>间接经济效益主要指环保设施带来的社会效益，包括环境污染损失的减少，人体健康的保护费用的减少，控制污染物达标排放免交或少交排污费、罚款和赔偿费等。</w:t>
      </w:r>
    </w:p>
    <w:p>
      <w:pPr>
        <w:ind w:firstLine="480"/>
        <w:rPr>
          <w:rFonts w:hint="default" w:ascii="Arial" w:hAnsi="Arial" w:eastAsia="宋体" w:cs="Arial"/>
          <w:color w:val="auto"/>
          <w:highlight w:val="none"/>
        </w:rPr>
      </w:pPr>
      <w:r>
        <w:rPr>
          <w:rFonts w:hint="default" w:ascii="Arial" w:hAnsi="Arial" w:eastAsia="宋体" w:cs="Arial"/>
          <w:color w:val="auto"/>
          <w:highlight w:val="none"/>
        </w:rPr>
        <w:t>就本项目而言，可量化的间接经济效益表现为因污染治理达标而免交的排污费。根据排污费收取办法，本项目污染物治理全部达标排放后，预计达标排放的废气每年可免交排污费约15万元。因此，拟建项目可挽回的经济损失共计约2</w:t>
      </w:r>
      <w:r>
        <w:rPr>
          <w:rFonts w:hint="default" w:ascii="Arial" w:hAnsi="Arial" w:eastAsia="宋体" w:cs="Arial"/>
          <w:color w:val="auto"/>
          <w:highlight w:val="none"/>
          <w:lang w:val="en-US" w:eastAsia="zh-CN"/>
        </w:rPr>
        <w:t>0</w:t>
      </w:r>
      <w:r>
        <w:rPr>
          <w:rFonts w:hint="default" w:ascii="Arial" w:hAnsi="Arial" w:eastAsia="宋体" w:cs="Arial"/>
          <w:color w:val="auto"/>
          <w:highlight w:val="none"/>
        </w:rPr>
        <w:t>5万元/年。</w:t>
      </w:r>
    </w:p>
    <w:p>
      <w:pPr>
        <w:pStyle w:val="6"/>
        <w:rPr>
          <w:rFonts w:hint="default" w:ascii="Arial" w:hAnsi="Arial" w:eastAsia="宋体" w:cs="Arial"/>
          <w:color w:val="auto"/>
          <w:highlight w:val="none"/>
        </w:rPr>
      </w:pPr>
      <w:bookmarkStart w:id="562" w:name="_Toc471227877"/>
      <w:bookmarkStart w:id="563" w:name="_Toc523322390"/>
      <w:bookmarkStart w:id="564" w:name="_Toc16682"/>
      <w:r>
        <w:rPr>
          <w:rFonts w:hint="default" w:ascii="Arial" w:hAnsi="Arial" w:eastAsia="宋体" w:cs="Arial"/>
          <w:color w:val="auto"/>
          <w:highlight w:val="none"/>
        </w:rPr>
        <w:t>8.3.4经济效益分析</w:t>
      </w:r>
      <w:bookmarkEnd w:id="562"/>
      <w:bookmarkEnd w:id="563"/>
      <w:bookmarkEnd w:id="564"/>
    </w:p>
    <w:p>
      <w:pPr>
        <w:ind w:firstLine="480"/>
        <w:rPr>
          <w:rFonts w:hint="default" w:ascii="Arial" w:hAnsi="Arial" w:eastAsia="宋体" w:cs="Arial"/>
          <w:color w:val="auto"/>
          <w:highlight w:val="none"/>
        </w:rPr>
      </w:pPr>
      <w:bookmarkStart w:id="565" w:name="_Toc494206396"/>
      <w:bookmarkStart w:id="566" w:name="_Toc487188670"/>
      <w:r>
        <w:rPr>
          <w:rFonts w:hint="default" w:ascii="Arial" w:hAnsi="Arial" w:eastAsia="宋体" w:cs="Arial"/>
          <w:color w:val="auto"/>
          <w:highlight w:val="none"/>
        </w:rPr>
        <w:t>经济损益（Zj）值的计算采用因采取有效的环保措施而挽回的经济损失（产生的效益）与年环保费用之比的方法来确定，即：</w:t>
      </w:r>
    </w:p>
    <w:p>
      <w:pPr>
        <w:spacing w:line="360" w:lineRule="auto"/>
        <w:ind w:firstLine="0" w:firstLineChars="0"/>
        <w:jc w:val="center"/>
        <w:rPr>
          <w:rFonts w:hint="default" w:ascii="Arial" w:hAnsi="Arial" w:eastAsia="宋体" w:cs="Arial"/>
          <w:color w:val="auto"/>
          <w:highlight w:val="none"/>
        </w:rPr>
      </w:pPr>
      <w:r>
        <w:rPr>
          <w:rFonts w:hint="default" w:ascii="Arial" w:hAnsi="Arial" w:eastAsia="宋体" w:cs="Arial"/>
          <w:color w:val="auto"/>
          <w:highlight w:val="none"/>
        </w:rPr>
        <w:drawing>
          <wp:inline distT="0" distB="0" distL="0" distR="0">
            <wp:extent cx="1184910" cy="652145"/>
            <wp:effectExtent l="0" t="0" r="0" b="0"/>
            <wp:docPr id="4" name="图片 4" descr="15311282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1531128282(1)"/>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a:xfrm>
                      <a:off x="0" y="0"/>
                      <a:ext cx="1184910" cy="652145"/>
                    </a:xfrm>
                    <a:prstGeom prst="rect">
                      <a:avLst/>
                    </a:prstGeom>
                    <a:noFill/>
                    <a:ln>
                      <a:noFill/>
                    </a:ln>
                  </pic:spPr>
                </pic:pic>
              </a:graphicData>
            </a:graphic>
          </wp:inline>
        </w:drawing>
      </w:r>
    </w:p>
    <w:p>
      <w:pPr>
        <w:ind w:firstLine="480"/>
        <w:rPr>
          <w:rFonts w:hint="default" w:ascii="Arial" w:hAnsi="Arial" w:eastAsia="宋体" w:cs="Arial"/>
          <w:color w:val="auto"/>
          <w:highlight w:val="none"/>
        </w:rPr>
      </w:pPr>
      <w:r>
        <w:rPr>
          <w:rFonts w:hint="default" w:ascii="Arial" w:hAnsi="Arial" w:eastAsia="宋体" w:cs="Arial"/>
          <w:color w:val="auto"/>
          <w:highlight w:val="none"/>
        </w:rPr>
        <w:t>式中：</w:t>
      </w:r>
    </w:p>
    <w:p>
      <w:pPr>
        <w:ind w:firstLine="480"/>
        <w:rPr>
          <w:rFonts w:hint="default" w:ascii="Arial" w:hAnsi="Arial" w:eastAsia="宋体" w:cs="Arial"/>
          <w:color w:val="auto"/>
          <w:highlight w:val="none"/>
        </w:rPr>
      </w:pPr>
      <w:r>
        <w:rPr>
          <w:rFonts w:hint="default" w:ascii="Arial" w:hAnsi="Arial" w:eastAsia="宋体" w:cs="Arial"/>
          <w:color w:val="auto"/>
          <w:highlight w:val="none"/>
        </w:rPr>
        <w:t>Sij——由于防止（或减少）损失而挽回的经济价值；</w:t>
      </w:r>
    </w:p>
    <w:p>
      <w:pPr>
        <w:ind w:firstLine="480"/>
        <w:rPr>
          <w:rFonts w:hint="default" w:ascii="Arial" w:hAnsi="Arial" w:eastAsia="宋体" w:cs="Arial"/>
          <w:color w:val="auto"/>
          <w:highlight w:val="none"/>
        </w:rPr>
      </w:pPr>
      <w:r>
        <w:rPr>
          <w:rFonts w:hint="default" w:ascii="Arial" w:hAnsi="Arial" w:eastAsia="宋体" w:cs="Arial"/>
          <w:color w:val="auto"/>
          <w:highlight w:val="none"/>
        </w:rPr>
        <w:t>Hi——年环保费用。</w:t>
      </w:r>
    </w:p>
    <w:p>
      <w:pPr>
        <w:ind w:firstLine="480"/>
        <w:rPr>
          <w:rFonts w:hint="default" w:ascii="Arial" w:hAnsi="Arial" w:eastAsia="宋体" w:cs="Arial"/>
          <w:color w:val="auto"/>
          <w:sz w:val="20"/>
          <w:szCs w:val="20"/>
          <w:highlight w:val="none"/>
        </w:rPr>
      </w:pPr>
      <w:r>
        <w:rPr>
          <w:rFonts w:hint="default" w:ascii="Arial" w:hAnsi="Arial" w:eastAsia="宋体" w:cs="Arial"/>
          <w:color w:val="auto"/>
          <w:highlight w:val="none"/>
        </w:rPr>
        <w:t>根据以上分析，计算出拟建项目的经济损益值为2.79，大于1，表明拟建项目投入的环保治理经济效益较理想。</w:t>
      </w:r>
    </w:p>
    <w:p>
      <w:pPr>
        <w:pStyle w:val="5"/>
        <w:rPr>
          <w:rFonts w:hint="default" w:ascii="Arial" w:hAnsi="Arial" w:eastAsia="宋体" w:cs="Arial"/>
          <w:color w:val="auto"/>
          <w:highlight w:val="none"/>
        </w:rPr>
      </w:pPr>
      <w:bookmarkStart w:id="567" w:name="_Toc523322391"/>
      <w:bookmarkStart w:id="568" w:name="_Toc4581"/>
      <w:r>
        <w:rPr>
          <w:rFonts w:hint="default" w:ascii="Arial" w:hAnsi="Arial" w:eastAsia="宋体" w:cs="Arial"/>
          <w:color w:val="auto"/>
          <w:highlight w:val="none"/>
        </w:rPr>
        <w:t>8.4小结</w:t>
      </w:r>
      <w:bookmarkEnd w:id="565"/>
      <w:bookmarkEnd w:id="566"/>
      <w:bookmarkEnd w:id="567"/>
      <w:bookmarkEnd w:id="568"/>
    </w:p>
    <w:p>
      <w:pPr>
        <w:ind w:firstLine="480"/>
        <w:rPr>
          <w:rFonts w:hint="default" w:ascii="Arial" w:hAnsi="Arial" w:eastAsia="宋体" w:cs="Arial"/>
          <w:color w:val="auto"/>
          <w:highlight w:val="none"/>
        </w:rPr>
      </w:pPr>
      <w:r>
        <w:rPr>
          <w:rFonts w:hint="default" w:ascii="Arial" w:hAnsi="Arial" w:eastAsia="宋体" w:cs="Arial"/>
          <w:color w:val="auto"/>
          <w:highlight w:val="none"/>
        </w:rPr>
        <w:t>本项目建成投产后，不仅可以增加国家和地方财税收入，同时可以增加新的就业岗位，带动相关产业的发展，增加间接的就业机会，对促进区域经济和社会发展具有重要意义。</w:t>
      </w:r>
    </w:p>
    <w:p>
      <w:pPr>
        <w:ind w:firstLine="480"/>
        <w:rPr>
          <w:rFonts w:hint="default" w:ascii="Arial" w:hAnsi="Arial" w:eastAsia="宋体" w:cs="Arial"/>
          <w:color w:val="auto"/>
          <w:sz w:val="20"/>
          <w:szCs w:val="20"/>
          <w:highlight w:val="none"/>
        </w:rPr>
      </w:pPr>
      <w:r>
        <w:rPr>
          <w:rFonts w:hint="default" w:ascii="Arial" w:hAnsi="Arial" w:eastAsia="宋体" w:cs="Arial"/>
          <w:color w:val="auto"/>
          <w:highlight w:val="none"/>
        </w:rPr>
        <w:t>综上所述，从保护环境的角度出发，项目的效益是显著的、可行的。</w:t>
      </w:r>
    </w:p>
    <w:p>
      <w:pPr>
        <w:ind w:firstLine="480"/>
        <w:rPr>
          <w:rFonts w:hint="default" w:ascii="Arial" w:hAnsi="Arial" w:eastAsia="宋体" w:cs="Arial"/>
          <w:color w:val="auto"/>
          <w:szCs w:val="20"/>
          <w:highlight w:val="none"/>
        </w:rPr>
      </w:pPr>
    </w:p>
    <w:p>
      <w:pPr>
        <w:ind w:firstLine="480"/>
        <w:rPr>
          <w:rFonts w:hint="default" w:ascii="Arial" w:hAnsi="Arial" w:eastAsia="宋体" w:cs="Arial"/>
          <w:color w:val="auto"/>
          <w:szCs w:val="20"/>
          <w:highlight w:val="none"/>
        </w:rPr>
        <w:sectPr>
          <w:pgSz w:w="11906" w:h="16838"/>
          <w:pgMar w:top="1418" w:right="1418" w:bottom="1247" w:left="1701" w:header="851" w:footer="680" w:gutter="0"/>
          <w:pgBorders>
            <w:top w:val="none" w:sz="0" w:space="0"/>
            <w:left w:val="none" w:sz="0" w:space="0"/>
            <w:bottom w:val="none" w:sz="0" w:space="0"/>
            <w:right w:val="none" w:sz="0" w:space="0"/>
          </w:pgBorders>
          <w:pgNumType w:fmt="numberInDash"/>
          <w:cols w:space="720" w:num="1"/>
          <w:docGrid w:linePitch="326" w:charSpace="0"/>
        </w:sectPr>
      </w:pPr>
    </w:p>
    <w:p>
      <w:pPr>
        <w:pStyle w:val="4"/>
        <w:rPr>
          <w:rFonts w:hint="default" w:ascii="Arial" w:hAnsi="Arial" w:eastAsia="宋体" w:cs="Arial"/>
          <w:color w:val="auto"/>
          <w:highlight w:val="none"/>
        </w:rPr>
      </w:pPr>
      <w:bookmarkStart w:id="569" w:name="_Toc523322392"/>
      <w:bookmarkStart w:id="570" w:name="_Toc8847"/>
      <w:r>
        <w:rPr>
          <w:rFonts w:hint="default" w:ascii="Arial" w:hAnsi="Arial" w:eastAsia="宋体" w:cs="Arial"/>
          <w:color w:val="auto"/>
          <w:highlight w:val="none"/>
        </w:rPr>
        <w:t>9环境管理与监测计划</w:t>
      </w:r>
      <w:bookmarkEnd w:id="569"/>
      <w:bookmarkEnd w:id="570"/>
    </w:p>
    <w:p>
      <w:pPr>
        <w:ind w:firstLine="480"/>
        <w:rPr>
          <w:rFonts w:hint="default" w:ascii="Arial" w:hAnsi="Arial" w:eastAsia="宋体" w:cs="Arial"/>
          <w:color w:val="auto"/>
          <w:highlight w:val="none"/>
        </w:rPr>
      </w:pPr>
      <w:r>
        <w:rPr>
          <w:rFonts w:hint="default" w:ascii="Arial" w:hAnsi="Arial" w:eastAsia="宋体" w:cs="Arial"/>
          <w:color w:val="auto"/>
          <w:highlight w:val="none"/>
        </w:rPr>
        <w:t>环境管理及监测计划的制定和执行，为环境统计和环境定量评价提供科学依据，可以保证各项污染防治措施的实施与落实，可以及时发现环保措施出现的问题并进行修正和改进。因此企业建立相应的环境管理计划与监测计划，才能确保企业环境设施正常运行和达标排放，预防风险事故并减低事故损失，使建设项目对环境的危害控制在最小范围内。</w:t>
      </w:r>
    </w:p>
    <w:p>
      <w:pPr>
        <w:pStyle w:val="5"/>
        <w:rPr>
          <w:rFonts w:hint="default" w:ascii="Arial" w:hAnsi="Arial" w:eastAsia="宋体" w:cs="Arial"/>
          <w:color w:val="auto"/>
          <w:highlight w:val="none"/>
        </w:rPr>
      </w:pPr>
      <w:bookmarkStart w:id="571" w:name="_Toc27827"/>
      <w:r>
        <w:rPr>
          <w:rFonts w:hint="default" w:ascii="Arial" w:hAnsi="Arial" w:eastAsia="宋体" w:cs="Arial"/>
          <w:color w:val="auto"/>
          <w:highlight w:val="none"/>
        </w:rPr>
        <w:t>9.1污染物总量控制分析</w:t>
      </w:r>
      <w:bookmarkEnd w:id="571"/>
    </w:p>
    <w:p>
      <w:pPr>
        <w:pStyle w:val="6"/>
        <w:rPr>
          <w:rFonts w:hint="default" w:ascii="Arial" w:hAnsi="Arial" w:eastAsia="宋体" w:cs="Arial"/>
          <w:color w:val="auto"/>
          <w:highlight w:val="none"/>
        </w:rPr>
      </w:pPr>
      <w:bookmarkStart w:id="572" w:name="_Toc530643017"/>
      <w:bookmarkStart w:id="573" w:name="_Toc19406"/>
      <w:r>
        <w:rPr>
          <w:rFonts w:hint="default" w:ascii="Arial" w:hAnsi="Arial" w:eastAsia="宋体" w:cs="Arial"/>
          <w:color w:val="auto"/>
          <w:highlight w:val="none"/>
        </w:rPr>
        <w:t>9.1.1原则和目标</w:t>
      </w:r>
      <w:bookmarkEnd w:id="572"/>
      <w:bookmarkEnd w:id="573"/>
    </w:p>
    <w:p>
      <w:pPr>
        <w:overflowPunct w:val="0"/>
        <w:autoSpaceDE/>
        <w:ind w:firstLine="480"/>
        <w:rPr>
          <w:rFonts w:hint="default" w:ascii="Arial" w:hAnsi="Arial" w:eastAsia="宋体" w:cs="Arial"/>
          <w:color w:val="auto"/>
          <w:highlight w:val="none"/>
        </w:rPr>
      </w:pPr>
      <w:r>
        <w:rPr>
          <w:rFonts w:hint="default" w:ascii="Arial" w:hAnsi="Arial" w:eastAsia="宋体" w:cs="Arial"/>
          <w:color w:val="auto"/>
          <w:highlight w:val="none"/>
        </w:rPr>
        <w:t>对建设项目产生的污染物实行总量控制是推行可持续发展战略的需要，是一种为使某一时空环境领域达到一定环境质量目标时，将污染物负荷总量控制在自然环境的承载能力范围之内的规划管理措施。</w:t>
      </w:r>
    </w:p>
    <w:p>
      <w:pPr>
        <w:pStyle w:val="6"/>
        <w:rPr>
          <w:rFonts w:hint="default" w:ascii="Arial" w:hAnsi="Arial" w:eastAsia="宋体" w:cs="Arial"/>
          <w:color w:val="auto"/>
          <w:highlight w:val="none"/>
        </w:rPr>
      </w:pPr>
      <w:bookmarkStart w:id="574" w:name="_Toc530643018"/>
      <w:bookmarkStart w:id="575" w:name="_Toc8221"/>
      <w:r>
        <w:rPr>
          <w:rFonts w:hint="default" w:ascii="Arial" w:hAnsi="Arial" w:eastAsia="宋体" w:cs="Arial"/>
          <w:color w:val="auto"/>
          <w:highlight w:val="none"/>
        </w:rPr>
        <w:t>9.1.2总量控制区域</w:t>
      </w:r>
      <w:bookmarkEnd w:id="574"/>
      <w:bookmarkEnd w:id="575"/>
    </w:p>
    <w:p>
      <w:pPr>
        <w:overflowPunct w:val="0"/>
        <w:autoSpaceDE/>
        <w:ind w:firstLine="480"/>
        <w:rPr>
          <w:rFonts w:hint="default" w:ascii="Arial" w:hAnsi="Arial" w:eastAsia="宋体" w:cs="Arial"/>
          <w:color w:val="auto"/>
          <w:highlight w:val="none"/>
        </w:rPr>
      </w:pPr>
      <w:r>
        <w:rPr>
          <w:rFonts w:hint="default" w:ascii="Arial" w:hAnsi="Arial" w:eastAsia="宋体" w:cs="Arial"/>
          <w:color w:val="auto"/>
          <w:highlight w:val="none"/>
        </w:rPr>
        <w:t>本项目总量控制区范围为</w:t>
      </w:r>
      <w:r>
        <w:rPr>
          <w:rFonts w:hint="default" w:ascii="Arial" w:hAnsi="Arial" w:eastAsia="宋体" w:cs="Arial"/>
          <w:color w:val="auto"/>
          <w:highlight w:val="none"/>
          <w:lang w:eastAsia="zh-CN"/>
        </w:rPr>
        <w:t>五原县</w:t>
      </w:r>
      <w:r>
        <w:rPr>
          <w:rFonts w:hint="default" w:ascii="Arial" w:hAnsi="Arial" w:eastAsia="宋体" w:cs="Arial"/>
          <w:color w:val="auto"/>
          <w:highlight w:val="none"/>
        </w:rPr>
        <w:t>。</w:t>
      </w:r>
    </w:p>
    <w:p>
      <w:pPr>
        <w:pStyle w:val="6"/>
        <w:rPr>
          <w:rFonts w:hint="default" w:ascii="Arial" w:hAnsi="Arial" w:eastAsia="宋体" w:cs="Arial"/>
          <w:color w:val="auto"/>
          <w:highlight w:val="none"/>
        </w:rPr>
      </w:pPr>
      <w:bookmarkStart w:id="576" w:name="_Toc530643019"/>
      <w:bookmarkStart w:id="577" w:name="_Toc4026"/>
      <w:r>
        <w:rPr>
          <w:rFonts w:hint="default" w:ascii="Arial" w:hAnsi="Arial" w:eastAsia="宋体" w:cs="Arial"/>
          <w:color w:val="auto"/>
          <w:highlight w:val="none"/>
        </w:rPr>
        <w:t>9.1.3总量控制因子</w:t>
      </w:r>
      <w:bookmarkEnd w:id="576"/>
      <w:bookmarkEnd w:id="577"/>
    </w:p>
    <w:p>
      <w:pPr>
        <w:overflowPunct w:val="0"/>
        <w:autoSpaceDE/>
        <w:ind w:firstLine="480"/>
        <w:rPr>
          <w:rFonts w:hint="default" w:ascii="Arial" w:hAnsi="Arial" w:eastAsia="宋体" w:cs="Arial"/>
          <w:color w:val="auto"/>
          <w:highlight w:val="none"/>
        </w:rPr>
      </w:pPr>
      <w:r>
        <w:rPr>
          <w:rFonts w:hint="default" w:ascii="Arial" w:hAnsi="Arial" w:eastAsia="宋体" w:cs="Arial"/>
          <w:color w:val="auto"/>
          <w:highlight w:val="none"/>
          <w:lang w:val="en-US" w:eastAsia="zh-CN"/>
        </w:rPr>
        <w:t>无</w:t>
      </w:r>
      <w:r>
        <w:rPr>
          <w:rFonts w:hint="default" w:ascii="Arial" w:hAnsi="Arial" w:eastAsia="宋体" w:cs="Arial"/>
          <w:snapToGrid w:val="0"/>
          <w:color w:val="auto"/>
          <w:highlight w:val="none"/>
        </w:rPr>
        <w:t>。</w:t>
      </w:r>
    </w:p>
    <w:p>
      <w:pPr>
        <w:pStyle w:val="6"/>
        <w:rPr>
          <w:rFonts w:hint="default" w:ascii="Arial" w:hAnsi="Arial" w:eastAsia="宋体" w:cs="Arial"/>
          <w:color w:val="auto"/>
          <w:highlight w:val="none"/>
        </w:rPr>
      </w:pPr>
      <w:bookmarkStart w:id="578" w:name="_Toc30450"/>
      <w:r>
        <w:rPr>
          <w:rFonts w:hint="default" w:ascii="Arial" w:hAnsi="Arial" w:eastAsia="宋体" w:cs="Arial"/>
          <w:color w:val="auto"/>
          <w:highlight w:val="none"/>
        </w:rPr>
        <w:t>9.1.4总量核算</w:t>
      </w:r>
      <w:bookmarkEnd w:id="578"/>
    </w:p>
    <w:p>
      <w:pPr>
        <w:ind w:firstLine="480"/>
        <w:rPr>
          <w:rFonts w:hint="default" w:ascii="Arial" w:hAnsi="Arial" w:eastAsia="宋体" w:cs="Arial"/>
          <w:b/>
          <w:bCs/>
          <w:color w:val="auto"/>
          <w:highlight w:val="none"/>
        </w:rPr>
      </w:pPr>
      <w:bookmarkStart w:id="579" w:name="_Toc530643020"/>
      <w:r>
        <w:rPr>
          <w:rFonts w:hint="default" w:ascii="Arial" w:hAnsi="Arial" w:eastAsia="宋体" w:cs="Arial"/>
          <w:color w:val="auto"/>
          <w:highlight w:val="none"/>
          <w:lang w:val="en-US" w:eastAsia="zh-CN"/>
        </w:rPr>
        <w:t>无</w:t>
      </w:r>
      <w:r>
        <w:rPr>
          <w:rFonts w:hint="default" w:ascii="Arial" w:hAnsi="Arial" w:eastAsia="宋体" w:cs="Arial"/>
          <w:color w:val="auto"/>
          <w:highlight w:val="none"/>
        </w:rPr>
        <w:t>。</w:t>
      </w:r>
    </w:p>
    <w:p>
      <w:pPr>
        <w:pStyle w:val="6"/>
        <w:rPr>
          <w:rFonts w:hint="default" w:ascii="Arial" w:hAnsi="Arial" w:eastAsia="宋体" w:cs="Arial"/>
          <w:color w:val="auto"/>
          <w:highlight w:val="none"/>
        </w:rPr>
      </w:pPr>
      <w:bookmarkStart w:id="580" w:name="_Toc27663"/>
      <w:r>
        <w:rPr>
          <w:rFonts w:hint="default" w:ascii="Arial" w:hAnsi="Arial" w:eastAsia="宋体" w:cs="Arial"/>
          <w:color w:val="auto"/>
          <w:highlight w:val="none"/>
        </w:rPr>
        <w:t>9.1.5污染物总量控制指标</w:t>
      </w:r>
      <w:bookmarkEnd w:id="579"/>
      <w:bookmarkEnd w:id="580"/>
    </w:p>
    <w:p>
      <w:pPr>
        <w:overflowPunct w:val="0"/>
        <w:autoSpaceDE/>
        <w:ind w:firstLine="480"/>
        <w:rPr>
          <w:rFonts w:hint="default" w:ascii="Arial" w:hAnsi="Arial" w:eastAsia="宋体" w:cs="Arial"/>
          <w:color w:val="auto"/>
          <w:szCs w:val="20"/>
          <w:highlight w:val="none"/>
        </w:rPr>
      </w:pPr>
      <w:r>
        <w:rPr>
          <w:rFonts w:hint="default" w:ascii="Arial" w:hAnsi="Arial" w:eastAsia="宋体" w:cs="Arial"/>
          <w:color w:val="auto"/>
          <w:szCs w:val="24"/>
          <w:highlight w:val="none"/>
          <w:lang w:eastAsia="zh-CN"/>
        </w:rPr>
        <w:t>无</w:t>
      </w:r>
      <w:r>
        <w:rPr>
          <w:rFonts w:hint="default" w:ascii="Arial" w:hAnsi="Arial" w:eastAsia="宋体" w:cs="Arial"/>
          <w:color w:val="auto"/>
          <w:szCs w:val="20"/>
          <w:highlight w:val="none"/>
        </w:rPr>
        <w:t>。</w:t>
      </w:r>
    </w:p>
    <w:p>
      <w:pPr>
        <w:pStyle w:val="5"/>
        <w:rPr>
          <w:rFonts w:hint="default" w:ascii="Arial" w:hAnsi="Arial" w:eastAsia="宋体" w:cs="Arial"/>
          <w:color w:val="auto"/>
          <w:highlight w:val="none"/>
        </w:rPr>
      </w:pPr>
      <w:bookmarkStart w:id="581" w:name="_Toc487188672"/>
      <w:bookmarkStart w:id="582" w:name="_Toc494206398"/>
      <w:bookmarkStart w:id="583" w:name="_Toc523322393"/>
      <w:bookmarkStart w:id="584" w:name="_Toc26011"/>
      <w:r>
        <w:rPr>
          <w:rFonts w:hint="default" w:ascii="Arial" w:hAnsi="Arial" w:eastAsia="宋体" w:cs="Arial"/>
          <w:color w:val="auto"/>
          <w:highlight w:val="none"/>
        </w:rPr>
        <w:t>9.2环境管理</w:t>
      </w:r>
      <w:bookmarkEnd w:id="581"/>
      <w:bookmarkEnd w:id="582"/>
      <w:bookmarkEnd w:id="583"/>
      <w:bookmarkEnd w:id="584"/>
    </w:p>
    <w:p>
      <w:pPr>
        <w:pStyle w:val="6"/>
        <w:rPr>
          <w:rFonts w:hint="default" w:ascii="Arial" w:hAnsi="Arial" w:eastAsia="宋体" w:cs="Arial"/>
          <w:color w:val="auto"/>
          <w:highlight w:val="none"/>
        </w:rPr>
      </w:pPr>
      <w:bookmarkStart w:id="585" w:name="_Toc523322394"/>
      <w:bookmarkStart w:id="586" w:name="_Toc8895"/>
      <w:r>
        <w:rPr>
          <w:rFonts w:hint="default" w:ascii="Arial" w:hAnsi="Arial" w:eastAsia="宋体" w:cs="Arial"/>
          <w:color w:val="auto"/>
          <w:highlight w:val="none"/>
        </w:rPr>
        <w:t>9.2.1环境管理制度及组织机构</w:t>
      </w:r>
      <w:bookmarkEnd w:id="585"/>
      <w:bookmarkEnd w:id="586"/>
    </w:p>
    <w:p>
      <w:pPr>
        <w:pStyle w:val="7"/>
        <w:rPr>
          <w:rFonts w:hint="default" w:ascii="Arial" w:hAnsi="Arial" w:eastAsia="宋体" w:cs="Arial"/>
          <w:color w:val="auto"/>
          <w:highlight w:val="none"/>
        </w:rPr>
      </w:pPr>
      <w:r>
        <w:rPr>
          <w:rFonts w:hint="default" w:ascii="Arial" w:hAnsi="Arial" w:eastAsia="宋体" w:cs="Arial"/>
          <w:color w:val="auto"/>
          <w:highlight w:val="none"/>
        </w:rPr>
        <w:t>9.2.1.1环境管理制度</w:t>
      </w:r>
    </w:p>
    <w:p>
      <w:pPr>
        <w:ind w:firstLine="480"/>
        <w:rPr>
          <w:rFonts w:hint="default" w:ascii="Arial" w:hAnsi="Arial" w:eastAsia="宋体" w:cs="Arial"/>
          <w:color w:val="auto"/>
          <w:highlight w:val="none"/>
        </w:rPr>
      </w:pPr>
      <w:r>
        <w:rPr>
          <w:rFonts w:hint="default" w:ascii="Arial" w:hAnsi="Arial" w:eastAsia="宋体" w:cs="Arial"/>
          <w:color w:val="auto"/>
          <w:highlight w:val="none"/>
        </w:rPr>
        <w:t>企业应建立环境保护责任制度，设立安全环保部门，配备专职环境保护管理人员协调、落实各部门的环保工作。制定企业《环境保护管理制度》、《项目建设环境保护管理制度》、《环保节能设施管理制度》、《环保会议制度》、《环保统计制度》、《环保现场检查与“红黄牌”挂牌制度》、《环保标准化管理制度》等一系列环保管理制度。</w:t>
      </w:r>
    </w:p>
    <w:p>
      <w:pPr>
        <w:pStyle w:val="7"/>
        <w:rPr>
          <w:rFonts w:hint="default" w:ascii="Arial" w:hAnsi="Arial" w:eastAsia="宋体" w:cs="Arial"/>
          <w:color w:val="auto"/>
          <w:highlight w:val="none"/>
        </w:rPr>
      </w:pPr>
      <w:r>
        <w:rPr>
          <w:rFonts w:hint="default" w:ascii="Arial" w:hAnsi="Arial" w:eastAsia="宋体" w:cs="Arial"/>
          <w:color w:val="auto"/>
          <w:highlight w:val="none"/>
        </w:rPr>
        <w:t>9.2.1.2环境管理机构</w:t>
      </w:r>
    </w:p>
    <w:p>
      <w:pPr>
        <w:ind w:firstLine="480"/>
        <w:rPr>
          <w:rFonts w:hint="default" w:ascii="Arial" w:hAnsi="Arial" w:eastAsia="宋体" w:cs="Arial"/>
          <w:color w:val="auto"/>
          <w:highlight w:val="none"/>
        </w:rPr>
      </w:pPr>
      <w:r>
        <w:rPr>
          <w:rFonts w:hint="default" w:ascii="Arial" w:hAnsi="Arial" w:eastAsia="宋体" w:cs="Arial"/>
          <w:color w:val="auto"/>
          <w:highlight w:val="none"/>
        </w:rPr>
        <w:t>根据国家有关建设项目环境保护的规定和该项目的建设，建议该项目从施工期开始，就在该项目管理组中设置环境保护管理岗位，配置1~2名环保专业人员；在项目营运期，配备1~2名环保专业人员。该项目的环境管理监督机构为各级生态环境主管部门，该项目的环境保护管理工作应接受各级生态环境主管部门的监督和指导，同时还应接受项目主管部门及公众的监督。</w:t>
      </w:r>
    </w:p>
    <w:p>
      <w:pPr>
        <w:pStyle w:val="7"/>
        <w:rPr>
          <w:rFonts w:hint="default" w:ascii="Arial" w:hAnsi="Arial" w:eastAsia="宋体" w:cs="Arial"/>
          <w:color w:val="auto"/>
          <w:highlight w:val="none"/>
        </w:rPr>
      </w:pPr>
      <w:r>
        <w:rPr>
          <w:rFonts w:hint="default" w:ascii="Arial" w:hAnsi="Arial" w:eastAsia="宋体" w:cs="Arial"/>
          <w:color w:val="auto"/>
          <w:highlight w:val="none"/>
        </w:rPr>
        <w:t>9.2.1.3环境管理职责</w:t>
      </w:r>
    </w:p>
    <w:p>
      <w:pPr>
        <w:ind w:firstLine="480"/>
        <w:rPr>
          <w:rFonts w:hint="default" w:ascii="Arial" w:hAnsi="Arial" w:eastAsia="宋体" w:cs="Arial"/>
          <w:color w:val="auto"/>
          <w:highlight w:val="none"/>
        </w:rPr>
      </w:pPr>
      <w:r>
        <w:rPr>
          <w:rFonts w:hint="default" w:ascii="Arial" w:hAnsi="Arial" w:eastAsia="宋体" w:cs="Arial"/>
          <w:color w:val="auto"/>
          <w:highlight w:val="none"/>
        </w:rPr>
        <w:t>1）认真贯彻执行国家、地方环境保护法规和标准。</w:t>
      </w:r>
    </w:p>
    <w:p>
      <w:pPr>
        <w:ind w:firstLine="480"/>
        <w:rPr>
          <w:rFonts w:hint="default" w:ascii="Arial" w:hAnsi="Arial" w:eastAsia="宋体" w:cs="Arial"/>
          <w:color w:val="auto"/>
          <w:highlight w:val="none"/>
        </w:rPr>
      </w:pPr>
      <w:r>
        <w:rPr>
          <w:rFonts w:hint="default" w:ascii="Arial" w:hAnsi="Arial" w:eastAsia="宋体" w:cs="Arial"/>
          <w:color w:val="auto"/>
          <w:highlight w:val="none"/>
        </w:rPr>
        <w:t>2）建立和健全以清洁生产技术为核心的各项环境保护规章制度（岗位责任制、操作规程、安全制度、绿化管理规定等），并实施、落实环境监测制度。</w:t>
      </w:r>
    </w:p>
    <w:p>
      <w:pPr>
        <w:ind w:firstLine="480"/>
        <w:rPr>
          <w:rFonts w:hint="default" w:ascii="Arial" w:hAnsi="Arial" w:eastAsia="宋体" w:cs="Arial"/>
          <w:color w:val="auto"/>
          <w:highlight w:val="none"/>
        </w:rPr>
      </w:pPr>
      <w:r>
        <w:rPr>
          <w:rFonts w:hint="default" w:ascii="Arial" w:hAnsi="Arial" w:eastAsia="宋体" w:cs="Arial"/>
          <w:color w:val="auto"/>
          <w:highlight w:val="none"/>
        </w:rPr>
        <w:t>3）加强“三废”治理设施监督管理，确保“三废”处理设施正常并高效运行。</w:t>
      </w:r>
    </w:p>
    <w:p>
      <w:pPr>
        <w:ind w:firstLine="480"/>
        <w:rPr>
          <w:rFonts w:hint="default" w:ascii="Arial" w:hAnsi="Arial" w:eastAsia="宋体" w:cs="Arial"/>
          <w:color w:val="auto"/>
          <w:highlight w:val="none"/>
        </w:rPr>
      </w:pPr>
      <w:r>
        <w:rPr>
          <w:rFonts w:hint="default" w:ascii="Arial" w:hAnsi="Arial" w:eastAsia="宋体" w:cs="Arial"/>
          <w:color w:val="auto"/>
          <w:highlight w:val="none"/>
        </w:rPr>
        <w:t>4）建立污染源档案，并优化污染防治措施。按照上级环保部门的规范建立本企业有关“三废”排放量、排放浓度、噪声情况、固体废物综合利用、污染控制效果等情况档案，并按照有关规定编制各种报告与报表，负责向上级领导及环保部门呈报。</w:t>
      </w:r>
    </w:p>
    <w:p>
      <w:pPr>
        <w:ind w:firstLine="480"/>
        <w:rPr>
          <w:rFonts w:hint="default" w:ascii="Arial" w:hAnsi="Arial" w:eastAsia="宋体" w:cs="Arial"/>
          <w:color w:val="auto"/>
          <w:sz w:val="20"/>
          <w:szCs w:val="20"/>
          <w:highlight w:val="none"/>
        </w:rPr>
      </w:pPr>
      <w:r>
        <w:rPr>
          <w:rFonts w:hint="default" w:ascii="Arial" w:hAnsi="Arial" w:eastAsia="宋体" w:cs="Arial"/>
          <w:color w:val="auto"/>
          <w:highlight w:val="none"/>
        </w:rPr>
        <w:t>5）搞好环境保护工作宣传和职工环境意识教育及技术培训等工作。协同当地环保部门处理与项目有关的环境问题，维护好公众的利益。</w:t>
      </w:r>
    </w:p>
    <w:p>
      <w:pPr>
        <w:ind w:firstLine="480"/>
        <w:rPr>
          <w:rFonts w:hint="default" w:ascii="Arial" w:hAnsi="Arial" w:eastAsia="宋体" w:cs="Arial"/>
          <w:color w:val="auto"/>
          <w:highlight w:val="none"/>
        </w:rPr>
      </w:pPr>
      <w:r>
        <w:rPr>
          <w:rFonts w:hint="default" w:ascii="Arial" w:hAnsi="Arial" w:eastAsia="宋体" w:cs="Arial"/>
          <w:color w:val="auto"/>
          <w:highlight w:val="none"/>
        </w:rPr>
        <w:t>6）为全面掌握企业环境保护工作情况，进一步了解管理体系中可能存在的问题，建议公司内部每年应举行一次内部评审，检查环境管理工作的问题和不足，对发现的问题和不足，提出改进意见。</w:t>
      </w:r>
    </w:p>
    <w:p>
      <w:pPr>
        <w:pStyle w:val="6"/>
        <w:rPr>
          <w:rFonts w:hint="default" w:ascii="Arial" w:hAnsi="Arial" w:eastAsia="宋体" w:cs="Arial"/>
          <w:color w:val="auto"/>
          <w:highlight w:val="none"/>
        </w:rPr>
      </w:pPr>
      <w:bookmarkStart w:id="587" w:name="_Toc523322397"/>
      <w:bookmarkStart w:id="588" w:name="_Toc4263"/>
      <w:r>
        <w:rPr>
          <w:rFonts w:hint="default" w:ascii="Arial" w:hAnsi="Arial" w:eastAsia="宋体" w:cs="Arial"/>
          <w:color w:val="auto"/>
          <w:highlight w:val="none"/>
        </w:rPr>
        <w:t>9.2.2排污许可</w:t>
      </w:r>
      <w:bookmarkEnd w:id="587"/>
      <w:r>
        <w:rPr>
          <w:rFonts w:hint="default" w:ascii="Arial" w:hAnsi="Arial" w:eastAsia="宋体" w:cs="Arial"/>
          <w:color w:val="auto"/>
          <w:highlight w:val="none"/>
        </w:rPr>
        <w:t>证申领</w:t>
      </w:r>
      <w:bookmarkEnd w:id="588"/>
    </w:p>
    <w:p>
      <w:pPr>
        <w:ind w:firstLine="480"/>
        <w:rPr>
          <w:rFonts w:hint="default" w:ascii="Arial" w:hAnsi="Arial" w:eastAsia="宋体" w:cs="Arial"/>
          <w:color w:val="auto"/>
          <w:highlight w:val="none"/>
        </w:rPr>
      </w:pPr>
      <w:r>
        <w:rPr>
          <w:rFonts w:hint="default" w:ascii="Arial" w:hAnsi="Arial" w:eastAsia="宋体" w:cs="Arial"/>
          <w:color w:val="auto"/>
          <w:highlight w:val="none"/>
        </w:rPr>
        <w:t>根据《排污许可管理办法（试行）》，项目在取得环境影响评价批复文件后，应当在投入生产或使用并产生实际排污行为之前向许可证核发机关提交申请材料，申领排污许可证。</w:t>
      </w:r>
    </w:p>
    <w:p>
      <w:pPr>
        <w:ind w:firstLine="480"/>
        <w:rPr>
          <w:rFonts w:hint="default" w:ascii="Arial" w:hAnsi="Arial" w:eastAsia="宋体" w:cs="Arial"/>
          <w:color w:val="auto"/>
          <w:highlight w:val="none"/>
        </w:rPr>
      </w:pPr>
      <w:r>
        <w:rPr>
          <w:rFonts w:hint="default" w:ascii="Arial" w:hAnsi="Arial" w:eastAsia="宋体" w:cs="Arial"/>
          <w:color w:val="auto"/>
          <w:highlight w:val="none"/>
        </w:rPr>
        <w:t>企业申请排污许可证，应当在信息平台填报统一的《排污许可证申请表》，签署《守法承诺书》，并同时向许可证核发机关提交排污许可证申请表、经生态环境主管部门批复的建设项目环境影响评价文件或排污单位经过整改并通过地方人民政府确认满足有关规定的证明材料等。许可申请文件内容由生态环境部统一制定的《排污许可证申请表》确定。</w:t>
      </w:r>
    </w:p>
    <w:p>
      <w:pPr>
        <w:pStyle w:val="6"/>
        <w:rPr>
          <w:rFonts w:hint="default" w:ascii="Arial" w:hAnsi="Arial" w:eastAsia="宋体" w:cs="Arial"/>
          <w:color w:val="auto"/>
          <w:highlight w:val="none"/>
        </w:rPr>
      </w:pPr>
      <w:bookmarkStart w:id="589" w:name="_Toc523322396"/>
      <w:bookmarkStart w:id="590" w:name="_Toc12000"/>
      <w:r>
        <w:rPr>
          <w:rFonts w:hint="default" w:ascii="Arial" w:hAnsi="Arial" w:eastAsia="宋体" w:cs="Arial"/>
          <w:color w:val="auto"/>
          <w:highlight w:val="none"/>
        </w:rPr>
        <w:t>9.2.3环保竣工验收</w:t>
      </w:r>
      <w:bookmarkEnd w:id="589"/>
      <w:bookmarkEnd w:id="590"/>
    </w:p>
    <w:p>
      <w:pPr>
        <w:ind w:firstLine="480"/>
        <w:rPr>
          <w:rFonts w:hint="default" w:ascii="Arial" w:hAnsi="Arial" w:eastAsia="宋体" w:cs="Arial"/>
          <w:color w:val="auto"/>
          <w:highlight w:val="none"/>
        </w:rPr>
      </w:pPr>
      <w:r>
        <w:rPr>
          <w:rFonts w:hint="default" w:ascii="Arial" w:hAnsi="Arial" w:eastAsia="宋体" w:cs="Arial"/>
          <w:color w:val="auto"/>
          <w:highlight w:val="none"/>
        </w:rPr>
        <w:t>按照《建设项目竣工环境保护验收暂行办法》（国环规环评</w:t>
      </w:r>
      <w:r>
        <w:rPr>
          <w:rFonts w:hint="default" w:ascii="Arial" w:hAnsi="Arial" w:eastAsia="宋体" w:cs="Arial"/>
          <w:color w:val="auto"/>
          <w:highlight w:val="none"/>
          <w:lang w:eastAsia="zh-CN"/>
        </w:rPr>
        <w:t>[</w:t>
      </w:r>
      <w:r>
        <w:rPr>
          <w:rFonts w:hint="default" w:ascii="Arial" w:hAnsi="Arial" w:eastAsia="宋体" w:cs="Arial"/>
          <w:color w:val="auto"/>
          <w:highlight w:val="none"/>
        </w:rPr>
        <w:t>2017</w:t>
      </w:r>
      <w:r>
        <w:rPr>
          <w:rFonts w:hint="default" w:ascii="Arial" w:hAnsi="Arial" w:eastAsia="宋体" w:cs="Arial"/>
          <w:color w:val="auto"/>
          <w:highlight w:val="none"/>
          <w:lang w:eastAsia="zh-CN"/>
        </w:rPr>
        <w:t>]</w:t>
      </w:r>
      <w:r>
        <w:rPr>
          <w:rFonts w:hint="default" w:ascii="Arial" w:hAnsi="Arial" w:eastAsia="宋体" w:cs="Arial"/>
          <w:color w:val="auto"/>
          <w:highlight w:val="none"/>
        </w:rPr>
        <w:t>4号）中要求实施环保竣工验收。</w:t>
      </w:r>
    </w:p>
    <w:p>
      <w:pPr>
        <w:ind w:firstLine="480"/>
        <w:rPr>
          <w:rFonts w:hint="default" w:ascii="Arial" w:hAnsi="Arial" w:eastAsia="宋体" w:cs="Arial"/>
          <w:color w:val="auto"/>
          <w:highlight w:val="none"/>
        </w:rPr>
      </w:pPr>
      <w:r>
        <w:rPr>
          <w:rFonts w:hint="default" w:ascii="Arial" w:hAnsi="Arial" w:eastAsia="宋体" w:cs="Arial"/>
          <w:color w:val="auto"/>
          <w:highlight w:val="none"/>
        </w:rPr>
        <w:t>竣工验收以现场调查与监测相结合的方式对工程“三同时”建设情况进行验收，环境保护验收的主要内容包括以下几个方面：</w:t>
      </w:r>
    </w:p>
    <w:p>
      <w:pPr>
        <w:ind w:firstLine="480"/>
        <w:rPr>
          <w:rFonts w:hint="default" w:ascii="Arial" w:hAnsi="Arial" w:eastAsia="宋体" w:cs="Arial"/>
          <w:color w:val="auto"/>
          <w:highlight w:val="none"/>
        </w:rPr>
      </w:pPr>
      <w:r>
        <w:rPr>
          <w:rFonts w:hint="default" w:ascii="Arial" w:hAnsi="Arial" w:eastAsia="宋体" w:cs="Arial"/>
          <w:color w:val="auto"/>
          <w:highlight w:val="none"/>
        </w:rPr>
        <w:t>（1）通过现场调查项目“三同时”建设情况，主要环保设施的建设与环评批复文件的符合性检查及验收；</w:t>
      </w:r>
    </w:p>
    <w:p>
      <w:pPr>
        <w:ind w:firstLine="480"/>
        <w:rPr>
          <w:rFonts w:hint="default" w:ascii="Arial" w:hAnsi="Arial" w:eastAsia="宋体" w:cs="Arial"/>
          <w:color w:val="auto"/>
          <w:highlight w:val="none"/>
        </w:rPr>
      </w:pPr>
      <w:r>
        <w:rPr>
          <w:rFonts w:hint="default" w:ascii="Arial" w:hAnsi="Arial" w:eastAsia="宋体" w:cs="Arial"/>
          <w:color w:val="auto"/>
          <w:highlight w:val="none"/>
        </w:rPr>
        <w:t>（2）环保设施建设及运行情况，包括：废气、废水、噪声污染防治设施的建设及运行情况及运行处理效果，生态保护措施的落实情况；防止固废废物污染环境的措施；场区绿化等；</w:t>
      </w:r>
    </w:p>
    <w:p>
      <w:pPr>
        <w:ind w:firstLine="480"/>
        <w:rPr>
          <w:rFonts w:hint="default" w:ascii="Arial" w:hAnsi="Arial" w:eastAsia="宋体" w:cs="Arial"/>
          <w:color w:val="auto"/>
          <w:highlight w:val="none"/>
        </w:rPr>
      </w:pPr>
      <w:r>
        <w:rPr>
          <w:rFonts w:hint="default" w:ascii="Arial" w:hAnsi="Arial" w:eastAsia="宋体" w:cs="Arial"/>
          <w:color w:val="auto"/>
          <w:highlight w:val="none"/>
        </w:rPr>
        <w:t>（3）主要节能措施及清洁生产措施；环保投资及环境管理机构的设置情况。</w:t>
      </w:r>
    </w:p>
    <w:p>
      <w:pPr>
        <w:ind w:firstLine="480"/>
        <w:rPr>
          <w:rFonts w:hint="default" w:ascii="Arial" w:hAnsi="Arial" w:eastAsia="宋体" w:cs="Arial"/>
          <w:color w:val="auto"/>
          <w:highlight w:val="none"/>
        </w:rPr>
      </w:pPr>
      <w:r>
        <w:rPr>
          <w:rFonts w:hint="default" w:ascii="Arial" w:hAnsi="Arial" w:eastAsia="宋体" w:cs="Arial"/>
          <w:color w:val="auto"/>
          <w:highlight w:val="none"/>
        </w:rPr>
        <w:t>验收范围：与项目有关的各项环保设施，包括为防治污染和保护环境所建成或配套建成的治理工程、设备、装置和监测手段，以及各项生态保护设施等；环境影响报告书及其批复文件和有关设计文件规定应采取环保措施。</w:t>
      </w:r>
    </w:p>
    <w:p>
      <w:pPr>
        <w:pStyle w:val="6"/>
        <w:rPr>
          <w:rFonts w:hint="default" w:ascii="Arial" w:hAnsi="Arial" w:eastAsia="宋体" w:cs="Arial"/>
          <w:color w:val="auto"/>
          <w:highlight w:val="none"/>
        </w:rPr>
      </w:pPr>
      <w:bookmarkStart w:id="591" w:name="_Toc21652"/>
      <w:r>
        <w:rPr>
          <w:rFonts w:hint="default" w:ascii="Arial" w:hAnsi="Arial" w:eastAsia="宋体" w:cs="Arial"/>
          <w:color w:val="auto"/>
          <w:highlight w:val="none"/>
        </w:rPr>
        <w:t>9.2.4排污口规范化管理</w:t>
      </w:r>
      <w:bookmarkEnd w:id="591"/>
    </w:p>
    <w:p>
      <w:pPr>
        <w:ind w:firstLine="480"/>
        <w:rPr>
          <w:rFonts w:hint="default" w:ascii="Arial" w:hAnsi="Arial" w:eastAsia="宋体" w:cs="Arial"/>
          <w:color w:val="auto"/>
          <w:highlight w:val="none"/>
        </w:rPr>
      </w:pPr>
      <w:r>
        <w:rPr>
          <w:rFonts w:hint="default" w:ascii="Arial" w:hAnsi="Arial" w:eastAsia="宋体" w:cs="Arial"/>
          <w:color w:val="auto"/>
          <w:highlight w:val="none"/>
        </w:rPr>
        <w:t>根据原国家环境保护总局《关于开展排放口规范化整治工作的通知》（环发[1999]24号）的规定，一切新建、扩建、改建的排污单位必须在建设污染治理措施的同时建设规范化排污口，作为落实环境保护“三同时”制度的必要组成和项目验收内容之一。本评价对场区排污口建设提出以下要求：</w:t>
      </w:r>
    </w:p>
    <w:p>
      <w:pPr>
        <w:ind w:firstLine="480"/>
        <w:rPr>
          <w:rFonts w:hint="default" w:ascii="Arial" w:hAnsi="Arial" w:eastAsia="宋体" w:cs="Arial"/>
          <w:color w:val="auto"/>
          <w:highlight w:val="none"/>
        </w:rPr>
      </w:pPr>
      <w:r>
        <w:rPr>
          <w:rFonts w:hint="default" w:ascii="Arial" w:hAnsi="Arial" w:eastAsia="宋体" w:cs="Arial"/>
          <w:color w:val="auto"/>
          <w:highlight w:val="none"/>
        </w:rPr>
        <w:t>1）工程应按《环境保护图形标志—排放口（源）》（GB15562.1-1995）规定的图形，在各气、水、声排污口（源）挂牌标识，做到各排污口（源）的环保标志明显，便于企业管理和公众监督。根据《环境保护图形标志》实施细则，填写本工程的主要污染物；标志牌必须保持清晰、完整，发现形象损坏、颜色污染或有变化、退色等不符合图形标志标准的情况，应及时修复或更换，检查时间至少每年一次。环境保护图形标志牌设置位置应距污染物排放口及固体废物堆放场或采样点较近且醒目处，设置高度一般为标志牌上缘距离地面约2m。</w:t>
      </w:r>
    </w:p>
    <w:p>
      <w:pPr>
        <w:ind w:firstLine="480"/>
        <w:rPr>
          <w:rFonts w:hint="default" w:ascii="Arial" w:hAnsi="Arial" w:eastAsia="宋体" w:cs="Arial"/>
          <w:color w:val="auto"/>
          <w:highlight w:val="none"/>
        </w:rPr>
      </w:pPr>
      <w:r>
        <w:rPr>
          <w:rFonts w:hint="default" w:ascii="Arial" w:hAnsi="Arial" w:eastAsia="宋体" w:cs="Arial"/>
          <w:color w:val="auto"/>
          <w:highlight w:val="none"/>
        </w:rPr>
        <w:t>2）建设单位应如实填写《中华人民共和国规范化排污口标识登记证》的有关内容，由生态环境主管部门签发登记证。建设单位应把有关排污情况如排污口的性质、编号、排污口的位置以及主要排放的污染物种类、数量、浓度、排放规律及污染治理设施的运行情况等进行建档管理，并报送生态环境主管部门备案。</w:t>
      </w:r>
    </w:p>
    <w:p>
      <w:pPr>
        <w:ind w:firstLine="480"/>
        <w:rPr>
          <w:rFonts w:hint="default" w:ascii="Arial" w:hAnsi="Arial" w:eastAsia="宋体" w:cs="Arial"/>
          <w:color w:val="auto"/>
          <w:highlight w:val="none"/>
        </w:rPr>
      </w:pPr>
      <w:r>
        <w:rPr>
          <w:rFonts w:hint="default" w:ascii="Arial" w:hAnsi="Arial" w:eastAsia="宋体" w:cs="Arial"/>
          <w:color w:val="auto"/>
          <w:highlight w:val="none"/>
        </w:rPr>
        <w:t>《〈环境保护图形标志〉实施细则(试行)》（环监[1996]463号）中规定的各类排放口环境保护图形标志牌的要求如图9.2-1。</w:t>
      </w:r>
    </w:p>
    <w:p>
      <w:pPr>
        <w:pStyle w:val="8"/>
        <w:rPr>
          <w:rFonts w:hint="default" w:ascii="Arial" w:hAnsi="Arial" w:eastAsia="宋体" w:cs="Arial"/>
          <w:color w:val="auto"/>
          <w:highlight w:val="none"/>
        </w:rPr>
      </w:pPr>
      <w:r>
        <w:rPr>
          <w:rFonts w:hint="default" w:ascii="Arial" w:hAnsi="Arial" w:eastAsia="宋体" w:cs="Arial"/>
          <w:color w:val="auto"/>
          <w:highlight w:val="none"/>
        </w:rPr>
        <w:t>图9.2-1    项目污染源排放口图形标志</w:t>
      </w:r>
    </w:p>
    <w:tbl>
      <w:tblPr>
        <w:tblStyle w:val="39"/>
        <w:tblW w:w="9003" w:type="dxa"/>
        <w:tblInd w:w="0" w:type="dxa"/>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550"/>
        <w:gridCol w:w="1792"/>
        <w:gridCol w:w="2313"/>
        <w:gridCol w:w="2347"/>
        <w:gridCol w:w="2001"/>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c>
          <w:tcPr>
            <w:tcW w:w="550" w:type="dxa"/>
            <w:vAlign w:val="center"/>
          </w:tcPr>
          <w:p>
            <w:pPr>
              <w:pStyle w:val="63"/>
              <w:rPr>
                <w:rFonts w:hint="default" w:ascii="Arial" w:hAnsi="Arial" w:eastAsia="宋体" w:cs="Arial"/>
                <w:color w:val="auto"/>
                <w:kern w:val="0"/>
                <w:highlight w:val="none"/>
              </w:rPr>
            </w:pPr>
            <w:r>
              <w:rPr>
                <w:rFonts w:hint="default" w:ascii="Arial" w:hAnsi="Arial" w:eastAsia="宋体" w:cs="Arial"/>
                <w:color w:val="auto"/>
                <w:kern w:val="0"/>
                <w:highlight w:val="none"/>
              </w:rPr>
              <w:t>序号</w:t>
            </w:r>
          </w:p>
        </w:tc>
        <w:tc>
          <w:tcPr>
            <w:tcW w:w="1792" w:type="dxa"/>
            <w:vAlign w:val="center"/>
          </w:tcPr>
          <w:p>
            <w:pPr>
              <w:pStyle w:val="63"/>
              <w:rPr>
                <w:rFonts w:hint="default" w:ascii="Arial" w:hAnsi="Arial" w:eastAsia="宋体" w:cs="Arial"/>
                <w:color w:val="auto"/>
                <w:kern w:val="0"/>
                <w:highlight w:val="none"/>
              </w:rPr>
            </w:pPr>
            <w:r>
              <w:rPr>
                <w:rFonts w:hint="default" w:ascii="Arial" w:hAnsi="Arial" w:eastAsia="宋体" w:cs="Arial"/>
                <w:color w:val="auto"/>
                <w:kern w:val="0"/>
                <w:highlight w:val="none"/>
              </w:rPr>
              <w:t>标志名称及</w:t>
            </w:r>
          </w:p>
          <w:p>
            <w:pPr>
              <w:pStyle w:val="63"/>
              <w:rPr>
                <w:rFonts w:hint="default" w:ascii="Arial" w:hAnsi="Arial" w:eastAsia="宋体" w:cs="Arial"/>
                <w:color w:val="auto"/>
                <w:kern w:val="0"/>
                <w:highlight w:val="none"/>
              </w:rPr>
            </w:pPr>
            <w:r>
              <w:rPr>
                <w:rFonts w:hint="default" w:ascii="Arial" w:hAnsi="Arial" w:eastAsia="宋体" w:cs="Arial"/>
                <w:color w:val="auto"/>
                <w:kern w:val="0"/>
                <w:highlight w:val="none"/>
              </w:rPr>
              <w:t>标示位置</w:t>
            </w:r>
          </w:p>
        </w:tc>
        <w:tc>
          <w:tcPr>
            <w:tcW w:w="2313" w:type="dxa"/>
            <w:vAlign w:val="center"/>
          </w:tcPr>
          <w:p>
            <w:pPr>
              <w:pStyle w:val="63"/>
              <w:rPr>
                <w:rFonts w:hint="default" w:ascii="Arial" w:hAnsi="Arial" w:eastAsia="宋体" w:cs="Arial"/>
                <w:color w:val="auto"/>
                <w:kern w:val="0"/>
                <w:highlight w:val="none"/>
              </w:rPr>
            </w:pPr>
            <w:r>
              <w:rPr>
                <w:rFonts w:hint="default" w:ascii="Arial" w:hAnsi="Arial" w:eastAsia="宋体" w:cs="Arial"/>
                <w:color w:val="auto"/>
                <w:kern w:val="0"/>
                <w:highlight w:val="none"/>
              </w:rPr>
              <w:t>提示图形符号</w:t>
            </w:r>
          </w:p>
        </w:tc>
        <w:tc>
          <w:tcPr>
            <w:tcW w:w="2347" w:type="dxa"/>
            <w:vAlign w:val="center"/>
          </w:tcPr>
          <w:p>
            <w:pPr>
              <w:pStyle w:val="63"/>
              <w:rPr>
                <w:rFonts w:hint="default" w:ascii="Arial" w:hAnsi="Arial" w:eastAsia="宋体" w:cs="Arial"/>
                <w:color w:val="auto"/>
                <w:kern w:val="0"/>
                <w:highlight w:val="none"/>
              </w:rPr>
            </w:pPr>
            <w:r>
              <w:rPr>
                <w:rFonts w:hint="default" w:ascii="Arial" w:hAnsi="Arial" w:eastAsia="宋体" w:cs="Arial"/>
                <w:color w:val="auto"/>
                <w:kern w:val="0"/>
                <w:highlight w:val="none"/>
              </w:rPr>
              <w:t>警告图形符合</w:t>
            </w:r>
          </w:p>
        </w:tc>
        <w:tc>
          <w:tcPr>
            <w:tcW w:w="2001" w:type="dxa"/>
            <w:vAlign w:val="center"/>
          </w:tcPr>
          <w:p>
            <w:pPr>
              <w:pStyle w:val="63"/>
              <w:rPr>
                <w:rFonts w:hint="default" w:ascii="Arial" w:hAnsi="Arial" w:eastAsia="宋体" w:cs="Arial"/>
                <w:color w:val="auto"/>
                <w:kern w:val="0"/>
                <w:highlight w:val="none"/>
              </w:rPr>
            </w:pPr>
            <w:r>
              <w:rPr>
                <w:rFonts w:hint="default" w:ascii="Arial" w:hAnsi="Arial" w:eastAsia="宋体" w:cs="Arial"/>
                <w:color w:val="auto"/>
                <w:kern w:val="0"/>
                <w:highlight w:val="none"/>
              </w:rPr>
              <w:t>功能说明</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c>
          <w:tcPr>
            <w:tcW w:w="550" w:type="dxa"/>
            <w:vAlign w:val="center"/>
          </w:tcPr>
          <w:p>
            <w:pPr>
              <w:pStyle w:val="63"/>
              <w:rPr>
                <w:rFonts w:hint="default" w:ascii="Arial" w:hAnsi="Arial" w:eastAsia="宋体" w:cs="Arial"/>
                <w:color w:val="auto"/>
                <w:kern w:val="0"/>
                <w:highlight w:val="none"/>
              </w:rPr>
            </w:pPr>
            <w:r>
              <w:rPr>
                <w:rFonts w:hint="default" w:ascii="Arial" w:hAnsi="Arial" w:eastAsia="宋体" w:cs="Arial"/>
                <w:color w:val="auto"/>
                <w:kern w:val="0"/>
                <w:highlight w:val="none"/>
              </w:rPr>
              <w:t>1</w:t>
            </w:r>
          </w:p>
        </w:tc>
        <w:tc>
          <w:tcPr>
            <w:tcW w:w="1792" w:type="dxa"/>
            <w:vAlign w:val="center"/>
          </w:tcPr>
          <w:p>
            <w:pPr>
              <w:pStyle w:val="63"/>
              <w:rPr>
                <w:rFonts w:hint="default" w:ascii="Arial" w:hAnsi="Arial" w:eastAsia="宋体" w:cs="Arial"/>
                <w:color w:val="auto"/>
                <w:kern w:val="0"/>
                <w:highlight w:val="none"/>
              </w:rPr>
            </w:pPr>
            <w:r>
              <w:rPr>
                <w:rFonts w:hint="default" w:ascii="Arial" w:hAnsi="Arial" w:eastAsia="宋体" w:cs="Arial"/>
                <w:color w:val="auto"/>
                <w:kern w:val="0"/>
                <w:highlight w:val="none"/>
              </w:rPr>
              <w:t>噪声排放源</w:t>
            </w:r>
          </w:p>
          <w:p>
            <w:pPr>
              <w:pStyle w:val="63"/>
              <w:rPr>
                <w:rFonts w:hint="default" w:ascii="Arial" w:hAnsi="Arial" w:eastAsia="宋体" w:cs="Arial"/>
                <w:color w:val="auto"/>
                <w:kern w:val="0"/>
                <w:highlight w:val="none"/>
              </w:rPr>
            </w:pPr>
            <w:r>
              <w:rPr>
                <w:rFonts w:hint="default" w:ascii="Arial" w:hAnsi="Arial" w:eastAsia="宋体" w:cs="Arial"/>
                <w:color w:val="auto"/>
                <w:kern w:val="0"/>
                <w:highlight w:val="none"/>
              </w:rPr>
              <w:t>产噪设备</w:t>
            </w:r>
          </w:p>
        </w:tc>
        <w:tc>
          <w:tcPr>
            <w:tcW w:w="2313" w:type="dxa"/>
            <w:vAlign w:val="center"/>
          </w:tcPr>
          <w:p>
            <w:pPr>
              <w:pStyle w:val="63"/>
              <w:spacing w:line="240" w:lineRule="auto"/>
              <w:rPr>
                <w:rFonts w:hint="default" w:ascii="Arial" w:hAnsi="Arial" w:eastAsia="宋体" w:cs="Arial"/>
                <w:color w:val="auto"/>
                <w:kern w:val="0"/>
                <w:highlight w:val="none"/>
              </w:rPr>
            </w:pPr>
            <w:r>
              <w:rPr>
                <w:rFonts w:hint="default" w:ascii="Arial" w:hAnsi="Arial" w:eastAsia="宋体" w:cs="Arial"/>
                <w:color w:val="auto"/>
                <w:kern w:val="0"/>
                <w:highlight w:val="none"/>
              </w:rPr>
              <w:drawing>
                <wp:inline distT="0" distB="0" distL="0" distR="0">
                  <wp:extent cx="1281430" cy="1652270"/>
                  <wp:effectExtent l="0" t="0" r="0" b="0"/>
                  <wp:docPr id="40" name="图片 35" descr="C:\Users\ADMINI~1\AppData\Local\Temp\152714587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35" descr="C:\Users\ADMINI~1\AppData\Local\Temp\1527145873(1).png"/>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a:xfrm>
                            <a:off x="0" y="0"/>
                            <a:ext cx="1281600" cy="1652400"/>
                          </a:xfrm>
                          <a:prstGeom prst="rect">
                            <a:avLst/>
                          </a:prstGeom>
                          <a:noFill/>
                          <a:ln>
                            <a:noFill/>
                          </a:ln>
                        </pic:spPr>
                      </pic:pic>
                    </a:graphicData>
                  </a:graphic>
                </wp:inline>
              </w:drawing>
            </w:r>
          </w:p>
        </w:tc>
        <w:tc>
          <w:tcPr>
            <w:tcW w:w="2347" w:type="dxa"/>
            <w:vAlign w:val="center"/>
          </w:tcPr>
          <w:p>
            <w:pPr>
              <w:pStyle w:val="63"/>
              <w:spacing w:line="240" w:lineRule="auto"/>
              <w:rPr>
                <w:rFonts w:hint="default" w:ascii="Arial" w:hAnsi="Arial" w:eastAsia="宋体" w:cs="Arial"/>
                <w:color w:val="auto"/>
                <w:kern w:val="0"/>
                <w:highlight w:val="none"/>
              </w:rPr>
            </w:pPr>
            <w:r>
              <w:rPr>
                <w:rFonts w:hint="default" w:ascii="Arial" w:hAnsi="Arial" w:eastAsia="宋体" w:cs="Arial"/>
                <w:color w:val="auto"/>
                <w:kern w:val="0"/>
                <w:highlight w:val="none"/>
              </w:rPr>
              <w:drawing>
                <wp:inline distT="0" distB="0" distL="0" distR="0">
                  <wp:extent cx="1281430" cy="1652270"/>
                  <wp:effectExtent l="0" t="0" r="0" b="0"/>
                  <wp:docPr id="41" name="图片 36" descr="C:\Users\ADMINI~1\AppData\Local\Temp\152714587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36" descr="C:\Users\ADMINI~1\AppData\Local\Temp\1527145873(1).png"/>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a:xfrm>
                            <a:off x="0" y="0"/>
                            <a:ext cx="1281600" cy="1652400"/>
                          </a:xfrm>
                          <a:prstGeom prst="rect">
                            <a:avLst/>
                          </a:prstGeom>
                          <a:noFill/>
                          <a:ln>
                            <a:noFill/>
                          </a:ln>
                        </pic:spPr>
                      </pic:pic>
                    </a:graphicData>
                  </a:graphic>
                </wp:inline>
              </w:drawing>
            </w:r>
          </w:p>
        </w:tc>
        <w:tc>
          <w:tcPr>
            <w:tcW w:w="2001" w:type="dxa"/>
            <w:vAlign w:val="center"/>
          </w:tcPr>
          <w:p>
            <w:pPr>
              <w:pStyle w:val="63"/>
              <w:rPr>
                <w:rFonts w:hint="default" w:ascii="Arial" w:hAnsi="Arial" w:eastAsia="宋体" w:cs="Arial"/>
                <w:color w:val="auto"/>
                <w:kern w:val="0"/>
                <w:highlight w:val="none"/>
              </w:rPr>
            </w:pPr>
            <w:r>
              <w:rPr>
                <w:rFonts w:hint="default" w:ascii="Arial" w:hAnsi="Arial" w:eastAsia="宋体" w:cs="Arial"/>
                <w:color w:val="auto"/>
                <w:kern w:val="0"/>
                <w:highlight w:val="none"/>
              </w:rPr>
              <w:t>表示噪声向外环境排放</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c>
          <w:tcPr>
            <w:tcW w:w="550" w:type="dxa"/>
            <w:vAlign w:val="center"/>
          </w:tcPr>
          <w:p>
            <w:pPr>
              <w:pStyle w:val="63"/>
              <w:rPr>
                <w:rFonts w:hint="default" w:ascii="Arial" w:hAnsi="Arial" w:eastAsia="宋体" w:cs="Arial"/>
                <w:color w:val="auto"/>
                <w:kern w:val="0"/>
                <w:highlight w:val="none"/>
              </w:rPr>
            </w:pPr>
            <w:r>
              <w:rPr>
                <w:rFonts w:hint="default" w:ascii="Arial" w:hAnsi="Arial" w:eastAsia="宋体" w:cs="Arial"/>
                <w:color w:val="auto"/>
                <w:kern w:val="0"/>
                <w:highlight w:val="none"/>
              </w:rPr>
              <w:t>2</w:t>
            </w:r>
          </w:p>
        </w:tc>
        <w:tc>
          <w:tcPr>
            <w:tcW w:w="1792" w:type="dxa"/>
            <w:vAlign w:val="center"/>
          </w:tcPr>
          <w:p>
            <w:pPr>
              <w:pStyle w:val="63"/>
              <w:rPr>
                <w:rFonts w:hint="default" w:ascii="Arial" w:hAnsi="Arial" w:eastAsia="宋体" w:cs="Arial"/>
                <w:color w:val="auto"/>
                <w:kern w:val="0"/>
                <w:highlight w:val="none"/>
              </w:rPr>
            </w:pPr>
            <w:r>
              <w:rPr>
                <w:rFonts w:hint="default" w:ascii="Arial" w:hAnsi="Arial" w:eastAsia="宋体" w:cs="Arial"/>
                <w:color w:val="auto"/>
                <w:kern w:val="0"/>
                <w:highlight w:val="none"/>
              </w:rPr>
              <w:t>一般固废</w:t>
            </w:r>
          </w:p>
          <w:p>
            <w:pPr>
              <w:pStyle w:val="63"/>
              <w:rPr>
                <w:rFonts w:hint="default" w:ascii="Arial" w:hAnsi="Arial" w:eastAsia="宋体" w:cs="Arial"/>
                <w:color w:val="auto"/>
                <w:kern w:val="0"/>
                <w:highlight w:val="none"/>
              </w:rPr>
            </w:pPr>
            <w:r>
              <w:rPr>
                <w:rFonts w:hint="default" w:ascii="Arial" w:hAnsi="Arial" w:eastAsia="宋体" w:cs="Arial"/>
                <w:color w:val="auto"/>
                <w:kern w:val="0"/>
                <w:highlight w:val="none"/>
              </w:rPr>
              <w:t>一般固废暂存场所</w:t>
            </w:r>
          </w:p>
        </w:tc>
        <w:tc>
          <w:tcPr>
            <w:tcW w:w="2313" w:type="dxa"/>
            <w:vAlign w:val="center"/>
          </w:tcPr>
          <w:p>
            <w:pPr>
              <w:pStyle w:val="63"/>
              <w:spacing w:line="240" w:lineRule="auto"/>
              <w:rPr>
                <w:rFonts w:hint="default" w:ascii="Arial" w:hAnsi="Arial" w:eastAsia="宋体" w:cs="Arial"/>
                <w:color w:val="auto"/>
                <w:kern w:val="0"/>
                <w:highlight w:val="none"/>
              </w:rPr>
            </w:pPr>
            <w:r>
              <w:rPr>
                <w:rFonts w:hint="default" w:ascii="Arial" w:hAnsi="Arial" w:eastAsia="宋体" w:cs="Arial"/>
                <w:color w:val="auto"/>
                <w:highlight w:val="none"/>
              </w:rPr>
              <w:drawing>
                <wp:inline distT="0" distB="0" distL="0" distR="0">
                  <wp:extent cx="1295400" cy="1652270"/>
                  <wp:effectExtent l="0" t="0" r="0" b="0"/>
                  <wp:docPr id="28" name="currentImg" descr="https://ss3.bdstatic.com/70cFv8Sh_Q1YnxGkpoWK1HF6hhy/it/u=3971714203,1921564374&amp;fm=26&amp;gp=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currentImg" descr="https://ss3.bdstatic.com/70cFv8Sh_Q1YnxGkpoWK1HF6hhy/it/u=3971714203,1921564374&amp;fm=26&amp;gp=0.jpg"/>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a:xfrm>
                            <a:off x="0" y="0"/>
                            <a:ext cx="1296000" cy="1652400"/>
                          </a:xfrm>
                          <a:prstGeom prst="rect">
                            <a:avLst/>
                          </a:prstGeom>
                          <a:noFill/>
                          <a:ln>
                            <a:noFill/>
                          </a:ln>
                        </pic:spPr>
                      </pic:pic>
                    </a:graphicData>
                  </a:graphic>
                </wp:inline>
              </w:drawing>
            </w:r>
          </w:p>
        </w:tc>
        <w:tc>
          <w:tcPr>
            <w:tcW w:w="2347" w:type="dxa"/>
            <w:vAlign w:val="center"/>
          </w:tcPr>
          <w:p>
            <w:pPr>
              <w:pStyle w:val="63"/>
              <w:spacing w:line="240" w:lineRule="auto"/>
              <w:rPr>
                <w:rFonts w:hint="default" w:ascii="Arial" w:hAnsi="Arial" w:eastAsia="宋体" w:cs="Arial"/>
                <w:color w:val="auto"/>
                <w:kern w:val="0"/>
                <w:highlight w:val="none"/>
              </w:rPr>
            </w:pPr>
            <w:r>
              <w:rPr>
                <w:rFonts w:hint="default" w:ascii="Arial" w:hAnsi="Arial" w:eastAsia="宋体" w:cs="Arial"/>
                <w:color w:val="auto"/>
                <w:highlight w:val="none"/>
              </w:rPr>
              <w:drawing>
                <wp:inline distT="0" distB="0" distL="0" distR="0">
                  <wp:extent cx="1295400" cy="1562100"/>
                  <wp:effectExtent l="0" t="0" r="0" b="0"/>
                  <wp:docPr id="29" name="currentImg" descr="https://timgsa.baidu.com/timg?image&amp;quality=80&amp;size=b9999_10000&amp;sec=1591874896138&amp;di=ba4f2acdc68a5e94a0eb94acf06f5553&amp;imgtype=0&amp;src=http%3A%2F%2Fwww.mk-hk.com%2Ftp%2Fimage%2F20190818%2F201908180805256825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currentImg" descr="https://timgsa.baidu.com/timg?image&amp;quality=80&amp;size=b9999_10000&amp;sec=1591874896138&amp;di=ba4f2acdc68a5e94a0eb94acf06f5553&amp;imgtype=0&amp;src=http%3A%2F%2Fwww.mk-hk.com%2Ftp%2Fimage%2F20190818%2F20190818080525682568.jpg"/>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a:xfrm>
                            <a:off x="0" y="0"/>
                            <a:ext cx="1296000" cy="1562824"/>
                          </a:xfrm>
                          <a:prstGeom prst="rect">
                            <a:avLst/>
                          </a:prstGeom>
                          <a:noFill/>
                          <a:ln>
                            <a:noFill/>
                          </a:ln>
                        </pic:spPr>
                      </pic:pic>
                    </a:graphicData>
                  </a:graphic>
                </wp:inline>
              </w:drawing>
            </w:r>
          </w:p>
        </w:tc>
        <w:tc>
          <w:tcPr>
            <w:tcW w:w="2001" w:type="dxa"/>
            <w:vAlign w:val="center"/>
          </w:tcPr>
          <w:p>
            <w:pPr>
              <w:pStyle w:val="63"/>
              <w:rPr>
                <w:rFonts w:hint="default" w:ascii="Arial" w:hAnsi="Arial" w:eastAsia="宋体" w:cs="Arial"/>
                <w:color w:val="auto"/>
                <w:kern w:val="0"/>
                <w:highlight w:val="none"/>
              </w:rPr>
            </w:pPr>
            <w:r>
              <w:rPr>
                <w:rFonts w:hint="default" w:ascii="Arial" w:hAnsi="Arial" w:eastAsia="宋体" w:cs="Arial"/>
                <w:color w:val="auto"/>
                <w:kern w:val="0"/>
                <w:highlight w:val="none"/>
              </w:rPr>
              <w:t>表示一般固体废物贮存、处置场</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PrEx>
        <w:tc>
          <w:tcPr>
            <w:tcW w:w="550" w:type="dxa"/>
            <w:vAlign w:val="center"/>
          </w:tcPr>
          <w:p>
            <w:pPr>
              <w:pStyle w:val="63"/>
              <w:rPr>
                <w:rFonts w:hint="default" w:ascii="Arial" w:hAnsi="Arial" w:eastAsia="宋体" w:cs="Arial"/>
                <w:color w:val="auto"/>
                <w:kern w:val="0"/>
                <w:highlight w:val="none"/>
              </w:rPr>
            </w:pPr>
            <w:r>
              <w:rPr>
                <w:rFonts w:hint="default" w:ascii="Arial" w:hAnsi="Arial" w:eastAsia="宋体" w:cs="Arial"/>
                <w:color w:val="auto"/>
                <w:kern w:val="0"/>
                <w:highlight w:val="none"/>
              </w:rPr>
              <w:t>3</w:t>
            </w:r>
          </w:p>
        </w:tc>
        <w:tc>
          <w:tcPr>
            <w:tcW w:w="1792" w:type="dxa"/>
            <w:vAlign w:val="center"/>
          </w:tcPr>
          <w:p>
            <w:pPr>
              <w:pStyle w:val="63"/>
              <w:rPr>
                <w:rFonts w:hint="default" w:ascii="Arial" w:hAnsi="Arial" w:eastAsia="宋体" w:cs="Arial"/>
                <w:color w:val="auto"/>
                <w:kern w:val="0"/>
                <w:highlight w:val="none"/>
              </w:rPr>
            </w:pPr>
            <w:r>
              <w:rPr>
                <w:rFonts w:hint="default" w:ascii="Arial" w:hAnsi="Arial" w:eastAsia="宋体" w:cs="Arial"/>
                <w:color w:val="auto"/>
                <w:kern w:val="0"/>
                <w:highlight w:val="none"/>
              </w:rPr>
              <w:t>危险废物</w:t>
            </w:r>
          </w:p>
          <w:p>
            <w:pPr>
              <w:pStyle w:val="63"/>
              <w:rPr>
                <w:rFonts w:hint="default" w:ascii="Arial" w:hAnsi="Arial" w:eastAsia="宋体" w:cs="Arial"/>
                <w:color w:val="auto"/>
                <w:kern w:val="0"/>
                <w:highlight w:val="none"/>
              </w:rPr>
            </w:pPr>
            <w:r>
              <w:rPr>
                <w:rFonts w:hint="default" w:ascii="Arial" w:hAnsi="Arial" w:eastAsia="宋体" w:cs="Arial"/>
                <w:color w:val="auto"/>
                <w:kern w:val="0"/>
                <w:highlight w:val="none"/>
              </w:rPr>
              <w:t>危险废物暂存间</w:t>
            </w:r>
          </w:p>
        </w:tc>
        <w:tc>
          <w:tcPr>
            <w:tcW w:w="2313" w:type="dxa"/>
            <w:vAlign w:val="center"/>
          </w:tcPr>
          <w:p>
            <w:pPr>
              <w:pStyle w:val="63"/>
              <w:rPr>
                <w:rFonts w:hint="default" w:ascii="Arial" w:hAnsi="Arial" w:eastAsia="宋体" w:cs="Arial"/>
                <w:color w:val="auto"/>
                <w:kern w:val="0"/>
                <w:highlight w:val="none"/>
              </w:rPr>
            </w:pPr>
          </w:p>
        </w:tc>
        <w:tc>
          <w:tcPr>
            <w:tcW w:w="2347" w:type="dxa"/>
            <w:vAlign w:val="center"/>
          </w:tcPr>
          <w:p>
            <w:pPr>
              <w:pStyle w:val="63"/>
              <w:spacing w:line="240" w:lineRule="auto"/>
              <w:rPr>
                <w:rFonts w:hint="default" w:ascii="Arial" w:hAnsi="Arial" w:eastAsia="宋体" w:cs="Arial"/>
                <w:color w:val="auto"/>
                <w:kern w:val="0"/>
                <w:highlight w:val="none"/>
              </w:rPr>
            </w:pPr>
            <w:r>
              <w:rPr>
                <w:rFonts w:hint="default" w:ascii="Arial" w:hAnsi="Arial" w:eastAsia="宋体" w:cs="Arial"/>
                <w:color w:val="auto"/>
                <w:kern w:val="0"/>
                <w:highlight w:val="none"/>
              </w:rPr>
              <w:drawing>
                <wp:inline distT="0" distB="0" distL="0" distR="0">
                  <wp:extent cx="1281430" cy="1655445"/>
                  <wp:effectExtent l="0" t="0" r="0" b="0"/>
                  <wp:docPr id="42" name="图片 37" descr="C:\Users\ADMINI~1\AppData\Local\Temp\152714587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37" descr="C:\Users\ADMINI~1\AppData\Local\Temp\1527145873(1).png"/>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a:xfrm>
                            <a:off x="0" y="0"/>
                            <a:ext cx="1281600" cy="1656000"/>
                          </a:xfrm>
                          <a:prstGeom prst="rect">
                            <a:avLst/>
                          </a:prstGeom>
                          <a:noFill/>
                          <a:ln>
                            <a:noFill/>
                          </a:ln>
                        </pic:spPr>
                      </pic:pic>
                    </a:graphicData>
                  </a:graphic>
                </wp:inline>
              </w:drawing>
            </w:r>
          </w:p>
        </w:tc>
        <w:tc>
          <w:tcPr>
            <w:tcW w:w="2001" w:type="dxa"/>
            <w:vAlign w:val="center"/>
          </w:tcPr>
          <w:p>
            <w:pPr>
              <w:pStyle w:val="63"/>
              <w:rPr>
                <w:rFonts w:hint="default" w:ascii="Arial" w:hAnsi="Arial" w:eastAsia="宋体" w:cs="Arial"/>
                <w:color w:val="auto"/>
                <w:kern w:val="0"/>
                <w:highlight w:val="none"/>
              </w:rPr>
            </w:pPr>
            <w:r>
              <w:rPr>
                <w:rFonts w:hint="default" w:ascii="Arial" w:hAnsi="Arial" w:eastAsia="宋体" w:cs="Arial"/>
                <w:color w:val="auto"/>
                <w:kern w:val="0"/>
                <w:szCs w:val="21"/>
                <w:highlight w:val="none"/>
              </w:rPr>
              <w:t>表示危险废物贮存、处置场</w:t>
            </w:r>
          </w:p>
        </w:tc>
      </w:tr>
    </w:tbl>
    <w:p>
      <w:pPr>
        <w:ind w:firstLine="480"/>
        <w:rPr>
          <w:rFonts w:hint="default" w:ascii="Arial" w:hAnsi="Arial" w:eastAsia="宋体" w:cs="Arial"/>
          <w:color w:val="auto"/>
          <w:highlight w:val="none"/>
        </w:rPr>
      </w:pPr>
      <w:r>
        <w:rPr>
          <w:rFonts w:hint="default" w:ascii="Arial" w:hAnsi="Arial" w:eastAsia="宋体" w:cs="Arial"/>
          <w:color w:val="auto"/>
          <w:highlight w:val="none"/>
        </w:rPr>
        <w:t>本工程排污口使用国家环保局统一印制的《中华人民共和国规范化排污口标志登记证》，并按要求填写有关内容；</w:t>
      </w:r>
    </w:p>
    <w:p>
      <w:pPr>
        <w:ind w:firstLine="480"/>
        <w:rPr>
          <w:rFonts w:hint="default" w:ascii="Arial" w:hAnsi="Arial" w:eastAsia="宋体" w:cs="Arial"/>
          <w:color w:val="auto"/>
          <w:highlight w:val="none"/>
        </w:rPr>
      </w:pPr>
      <w:r>
        <w:rPr>
          <w:rFonts w:hint="default" w:ascii="Arial" w:hAnsi="Arial" w:eastAsia="宋体" w:cs="Arial"/>
          <w:color w:val="auto"/>
          <w:highlight w:val="none"/>
        </w:rPr>
        <w:t>根据排污口管理内容要求，本工程建成投产后，应将主要污染物种类、数量、排放去向，立标情况及设施运行情况记录于档案。</w:t>
      </w:r>
    </w:p>
    <w:p>
      <w:pPr>
        <w:pStyle w:val="6"/>
        <w:rPr>
          <w:rFonts w:hint="default" w:ascii="Arial" w:hAnsi="Arial" w:eastAsia="宋体" w:cs="Arial"/>
          <w:color w:val="auto"/>
          <w:highlight w:val="none"/>
        </w:rPr>
      </w:pPr>
      <w:bookmarkStart w:id="592" w:name="_Toc41476878"/>
      <w:bookmarkStart w:id="593" w:name="_Toc31178"/>
      <w:r>
        <w:rPr>
          <w:rFonts w:hint="default" w:ascii="Arial" w:hAnsi="Arial" w:eastAsia="宋体" w:cs="Arial"/>
          <w:color w:val="auto"/>
          <w:highlight w:val="none"/>
        </w:rPr>
        <w:t>9.2.5环境风险应急</w:t>
      </w:r>
      <w:bookmarkEnd w:id="592"/>
      <w:bookmarkEnd w:id="593"/>
    </w:p>
    <w:p>
      <w:pPr>
        <w:ind w:firstLine="480"/>
        <w:rPr>
          <w:rFonts w:hint="default" w:ascii="Arial" w:hAnsi="Arial" w:eastAsia="宋体" w:cs="Arial"/>
          <w:color w:val="auto"/>
          <w:highlight w:val="none"/>
        </w:rPr>
      </w:pPr>
      <w:r>
        <w:rPr>
          <w:rFonts w:hint="default" w:ascii="Arial" w:hAnsi="Arial" w:eastAsia="宋体" w:cs="Arial"/>
          <w:color w:val="auto"/>
          <w:highlight w:val="none"/>
        </w:rPr>
        <w:t>企业必须建立风险事故应急方案，包括：</w:t>
      </w:r>
    </w:p>
    <w:p>
      <w:pPr>
        <w:ind w:firstLine="480"/>
        <w:rPr>
          <w:rFonts w:hint="default" w:ascii="Arial" w:hAnsi="Arial" w:eastAsia="宋体" w:cs="Arial"/>
          <w:color w:val="auto"/>
          <w:highlight w:val="none"/>
        </w:rPr>
      </w:pPr>
      <w:r>
        <w:rPr>
          <w:rFonts w:hint="default" w:ascii="Arial" w:hAnsi="Arial" w:eastAsia="宋体" w:cs="Arial"/>
          <w:color w:val="auto"/>
          <w:highlight w:val="none"/>
        </w:rPr>
        <w:t>（1）制定风险应急预案。</w:t>
      </w:r>
    </w:p>
    <w:p>
      <w:pPr>
        <w:ind w:firstLine="480"/>
        <w:rPr>
          <w:rFonts w:hint="default" w:ascii="Arial" w:hAnsi="Arial" w:eastAsia="宋体" w:cs="Arial"/>
          <w:color w:val="auto"/>
          <w:highlight w:val="none"/>
        </w:rPr>
      </w:pPr>
      <w:r>
        <w:rPr>
          <w:rFonts w:hint="default" w:ascii="Arial" w:hAnsi="Arial" w:eastAsia="宋体" w:cs="Arial"/>
          <w:color w:val="auto"/>
          <w:highlight w:val="none"/>
        </w:rPr>
        <w:t>（2）建立异常事件预警系统。</w:t>
      </w:r>
    </w:p>
    <w:p>
      <w:pPr>
        <w:ind w:firstLine="480"/>
        <w:rPr>
          <w:rFonts w:hint="default" w:ascii="Arial" w:hAnsi="Arial" w:eastAsia="宋体" w:cs="Arial"/>
          <w:color w:val="auto"/>
          <w:highlight w:val="none"/>
        </w:rPr>
      </w:pPr>
      <w:r>
        <w:rPr>
          <w:rFonts w:hint="default" w:ascii="Arial" w:hAnsi="Arial" w:eastAsia="宋体" w:cs="Arial"/>
          <w:color w:val="auto"/>
          <w:highlight w:val="none"/>
        </w:rPr>
        <w:t>（3）设立报告制度。</w:t>
      </w:r>
    </w:p>
    <w:p>
      <w:pPr>
        <w:ind w:firstLine="480"/>
        <w:rPr>
          <w:rFonts w:hint="default" w:ascii="Arial" w:hAnsi="Arial" w:eastAsia="宋体" w:cs="Arial"/>
          <w:color w:val="auto"/>
          <w:highlight w:val="none"/>
        </w:rPr>
      </w:pPr>
      <w:r>
        <w:rPr>
          <w:rFonts w:hint="default" w:ascii="Arial" w:hAnsi="Arial" w:eastAsia="宋体" w:cs="Arial"/>
          <w:color w:val="auto"/>
          <w:highlight w:val="none"/>
        </w:rPr>
        <w:t>（4）提出消除事故影响的措施。</w:t>
      </w:r>
    </w:p>
    <w:p>
      <w:pPr>
        <w:ind w:firstLine="480"/>
        <w:rPr>
          <w:rFonts w:hint="default" w:ascii="Arial" w:hAnsi="Arial" w:eastAsia="宋体" w:cs="Arial"/>
          <w:color w:val="auto"/>
          <w:highlight w:val="none"/>
        </w:rPr>
      </w:pPr>
      <w:r>
        <w:rPr>
          <w:rFonts w:hint="default" w:ascii="Arial" w:hAnsi="Arial" w:eastAsia="宋体" w:cs="Arial"/>
          <w:color w:val="auto"/>
          <w:highlight w:val="none"/>
        </w:rPr>
        <w:t>（5）建立事故环境影响消除的审核制度。</w:t>
      </w:r>
    </w:p>
    <w:p>
      <w:pPr>
        <w:pStyle w:val="6"/>
        <w:rPr>
          <w:rFonts w:hint="default" w:ascii="Arial" w:hAnsi="Arial" w:eastAsia="宋体" w:cs="Arial"/>
          <w:color w:val="auto"/>
          <w:highlight w:val="none"/>
        </w:rPr>
      </w:pPr>
      <w:bookmarkStart w:id="594" w:name="_Toc41476879"/>
      <w:bookmarkStart w:id="595" w:name="_Toc16609"/>
      <w:r>
        <w:rPr>
          <w:rFonts w:hint="default" w:ascii="Arial" w:hAnsi="Arial" w:eastAsia="宋体" w:cs="Arial"/>
          <w:color w:val="auto"/>
          <w:highlight w:val="none"/>
        </w:rPr>
        <w:t>9.2.6向生态环境主管部门报告制度</w:t>
      </w:r>
      <w:bookmarkEnd w:id="594"/>
      <w:bookmarkEnd w:id="595"/>
    </w:p>
    <w:p>
      <w:pPr>
        <w:ind w:firstLine="480"/>
        <w:rPr>
          <w:rFonts w:hint="default" w:ascii="Arial" w:hAnsi="Arial" w:eastAsia="宋体" w:cs="Arial"/>
          <w:color w:val="auto"/>
          <w:highlight w:val="none"/>
        </w:rPr>
      </w:pPr>
      <w:r>
        <w:rPr>
          <w:rFonts w:hint="default" w:ascii="Arial" w:hAnsi="Arial" w:eastAsia="宋体" w:cs="Arial"/>
          <w:color w:val="auto"/>
          <w:highlight w:val="none"/>
        </w:rPr>
        <w:t>建设单位应制定向生态环境主管部门报告制度，定期向生态环境部门报告防治地下水、大气污染等方面的信息。</w:t>
      </w:r>
    </w:p>
    <w:p>
      <w:pPr>
        <w:ind w:firstLine="480"/>
        <w:rPr>
          <w:rFonts w:hint="default" w:ascii="Arial" w:hAnsi="Arial" w:eastAsia="宋体" w:cs="Arial"/>
          <w:color w:val="auto"/>
          <w:highlight w:val="none"/>
        </w:rPr>
      </w:pPr>
      <w:r>
        <w:rPr>
          <w:rFonts w:hint="default" w:ascii="Arial" w:hAnsi="Arial" w:eastAsia="宋体" w:cs="Arial"/>
          <w:color w:val="auto"/>
          <w:highlight w:val="none"/>
        </w:rPr>
        <w:t>报告应由企业环保管理部门草拟，经总经理或环保工作领导小组确认后，以书面形式向生态环境主管部门报告。报告的频次建议为至少每</w:t>
      </w:r>
      <w:r>
        <w:rPr>
          <w:rFonts w:hint="default" w:ascii="Arial" w:hAnsi="Arial" w:eastAsia="宋体" w:cs="Arial"/>
          <w:color w:val="auto"/>
          <w:highlight w:val="none"/>
          <w:lang w:eastAsia="zh-CN"/>
        </w:rPr>
        <w:t>半年</w:t>
      </w:r>
      <w:r>
        <w:rPr>
          <w:rFonts w:hint="default" w:ascii="Arial" w:hAnsi="Arial" w:eastAsia="宋体" w:cs="Arial"/>
          <w:color w:val="auto"/>
          <w:highlight w:val="none"/>
        </w:rPr>
        <w:t>一次。</w:t>
      </w:r>
    </w:p>
    <w:p>
      <w:pPr>
        <w:ind w:firstLine="480"/>
        <w:rPr>
          <w:rFonts w:hint="default" w:ascii="Arial" w:hAnsi="Arial" w:eastAsia="宋体" w:cs="Arial"/>
          <w:color w:val="auto"/>
          <w:highlight w:val="none"/>
        </w:rPr>
      </w:pPr>
      <w:r>
        <w:rPr>
          <w:rFonts w:hint="default" w:ascii="Arial" w:hAnsi="Arial" w:eastAsia="宋体" w:cs="Arial"/>
          <w:color w:val="auto"/>
          <w:highlight w:val="none"/>
        </w:rPr>
        <w:t>报告的内容应包括：所在场地及其影响区地下水环境、大气环境等监测数据，排放污染物的种类、数量、浓度，以及排放设施、治理措施运行状况和运行效果等。</w:t>
      </w:r>
    </w:p>
    <w:p>
      <w:pPr>
        <w:pStyle w:val="6"/>
        <w:rPr>
          <w:rFonts w:hint="default" w:ascii="Arial" w:hAnsi="Arial" w:eastAsia="宋体" w:cs="Arial"/>
          <w:color w:val="auto"/>
          <w:highlight w:val="none"/>
        </w:rPr>
      </w:pPr>
      <w:bookmarkStart w:id="596" w:name="_Toc41476880"/>
      <w:bookmarkStart w:id="597" w:name="_Toc6758"/>
      <w:r>
        <w:rPr>
          <w:rFonts w:hint="default" w:ascii="Arial" w:hAnsi="Arial" w:eastAsia="宋体" w:cs="Arial"/>
          <w:color w:val="auto"/>
          <w:highlight w:val="none"/>
        </w:rPr>
        <w:t>9.2.7企业环境信息公开</w:t>
      </w:r>
      <w:bookmarkEnd w:id="596"/>
      <w:bookmarkEnd w:id="597"/>
    </w:p>
    <w:p>
      <w:pPr>
        <w:ind w:firstLine="480"/>
        <w:rPr>
          <w:rFonts w:hint="default" w:ascii="Arial" w:hAnsi="Arial" w:eastAsia="宋体" w:cs="Arial"/>
          <w:color w:val="auto"/>
          <w:highlight w:val="none"/>
        </w:rPr>
      </w:pPr>
      <w:r>
        <w:rPr>
          <w:rFonts w:hint="default" w:ascii="Arial" w:hAnsi="Arial" w:eastAsia="宋体" w:cs="Arial"/>
          <w:color w:val="auto"/>
          <w:highlight w:val="none"/>
        </w:rPr>
        <w:t>建设单位按照《关于加强污染源环境监管信息公开工作的通知》（环发[2013]74号）及《企业事业单位环境信息公开办法》（环保部令第31号）的要求，在重点排污单位名录公布后九十日内，对以下内容进行公开：</w:t>
      </w:r>
    </w:p>
    <w:p>
      <w:pPr>
        <w:ind w:firstLine="480"/>
        <w:rPr>
          <w:rFonts w:hint="default" w:ascii="Arial" w:hAnsi="Arial" w:eastAsia="宋体" w:cs="Arial"/>
          <w:color w:val="auto"/>
          <w:highlight w:val="none"/>
        </w:rPr>
      </w:pPr>
      <w:r>
        <w:rPr>
          <w:rFonts w:hint="default" w:ascii="Arial" w:hAnsi="Arial" w:eastAsia="宋体" w:cs="Arial"/>
          <w:color w:val="auto"/>
          <w:highlight w:val="none"/>
        </w:rPr>
        <w:t>1）建设单位名称、组织机构代码、法定代表人、生产地址、联系方式，以及生产经营和管理服务的主要内容、产品及规模；</w:t>
      </w:r>
    </w:p>
    <w:p>
      <w:pPr>
        <w:ind w:firstLine="480"/>
        <w:rPr>
          <w:rFonts w:hint="default" w:ascii="Arial" w:hAnsi="Arial" w:eastAsia="宋体" w:cs="Arial"/>
          <w:color w:val="auto"/>
          <w:highlight w:val="none"/>
        </w:rPr>
      </w:pPr>
      <w:r>
        <w:rPr>
          <w:rFonts w:hint="default" w:ascii="Arial" w:hAnsi="Arial" w:eastAsia="宋体" w:cs="Arial"/>
          <w:color w:val="auto"/>
          <w:highlight w:val="none"/>
        </w:rPr>
        <w:t>2）污染物及特征污染物的名称、排放方式、排放口数量和分布情况、排放浓度和总量、超标情况，以及执行的污染物排放标准、核定的排放总量；</w:t>
      </w:r>
    </w:p>
    <w:p>
      <w:pPr>
        <w:ind w:firstLine="480"/>
        <w:rPr>
          <w:rFonts w:hint="default" w:ascii="Arial" w:hAnsi="Arial" w:eastAsia="宋体" w:cs="Arial"/>
          <w:color w:val="auto"/>
          <w:highlight w:val="none"/>
        </w:rPr>
      </w:pPr>
      <w:r>
        <w:rPr>
          <w:rFonts w:hint="default" w:ascii="Arial" w:hAnsi="Arial" w:eastAsia="宋体" w:cs="Arial"/>
          <w:color w:val="auto"/>
          <w:highlight w:val="none"/>
        </w:rPr>
        <w:t>3）防治污染设施的建设和运行情况；</w:t>
      </w:r>
    </w:p>
    <w:p>
      <w:pPr>
        <w:ind w:firstLine="480"/>
        <w:rPr>
          <w:rFonts w:hint="default" w:ascii="Arial" w:hAnsi="Arial" w:eastAsia="宋体" w:cs="Arial"/>
          <w:color w:val="auto"/>
          <w:highlight w:val="none"/>
        </w:rPr>
      </w:pPr>
      <w:r>
        <w:rPr>
          <w:rFonts w:hint="default" w:ascii="Arial" w:hAnsi="Arial" w:eastAsia="宋体" w:cs="Arial"/>
          <w:color w:val="auto"/>
          <w:highlight w:val="none"/>
        </w:rPr>
        <w:t>4）建设项目环境影响评价及其他环境保护行政许可情况；</w:t>
      </w:r>
    </w:p>
    <w:p>
      <w:pPr>
        <w:ind w:firstLine="480"/>
        <w:rPr>
          <w:rFonts w:hint="default" w:ascii="Arial" w:hAnsi="Arial" w:eastAsia="宋体" w:cs="Arial"/>
          <w:color w:val="auto"/>
          <w:highlight w:val="none"/>
        </w:rPr>
      </w:pPr>
      <w:r>
        <w:rPr>
          <w:rFonts w:hint="default" w:ascii="Arial" w:hAnsi="Arial" w:eastAsia="宋体" w:cs="Arial"/>
          <w:color w:val="auto"/>
          <w:highlight w:val="none"/>
        </w:rPr>
        <w:t>5）突发环境事件应急预案。</w:t>
      </w:r>
    </w:p>
    <w:p>
      <w:pPr>
        <w:ind w:firstLine="480"/>
        <w:rPr>
          <w:rFonts w:hint="default" w:ascii="Arial" w:hAnsi="Arial" w:eastAsia="宋体" w:cs="Arial"/>
          <w:color w:val="auto"/>
          <w:highlight w:val="none"/>
        </w:rPr>
      </w:pPr>
      <w:r>
        <w:rPr>
          <w:rFonts w:hint="default" w:ascii="Arial" w:hAnsi="Arial" w:eastAsia="宋体" w:cs="Arial"/>
          <w:color w:val="auto"/>
          <w:highlight w:val="none"/>
        </w:rPr>
        <w:t>公开方式：</w:t>
      </w:r>
    </w:p>
    <w:p>
      <w:pPr>
        <w:ind w:firstLine="480"/>
        <w:rPr>
          <w:rFonts w:hint="default" w:ascii="Arial" w:hAnsi="Arial" w:eastAsia="宋体" w:cs="Arial"/>
          <w:color w:val="auto"/>
          <w:highlight w:val="none"/>
        </w:rPr>
      </w:pPr>
      <w:r>
        <w:rPr>
          <w:rFonts w:hint="default" w:ascii="Arial" w:hAnsi="Arial" w:eastAsia="宋体" w:cs="Arial"/>
          <w:color w:val="auto"/>
          <w:highlight w:val="none"/>
        </w:rPr>
        <w:t>1）企业网站及当地政府网站；</w:t>
      </w:r>
    </w:p>
    <w:p>
      <w:pPr>
        <w:ind w:firstLine="480"/>
        <w:rPr>
          <w:rFonts w:hint="default" w:ascii="Arial" w:hAnsi="Arial" w:eastAsia="宋体" w:cs="Arial"/>
          <w:color w:val="auto"/>
          <w:highlight w:val="none"/>
        </w:rPr>
      </w:pPr>
      <w:r>
        <w:rPr>
          <w:rFonts w:hint="default" w:ascii="Arial" w:hAnsi="Arial" w:eastAsia="宋体" w:cs="Arial"/>
          <w:color w:val="auto"/>
          <w:highlight w:val="none"/>
        </w:rPr>
        <w:t>2）企业办公楼显示屏；</w:t>
      </w:r>
    </w:p>
    <w:p>
      <w:pPr>
        <w:ind w:firstLine="480"/>
        <w:rPr>
          <w:rFonts w:hint="default" w:ascii="Arial" w:hAnsi="Arial" w:eastAsia="宋体" w:cs="Arial"/>
          <w:color w:val="auto"/>
          <w:highlight w:val="none"/>
        </w:rPr>
      </w:pPr>
      <w:r>
        <w:rPr>
          <w:rFonts w:hint="default" w:ascii="Arial" w:hAnsi="Arial" w:eastAsia="宋体" w:cs="Arial"/>
          <w:color w:val="auto"/>
          <w:highlight w:val="none"/>
        </w:rPr>
        <w:t>3）企业公告栏、公示栏。</w:t>
      </w:r>
    </w:p>
    <w:p>
      <w:pPr>
        <w:ind w:firstLine="480"/>
        <w:rPr>
          <w:rFonts w:hint="default" w:ascii="Arial" w:hAnsi="Arial" w:eastAsia="宋体" w:cs="Arial"/>
          <w:color w:val="auto"/>
          <w:highlight w:val="none"/>
        </w:rPr>
      </w:pPr>
      <w:r>
        <w:rPr>
          <w:rFonts w:hint="default" w:ascii="Arial" w:hAnsi="Arial" w:eastAsia="宋体" w:cs="Arial"/>
          <w:color w:val="auto"/>
          <w:highlight w:val="none"/>
        </w:rPr>
        <w:t>同时，建设单位按照《关于加强企业环境信用体系建设的指导意见》（环发[2015]161号）的要求，定期在政府网站公布自身污染物监测数据以及区域环境质量现状监测数据。</w:t>
      </w:r>
    </w:p>
    <w:p>
      <w:pPr>
        <w:pStyle w:val="6"/>
        <w:rPr>
          <w:rFonts w:hint="default" w:ascii="Arial" w:hAnsi="Arial" w:eastAsia="宋体" w:cs="Arial"/>
          <w:color w:val="auto"/>
          <w:highlight w:val="none"/>
        </w:rPr>
      </w:pPr>
      <w:bookmarkStart w:id="598" w:name="_Toc41476881"/>
      <w:bookmarkStart w:id="599" w:name="_Toc18605"/>
      <w:r>
        <w:rPr>
          <w:rFonts w:hint="default" w:ascii="Arial" w:hAnsi="Arial" w:eastAsia="宋体" w:cs="Arial"/>
          <w:color w:val="auto"/>
          <w:highlight w:val="none"/>
        </w:rPr>
        <w:t>9.2.8日常环境管理台账</w:t>
      </w:r>
      <w:bookmarkEnd w:id="598"/>
      <w:bookmarkEnd w:id="599"/>
    </w:p>
    <w:p>
      <w:pPr>
        <w:ind w:firstLine="480"/>
        <w:rPr>
          <w:rFonts w:hint="default" w:ascii="Arial" w:hAnsi="Arial" w:eastAsia="宋体" w:cs="Arial"/>
          <w:color w:val="auto"/>
          <w:highlight w:val="none"/>
        </w:rPr>
      </w:pPr>
      <w:r>
        <w:rPr>
          <w:rFonts w:hint="default" w:ascii="Arial" w:hAnsi="Arial" w:eastAsia="宋体" w:cs="Arial"/>
          <w:color w:val="auto"/>
          <w:highlight w:val="none"/>
        </w:rPr>
        <w:t>企业需建立环境管理台账制度，定期记录汇总生产报表、原燃料报表、监测数据、环保设施台账</w:t>
      </w:r>
      <w:r>
        <w:rPr>
          <w:rFonts w:hint="default" w:ascii="Arial" w:hAnsi="Arial" w:eastAsia="宋体" w:cs="Arial"/>
          <w:color w:val="auto"/>
          <w:highlight w:val="none"/>
          <w:lang w:eastAsia="zh-CN"/>
        </w:rPr>
        <w:t>、</w:t>
      </w:r>
      <w:r>
        <w:rPr>
          <w:rFonts w:hint="default" w:ascii="Arial" w:hAnsi="Arial" w:eastAsia="宋体" w:cs="Arial"/>
          <w:color w:val="auto"/>
          <w:highlight w:val="none"/>
        </w:rPr>
        <w:t>固定污染源排放量核算报表等信息。企业应设置专职人员进行台帐的记录、整理、维护和管理，并在排污许可证管理信息平台实时记录。企业应对台账记录结果的真实性、准确性、完整性负责。</w:t>
      </w:r>
    </w:p>
    <w:p>
      <w:pPr>
        <w:pStyle w:val="5"/>
        <w:rPr>
          <w:rFonts w:hint="default" w:ascii="Arial" w:hAnsi="Arial" w:eastAsia="宋体" w:cs="Arial"/>
          <w:color w:val="auto"/>
          <w:highlight w:val="none"/>
        </w:rPr>
      </w:pPr>
      <w:bookmarkStart w:id="600" w:name="_Toc523322399"/>
      <w:bookmarkStart w:id="601" w:name="_Toc30657"/>
      <w:r>
        <w:rPr>
          <w:rFonts w:hint="default" w:ascii="Arial" w:hAnsi="Arial" w:eastAsia="宋体" w:cs="Arial"/>
          <w:color w:val="auto"/>
          <w:highlight w:val="none"/>
        </w:rPr>
        <w:t>9.3监测计划</w:t>
      </w:r>
      <w:bookmarkEnd w:id="600"/>
      <w:bookmarkEnd w:id="601"/>
    </w:p>
    <w:p>
      <w:pPr>
        <w:ind w:firstLine="480"/>
        <w:rPr>
          <w:rFonts w:hint="default" w:ascii="Arial" w:hAnsi="Arial" w:eastAsia="宋体" w:cs="Arial"/>
          <w:color w:val="auto"/>
          <w:highlight w:val="none"/>
        </w:rPr>
      </w:pPr>
      <w:r>
        <w:rPr>
          <w:rFonts w:hint="default" w:ascii="Arial" w:hAnsi="Arial" w:eastAsia="宋体" w:cs="Arial"/>
          <w:color w:val="auto"/>
          <w:highlight w:val="none"/>
        </w:rPr>
        <w:t>本次评价按照《排污单位自行监测技术指南总则》（HJ819-2017）、《排污许可证申请与核发技术规范 畜禽养殖行业》（HJ1029-2019）以及各环境要素导则、相关标准要求制定项目运营期监测计划。</w:t>
      </w:r>
    </w:p>
    <w:p>
      <w:pPr>
        <w:ind w:firstLine="480"/>
        <w:rPr>
          <w:rFonts w:hint="default" w:ascii="Arial" w:hAnsi="Arial" w:eastAsia="宋体" w:cs="Arial"/>
          <w:color w:val="auto"/>
          <w:highlight w:val="none"/>
        </w:rPr>
      </w:pPr>
      <w:r>
        <w:rPr>
          <w:rFonts w:hint="default" w:ascii="Arial" w:hAnsi="Arial" w:eastAsia="宋体" w:cs="Arial"/>
          <w:color w:val="auto"/>
          <w:highlight w:val="none"/>
        </w:rPr>
        <w:t>排污单位应在生产运行阶段对其排放的废水、废气、噪声以及对周边环境质量影响开展监测，本工程的环境监测计划应包括二部分：一为竣工验收监测，二为营运期的常规监测。</w:t>
      </w:r>
    </w:p>
    <w:p>
      <w:pPr>
        <w:ind w:firstLine="480"/>
        <w:rPr>
          <w:rFonts w:hint="default" w:ascii="Arial" w:hAnsi="Arial" w:eastAsia="宋体" w:cs="Arial"/>
          <w:color w:val="auto"/>
          <w:highlight w:val="none"/>
        </w:rPr>
      </w:pPr>
      <w:r>
        <w:rPr>
          <w:rFonts w:hint="default" w:ascii="Arial" w:hAnsi="Arial" w:eastAsia="宋体" w:cs="Arial"/>
          <w:color w:val="auto"/>
          <w:highlight w:val="none"/>
        </w:rPr>
        <w:t>竣工验收监测：本工程投入试生产后，建设单位应按规定对本工程环保“三同时”设施组织竣工验收监测。</w:t>
      </w:r>
    </w:p>
    <w:p>
      <w:pPr>
        <w:ind w:firstLine="480"/>
        <w:rPr>
          <w:rFonts w:hint="default" w:ascii="Arial" w:hAnsi="Arial" w:eastAsia="宋体" w:cs="Arial"/>
          <w:color w:val="auto"/>
          <w:highlight w:val="none"/>
        </w:rPr>
      </w:pPr>
      <w:r>
        <w:rPr>
          <w:rFonts w:hint="default" w:ascii="Arial" w:hAnsi="Arial" w:eastAsia="宋体" w:cs="Arial"/>
          <w:color w:val="auto"/>
          <w:highlight w:val="none"/>
        </w:rPr>
        <w:t>营运期的常规监测：主要是对工程的污染源进行监测，为掌握工程环保设施的运行状况，对环保设施运行情况进行定期或不定期监测。</w:t>
      </w:r>
    </w:p>
    <w:p>
      <w:pPr>
        <w:pStyle w:val="6"/>
        <w:rPr>
          <w:rFonts w:hint="default" w:ascii="Arial" w:hAnsi="Arial" w:eastAsia="宋体" w:cs="Arial"/>
          <w:color w:val="auto"/>
          <w:highlight w:val="none"/>
        </w:rPr>
      </w:pPr>
      <w:bookmarkStart w:id="602" w:name="_Toc523322400"/>
      <w:bookmarkStart w:id="603" w:name="_Toc15739"/>
      <w:r>
        <w:rPr>
          <w:rFonts w:hint="default" w:ascii="Arial" w:hAnsi="Arial" w:eastAsia="宋体" w:cs="Arial"/>
          <w:color w:val="auto"/>
          <w:highlight w:val="none"/>
        </w:rPr>
        <w:t>9.3.1废气监测计划</w:t>
      </w:r>
      <w:bookmarkEnd w:id="602"/>
      <w:bookmarkEnd w:id="603"/>
    </w:p>
    <w:p>
      <w:pPr>
        <w:pStyle w:val="7"/>
        <w:rPr>
          <w:rFonts w:hint="default" w:ascii="Arial" w:hAnsi="Arial" w:eastAsia="宋体" w:cs="Arial"/>
          <w:color w:val="auto"/>
          <w:highlight w:val="none"/>
        </w:rPr>
      </w:pPr>
      <w:r>
        <w:rPr>
          <w:rFonts w:hint="default" w:ascii="Arial" w:hAnsi="Arial" w:eastAsia="宋体" w:cs="Arial"/>
          <w:color w:val="auto"/>
          <w:highlight w:val="none"/>
        </w:rPr>
        <w:t>9.3.1.1环境空气质量监测计划</w:t>
      </w:r>
    </w:p>
    <w:p>
      <w:pPr>
        <w:ind w:firstLine="480"/>
        <w:rPr>
          <w:rFonts w:hint="default" w:ascii="Arial" w:hAnsi="Arial" w:eastAsia="宋体" w:cs="Arial"/>
          <w:color w:val="auto"/>
          <w:highlight w:val="none"/>
        </w:rPr>
      </w:pPr>
      <w:r>
        <w:rPr>
          <w:rFonts w:hint="default" w:ascii="Arial" w:hAnsi="Arial" w:eastAsia="宋体" w:cs="Arial"/>
          <w:color w:val="auto"/>
          <w:highlight w:val="none"/>
        </w:rPr>
        <w:t>根据《环境影响评价技术导则－大气环境》（HJ2.2-2018）中规定，需筛选按评价等级要求计算的项目排放污染物Pi≥1%的其他污染物作为环境质量监测因子，本次评价筛选的因子为氨气、硫化氢作为环境质量监测因子，在项目厂界设置监测点，各监测因子每年监测一次。</w:t>
      </w:r>
    </w:p>
    <w:p>
      <w:pPr>
        <w:pStyle w:val="7"/>
        <w:rPr>
          <w:rFonts w:hint="default" w:ascii="Arial" w:hAnsi="Arial" w:eastAsia="宋体" w:cs="Arial"/>
          <w:color w:val="auto"/>
          <w:highlight w:val="none"/>
        </w:rPr>
      </w:pPr>
      <w:r>
        <w:rPr>
          <w:rFonts w:hint="default" w:ascii="Arial" w:hAnsi="Arial" w:eastAsia="宋体" w:cs="Arial"/>
          <w:color w:val="auto"/>
          <w:highlight w:val="none"/>
        </w:rPr>
        <w:t>9.3.1.2污染源监测计划</w:t>
      </w:r>
    </w:p>
    <w:p>
      <w:pPr>
        <w:ind w:firstLine="480"/>
        <w:rPr>
          <w:rFonts w:hint="default" w:ascii="Arial" w:hAnsi="Arial" w:eastAsia="宋体" w:cs="Arial"/>
          <w:color w:val="auto"/>
          <w:highlight w:val="none"/>
        </w:rPr>
      </w:pPr>
      <w:r>
        <w:rPr>
          <w:rFonts w:hint="default" w:ascii="Arial" w:hAnsi="Arial" w:eastAsia="宋体" w:cs="Arial"/>
          <w:color w:val="auto"/>
          <w:highlight w:val="none"/>
        </w:rPr>
        <w:t>无组织排放监测按照HJ/T55、HJ733等标准设置无组织排放监测点位，本项目在厂家下风向设3个监控点，同时在场区上风向设1个对照点。监测因子为氨气、硫化氢、臭气浓度、颗粒物。</w:t>
      </w:r>
    </w:p>
    <w:p>
      <w:pPr>
        <w:pStyle w:val="6"/>
        <w:rPr>
          <w:rFonts w:hint="default" w:ascii="Arial" w:hAnsi="Arial" w:eastAsia="宋体" w:cs="Arial"/>
          <w:color w:val="auto"/>
          <w:highlight w:val="none"/>
        </w:rPr>
      </w:pPr>
      <w:bookmarkStart w:id="604" w:name="_Toc41476884"/>
      <w:bookmarkStart w:id="605" w:name="_Toc12634"/>
      <w:r>
        <w:rPr>
          <w:rFonts w:hint="default" w:ascii="Arial" w:hAnsi="Arial" w:eastAsia="宋体" w:cs="Arial"/>
          <w:color w:val="auto"/>
          <w:highlight w:val="none"/>
        </w:rPr>
        <w:t>9.3.2地下水监测计划</w:t>
      </w:r>
      <w:bookmarkEnd w:id="604"/>
      <w:bookmarkEnd w:id="605"/>
    </w:p>
    <w:p>
      <w:pPr>
        <w:ind w:firstLine="480"/>
        <w:rPr>
          <w:rFonts w:hint="default" w:ascii="Arial" w:hAnsi="Arial" w:eastAsia="宋体" w:cs="Arial"/>
          <w:color w:val="auto"/>
          <w:highlight w:val="none"/>
        </w:rPr>
      </w:pPr>
      <w:r>
        <w:rPr>
          <w:rFonts w:hint="default" w:ascii="Arial" w:hAnsi="Arial" w:eastAsia="宋体" w:cs="Arial"/>
          <w:color w:val="auto"/>
          <w:highlight w:val="none"/>
        </w:rPr>
        <w:t>按照《环境影响评价技术导则地下水环境》(HJ610-2016)、《地下水环境监测技术规范》（HJ/T164-2004）中相关要求，提出本次项目的地下水监测计划。</w:t>
      </w:r>
    </w:p>
    <w:p>
      <w:pPr>
        <w:ind w:firstLine="480"/>
        <w:rPr>
          <w:rFonts w:hint="default" w:ascii="Arial" w:hAnsi="Arial" w:eastAsia="宋体" w:cs="Arial"/>
          <w:color w:val="auto"/>
          <w:highlight w:val="none"/>
        </w:rPr>
      </w:pPr>
      <w:r>
        <w:rPr>
          <w:rFonts w:hint="default" w:ascii="Arial" w:hAnsi="Arial" w:eastAsia="宋体" w:cs="Arial"/>
          <w:color w:val="auto"/>
          <w:highlight w:val="none"/>
        </w:rPr>
        <w:t>建立场地区地下水污染监控制度，本次评价要求地下水监控井沿地下水流向布设1口地下水监控井。</w:t>
      </w:r>
    </w:p>
    <w:p>
      <w:pPr>
        <w:ind w:firstLine="480"/>
        <w:rPr>
          <w:rStyle w:val="42"/>
          <w:rFonts w:hint="default" w:ascii="Arial" w:hAnsi="Arial" w:eastAsia="宋体" w:cs="Arial"/>
          <w:color w:val="auto"/>
          <w:highlight w:val="none"/>
        </w:rPr>
      </w:pPr>
      <w:bookmarkStart w:id="606" w:name="_Hlk39779341"/>
      <w:r>
        <w:rPr>
          <w:rStyle w:val="42"/>
          <w:rFonts w:hint="default" w:ascii="Arial" w:hAnsi="Arial" w:eastAsia="宋体" w:cs="Arial"/>
          <w:color w:val="auto"/>
          <w:highlight w:val="none"/>
        </w:rPr>
        <w:t>监测频率和监测因子要求如下：</w:t>
      </w:r>
    </w:p>
    <w:p>
      <w:pPr>
        <w:ind w:firstLine="480"/>
        <w:rPr>
          <w:rStyle w:val="42"/>
          <w:rFonts w:hint="default" w:ascii="Arial" w:hAnsi="Arial" w:eastAsia="宋体" w:cs="Arial"/>
          <w:color w:val="auto"/>
          <w:highlight w:val="none"/>
        </w:rPr>
      </w:pPr>
      <w:r>
        <w:rPr>
          <w:rStyle w:val="42"/>
          <w:rFonts w:hint="default" w:ascii="Arial" w:hAnsi="Arial" w:eastAsia="宋体" w:cs="Arial"/>
          <w:color w:val="auto"/>
          <w:highlight w:val="none"/>
        </w:rPr>
        <w:t>①监测频率：投入使用前监测一次本底值，投入使用后，每半年监测1次，全年共监测2次。</w:t>
      </w:r>
    </w:p>
    <w:p>
      <w:pPr>
        <w:ind w:firstLine="480"/>
        <w:rPr>
          <w:rFonts w:hint="default" w:ascii="Arial" w:hAnsi="Arial" w:eastAsia="宋体" w:cs="Arial"/>
          <w:color w:val="auto"/>
          <w:highlight w:val="none"/>
        </w:rPr>
      </w:pPr>
      <w:r>
        <w:rPr>
          <w:rStyle w:val="42"/>
          <w:rFonts w:hint="default" w:ascii="Arial" w:hAnsi="Arial" w:eastAsia="宋体" w:cs="Arial"/>
          <w:color w:val="auto"/>
          <w:highlight w:val="none"/>
        </w:rPr>
        <w:t>②监测因子为：</w:t>
      </w:r>
      <w:r>
        <w:rPr>
          <w:rFonts w:hint="default" w:ascii="Arial" w:hAnsi="Arial" w:eastAsia="宋体" w:cs="Arial"/>
          <w:color w:val="auto"/>
          <w:kern w:val="0"/>
          <w:szCs w:val="21"/>
          <w:highlight w:val="none"/>
        </w:rPr>
        <w:t>pH、总硬度、耗氧量、硫酸盐、氯化物、硝酸盐、氨氮、亚硝酸盐、挥发性酚类、氰化物、氟、溶解性总固体、六价铬、砷、汞、铅、镉、铁、锰、</w:t>
      </w:r>
      <w:r>
        <w:rPr>
          <w:rFonts w:hint="default" w:ascii="Arial" w:hAnsi="Arial" w:eastAsia="宋体" w:cs="Arial"/>
          <w:color w:val="auto"/>
          <w:kern w:val="0"/>
          <w:szCs w:val="21"/>
          <w:highlight w:val="none"/>
          <w:lang w:eastAsia="zh-CN"/>
        </w:rPr>
        <w:t>菌落总数</w:t>
      </w:r>
      <w:r>
        <w:rPr>
          <w:rFonts w:hint="default" w:ascii="Arial" w:hAnsi="Arial" w:eastAsia="宋体" w:cs="Arial"/>
          <w:color w:val="auto"/>
          <w:kern w:val="0"/>
          <w:szCs w:val="21"/>
          <w:highlight w:val="none"/>
        </w:rPr>
        <w:t>、总大肠菌群等</w:t>
      </w:r>
      <w:r>
        <w:rPr>
          <w:rFonts w:hint="default" w:ascii="Arial" w:hAnsi="Arial" w:eastAsia="宋体" w:cs="Arial"/>
          <w:color w:val="auto"/>
          <w:highlight w:val="none"/>
        </w:rPr>
        <w:t>共21项。</w:t>
      </w:r>
    </w:p>
    <w:p>
      <w:pPr>
        <w:ind w:firstLine="480"/>
        <w:rPr>
          <w:rStyle w:val="42"/>
          <w:rFonts w:hint="default" w:ascii="Arial" w:hAnsi="Arial" w:eastAsia="宋体" w:cs="Arial"/>
          <w:color w:val="auto"/>
          <w:highlight w:val="none"/>
        </w:rPr>
      </w:pPr>
      <w:r>
        <w:rPr>
          <w:rStyle w:val="42"/>
          <w:rFonts w:hint="default" w:ascii="Arial" w:hAnsi="Arial" w:eastAsia="宋体" w:cs="Arial"/>
          <w:color w:val="auto"/>
          <w:highlight w:val="none"/>
        </w:rPr>
        <w:t>按照有关规定及时建立档案，并定期向安全环保部门汇报，对于常规监测数据应该进行公开，特别是对项目所在区域的居民进行公开，满足法律中关于知情权的要求。</w:t>
      </w:r>
    </w:p>
    <w:bookmarkEnd w:id="606"/>
    <w:p>
      <w:pPr>
        <w:pStyle w:val="6"/>
        <w:rPr>
          <w:rFonts w:hint="default" w:ascii="Arial" w:hAnsi="Arial" w:eastAsia="宋体" w:cs="Arial"/>
          <w:color w:val="auto"/>
          <w:highlight w:val="none"/>
        </w:rPr>
      </w:pPr>
      <w:bookmarkStart w:id="607" w:name="_Toc41476886"/>
      <w:bookmarkStart w:id="608" w:name="_Toc3272"/>
      <w:r>
        <w:rPr>
          <w:rFonts w:hint="default" w:ascii="Arial" w:hAnsi="Arial" w:eastAsia="宋体" w:cs="Arial"/>
          <w:color w:val="auto"/>
          <w:highlight w:val="none"/>
        </w:rPr>
        <w:t>9.3.</w:t>
      </w:r>
      <w:r>
        <w:rPr>
          <w:rFonts w:hint="default" w:ascii="Arial" w:hAnsi="Arial" w:eastAsia="宋体" w:cs="Arial"/>
          <w:color w:val="auto"/>
          <w:highlight w:val="none"/>
          <w:lang w:val="en-US" w:eastAsia="zh-CN"/>
        </w:rPr>
        <w:t>3</w:t>
      </w:r>
      <w:r>
        <w:rPr>
          <w:rFonts w:hint="default" w:ascii="Arial" w:hAnsi="Arial" w:eastAsia="宋体" w:cs="Arial"/>
          <w:color w:val="auto"/>
          <w:highlight w:val="none"/>
        </w:rPr>
        <w:t>噪声监测计划</w:t>
      </w:r>
      <w:bookmarkEnd w:id="607"/>
      <w:bookmarkEnd w:id="608"/>
    </w:p>
    <w:p>
      <w:pPr>
        <w:ind w:firstLine="480"/>
        <w:rPr>
          <w:rFonts w:hint="default" w:ascii="Arial" w:hAnsi="Arial" w:eastAsia="宋体" w:cs="Arial"/>
          <w:color w:val="auto"/>
          <w:highlight w:val="none"/>
        </w:rPr>
      </w:pPr>
      <w:r>
        <w:rPr>
          <w:rFonts w:hint="default" w:ascii="Arial" w:hAnsi="Arial" w:eastAsia="宋体" w:cs="Arial"/>
          <w:color w:val="auto"/>
          <w:highlight w:val="none"/>
        </w:rPr>
        <w:t>（1）监测点位</w:t>
      </w:r>
    </w:p>
    <w:p>
      <w:pPr>
        <w:ind w:firstLine="480"/>
        <w:rPr>
          <w:rFonts w:hint="default" w:ascii="Arial" w:hAnsi="Arial" w:eastAsia="宋体" w:cs="Arial"/>
          <w:color w:val="auto"/>
          <w:highlight w:val="none"/>
        </w:rPr>
      </w:pPr>
      <w:r>
        <w:rPr>
          <w:rFonts w:hint="default" w:ascii="Arial" w:hAnsi="Arial" w:eastAsia="宋体" w:cs="Arial"/>
          <w:color w:val="auto"/>
          <w:highlight w:val="none"/>
        </w:rPr>
        <w:t>厂界外1m，场界四周共布置4个监测点位。</w:t>
      </w:r>
    </w:p>
    <w:p>
      <w:pPr>
        <w:ind w:firstLine="480"/>
        <w:rPr>
          <w:rFonts w:hint="default" w:ascii="Arial" w:hAnsi="Arial" w:eastAsia="宋体" w:cs="Arial"/>
          <w:color w:val="auto"/>
          <w:highlight w:val="none"/>
        </w:rPr>
      </w:pPr>
      <w:r>
        <w:rPr>
          <w:rFonts w:hint="default" w:ascii="Arial" w:hAnsi="Arial" w:eastAsia="宋体" w:cs="Arial"/>
          <w:color w:val="auto"/>
          <w:highlight w:val="none"/>
        </w:rPr>
        <w:t>（2）监测指标</w:t>
      </w:r>
    </w:p>
    <w:p>
      <w:pPr>
        <w:ind w:firstLine="480"/>
        <w:rPr>
          <w:rFonts w:hint="default" w:ascii="Arial" w:hAnsi="Arial" w:eastAsia="宋体" w:cs="Arial"/>
          <w:color w:val="auto"/>
          <w:highlight w:val="none"/>
        </w:rPr>
      </w:pPr>
      <w:r>
        <w:rPr>
          <w:rFonts w:hint="default" w:ascii="Arial" w:hAnsi="Arial" w:eastAsia="宋体" w:cs="Arial"/>
          <w:color w:val="auto"/>
          <w:highlight w:val="none"/>
        </w:rPr>
        <w:t>连续等效噪声A声级</w:t>
      </w:r>
    </w:p>
    <w:p>
      <w:pPr>
        <w:ind w:firstLine="480"/>
        <w:rPr>
          <w:rFonts w:hint="default" w:ascii="Arial" w:hAnsi="Arial" w:eastAsia="宋体" w:cs="Arial"/>
          <w:color w:val="auto"/>
          <w:highlight w:val="none"/>
        </w:rPr>
      </w:pPr>
      <w:r>
        <w:rPr>
          <w:rFonts w:hint="default" w:ascii="Arial" w:hAnsi="Arial" w:eastAsia="宋体" w:cs="Arial"/>
          <w:color w:val="auto"/>
          <w:highlight w:val="none"/>
        </w:rPr>
        <w:t>（3）监测频次</w:t>
      </w:r>
    </w:p>
    <w:p>
      <w:pPr>
        <w:ind w:firstLine="480"/>
        <w:rPr>
          <w:rFonts w:hint="default" w:ascii="Arial" w:hAnsi="Arial" w:eastAsia="宋体" w:cs="Arial"/>
          <w:color w:val="auto"/>
          <w:highlight w:val="none"/>
        </w:rPr>
      </w:pPr>
      <w:r>
        <w:rPr>
          <w:rFonts w:hint="default" w:ascii="Arial" w:hAnsi="Arial" w:eastAsia="宋体" w:cs="Arial"/>
          <w:color w:val="auto"/>
          <w:highlight w:val="none"/>
        </w:rPr>
        <w:t>每季度至少开展一次监测。</w:t>
      </w:r>
    </w:p>
    <w:p>
      <w:pPr>
        <w:pStyle w:val="5"/>
        <w:rPr>
          <w:rFonts w:hint="default" w:ascii="Arial" w:hAnsi="Arial" w:eastAsia="宋体" w:cs="Arial"/>
          <w:color w:val="auto"/>
          <w:highlight w:val="none"/>
        </w:rPr>
      </w:pPr>
      <w:bookmarkStart w:id="609" w:name="_Toc523322409"/>
      <w:bookmarkStart w:id="610" w:name="_Toc471227906"/>
      <w:bookmarkStart w:id="611" w:name="_Toc714"/>
      <w:r>
        <w:rPr>
          <w:rFonts w:hint="default" w:ascii="Arial" w:hAnsi="Arial" w:eastAsia="宋体" w:cs="Arial"/>
          <w:color w:val="auto"/>
          <w:highlight w:val="none"/>
        </w:rPr>
        <w:t>9.4环保设施“三同时”竣工验收</w:t>
      </w:r>
      <w:bookmarkEnd w:id="609"/>
      <w:bookmarkEnd w:id="610"/>
      <w:bookmarkEnd w:id="611"/>
    </w:p>
    <w:p>
      <w:pPr>
        <w:ind w:firstLine="480"/>
        <w:rPr>
          <w:rFonts w:hint="default" w:ascii="Arial" w:hAnsi="Arial" w:eastAsia="宋体" w:cs="Arial"/>
          <w:color w:val="auto"/>
          <w:highlight w:val="none"/>
        </w:rPr>
      </w:pPr>
      <w:r>
        <w:rPr>
          <w:rFonts w:hint="default" w:ascii="Arial" w:hAnsi="Arial" w:eastAsia="宋体" w:cs="Arial"/>
          <w:color w:val="auto"/>
          <w:highlight w:val="none"/>
        </w:rPr>
        <w:t>根据《建设项目环境保护管理条例》、《建设项目环境保护验收管理办法》及《建设项目竣工环境保护验收技术指南 污染影响类》的规定，本项目的环保设施“三同时”竣工验收内容见表9.4-1。</w:t>
      </w:r>
    </w:p>
    <w:p>
      <w:pPr>
        <w:ind w:firstLine="480"/>
        <w:rPr>
          <w:rFonts w:hint="default" w:ascii="Arial" w:hAnsi="Arial" w:eastAsia="宋体" w:cs="Arial"/>
          <w:color w:val="auto"/>
          <w:highlight w:val="none"/>
        </w:rPr>
        <w:sectPr>
          <w:pgSz w:w="11906" w:h="16838"/>
          <w:pgMar w:top="1418" w:right="1418" w:bottom="1247" w:left="1701" w:header="851" w:footer="680" w:gutter="0"/>
          <w:pgBorders>
            <w:top w:val="none" w:sz="0" w:space="0"/>
            <w:left w:val="none" w:sz="0" w:space="0"/>
            <w:bottom w:val="none" w:sz="0" w:space="0"/>
            <w:right w:val="none" w:sz="0" w:space="0"/>
          </w:pgBorders>
          <w:pgNumType w:fmt="numberInDash"/>
          <w:cols w:space="720" w:num="1"/>
          <w:docGrid w:linePitch="326" w:charSpace="0"/>
        </w:sectPr>
      </w:pPr>
    </w:p>
    <w:p>
      <w:pPr>
        <w:pStyle w:val="8"/>
        <w:rPr>
          <w:rFonts w:hint="default" w:ascii="Arial" w:hAnsi="Arial" w:eastAsia="宋体" w:cs="Arial"/>
          <w:color w:val="auto"/>
          <w:highlight w:val="none"/>
        </w:rPr>
      </w:pPr>
      <w:r>
        <w:rPr>
          <w:rFonts w:hint="default" w:ascii="Arial" w:hAnsi="Arial" w:eastAsia="宋体" w:cs="Arial"/>
          <w:color w:val="auto"/>
          <w:highlight w:val="none"/>
        </w:rPr>
        <w:t>表9.</w:t>
      </w:r>
      <w:r>
        <w:rPr>
          <w:rFonts w:hint="default" w:ascii="Arial" w:hAnsi="Arial" w:eastAsia="宋体" w:cs="Arial"/>
          <w:color w:val="auto"/>
          <w:highlight w:val="none"/>
          <w:lang w:val="en-US" w:eastAsia="zh-CN"/>
        </w:rPr>
        <w:t>3</w:t>
      </w:r>
      <w:r>
        <w:rPr>
          <w:rFonts w:hint="default" w:ascii="Arial" w:hAnsi="Arial" w:eastAsia="宋体" w:cs="Arial"/>
          <w:color w:val="auto"/>
          <w:highlight w:val="none"/>
        </w:rPr>
        <w:t>-1    本次项目环境监测计划一览表</w:t>
      </w:r>
    </w:p>
    <w:tbl>
      <w:tblPr>
        <w:tblStyle w:val="39"/>
        <w:tblW w:w="14389" w:type="dxa"/>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57" w:type="dxa"/>
          <w:bottom w:w="0" w:type="dxa"/>
          <w:right w:w="57" w:type="dxa"/>
        </w:tblCellMar>
      </w:tblPr>
      <w:tblGrid>
        <w:gridCol w:w="777"/>
        <w:gridCol w:w="844"/>
        <w:gridCol w:w="11"/>
        <w:gridCol w:w="622"/>
        <w:gridCol w:w="1161"/>
        <w:gridCol w:w="3522"/>
        <w:gridCol w:w="1448"/>
        <w:gridCol w:w="4558"/>
        <w:gridCol w:w="1446"/>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57" w:type="dxa"/>
            <w:bottom w:w="0" w:type="dxa"/>
            <w:right w:w="57" w:type="dxa"/>
          </w:tblCellMar>
        </w:tblPrEx>
        <w:trPr>
          <w:trHeight w:val="340" w:hRule="atLeast"/>
          <w:jc w:val="center"/>
        </w:trPr>
        <w:tc>
          <w:tcPr>
            <w:tcW w:w="747" w:type="dxa"/>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阶段</w:t>
            </w:r>
          </w:p>
        </w:tc>
        <w:tc>
          <w:tcPr>
            <w:tcW w:w="1420" w:type="dxa"/>
            <w:gridSpan w:val="3"/>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类别</w:t>
            </w:r>
          </w:p>
        </w:tc>
        <w:tc>
          <w:tcPr>
            <w:tcW w:w="1116" w:type="dxa"/>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监测点位</w:t>
            </w:r>
          </w:p>
        </w:tc>
        <w:tc>
          <w:tcPr>
            <w:tcW w:w="3386" w:type="dxa"/>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监测指标</w:t>
            </w:r>
          </w:p>
        </w:tc>
        <w:tc>
          <w:tcPr>
            <w:tcW w:w="1392" w:type="dxa"/>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监测频次</w:t>
            </w:r>
          </w:p>
        </w:tc>
        <w:tc>
          <w:tcPr>
            <w:tcW w:w="4382" w:type="dxa"/>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执行标准</w:t>
            </w:r>
          </w:p>
        </w:tc>
        <w:tc>
          <w:tcPr>
            <w:tcW w:w="1390" w:type="dxa"/>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实施单位</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57" w:type="dxa"/>
            <w:bottom w:w="0" w:type="dxa"/>
            <w:right w:w="57" w:type="dxa"/>
          </w:tblCellMar>
        </w:tblPrEx>
        <w:trPr>
          <w:trHeight w:val="340" w:hRule="atLeast"/>
          <w:jc w:val="center"/>
        </w:trPr>
        <w:tc>
          <w:tcPr>
            <w:tcW w:w="747" w:type="dxa"/>
            <w:vMerge w:val="restart"/>
            <w:shd w:val="clear" w:color="auto" w:fill="auto"/>
            <w:textDirection w:val="tbRlV"/>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运营期</w:t>
            </w:r>
          </w:p>
        </w:tc>
        <w:tc>
          <w:tcPr>
            <w:tcW w:w="811" w:type="dxa"/>
            <w:shd w:val="clear" w:color="auto" w:fill="auto"/>
            <w:textDirection w:val="tbRlV"/>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环境质量监测</w:t>
            </w:r>
          </w:p>
        </w:tc>
        <w:tc>
          <w:tcPr>
            <w:tcW w:w="609" w:type="dxa"/>
            <w:gridSpan w:val="2"/>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地下水</w:t>
            </w:r>
          </w:p>
        </w:tc>
        <w:tc>
          <w:tcPr>
            <w:tcW w:w="1116" w:type="dxa"/>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1口地下水监控井水质</w:t>
            </w:r>
          </w:p>
        </w:tc>
        <w:tc>
          <w:tcPr>
            <w:tcW w:w="3386" w:type="dxa"/>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pH、总硬度、耗氧量、硫酸盐、氯化物、硝酸盐、氨氮、亚硝酸盐、挥发性酚类、氰化物、氟、溶解性总固体、六价铬、砷、汞、铅、镉、铁、锰、</w:t>
            </w:r>
            <w:r>
              <w:rPr>
                <w:rFonts w:hint="default" w:ascii="Arial" w:hAnsi="Arial" w:eastAsia="宋体" w:cs="Arial"/>
                <w:color w:val="auto"/>
                <w:sz w:val="21"/>
                <w:szCs w:val="21"/>
                <w:highlight w:val="none"/>
                <w:lang w:eastAsia="zh-CN"/>
              </w:rPr>
              <w:t>菌落总数</w:t>
            </w:r>
            <w:r>
              <w:rPr>
                <w:rFonts w:hint="default" w:ascii="Arial" w:hAnsi="Arial" w:eastAsia="宋体" w:cs="Arial"/>
                <w:color w:val="auto"/>
                <w:sz w:val="21"/>
                <w:szCs w:val="21"/>
                <w:highlight w:val="none"/>
              </w:rPr>
              <w:t>、总大肠菌群等共21项</w:t>
            </w:r>
          </w:p>
        </w:tc>
        <w:tc>
          <w:tcPr>
            <w:tcW w:w="1392" w:type="dxa"/>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1次/年</w:t>
            </w:r>
          </w:p>
        </w:tc>
        <w:tc>
          <w:tcPr>
            <w:tcW w:w="4382" w:type="dxa"/>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《地下水质量标准》（GB/T14848-2017）中Ⅲ类标准</w:t>
            </w:r>
          </w:p>
        </w:tc>
        <w:tc>
          <w:tcPr>
            <w:tcW w:w="1390" w:type="dxa"/>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委托有资质单位</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57" w:type="dxa"/>
            <w:bottom w:w="0" w:type="dxa"/>
            <w:right w:w="57" w:type="dxa"/>
          </w:tblCellMar>
        </w:tblPrEx>
        <w:trPr>
          <w:trHeight w:val="340" w:hRule="atLeast"/>
          <w:jc w:val="center"/>
        </w:trPr>
        <w:tc>
          <w:tcPr>
            <w:tcW w:w="747" w:type="dxa"/>
            <w:vMerge w:val="continue"/>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rPr>
            </w:pPr>
          </w:p>
        </w:tc>
        <w:tc>
          <w:tcPr>
            <w:tcW w:w="822" w:type="dxa"/>
            <w:gridSpan w:val="2"/>
            <w:vMerge w:val="restart"/>
            <w:shd w:val="clear" w:color="auto" w:fill="auto"/>
            <w:textDirection w:val="tbRlV"/>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污染源监测</w:t>
            </w:r>
          </w:p>
        </w:tc>
        <w:tc>
          <w:tcPr>
            <w:tcW w:w="598" w:type="dxa"/>
            <w:vMerge w:val="restart"/>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废气</w:t>
            </w:r>
          </w:p>
        </w:tc>
        <w:tc>
          <w:tcPr>
            <w:tcW w:w="1116" w:type="dxa"/>
            <w:vMerge w:val="restart"/>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厂界</w:t>
            </w:r>
          </w:p>
        </w:tc>
        <w:tc>
          <w:tcPr>
            <w:tcW w:w="3386" w:type="dxa"/>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氨气、硫化氢</w:t>
            </w:r>
          </w:p>
        </w:tc>
        <w:tc>
          <w:tcPr>
            <w:tcW w:w="1392" w:type="dxa"/>
            <w:shd w:val="clear" w:color="auto" w:fill="auto"/>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1次/年</w:t>
            </w:r>
          </w:p>
        </w:tc>
        <w:tc>
          <w:tcPr>
            <w:tcW w:w="4382" w:type="dxa"/>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《恶臭污染物排放标准》（GB14554-93）二级标准中氨气和硫化氢的浓度标准限值</w:t>
            </w:r>
          </w:p>
        </w:tc>
        <w:tc>
          <w:tcPr>
            <w:tcW w:w="1390" w:type="dxa"/>
            <w:vMerge w:val="restart"/>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委托有资质单位</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57" w:type="dxa"/>
            <w:bottom w:w="0" w:type="dxa"/>
            <w:right w:w="57" w:type="dxa"/>
          </w:tblCellMar>
        </w:tblPrEx>
        <w:trPr>
          <w:trHeight w:val="340" w:hRule="atLeast"/>
          <w:jc w:val="center"/>
        </w:trPr>
        <w:tc>
          <w:tcPr>
            <w:tcW w:w="747" w:type="dxa"/>
            <w:vMerge w:val="continue"/>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rPr>
            </w:pPr>
          </w:p>
        </w:tc>
        <w:tc>
          <w:tcPr>
            <w:tcW w:w="822" w:type="dxa"/>
            <w:gridSpan w:val="2"/>
            <w:vMerge w:val="continue"/>
            <w:shd w:val="clear" w:color="auto" w:fill="auto"/>
            <w:textDirection w:val="tbRlV"/>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rPr>
            </w:pPr>
          </w:p>
        </w:tc>
        <w:tc>
          <w:tcPr>
            <w:tcW w:w="598" w:type="dxa"/>
            <w:vMerge w:val="continue"/>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rPr>
            </w:pPr>
          </w:p>
        </w:tc>
        <w:tc>
          <w:tcPr>
            <w:tcW w:w="1116" w:type="dxa"/>
            <w:vMerge w:val="continue"/>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rPr>
            </w:pPr>
          </w:p>
        </w:tc>
        <w:tc>
          <w:tcPr>
            <w:tcW w:w="3386" w:type="dxa"/>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臭气浓度</w:t>
            </w:r>
          </w:p>
        </w:tc>
        <w:tc>
          <w:tcPr>
            <w:tcW w:w="1392" w:type="dxa"/>
            <w:shd w:val="clear" w:color="auto" w:fill="auto"/>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1次/年</w:t>
            </w:r>
          </w:p>
        </w:tc>
        <w:tc>
          <w:tcPr>
            <w:tcW w:w="4382" w:type="dxa"/>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《畜禽养殖业污染物排放标准》（GB18596-2001）中臭气浓度的限值要求</w:t>
            </w:r>
          </w:p>
        </w:tc>
        <w:tc>
          <w:tcPr>
            <w:tcW w:w="1390" w:type="dxa"/>
            <w:vMerge w:val="continue"/>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rPr>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57" w:type="dxa"/>
            <w:bottom w:w="0" w:type="dxa"/>
            <w:right w:w="57" w:type="dxa"/>
          </w:tblCellMar>
        </w:tblPrEx>
        <w:trPr>
          <w:trHeight w:val="340" w:hRule="atLeast"/>
          <w:jc w:val="center"/>
        </w:trPr>
        <w:tc>
          <w:tcPr>
            <w:tcW w:w="747" w:type="dxa"/>
            <w:vMerge w:val="continue"/>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rPr>
            </w:pPr>
          </w:p>
        </w:tc>
        <w:tc>
          <w:tcPr>
            <w:tcW w:w="822" w:type="dxa"/>
            <w:gridSpan w:val="2"/>
            <w:vMerge w:val="continue"/>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rPr>
            </w:pPr>
          </w:p>
        </w:tc>
        <w:tc>
          <w:tcPr>
            <w:tcW w:w="598" w:type="dxa"/>
            <w:vMerge w:val="continue"/>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rPr>
            </w:pPr>
          </w:p>
        </w:tc>
        <w:tc>
          <w:tcPr>
            <w:tcW w:w="1116" w:type="dxa"/>
            <w:vMerge w:val="continue"/>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rPr>
            </w:pPr>
          </w:p>
        </w:tc>
        <w:tc>
          <w:tcPr>
            <w:tcW w:w="3386" w:type="dxa"/>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颗粒物</w:t>
            </w:r>
          </w:p>
        </w:tc>
        <w:tc>
          <w:tcPr>
            <w:tcW w:w="1392" w:type="dxa"/>
            <w:shd w:val="clear" w:color="auto" w:fill="auto"/>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auto"/>
              <w:rPr>
                <w:rFonts w:hint="default" w:ascii="Arial" w:hAnsi="Arial" w:eastAsia="宋体" w:cs="Arial"/>
                <w:color w:val="auto"/>
                <w:kern w:val="2"/>
                <w:sz w:val="21"/>
                <w:szCs w:val="21"/>
                <w:highlight w:val="none"/>
                <w:lang w:val="en-US" w:eastAsia="zh-CN" w:bidi="ar-SA"/>
              </w:rPr>
            </w:pPr>
            <w:r>
              <w:rPr>
                <w:rFonts w:hint="default" w:ascii="Arial" w:hAnsi="Arial" w:eastAsia="宋体" w:cs="Arial"/>
                <w:color w:val="auto"/>
                <w:kern w:val="2"/>
                <w:sz w:val="21"/>
                <w:szCs w:val="21"/>
                <w:highlight w:val="none"/>
                <w:lang w:val="en-US" w:eastAsia="zh-CN" w:bidi="ar-SA"/>
              </w:rPr>
              <w:t>1次/年</w:t>
            </w:r>
          </w:p>
        </w:tc>
        <w:tc>
          <w:tcPr>
            <w:tcW w:w="4382" w:type="dxa"/>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《大气污染物综合排放标准》(GB16297-1996)二级标准</w:t>
            </w:r>
          </w:p>
        </w:tc>
        <w:tc>
          <w:tcPr>
            <w:tcW w:w="1390" w:type="dxa"/>
            <w:vMerge w:val="continue"/>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rPr>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57" w:type="dxa"/>
            <w:bottom w:w="0" w:type="dxa"/>
            <w:right w:w="57" w:type="dxa"/>
          </w:tblCellMar>
        </w:tblPrEx>
        <w:trPr>
          <w:trHeight w:val="340" w:hRule="atLeast"/>
          <w:jc w:val="center"/>
        </w:trPr>
        <w:tc>
          <w:tcPr>
            <w:tcW w:w="747" w:type="dxa"/>
            <w:vMerge w:val="continue"/>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rPr>
            </w:pPr>
          </w:p>
        </w:tc>
        <w:tc>
          <w:tcPr>
            <w:tcW w:w="822" w:type="dxa"/>
            <w:gridSpan w:val="2"/>
            <w:vMerge w:val="continue"/>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rPr>
            </w:pPr>
          </w:p>
        </w:tc>
        <w:tc>
          <w:tcPr>
            <w:tcW w:w="598" w:type="dxa"/>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噪声</w:t>
            </w:r>
          </w:p>
        </w:tc>
        <w:tc>
          <w:tcPr>
            <w:tcW w:w="1116" w:type="dxa"/>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厂界</w:t>
            </w:r>
          </w:p>
        </w:tc>
        <w:tc>
          <w:tcPr>
            <w:tcW w:w="3386" w:type="dxa"/>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等效噪声A声级</w:t>
            </w:r>
          </w:p>
        </w:tc>
        <w:tc>
          <w:tcPr>
            <w:tcW w:w="1392" w:type="dxa"/>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1次/季度</w:t>
            </w:r>
          </w:p>
        </w:tc>
        <w:tc>
          <w:tcPr>
            <w:tcW w:w="4382" w:type="dxa"/>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《工业企业厂界环境噪声排放标准》（GB12348-2008）2类标准值</w:t>
            </w:r>
          </w:p>
        </w:tc>
        <w:tc>
          <w:tcPr>
            <w:tcW w:w="1390" w:type="dxa"/>
            <w:shd w:val="clear" w:color="auto" w:fill="auto"/>
            <w:vAlign w:val="center"/>
          </w:tcPr>
          <w:p>
            <w:pPr>
              <w:pStyle w:val="63"/>
              <w:keepNext w:val="0"/>
              <w:keepLines w:val="0"/>
              <w:pageBreakBefore w:val="0"/>
              <w:widowControl w:val="0"/>
              <w:kinsoku/>
              <w:wordWrap/>
              <w:overflowPunct/>
              <w:topLinePunct/>
              <w:autoSpaceDE w:val="0"/>
              <w:autoSpaceDN/>
              <w:bidi w:val="0"/>
              <w:adjustRightInd/>
              <w:snapToGrid/>
              <w:spacing w:line="360" w:lineRule="exact"/>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委托有资质单位</w:t>
            </w:r>
          </w:p>
        </w:tc>
      </w:tr>
    </w:tbl>
    <w:p>
      <w:pPr>
        <w:ind w:firstLine="480"/>
        <w:rPr>
          <w:rFonts w:hint="default" w:ascii="Arial" w:hAnsi="Arial" w:eastAsia="宋体" w:cs="Arial"/>
          <w:color w:val="auto"/>
          <w:highlight w:val="none"/>
        </w:rPr>
      </w:pPr>
    </w:p>
    <w:p>
      <w:pPr>
        <w:ind w:firstLine="480"/>
        <w:rPr>
          <w:rFonts w:hint="default" w:ascii="Arial" w:hAnsi="Arial" w:eastAsia="宋体" w:cs="Arial"/>
          <w:color w:val="auto"/>
          <w:highlight w:val="none"/>
        </w:rPr>
      </w:pPr>
      <w:r>
        <w:rPr>
          <w:rFonts w:hint="default" w:ascii="Arial" w:hAnsi="Arial" w:eastAsia="宋体" w:cs="Arial"/>
          <w:color w:val="auto"/>
          <w:highlight w:val="none"/>
        </w:rPr>
        <w:br w:type="page"/>
      </w:r>
    </w:p>
    <w:p>
      <w:pPr>
        <w:pStyle w:val="8"/>
        <w:rPr>
          <w:rFonts w:hint="default" w:ascii="Arial" w:hAnsi="Arial" w:eastAsia="宋体" w:cs="Arial"/>
          <w:color w:val="auto"/>
          <w:highlight w:val="none"/>
        </w:rPr>
      </w:pPr>
      <w:bookmarkStart w:id="612" w:name="_Hlk46587142"/>
      <w:r>
        <w:rPr>
          <w:rFonts w:hint="default" w:ascii="Arial" w:hAnsi="Arial" w:eastAsia="宋体" w:cs="Arial"/>
          <w:color w:val="auto"/>
          <w:highlight w:val="none"/>
        </w:rPr>
        <w:t>表9.4-1    项目“三同时”环保验收一览表</w:t>
      </w:r>
    </w:p>
    <w:tbl>
      <w:tblPr>
        <w:tblStyle w:val="39"/>
        <w:tblW w:w="13927" w:type="dxa"/>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473"/>
        <w:gridCol w:w="1145"/>
        <w:gridCol w:w="1168"/>
        <w:gridCol w:w="1168"/>
        <w:gridCol w:w="6330"/>
        <w:gridCol w:w="2492"/>
        <w:gridCol w:w="1151"/>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73"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类型</w:t>
            </w:r>
          </w:p>
        </w:tc>
        <w:tc>
          <w:tcPr>
            <w:tcW w:w="1145"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产污点</w:t>
            </w:r>
          </w:p>
        </w:tc>
        <w:tc>
          <w:tcPr>
            <w:tcW w:w="1168"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lang w:eastAsia="zh-CN"/>
              </w:rPr>
            </w:pPr>
            <w:r>
              <w:rPr>
                <w:rFonts w:hint="default" w:ascii="Arial" w:hAnsi="Arial" w:eastAsia="宋体" w:cs="Arial"/>
                <w:color w:val="auto"/>
                <w:sz w:val="21"/>
                <w:szCs w:val="21"/>
                <w:highlight w:val="none"/>
                <w:lang w:eastAsia="zh-CN"/>
              </w:rPr>
              <w:t>监测点位</w:t>
            </w:r>
          </w:p>
        </w:tc>
        <w:tc>
          <w:tcPr>
            <w:tcW w:w="1168"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污染物</w:t>
            </w:r>
          </w:p>
        </w:tc>
        <w:tc>
          <w:tcPr>
            <w:tcW w:w="6330"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治理措施</w:t>
            </w:r>
          </w:p>
        </w:tc>
        <w:tc>
          <w:tcPr>
            <w:tcW w:w="2492"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治理效果</w:t>
            </w:r>
          </w:p>
        </w:tc>
        <w:tc>
          <w:tcPr>
            <w:tcW w:w="1151"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完成时间</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73" w:type="dxa"/>
            <w:vMerge w:val="restart"/>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废气</w:t>
            </w:r>
          </w:p>
        </w:tc>
        <w:tc>
          <w:tcPr>
            <w:tcW w:w="1145"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牛舍及运动场</w:t>
            </w:r>
          </w:p>
        </w:tc>
        <w:tc>
          <w:tcPr>
            <w:tcW w:w="1168" w:type="dxa"/>
            <w:vMerge w:val="restart"/>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lang w:eastAsia="zh-CN"/>
              </w:rPr>
            </w:pPr>
            <w:r>
              <w:rPr>
                <w:rFonts w:hint="default" w:ascii="Arial" w:hAnsi="Arial" w:eastAsia="宋体" w:cs="Arial"/>
                <w:color w:val="auto"/>
                <w:sz w:val="21"/>
                <w:szCs w:val="21"/>
                <w:highlight w:val="none"/>
                <w:lang w:eastAsia="zh-CN"/>
              </w:rPr>
              <w:t>厂界四周</w:t>
            </w:r>
          </w:p>
        </w:tc>
        <w:tc>
          <w:tcPr>
            <w:tcW w:w="1168" w:type="dxa"/>
            <w:vMerge w:val="restart"/>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氨气</w:t>
            </w:r>
          </w:p>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硫化氢</w:t>
            </w:r>
          </w:p>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臭气浓度</w:t>
            </w:r>
          </w:p>
        </w:tc>
        <w:tc>
          <w:tcPr>
            <w:tcW w:w="6330" w:type="dxa"/>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sz w:val="21"/>
                <w:szCs w:val="21"/>
                <w:highlight w:val="none"/>
              </w:rPr>
            </w:pPr>
            <w:r>
              <w:rPr>
                <w:rFonts w:hint="default" w:ascii="Arial" w:hAnsi="Arial" w:eastAsia="宋体" w:cs="Arial"/>
                <w:bCs/>
                <w:color w:val="auto"/>
                <w:sz w:val="21"/>
                <w:szCs w:val="21"/>
                <w:highlight w:val="none"/>
              </w:rPr>
              <w:t>通过日粮设计，</w:t>
            </w:r>
            <w:r>
              <w:rPr>
                <w:rFonts w:hint="default" w:ascii="Arial" w:hAnsi="Arial" w:eastAsia="宋体" w:cs="Arial"/>
                <w:color w:val="auto"/>
                <w:sz w:val="21"/>
                <w:szCs w:val="21"/>
                <w:highlight w:val="none"/>
              </w:rPr>
              <w:t>饲料添加EM复合微生物制剂，</w:t>
            </w:r>
            <w:r>
              <w:rPr>
                <w:rFonts w:hint="default" w:ascii="Arial" w:hAnsi="Arial" w:eastAsia="宋体" w:cs="Arial"/>
                <w:color w:val="auto"/>
                <w:kern w:val="0"/>
                <w:sz w:val="21"/>
                <w:szCs w:val="21"/>
                <w:highlight w:val="none"/>
              </w:rPr>
              <w:t>牛舍采用及时清理粪尿，加强牛舍通风（除冬季封闭保暖外，均为敞开式通风）</w:t>
            </w:r>
          </w:p>
        </w:tc>
        <w:tc>
          <w:tcPr>
            <w:tcW w:w="2492" w:type="dxa"/>
            <w:vMerge w:val="restart"/>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《恶臭污染物排放标准》（GB14554-93）二级标准中氨气和硫化氢的浓度标准限值；</w:t>
            </w:r>
          </w:p>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《畜禽养殖业污染物排放标准》（GB18596-2001）中臭气浓度的限值要求</w:t>
            </w:r>
          </w:p>
        </w:tc>
        <w:tc>
          <w:tcPr>
            <w:tcW w:w="1151" w:type="dxa"/>
            <w:vMerge w:val="restart"/>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“三同时”</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73" w:type="dxa"/>
            <w:vMerge w:val="continue"/>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rPr>
            </w:pPr>
          </w:p>
        </w:tc>
        <w:tc>
          <w:tcPr>
            <w:tcW w:w="1145"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lang w:eastAsia="zh-CN"/>
              </w:rPr>
            </w:pPr>
            <w:r>
              <w:rPr>
                <w:rFonts w:hint="default" w:ascii="Arial" w:hAnsi="Arial" w:eastAsia="宋体" w:cs="Arial"/>
                <w:color w:val="auto"/>
                <w:sz w:val="21"/>
                <w:szCs w:val="21"/>
                <w:highlight w:val="none"/>
                <w:lang w:eastAsia="zh-CN"/>
              </w:rPr>
              <w:t>堆肥场</w:t>
            </w:r>
          </w:p>
        </w:tc>
        <w:tc>
          <w:tcPr>
            <w:tcW w:w="1168" w:type="dxa"/>
            <w:vMerge w:val="continue"/>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rPr>
            </w:pPr>
          </w:p>
        </w:tc>
        <w:tc>
          <w:tcPr>
            <w:tcW w:w="1168" w:type="dxa"/>
            <w:vMerge w:val="continue"/>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rPr>
            </w:pPr>
          </w:p>
        </w:tc>
        <w:tc>
          <w:tcPr>
            <w:tcW w:w="6330" w:type="dxa"/>
            <w:vAlign w:val="center"/>
          </w:tcPr>
          <w:p>
            <w:pPr>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lang w:eastAsia="zh-CN"/>
              </w:rPr>
              <w:t>牛粪便</w:t>
            </w:r>
            <w:r>
              <w:rPr>
                <w:rFonts w:hint="default" w:ascii="Arial" w:hAnsi="Arial" w:eastAsia="宋体" w:cs="Arial"/>
                <w:color w:val="auto"/>
                <w:sz w:val="21"/>
                <w:szCs w:val="21"/>
                <w:highlight w:val="none"/>
                <w:lang w:val="en-US" w:eastAsia="zh-CN"/>
              </w:rPr>
              <w:t>清运至</w:t>
            </w:r>
            <w:r>
              <w:rPr>
                <w:rFonts w:hint="default" w:ascii="Arial" w:hAnsi="Arial" w:eastAsia="宋体" w:cs="Arial"/>
                <w:color w:val="auto"/>
                <w:sz w:val="21"/>
                <w:szCs w:val="21"/>
                <w:highlight w:val="none"/>
                <w:lang w:eastAsia="zh-CN"/>
              </w:rPr>
              <w:t>堆肥场储存并堆肥，</w:t>
            </w:r>
            <w:r>
              <w:rPr>
                <w:rFonts w:hint="default" w:ascii="Arial" w:hAnsi="Arial" w:eastAsia="宋体" w:cs="Arial"/>
                <w:color w:val="auto"/>
                <w:sz w:val="21"/>
                <w:szCs w:val="21"/>
                <w:highlight w:val="none"/>
                <w:lang w:val="en-US" w:eastAsia="zh-CN"/>
              </w:rPr>
              <w:t>采取</w:t>
            </w:r>
            <w:r>
              <w:rPr>
                <w:rFonts w:hint="default" w:ascii="Arial" w:hAnsi="Arial" w:eastAsia="宋体" w:cs="Arial"/>
                <w:color w:val="auto"/>
                <w:kern w:val="0"/>
                <w:sz w:val="21"/>
                <w:szCs w:val="21"/>
                <w:highlight w:val="none"/>
              </w:rPr>
              <w:t>定期喷洒</w:t>
            </w:r>
            <w:r>
              <w:rPr>
                <w:rFonts w:hint="default" w:ascii="Arial" w:hAnsi="Arial" w:eastAsia="宋体" w:cs="Arial"/>
                <w:color w:val="auto"/>
                <w:sz w:val="21"/>
                <w:szCs w:val="21"/>
                <w:highlight w:val="none"/>
              </w:rPr>
              <w:t>减少氨释放和保氮的复合菌剂</w:t>
            </w:r>
            <w:r>
              <w:rPr>
                <w:rFonts w:hint="default" w:ascii="Arial" w:hAnsi="Arial" w:eastAsia="宋体" w:cs="Arial"/>
                <w:color w:val="auto"/>
                <w:sz w:val="21"/>
                <w:szCs w:val="21"/>
                <w:highlight w:val="none"/>
                <w:lang w:eastAsia="zh-CN"/>
              </w:rPr>
              <w:t>，</w:t>
            </w:r>
            <w:r>
              <w:rPr>
                <w:rFonts w:hint="default" w:ascii="Arial" w:hAnsi="Arial" w:eastAsia="宋体" w:cs="Arial"/>
                <w:color w:val="auto"/>
                <w:sz w:val="21"/>
                <w:szCs w:val="21"/>
                <w:highlight w:val="none"/>
              </w:rPr>
              <w:t>同时场区内加强绿化</w:t>
            </w:r>
            <w:r>
              <w:rPr>
                <w:rFonts w:hint="default" w:ascii="Arial" w:hAnsi="Arial" w:eastAsia="宋体" w:cs="Arial"/>
                <w:color w:val="auto"/>
                <w:sz w:val="21"/>
                <w:szCs w:val="21"/>
                <w:highlight w:val="none"/>
                <w:lang w:eastAsia="zh-CN"/>
              </w:rPr>
              <w:t>，</w:t>
            </w:r>
            <w:r>
              <w:rPr>
                <w:rFonts w:hint="default" w:ascii="Arial" w:hAnsi="Arial" w:eastAsia="宋体" w:cs="Arial"/>
                <w:color w:val="auto"/>
                <w:kern w:val="0"/>
                <w:sz w:val="21"/>
                <w:szCs w:val="21"/>
                <w:highlight w:val="none"/>
              </w:rPr>
              <w:t>可减少臭气的产生</w:t>
            </w:r>
          </w:p>
        </w:tc>
        <w:tc>
          <w:tcPr>
            <w:tcW w:w="2492" w:type="dxa"/>
            <w:vMerge w:val="continue"/>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rPr>
            </w:pPr>
          </w:p>
        </w:tc>
        <w:tc>
          <w:tcPr>
            <w:tcW w:w="1151" w:type="dxa"/>
            <w:vMerge w:val="continue"/>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rPr>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73" w:type="dxa"/>
            <w:vMerge w:val="continue"/>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rPr>
            </w:pPr>
          </w:p>
        </w:tc>
        <w:tc>
          <w:tcPr>
            <w:tcW w:w="1145"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lang w:eastAsia="zh-CN"/>
              </w:rPr>
              <w:t>饲草料库房</w:t>
            </w:r>
          </w:p>
        </w:tc>
        <w:tc>
          <w:tcPr>
            <w:tcW w:w="1168" w:type="dxa"/>
            <w:vMerge w:val="continue"/>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rPr>
            </w:pPr>
          </w:p>
        </w:tc>
        <w:tc>
          <w:tcPr>
            <w:tcW w:w="1168"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颗粒物</w:t>
            </w:r>
          </w:p>
        </w:tc>
        <w:tc>
          <w:tcPr>
            <w:tcW w:w="6330"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lang w:eastAsia="zh-CN"/>
              </w:rPr>
            </w:pPr>
            <w:r>
              <w:rPr>
                <w:rFonts w:hint="default" w:ascii="Arial" w:hAnsi="Arial" w:eastAsia="宋体" w:cs="Arial"/>
                <w:color w:val="auto"/>
                <w:sz w:val="21"/>
                <w:szCs w:val="21"/>
                <w:highlight w:val="none"/>
              </w:rPr>
              <w:t>全封闭</w:t>
            </w:r>
            <w:r>
              <w:rPr>
                <w:rFonts w:hint="default" w:ascii="Arial" w:hAnsi="Arial" w:eastAsia="宋体" w:cs="Arial"/>
                <w:color w:val="auto"/>
                <w:sz w:val="21"/>
                <w:szCs w:val="21"/>
                <w:highlight w:val="none"/>
                <w:lang w:eastAsia="zh-CN"/>
              </w:rPr>
              <w:t>饲草料库房</w:t>
            </w:r>
          </w:p>
        </w:tc>
        <w:tc>
          <w:tcPr>
            <w:tcW w:w="2492"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《大气污染物综合排放标准》（GB16297-1996）表2中无组织排放监控浓度限值要求</w:t>
            </w:r>
          </w:p>
        </w:tc>
        <w:tc>
          <w:tcPr>
            <w:tcW w:w="1151"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“三同时”</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73" w:type="dxa"/>
            <w:vMerge w:val="restart"/>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废水</w:t>
            </w:r>
          </w:p>
        </w:tc>
        <w:tc>
          <w:tcPr>
            <w:tcW w:w="1145"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生活污水</w:t>
            </w:r>
          </w:p>
        </w:tc>
        <w:tc>
          <w:tcPr>
            <w:tcW w:w="1168"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lang w:eastAsia="zh-CN"/>
              </w:rPr>
            </w:pPr>
            <w:r>
              <w:rPr>
                <w:rFonts w:hint="default" w:ascii="Arial" w:hAnsi="Arial" w:eastAsia="宋体" w:cs="Arial"/>
                <w:color w:val="auto"/>
                <w:sz w:val="21"/>
                <w:szCs w:val="21"/>
                <w:highlight w:val="none"/>
              </w:rPr>
              <w:t>/</w:t>
            </w:r>
          </w:p>
        </w:tc>
        <w:tc>
          <w:tcPr>
            <w:tcW w:w="1168"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COD</w:t>
            </w:r>
            <w:r>
              <w:rPr>
                <w:rFonts w:hint="default" w:ascii="Arial" w:hAnsi="Arial" w:eastAsia="宋体" w:cs="Arial"/>
                <w:color w:val="auto"/>
                <w:sz w:val="21"/>
                <w:szCs w:val="21"/>
                <w:highlight w:val="none"/>
                <w:vertAlign w:val="subscript"/>
              </w:rPr>
              <w:t>Cr</w:t>
            </w:r>
            <w:r>
              <w:rPr>
                <w:rFonts w:hint="default" w:ascii="Arial" w:hAnsi="Arial" w:eastAsia="宋体" w:cs="Arial"/>
                <w:color w:val="auto"/>
                <w:sz w:val="21"/>
                <w:szCs w:val="21"/>
                <w:highlight w:val="none"/>
              </w:rPr>
              <w:t>、</w:t>
            </w:r>
            <w:r>
              <w:rPr>
                <w:rFonts w:hint="default" w:ascii="Arial" w:hAnsi="Arial" w:eastAsia="宋体" w:cs="Arial"/>
                <w:color w:val="auto"/>
                <w:sz w:val="21"/>
                <w:szCs w:val="21"/>
                <w:highlight w:val="none"/>
                <w:lang w:val="en-US" w:eastAsia="zh-CN"/>
              </w:rPr>
              <w:t>BOD</w:t>
            </w:r>
            <w:r>
              <w:rPr>
                <w:rFonts w:hint="default" w:ascii="Arial" w:hAnsi="Arial" w:eastAsia="宋体" w:cs="Arial"/>
                <w:color w:val="auto"/>
                <w:sz w:val="21"/>
                <w:szCs w:val="21"/>
                <w:highlight w:val="none"/>
                <w:vertAlign w:val="subscript"/>
                <w:lang w:val="en-US" w:eastAsia="zh-CN"/>
              </w:rPr>
              <w:t>5</w:t>
            </w:r>
            <w:r>
              <w:rPr>
                <w:rFonts w:hint="default" w:ascii="Arial" w:hAnsi="Arial" w:eastAsia="宋体" w:cs="Arial"/>
                <w:color w:val="auto"/>
                <w:sz w:val="21"/>
                <w:szCs w:val="21"/>
                <w:highlight w:val="none"/>
                <w:lang w:eastAsia="zh-CN"/>
              </w:rPr>
              <w:t>、</w:t>
            </w:r>
            <w:r>
              <w:rPr>
                <w:rFonts w:hint="default" w:ascii="Arial" w:hAnsi="Arial" w:eastAsia="宋体" w:cs="Arial"/>
                <w:color w:val="auto"/>
                <w:sz w:val="21"/>
                <w:szCs w:val="21"/>
                <w:highlight w:val="none"/>
              </w:rPr>
              <w:t>SS、NH</w:t>
            </w:r>
            <w:r>
              <w:rPr>
                <w:rFonts w:hint="default" w:ascii="Arial" w:hAnsi="Arial" w:eastAsia="宋体" w:cs="Arial"/>
                <w:color w:val="auto"/>
                <w:sz w:val="21"/>
                <w:szCs w:val="21"/>
                <w:highlight w:val="none"/>
                <w:vertAlign w:val="subscript"/>
              </w:rPr>
              <w:t>3</w:t>
            </w:r>
            <w:r>
              <w:rPr>
                <w:rFonts w:hint="default" w:ascii="Arial" w:hAnsi="Arial" w:eastAsia="宋体" w:cs="Arial"/>
                <w:color w:val="auto"/>
                <w:sz w:val="21"/>
                <w:szCs w:val="21"/>
                <w:highlight w:val="none"/>
              </w:rPr>
              <w:t>-N</w:t>
            </w:r>
          </w:p>
        </w:tc>
        <w:tc>
          <w:tcPr>
            <w:tcW w:w="6330"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生活污水经化粪池暂存处理后，定期清掏。</w:t>
            </w:r>
          </w:p>
        </w:tc>
        <w:tc>
          <w:tcPr>
            <w:tcW w:w="2492"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w:t>
            </w:r>
          </w:p>
        </w:tc>
        <w:tc>
          <w:tcPr>
            <w:tcW w:w="1151"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“三同时”</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73" w:type="dxa"/>
            <w:vMerge w:val="continue"/>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rPr>
            </w:pPr>
          </w:p>
        </w:tc>
        <w:tc>
          <w:tcPr>
            <w:tcW w:w="1145"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场区雨水</w:t>
            </w:r>
          </w:p>
        </w:tc>
        <w:tc>
          <w:tcPr>
            <w:tcW w:w="1168" w:type="dxa"/>
            <w:vAlign w:val="center"/>
          </w:tcPr>
          <w:p>
            <w:pPr>
              <w:keepNext w:val="0"/>
              <w:keepLines w:val="0"/>
              <w:pageBreakBefore w:val="0"/>
              <w:widowControl w:val="0"/>
              <w:kinsoku/>
              <w:wordWrap/>
              <w:overflowPunct/>
              <w:topLinePunct/>
              <w:autoSpaceDE w:val="0"/>
              <w:autoSpaceDN/>
              <w:bidi w:val="0"/>
              <w:adjustRightInd/>
              <w:snapToGrid/>
              <w:spacing w:line="360" w:lineRule="exact"/>
              <w:ind w:firstLine="420" w:firstLineChars="200"/>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w:t>
            </w:r>
          </w:p>
        </w:tc>
        <w:tc>
          <w:tcPr>
            <w:tcW w:w="1168"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w:t>
            </w:r>
          </w:p>
        </w:tc>
        <w:tc>
          <w:tcPr>
            <w:tcW w:w="6330"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①牛舍屋面设置合适坡度并在屋檐设置导流槽，将雨水导出不排入运动场内，屋面雨水采用自流式排水，经过雨水管道排入场区排水沟排出。</w:t>
            </w:r>
          </w:p>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lang w:eastAsia="zh-CN"/>
              </w:rPr>
            </w:pPr>
            <w:r>
              <w:rPr>
                <w:rFonts w:hint="default" w:ascii="Arial" w:hAnsi="Arial" w:eastAsia="宋体" w:cs="Arial"/>
                <w:color w:val="auto"/>
                <w:sz w:val="21"/>
                <w:szCs w:val="21"/>
                <w:highlight w:val="none"/>
              </w:rPr>
              <w:t>②运动场设置挡水坡道，防止雨水进入运动场</w:t>
            </w:r>
            <w:r>
              <w:rPr>
                <w:rFonts w:hint="default" w:ascii="Arial" w:hAnsi="Arial" w:eastAsia="宋体" w:cs="Arial"/>
                <w:color w:val="auto"/>
                <w:sz w:val="21"/>
                <w:szCs w:val="21"/>
                <w:highlight w:val="none"/>
                <w:lang w:eastAsia="zh-CN"/>
              </w:rPr>
              <w:t>。</w:t>
            </w:r>
          </w:p>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lang w:eastAsia="zh-CN"/>
              </w:rPr>
            </w:pPr>
            <w:r>
              <w:rPr>
                <w:rFonts w:hint="default" w:ascii="Arial" w:hAnsi="Arial" w:eastAsia="宋体" w:cs="Arial"/>
                <w:color w:val="auto"/>
                <w:sz w:val="21"/>
                <w:szCs w:val="21"/>
                <w:highlight w:val="none"/>
              </w:rPr>
              <w:t>③</w:t>
            </w:r>
            <w:r>
              <w:rPr>
                <w:rFonts w:hint="default" w:ascii="Arial" w:hAnsi="Arial" w:eastAsia="宋体" w:cs="Arial"/>
                <w:color w:val="auto"/>
                <w:sz w:val="21"/>
                <w:szCs w:val="21"/>
                <w:highlight w:val="none"/>
                <w:lang w:eastAsia="zh-CN"/>
              </w:rPr>
              <w:t>堆肥场</w:t>
            </w:r>
            <w:r>
              <w:rPr>
                <w:rFonts w:hint="default" w:ascii="Arial" w:hAnsi="Arial" w:eastAsia="宋体" w:cs="Arial"/>
                <w:color w:val="auto"/>
                <w:sz w:val="21"/>
                <w:szCs w:val="21"/>
                <w:highlight w:val="none"/>
              </w:rPr>
              <w:t>底部进行硬化防渗处理，四面设围墙及导流渠，</w:t>
            </w:r>
            <w:r>
              <w:rPr>
                <w:rFonts w:hint="default" w:ascii="Arial" w:hAnsi="Arial" w:eastAsia="宋体" w:cs="Arial"/>
                <w:color w:val="auto"/>
                <w:sz w:val="21"/>
                <w:szCs w:val="21"/>
                <w:highlight w:val="none"/>
                <w:lang w:eastAsia="zh-CN"/>
              </w:rPr>
              <w:t>墙高1m</w:t>
            </w:r>
            <w:r>
              <w:rPr>
                <w:rFonts w:hint="default" w:ascii="Arial" w:hAnsi="Arial" w:eastAsia="宋体" w:cs="Arial"/>
                <w:color w:val="auto"/>
                <w:sz w:val="21"/>
                <w:szCs w:val="21"/>
                <w:highlight w:val="none"/>
              </w:rPr>
              <w:t>，防止进因雨水进入造成外溢，形成二次污染。</w:t>
            </w:r>
          </w:p>
        </w:tc>
        <w:tc>
          <w:tcPr>
            <w:tcW w:w="2492"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w:t>
            </w:r>
          </w:p>
        </w:tc>
        <w:tc>
          <w:tcPr>
            <w:tcW w:w="1151"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“三同时”</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73"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土壤</w:t>
            </w:r>
          </w:p>
        </w:tc>
        <w:tc>
          <w:tcPr>
            <w:tcW w:w="1145"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运营过程</w:t>
            </w:r>
          </w:p>
        </w:tc>
        <w:tc>
          <w:tcPr>
            <w:tcW w:w="1168"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w:t>
            </w:r>
          </w:p>
        </w:tc>
        <w:tc>
          <w:tcPr>
            <w:tcW w:w="1168"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w:t>
            </w:r>
          </w:p>
        </w:tc>
        <w:tc>
          <w:tcPr>
            <w:tcW w:w="6330"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对通过垂直下渗可能造成土壤污染的污染物建设单位应严格落实本次评价提出的地下水防治措施，并加强土壤环境的监测和管理。</w:t>
            </w:r>
          </w:p>
        </w:tc>
        <w:tc>
          <w:tcPr>
            <w:tcW w:w="2492"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《土壤环境质量 农用地土壤污染风险管控标准（试行）》（GB15618-2018）表1中农用地土壤污染风险筛选值（基本项目）</w:t>
            </w:r>
          </w:p>
        </w:tc>
        <w:tc>
          <w:tcPr>
            <w:tcW w:w="1151"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“三同时”</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73" w:type="dxa"/>
            <w:vMerge w:val="restart"/>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地下水</w:t>
            </w:r>
          </w:p>
        </w:tc>
        <w:tc>
          <w:tcPr>
            <w:tcW w:w="1145"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lang w:eastAsia="zh-CN"/>
              </w:rPr>
            </w:pPr>
            <w:r>
              <w:rPr>
                <w:rFonts w:hint="default" w:ascii="Arial" w:hAnsi="Arial" w:eastAsia="宋体" w:cs="Arial"/>
                <w:color w:val="auto"/>
                <w:sz w:val="21"/>
                <w:szCs w:val="21"/>
                <w:highlight w:val="none"/>
                <w:lang w:eastAsia="zh-CN"/>
              </w:rPr>
              <w:t>地下水质量</w:t>
            </w:r>
          </w:p>
        </w:tc>
        <w:tc>
          <w:tcPr>
            <w:tcW w:w="1168"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地下水监控井</w:t>
            </w:r>
          </w:p>
        </w:tc>
        <w:tc>
          <w:tcPr>
            <w:tcW w:w="1168"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w:t>
            </w:r>
          </w:p>
        </w:tc>
        <w:tc>
          <w:tcPr>
            <w:tcW w:w="6330"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bCs/>
                <w:color w:val="auto"/>
                <w:sz w:val="21"/>
                <w:szCs w:val="21"/>
                <w:highlight w:val="none"/>
              </w:rPr>
            </w:pPr>
            <w:r>
              <w:rPr>
                <w:rFonts w:hint="default" w:ascii="Arial" w:hAnsi="Arial" w:eastAsia="宋体" w:cs="Arial"/>
                <w:bCs/>
                <w:color w:val="auto"/>
                <w:sz w:val="21"/>
                <w:szCs w:val="21"/>
                <w:highlight w:val="none"/>
                <w:lang w:eastAsia="zh-CN"/>
              </w:rPr>
              <w:t>场区内</w:t>
            </w:r>
            <w:r>
              <w:rPr>
                <w:rFonts w:hint="default" w:ascii="Arial" w:hAnsi="Arial" w:eastAsia="宋体" w:cs="Arial"/>
                <w:bCs/>
                <w:color w:val="auto"/>
                <w:sz w:val="21"/>
                <w:szCs w:val="21"/>
                <w:highlight w:val="none"/>
              </w:rPr>
              <w:t>设置地下水监控井1眼，设置标示等</w:t>
            </w:r>
          </w:p>
        </w:tc>
        <w:tc>
          <w:tcPr>
            <w:tcW w:w="2492"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《地下水质量标准》（GB/T14848-2017）中Ⅲ类标准</w:t>
            </w:r>
          </w:p>
        </w:tc>
        <w:tc>
          <w:tcPr>
            <w:tcW w:w="1151"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“三同时”</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73" w:type="dxa"/>
            <w:vMerge w:val="continue"/>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rPr>
            </w:pPr>
          </w:p>
        </w:tc>
        <w:tc>
          <w:tcPr>
            <w:tcW w:w="1145"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工程防渗要求</w:t>
            </w:r>
          </w:p>
        </w:tc>
        <w:tc>
          <w:tcPr>
            <w:tcW w:w="1168"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w:t>
            </w:r>
          </w:p>
        </w:tc>
        <w:tc>
          <w:tcPr>
            <w:tcW w:w="1168"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w:t>
            </w:r>
          </w:p>
        </w:tc>
        <w:tc>
          <w:tcPr>
            <w:tcW w:w="6330"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1、重点防渗区涉及</w:t>
            </w:r>
            <w:r>
              <w:rPr>
                <w:rFonts w:hint="default" w:ascii="Arial" w:hAnsi="Arial" w:eastAsia="宋体" w:cs="Arial"/>
                <w:color w:val="auto"/>
                <w:sz w:val="21"/>
                <w:szCs w:val="21"/>
                <w:highlight w:val="none"/>
                <w:lang w:val="zh-CN"/>
              </w:rPr>
              <w:t>危险废物暂存间</w:t>
            </w:r>
            <w:r>
              <w:rPr>
                <w:rFonts w:hint="default" w:ascii="Arial" w:hAnsi="Arial" w:eastAsia="宋体" w:cs="Arial"/>
                <w:color w:val="auto"/>
                <w:sz w:val="21"/>
                <w:szCs w:val="21"/>
                <w:highlight w:val="none"/>
              </w:rPr>
              <w:t>渗透系数要求小于1.0×10</w:t>
            </w:r>
            <w:r>
              <w:rPr>
                <w:rFonts w:hint="default" w:ascii="Arial" w:hAnsi="Arial" w:eastAsia="宋体" w:cs="Arial"/>
                <w:color w:val="auto"/>
                <w:sz w:val="21"/>
                <w:szCs w:val="21"/>
                <w:highlight w:val="none"/>
                <w:vertAlign w:val="superscript"/>
              </w:rPr>
              <w:t>-10</w:t>
            </w:r>
            <w:r>
              <w:rPr>
                <w:rFonts w:hint="default" w:ascii="Arial" w:hAnsi="Arial" w:eastAsia="宋体" w:cs="Arial"/>
                <w:color w:val="auto"/>
                <w:sz w:val="21"/>
                <w:szCs w:val="21"/>
                <w:highlight w:val="none"/>
              </w:rPr>
              <w:t>cm/s；</w:t>
            </w:r>
          </w:p>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2、一般防渗区：</w:t>
            </w:r>
          </w:p>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1）对</w:t>
            </w:r>
            <w:r>
              <w:rPr>
                <w:rFonts w:hint="default" w:ascii="Arial" w:hAnsi="Arial" w:eastAsia="宋体" w:cs="Arial"/>
                <w:color w:val="auto"/>
                <w:sz w:val="21"/>
                <w:szCs w:val="21"/>
                <w:highlight w:val="none"/>
                <w:lang w:eastAsia="zh-CN"/>
              </w:rPr>
              <w:t>堆肥场</w:t>
            </w:r>
            <w:r>
              <w:rPr>
                <w:rFonts w:hint="default" w:ascii="Arial" w:hAnsi="Arial" w:eastAsia="宋体" w:cs="Arial"/>
                <w:color w:val="auto"/>
                <w:sz w:val="21"/>
                <w:szCs w:val="21"/>
                <w:highlight w:val="none"/>
              </w:rPr>
              <w:t>底部基础防渗具体做法为：防渗层为敷设不小于2mm的高密度聚氯乙烯（HDPE）人工防渗膜，膜上、膜下设置“长丝无纺土工布”保护层，并铺设不小于100mm的混凝土保护层，或其他材料可满足渗透系数小于1.0×10</w:t>
            </w:r>
            <w:r>
              <w:rPr>
                <w:rFonts w:hint="default" w:ascii="Arial" w:hAnsi="Arial" w:eastAsia="宋体" w:cs="Arial"/>
                <w:color w:val="auto"/>
                <w:sz w:val="21"/>
                <w:szCs w:val="21"/>
                <w:highlight w:val="none"/>
                <w:vertAlign w:val="superscript"/>
              </w:rPr>
              <w:t>-7</w:t>
            </w:r>
            <w:r>
              <w:rPr>
                <w:rFonts w:hint="default" w:ascii="Arial" w:hAnsi="Arial" w:eastAsia="宋体" w:cs="Arial"/>
                <w:color w:val="auto"/>
                <w:sz w:val="21"/>
                <w:szCs w:val="21"/>
                <w:highlight w:val="none"/>
              </w:rPr>
              <w:t>cm/s；</w:t>
            </w:r>
          </w:p>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2）对</w:t>
            </w:r>
            <w:r>
              <w:rPr>
                <w:rFonts w:hint="default" w:ascii="Arial" w:hAnsi="Arial" w:eastAsia="宋体" w:cs="Arial"/>
                <w:color w:val="auto"/>
                <w:sz w:val="21"/>
                <w:szCs w:val="21"/>
                <w:highlight w:val="none"/>
                <w:lang w:eastAsia="zh-CN"/>
              </w:rPr>
              <w:t>化粪池</w:t>
            </w:r>
            <w:r>
              <w:rPr>
                <w:rFonts w:hint="default" w:ascii="Arial" w:hAnsi="Arial" w:eastAsia="宋体" w:cs="Arial"/>
                <w:color w:val="auto"/>
                <w:sz w:val="21"/>
                <w:szCs w:val="21"/>
                <w:highlight w:val="none"/>
              </w:rPr>
              <w:t>采取以下防渗措施：</w:t>
            </w:r>
          </w:p>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防渗层为敷设不小于2mm的高密度聚氯乙烯（HDPE）人工防渗膜，并铺设不小于100mm的混凝土保护层，或其他材料可满足渗透系数小于1.0×10</w:t>
            </w:r>
            <w:r>
              <w:rPr>
                <w:rFonts w:hint="default" w:ascii="Arial" w:hAnsi="Arial" w:eastAsia="宋体" w:cs="Arial"/>
                <w:color w:val="auto"/>
                <w:sz w:val="21"/>
                <w:szCs w:val="21"/>
                <w:highlight w:val="none"/>
                <w:vertAlign w:val="superscript"/>
              </w:rPr>
              <w:t>-7</w:t>
            </w:r>
            <w:r>
              <w:rPr>
                <w:rFonts w:hint="default" w:ascii="Arial" w:hAnsi="Arial" w:eastAsia="宋体" w:cs="Arial"/>
                <w:color w:val="auto"/>
                <w:sz w:val="21"/>
                <w:szCs w:val="21"/>
                <w:highlight w:val="none"/>
              </w:rPr>
              <w:t>cm/s。</w:t>
            </w:r>
          </w:p>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jc w:val="center"/>
              <w:textAlignment w:val="center"/>
              <w:rPr>
                <w:rFonts w:hint="default" w:ascii="Arial" w:hAnsi="Arial" w:eastAsia="宋体" w:cs="Arial"/>
                <w:bCs/>
                <w:color w:val="auto"/>
                <w:sz w:val="21"/>
                <w:szCs w:val="21"/>
                <w:highlight w:val="none"/>
              </w:rPr>
            </w:pPr>
            <w:r>
              <w:rPr>
                <w:rFonts w:hint="default" w:ascii="Arial" w:hAnsi="Arial" w:eastAsia="宋体" w:cs="Arial"/>
                <w:color w:val="auto"/>
                <w:sz w:val="21"/>
                <w:szCs w:val="21"/>
                <w:highlight w:val="none"/>
              </w:rPr>
              <w:t>3、对于</w:t>
            </w:r>
            <w:r>
              <w:rPr>
                <w:rFonts w:hint="default" w:ascii="Arial" w:hAnsi="Arial" w:eastAsia="宋体" w:cs="Arial"/>
                <w:color w:val="auto"/>
                <w:sz w:val="21"/>
                <w:szCs w:val="21"/>
                <w:highlight w:val="none"/>
                <w:lang w:eastAsia="zh-CN"/>
              </w:rPr>
              <w:t>饲草料库房</w:t>
            </w:r>
            <w:r>
              <w:rPr>
                <w:rFonts w:hint="default" w:ascii="Arial" w:hAnsi="Arial" w:eastAsia="宋体" w:cs="Arial"/>
                <w:color w:val="auto"/>
                <w:sz w:val="21"/>
                <w:szCs w:val="21"/>
                <w:highlight w:val="none"/>
              </w:rPr>
              <w:t>、消毒室、</w:t>
            </w:r>
            <w:r>
              <w:rPr>
                <w:rFonts w:hint="default" w:ascii="Arial" w:hAnsi="Arial" w:eastAsia="宋体" w:cs="Arial"/>
                <w:color w:val="auto"/>
                <w:sz w:val="21"/>
                <w:szCs w:val="21"/>
                <w:highlight w:val="none"/>
                <w:lang w:eastAsia="zh-CN"/>
              </w:rPr>
              <w:t>青贮池</w:t>
            </w:r>
            <w:r>
              <w:rPr>
                <w:rFonts w:hint="default" w:ascii="Arial" w:hAnsi="Arial" w:eastAsia="宋体" w:cs="Arial"/>
                <w:color w:val="auto"/>
                <w:sz w:val="21"/>
                <w:szCs w:val="21"/>
                <w:highlight w:val="none"/>
              </w:rPr>
              <w:t>、场区道路、牛舍饲料通道等生产区，铺设防渗混凝土地面进行防渗。</w:t>
            </w:r>
          </w:p>
        </w:tc>
        <w:tc>
          <w:tcPr>
            <w:tcW w:w="2492"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《畜禽养殖业污染物排放标（GB18596-2001）》，《危险废物贮存污染控制标准》（GB18597-2001）</w:t>
            </w:r>
          </w:p>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参照《一般工业固体废物贮存、处置场污染控制标准》（GB18599-2001）</w:t>
            </w:r>
          </w:p>
        </w:tc>
        <w:tc>
          <w:tcPr>
            <w:tcW w:w="1151"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“三同时”</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73" w:type="dxa"/>
            <w:vMerge w:val="restart"/>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固体废物</w:t>
            </w:r>
          </w:p>
        </w:tc>
        <w:tc>
          <w:tcPr>
            <w:tcW w:w="1145" w:type="dxa"/>
            <w:vAlign w:val="center"/>
          </w:tcPr>
          <w:p>
            <w:pPr>
              <w:pStyle w:val="63"/>
              <w:keepNext w:val="0"/>
              <w:keepLines w:val="0"/>
              <w:pageBreakBefore w:val="0"/>
              <w:widowControl w:val="0"/>
              <w:kinsoku/>
              <w:wordWrap/>
              <w:overflowPunct/>
              <w:topLinePunct/>
              <w:autoSpaceDE w:val="0"/>
              <w:autoSpaceDN/>
              <w:bidi w:val="0"/>
              <w:adjustRightInd/>
              <w:snapToGrid/>
              <w:ind w:firstLine="0" w:firstLineChars="0"/>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lang w:bidi="zh-CN"/>
              </w:rPr>
              <w:t>医疗垃圾</w:t>
            </w:r>
          </w:p>
        </w:tc>
        <w:tc>
          <w:tcPr>
            <w:tcW w:w="1168"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w:t>
            </w:r>
          </w:p>
        </w:tc>
        <w:tc>
          <w:tcPr>
            <w:tcW w:w="1168"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w:t>
            </w:r>
          </w:p>
        </w:tc>
        <w:tc>
          <w:tcPr>
            <w:tcW w:w="6330"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设危险废物暂存间1座，建筑面积10m</w:t>
            </w:r>
            <w:r>
              <w:rPr>
                <w:rFonts w:hint="default" w:ascii="Arial" w:hAnsi="Arial" w:eastAsia="宋体" w:cs="Arial"/>
                <w:color w:val="auto"/>
                <w:sz w:val="21"/>
                <w:szCs w:val="21"/>
                <w:highlight w:val="none"/>
                <w:vertAlign w:val="superscript"/>
              </w:rPr>
              <w:t>2</w:t>
            </w:r>
            <w:r>
              <w:rPr>
                <w:rFonts w:hint="default" w:ascii="Arial" w:hAnsi="Arial" w:eastAsia="宋体" w:cs="Arial"/>
                <w:color w:val="auto"/>
                <w:sz w:val="21"/>
                <w:szCs w:val="21"/>
                <w:highlight w:val="none"/>
              </w:rPr>
              <w:t>，暂存运营过程产生的医疗废弃物，暂存</w:t>
            </w:r>
            <w:r>
              <w:rPr>
                <w:rFonts w:hint="default" w:ascii="Arial" w:hAnsi="Arial" w:eastAsia="宋体" w:cs="Arial"/>
                <w:color w:val="auto"/>
                <w:sz w:val="21"/>
                <w:szCs w:val="21"/>
                <w:highlight w:val="none"/>
                <w:lang w:eastAsia="zh-CN"/>
              </w:rPr>
              <w:t>定期由有资质单位处置</w:t>
            </w:r>
            <w:r>
              <w:rPr>
                <w:rFonts w:hint="default" w:ascii="Arial" w:hAnsi="Arial" w:eastAsia="宋体" w:cs="Arial"/>
                <w:color w:val="auto"/>
                <w:sz w:val="21"/>
                <w:szCs w:val="21"/>
                <w:highlight w:val="none"/>
              </w:rPr>
              <w:t>；</w:t>
            </w:r>
          </w:p>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1）贮存场所地面须作硬化处理，以混凝土、砖、或经过防止腐化处理的钢材料进行建设，地面敷设2mm厚HDPE膜进行防渗处理，以防止渗漏和腐蚀。存放液体性危险废物的贮存场所必须设计导流槽和收集井，场所需要密闭且有通风口。</w:t>
            </w:r>
          </w:p>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2）危废暂存间的地面与裙脚要用坚固、防渗的材料建造，建筑材料必须与危险废物相容。</w:t>
            </w:r>
          </w:p>
        </w:tc>
        <w:tc>
          <w:tcPr>
            <w:tcW w:w="2492"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《危险废物贮存污染控制标准》（GB18597-2001）</w:t>
            </w:r>
          </w:p>
        </w:tc>
        <w:tc>
          <w:tcPr>
            <w:tcW w:w="1151"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“三同时”</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73" w:type="dxa"/>
            <w:vMerge w:val="continue"/>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rPr>
            </w:pPr>
          </w:p>
        </w:tc>
        <w:tc>
          <w:tcPr>
            <w:tcW w:w="1145"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lang w:eastAsia="zh-CN"/>
              </w:rPr>
            </w:pPr>
            <w:r>
              <w:rPr>
                <w:rFonts w:hint="default" w:ascii="Arial" w:hAnsi="Arial" w:eastAsia="宋体" w:cs="Arial"/>
                <w:color w:val="auto"/>
                <w:sz w:val="21"/>
                <w:szCs w:val="21"/>
                <w:highlight w:val="none"/>
                <w:lang w:eastAsia="zh-CN"/>
              </w:rPr>
              <w:t>牛粪便</w:t>
            </w:r>
          </w:p>
        </w:tc>
        <w:tc>
          <w:tcPr>
            <w:tcW w:w="1168"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w:t>
            </w:r>
          </w:p>
        </w:tc>
        <w:tc>
          <w:tcPr>
            <w:tcW w:w="1168"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w:t>
            </w:r>
          </w:p>
        </w:tc>
        <w:tc>
          <w:tcPr>
            <w:tcW w:w="6330"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日产日清，</w:t>
            </w:r>
            <w:r>
              <w:rPr>
                <w:rFonts w:hint="default" w:ascii="Arial" w:hAnsi="Arial" w:eastAsia="宋体" w:cs="Arial"/>
                <w:color w:val="auto"/>
                <w:sz w:val="21"/>
                <w:szCs w:val="21"/>
                <w:highlight w:val="none"/>
                <w:lang w:eastAsia="zh-CN"/>
              </w:rPr>
              <w:t>堆肥场</w:t>
            </w:r>
            <w:r>
              <w:rPr>
                <w:rFonts w:hint="default" w:ascii="Arial" w:hAnsi="Arial" w:eastAsia="宋体" w:cs="Arial"/>
                <w:color w:val="auto"/>
                <w:sz w:val="21"/>
                <w:szCs w:val="21"/>
                <w:highlight w:val="none"/>
              </w:rPr>
              <w:t>收集经堆肥发酵后，用于还田利用；</w:t>
            </w:r>
          </w:p>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lang w:eastAsia="zh-CN"/>
              </w:rPr>
              <w:t>堆肥场</w:t>
            </w:r>
            <w:r>
              <w:rPr>
                <w:rFonts w:hint="default" w:ascii="Arial" w:hAnsi="Arial" w:eastAsia="宋体" w:cs="Arial"/>
                <w:color w:val="auto"/>
                <w:sz w:val="21"/>
                <w:szCs w:val="21"/>
                <w:highlight w:val="none"/>
              </w:rPr>
              <w:t>底部进行硬化防渗处理，四面设围墙及导流渠，</w:t>
            </w:r>
            <w:r>
              <w:rPr>
                <w:rFonts w:hint="default" w:ascii="Arial" w:hAnsi="Arial" w:eastAsia="宋体" w:cs="Arial"/>
                <w:color w:val="auto"/>
                <w:sz w:val="21"/>
                <w:szCs w:val="21"/>
                <w:highlight w:val="none"/>
                <w:lang w:eastAsia="zh-CN"/>
              </w:rPr>
              <w:t>墙高1m</w:t>
            </w:r>
            <w:r>
              <w:rPr>
                <w:rFonts w:hint="default" w:ascii="Arial" w:hAnsi="Arial" w:eastAsia="宋体" w:cs="Arial"/>
                <w:color w:val="auto"/>
                <w:sz w:val="21"/>
                <w:szCs w:val="21"/>
                <w:highlight w:val="none"/>
              </w:rPr>
              <w:t>，防止进因雨水进入造成外溢，形成二次污染</w:t>
            </w:r>
          </w:p>
        </w:tc>
        <w:tc>
          <w:tcPr>
            <w:tcW w:w="2492"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资源化利用，满足《畜禽养殖业污染物排放标准》（GB18596-2001）</w:t>
            </w:r>
          </w:p>
        </w:tc>
        <w:tc>
          <w:tcPr>
            <w:tcW w:w="1151"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“三同时”</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73" w:type="dxa"/>
            <w:vMerge w:val="continue"/>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rPr>
            </w:pPr>
          </w:p>
        </w:tc>
        <w:tc>
          <w:tcPr>
            <w:tcW w:w="1145"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lang w:eastAsia="zh-CN"/>
              </w:rPr>
            </w:pPr>
            <w:r>
              <w:rPr>
                <w:rFonts w:hint="default" w:ascii="Arial" w:hAnsi="Arial" w:eastAsia="宋体" w:cs="Arial"/>
                <w:color w:val="auto"/>
                <w:sz w:val="21"/>
                <w:szCs w:val="21"/>
                <w:highlight w:val="none"/>
                <w:lang w:eastAsia="zh-CN"/>
              </w:rPr>
              <w:t>病死牛</w:t>
            </w:r>
          </w:p>
        </w:tc>
        <w:tc>
          <w:tcPr>
            <w:tcW w:w="1168" w:type="dxa"/>
            <w:vAlign w:val="center"/>
          </w:tcPr>
          <w:p>
            <w:pPr>
              <w:keepNext w:val="0"/>
              <w:keepLines w:val="0"/>
              <w:pageBreakBefore w:val="0"/>
              <w:widowControl w:val="0"/>
              <w:kinsoku/>
              <w:wordWrap/>
              <w:overflowPunct/>
              <w:topLinePunct/>
              <w:autoSpaceDE w:val="0"/>
              <w:autoSpaceDN/>
              <w:bidi w:val="0"/>
              <w:adjustRightInd/>
              <w:snapToGrid/>
              <w:spacing w:line="360" w:lineRule="exact"/>
              <w:ind w:firstLine="420" w:firstLineChars="200"/>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lang w:val="en-GB"/>
              </w:rPr>
              <w:t>/</w:t>
            </w:r>
          </w:p>
        </w:tc>
        <w:tc>
          <w:tcPr>
            <w:tcW w:w="1168"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w:t>
            </w:r>
          </w:p>
        </w:tc>
        <w:tc>
          <w:tcPr>
            <w:tcW w:w="6330"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交由巴彦淖尔市绿之源生物技术发展有限公司进行无害化处理。</w:t>
            </w:r>
          </w:p>
        </w:tc>
        <w:tc>
          <w:tcPr>
            <w:tcW w:w="2492"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《畜禽养殖业污染治理工程技术规范》（HJ497-2009）、《畜禽养殖业污染防治技术规范》（HJ/T81-2001）、《病死及病害动物无害化处理技术规范》（农医发[2017]25号）</w:t>
            </w:r>
          </w:p>
        </w:tc>
        <w:tc>
          <w:tcPr>
            <w:tcW w:w="1151"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“三同时”</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73" w:type="dxa"/>
            <w:vMerge w:val="continue"/>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rPr>
            </w:pPr>
          </w:p>
        </w:tc>
        <w:tc>
          <w:tcPr>
            <w:tcW w:w="1145"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人员</w:t>
            </w:r>
          </w:p>
        </w:tc>
        <w:tc>
          <w:tcPr>
            <w:tcW w:w="1168" w:type="dxa"/>
            <w:vAlign w:val="center"/>
          </w:tcPr>
          <w:p>
            <w:pPr>
              <w:keepNext w:val="0"/>
              <w:keepLines w:val="0"/>
              <w:pageBreakBefore w:val="0"/>
              <w:widowControl w:val="0"/>
              <w:kinsoku/>
              <w:wordWrap/>
              <w:overflowPunct/>
              <w:topLinePunct/>
              <w:autoSpaceDE w:val="0"/>
              <w:autoSpaceDN/>
              <w:bidi w:val="0"/>
              <w:adjustRightInd/>
              <w:snapToGrid/>
              <w:spacing w:line="360" w:lineRule="exact"/>
              <w:ind w:firstLine="420" w:firstLineChars="200"/>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lang w:val="en-GB"/>
              </w:rPr>
              <w:t>/</w:t>
            </w:r>
          </w:p>
        </w:tc>
        <w:tc>
          <w:tcPr>
            <w:tcW w:w="1168"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生活垃圾</w:t>
            </w:r>
          </w:p>
        </w:tc>
        <w:tc>
          <w:tcPr>
            <w:tcW w:w="6330"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场区设置垃圾桶分类收集，交由环卫部门处理</w:t>
            </w:r>
          </w:p>
        </w:tc>
        <w:tc>
          <w:tcPr>
            <w:tcW w:w="2492"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w:t>
            </w:r>
          </w:p>
        </w:tc>
        <w:tc>
          <w:tcPr>
            <w:tcW w:w="1151"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“三同时”</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73"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噪声</w:t>
            </w:r>
          </w:p>
        </w:tc>
        <w:tc>
          <w:tcPr>
            <w:tcW w:w="1145"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风机和泵类</w:t>
            </w:r>
          </w:p>
        </w:tc>
        <w:tc>
          <w:tcPr>
            <w:tcW w:w="1168"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lang w:val="en-GB" w:eastAsia="zh-CN"/>
              </w:rPr>
            </w:pPr>
            <w:r>
              <w:rPr>
                <w:rFonts w:hint="default" w:ascii="Arial" w:hAnsi="Arial" w:eastAsia="宋体" w:cs="Arial"/>
                <w:color w:val="auto"/>
                <w:sz w:val="21"/>
                <w:szCs w:val="21"/>
                <w:highlight w:val="none"/>
                <w:lang w:val="en-GB" w:eastAsia="zh-CN"/>
              </w:rPr>
              <w:t>厂界四周</w:t>
            </w:r>
          </w:p>
        </w:tc>
        <w:tc>
          <w:tcPr>
            <w:tcW w:w="1168"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等效噪声A声级</w:t>
            </w:r>
          </w:p>
        </w:tc>
        <w:tc>
          <w:tcPr>
            <w:tcW w:w="6330"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基础减振、全封闭厂房等措施</w:t>
            </w:r>
          </w:p>
        </w:tc>
        <w:tc>
          <w:tcPr>
            <w:tcW w:w="2492"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《工业企业厂界环境噪声排放标准》（GB12348-2008）2类标准值</w:t>
            </w:r>
          </w:p>
        </w:tc>
        <w:tc>
          <w:tcPr>
            <w:tcW w:w="1151"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“三同时”</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73" w:type="dxa"/>
            <w:vMerge w:val="restart"/>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农肥</w:t>
            </w:r>
          </w:p>
        </w:tc>
        <w:tc>
          <w:tcPr>
            <w:tcW w:w="1145"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肥料</w:t>
            </w:r>
          </w:p>
        </w:tc>
        <w:tc>
          <w:tcPr>
            <w:tcW w:w="1168" w:type="dxa"/>
            <w:vAlign w:val="center"/>
          </w:tcPr>
          <w:p>
            <w:pPr>
              <w:keepNext w:val="0"/>
              <w:keepLines w:val="0"/>
              <w:pageBreakBefore w:val="0"/>
              <w:widowControl w:val="0"/>
              <w:kinsoku/>
              <w:wordWrap/>
              <w:overflowPunct/>
              <w:topLinePunct/>
              <w:autoSpaceDE w:val="0"/>
              <w:autoSpaceDN/>
              <w:bidi w:val="0"/>
              <w:adjustRightInd/>
              <w:snapToGrid/>
              <w:spacing w:line="360" w:lineRule="exact"/>
              <w:ind w:firstLine="420" w:firstLineChars="200"/>
              <w:textAlignment w:val="center"/>
              <w:rPr>
                <w:rFonts w:hint="default" w:ascii="Arial" w:hAnsi="Arial" w:eastAsia="宋体" w:cs="Arial"/>
                <w:color w:val="auto"/>
                <w:sz w:val="21"/>
                <w:szCs w:val="21"/>
                <w:highlight w:val="none"/>
                <w:lang w:val="en-GB"/>
              </w:rPr>
            </w:pPr>
            <w:r>
              <w:rPr>
                <w:rFonts w:hint="default" w:ascii="Arial" w:hAnsi="Arial" w:eastAsia="宋体" w:cs="Arial"/>
                <w:color w:val="auto"/>
                <w:sz w:val="21"/>
                <w:szCs w:val="21"/>
                <w:highlight w:val="none"/>
                <w:lang w:val="en-GB"/>
              </w:rPr>
              <w:t>/</w:t>
            </w:r>
          </w:p>
        </w:tc>
        <w:tc>
          <w:tcPr>
            <w:tcW w:w="1168"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lang w:val="en-GB"/>
              </w:rPr>
            </w:pPr>
            <w:r>
              <w:rPr>
                <w:rFonts w:hint="default" w:ascii="Arial" w:hAnsi="Arial" w:eastAsia="宋体" w:cs="Arial"/>
                <w:color w:val="auto"/>
                <w:sz w:val="21"/>
                <w:szCs w:val="21"/>
                <w:highlight w:val="none"/>
                <w:lang w:val="en-GB"/>
              </w:rPr>
              <w:t>/</w:t>
            </w:r>
          </w:p>
        </w:tc>
        <w:tc>
          <w:tcPr>
            <w:tcW w:w="6330"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固体肥还田时采用封闭运输车辆。主要检测蛔虫卵、粪大肠菌群数等，满足相关法规及规范关于无害化的要求</w:t>
            </w:r>
          </w:p>
        </w:tc>
        <w:tc>
          <w:tcPr>
            <w:tcW w:w="2492" w:type="dxa"/>
            <w:vMerge w:val="restart"/>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满足《畜禽规模养殖污染防治条例》（第643号）有关畜禽粪便综合利用与治理相关要求及《畜禽养殖业污染物排放标准》（GB18596-2001）中表6畜禽养殖业废渣无害化环境标准关于无害化的要求，</w:t>
            </w:r>
          </w:p>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进行资源化还田</w:t>
            </w:r>
          </w:p>
        </w:tc>
        <w:tc>
          <w:tcPr>
            <w:tcW w:w="1151"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“三同时”</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73" w:type="dxa"/>
            <w:vMerge w:val="continue"/>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rPr>
            </w:pPr>
          </w:p>
        </w:tc>
        <w:tc>
          <w:tcPr>
            <w:tcW w:w="1145"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消纳土地</w:t>
            </w:r>
          </w:p>
        </w:tc>
        <w:tc>
          <w:tcPr>
            <w:tcW w:w="1168" w:type="dxa"/>
            <w:vAlign w:val="center"/>
          </w:tcPr>
          <w:p>
            <w:pPr>
              <w:keepNext w:val="0"/>
              <w:keepLines w:val="0"/>
              <w:pageBreakBefore w:val="0"/>
              <w:widowControl w:val="0"/>
              <w:kinsoku/>
              <w:wordWrap/>
              <w:overflowPunct/>
              <w:topLinePunct/>
              <w:autoSpaceDE w:val="0"/>
              <w:autoSpaceDN/>
              <w:bidi w:val="0"/>
              <w:adjustRightInd/>
              <w:snapToGrid/>
              <w:spacing w:line="360" w:lineRule="exact"/>
              <w:ind w:firstLine="420" w:firstLineChars="200"/>
              <w:textAlignment w:val="center"/>
              <w:rPr>
                <w:rFonts w:hint="default" w:ascii="Arial" w:hAnsi="Arial" w:eastAsia="宋体" w:cs="Arial"/>
                <w:color w:val="auto"/>
                <w:sz w:val="21"/>
                <w:szCs w:val="21"/>
                <w:highlight w:val="none"/>
                <w:lang w:val="en-GB"/>
              </w:rPr>
            </w:pPr>
            <w:r>
              <w:rPr>
                <w:rFonts w:hint="default" w:ascii="Arial" w:hAnsi="Arial" w:eastAsia="宋体" w:cs="Arial"/>
                <w:color w:val="auto"/>
                <w:sz w:val="21"/>
                <w:szCs w:val="21"/>
                <w:highlight w:val="none"/>
                <w:lang w:val="en-GB"/>
              </w:rPr>
              <w:t>/</w:t>
            </w:r>
          </w:p>
        </w:tc>
        <w:tc>
          <w:tcPr>
            <w:tcW w:w="1168"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lang w:val="en-GB"/>
              </w:rPr>
            </w:pPr>
            <w:r>
              <w:rPr>
                <w:rFonts w:hint="default" w:ascii="Arial" w:hAnsi="Arial" w:eastAsia="宋体" w:cs="Arial"/>
                <w:color w:val="auto"/>
                <w:sz w:val="21"/>
                <w:szCs w:val="21"/>
                <w:highlight w:val="none"/>
                <w:lang w:val="en-GB"/>
              </w:rPr>
              <w:t>/</w:t>
            </w:r>
          </w:p>
        </w:tc>
        <w:tc>
          <w:tcPr>
            <w:tcW w:w="6330"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项目运营时配套有效消纳土地不少于</w:t>
            </w:r>
            <w:r>
              <w:rPr>
                <w:rFonts w:hint="default" w:ascii="Arial" w:hAnsi="Arial" w:eastAsia="宋体" w:cs="Arial"/>
                <w:color w:val="auto"/>
                <w:sz w:val="21"/>
                <w:szCs w:val="21"/>
                <w:highlight w:val="none"/>
                <w:lang w:val="en-US" w:eastAsia="zh-CN"/>
              </w:rPr>
              <w:t>1</w:t>
            </w:r>
            <w:r>
              <w:rPr>
                <w:rFonts w:hint="default" w:ascii="Arial" w:hAnsi="Arial" w:eastAsia="宋体" w:cs="Arial"/>
                <w:color w:val="auto"/>
                <w:sz w:val="21"/>
                <w:szCs w:val="21"/>
                <w:highlight w:val="none"/>
                <w:lang w:eastAsia="zh-CN"/>
              </w:rPr>
              <w:t>25</w:t>
            </w:r>
            <w:r>
              <w:rPr>
                <w:rFonts w:hint="default" w:ascii="Arial" w:hAnsi="Arial" w:eastAsia="宋体" w:cs="Arial"/>
                <w:color w:val="auto"/>
                <w:sz w:val="21"/>
                <w:szCs w:val="21"/>
                <w:highlight w:val="none"/>
                <w:lang w:val="en-US" w:eastAsia="zh-CN"/>
              </w:rPr>
              <w:t>0</w:t>
            </w:r>
            <w:r>
              <w:rPr>
                <w:rFonts w:hint="default" w:ascii="Arial" w:hAnsi="Arial" w:eastAsia="宋体" w:cs="Arial"/>
                <w:color w:val="auto"/>
                <w:sz w:val="21"/>
                <w:szCs w:val="21"/>
                <w:highlight w:val="none"/>
                <w:lang w:eastAsia="zh-CN"/>
              </w:rPr>
              <w:t>0亩</w:t>
            </w:r>
            <w:r>
              <w:rPr>
                <w:rFonts w:hint="default" w:ascii="Arial" w:hAnsi="Arial" w:eastAsia="宋体" w:cs="Arial"/>
                <w:color w:val="auto"/>
                <w:sz w:val="21"/>
                <w:szCs w:val="21"/>
                <w:highlight w:val="none"/>
              </w:rPr>
              <w:t>，消纳项目所产生的粪便发酵形成的</w:t>
            </w:r>
            <w:r>
              <w:rPr>
                <w:rFonts w:hint="default" w:ascii="Arial" w:hAnsi="Arial" w:eastAsia="宋体" w:cs="Arial"/>
                <w:color w:val="auto"/>
                <w:sz w:val="21"/>
                <w:szCs w:val="21"/>
                <w:highlight w:val="none"/>
                <w:lang w:eastAsia="zh-CN"/>
              </w:rPr>
              <w:t>有机肥</w:t>
            </w:r>
            <w:r>
              <w:rPr>
                <w:rFonts w:hint="default" w:ascii="Arial" w:hAnsi="Arial" w:eastAsia="宋体" w:cs="Arial"/>
                <w:color w:val="auto"/>
                <w:sz w:val="21"/>
                <w:szCs w:val="21"/>
                <w:highlight w:val="none"/>
              </w:rPr>
              <w:t>。</w:t>
            </w:r>
          </w:p>
        </w:tc>
        <w:tc>
          <w:tcPr>
            <w:tcW w:w="2492" w:type="dxa"/>
            <w:vMerge w:val="continue"/>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rPr>
            </w:pPr>
          </w:p>
        </w:tc>
        <w:tc>
          <w:tcPr>
            <w:tcW w:w="1151"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“三同时”</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73"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绿化</w:t>
            </w:r>
          </w:p>
        </w:tc>
        <w:tc>
          <w:tcPr>
            <w:tcW w:w="1145"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lang w:val="en-GB"/>
              </w:rPr>
            </w:pPr>
          </w:p>
        </w:tc>
        <w:tc>
          <w:tcPr>
            <w:tcW w:w="2336" w:type="dxa"/>
            <w:gridSpan w:val="2"/>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lang w:val="en-GB"/>
              </w:rPr>
            </w:pPr>
            <w:r>
              <w:rPr>
                <w:rFonts w:hint="default" w:ascii="Arial" w:hAnsi="Arial" w:eastAsia="宋体" w:cs="Arial"/>
                <w:color w:val="auto"/>
                <w:sz w:val="21"/>
                <w:szCs w:val="21"/>
                <w:highlight w:val="none"/>
                <w:lang w:val="en-GB"/>
              </w:rPr>
              <w:t>绿化工程</w:t>
            </w:r>
          </w:p>
        </w:tc>
        <w:tc>
          <w:tcPr>
            <w:tcW w:w="6330"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在场区四周、建筑物及道路两侧要种植乔灌相间的常青树，尤其应对牛场进行重点绿化，选择适宜的树种和草本植物，结合地区气候条件进行绿化美化工作环境，绿化面积为</w:t>
            </w:r>
            <w:r>
              <w:rPr>
                <w:rFonts w:hint="default" w:ascii="Arial" w:hAnsi="Arial" w:eastAsia="宋体" w:cs="Arial"/>
                <w:color w:val="auto"/>
                <w:sz w:val="21"/>
                <w:szCs w:val="21"/>
                <w:highlight w:val="none"/>
                <w:lang w:val="en-US" w:eastAsia="zh-CN"/>
              </w:rPr>
              <w:t>10000</w:t>
            </w:r>
            <w:r>
              <w:rPr>
                <w:rFonts w:hint="default" w:ascii="Arial" w:hAnsi="Arial" w:eastAsia="宋体" w:cs="Arial"/>
                <w:color w:val="auto"/>
                <w:sz w:val="21"/>
                <w:szCs w:val="21"/>
                <w:highlight w:val="none"/>
              </w:rPr>
              <w:t>m</w:t>
            </w:r>
            <w:r>
              <w:rPr>
                <w:rFonts w:hint="default" w:ascii="Arial" w:hAnsi="Arial" w:eastAsia="宋体" w:cs="Arial"/>
                <w:color w:val="auto"/>
                <w:sz w:val="21"/>
                <w:szCs w:val="21"/>
                <w:highlight w:val="none"/>
                <w:vertAlign w:val="superscript"/>
              </w:rPr>
              <w:t>2</w:t>
            </w:r>
            <w:r>
              <w:rPr>
                <w:rFonts w:hint="default" w:ascii="Arial" w:hAnsi="Arial" w:eastAsia="宋体" w:cs="Arial"/>
                <w:color w:val="auto"/>
                <w:sz w:val="21"/>
                <w:szCs w:val="21"/>
                <w:highlight w:val="none"/>
              </w:rPr>
              <w:t>。</w:t>
            </w:r>
          </w:p>
        </w:tc>
        <w:tc>
          <w:tcPr>
            <w:tcW w:w="2492"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w:t>
            </w:r>
          </w:p>
        </w:tc>
        <w:tc>
          <w:tcPr>
            <w:tcW w:w="1151"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“三同时”</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73" w:type="dxa"/>
            <w:vMerge w:val="restart"/>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管理</w:t>
            </w:r>
          </w:p>
        </w:tc>
        <w:tc>
          <w:tcPr>
            <w:tcW w:w="1145"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环境监测</w:t>
            </w:r>
          </w:p>
        </w:tc>
        <w:tc>
          <w:tcPr>
            <w:tcW w:w="1168" w:type="dxa"/>
            <w:vAlign w:val="center"/>
          </w:tcPr>
          <w:p>
            <w:pPr>
              <w:keepNext w:val="0"/>
              <w:keepLines w:val="0"/>
              <w:pageBreakBefore w:val="0"/>
              <w:widowControl w:val="0"/>
              <w:kinsoku/>
              <w:wordWrap/>
              <w:overflowPunct/>
              <w:topLinePunct/>
              <w:autoSpaceDE w:val="0"/>
              <w:autoSpaceDN/>
              <w:bidi w:val="0"/>
              <w:adjustRightInd/>
              <w:snapToGrid/>
              <w:spacing w:line="360" w:lineRule="exact"/>
              <w:ind w:firstLine="420" w:firstLineChars="200"/>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lang w:val="en-GB"/>
              </w:rPr>
              <w:t>/</w:t>
            </w:r>
          </w:p>
        </w:tc>
        <w:tc>
          <w:tcPr>
            <w:tcW w:w="7498" w:type="dxa"/>
            <w:gridSpan w:val="2"/>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委托有资质的监测单位每年进行例行监测。</w:t>
            </w:r>
          </w:p>
        </w:tc>
        <w:tc>
          <w:tcPr>
            <w:tcW w:w="2492" w:type="dxa"/>
            <w:vMerge w:val="restart"/>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按相关操作规程进行</w:t>
            </w:r>
          </w:p>
        </w:tc>
        <w:tc>
          <w:tcPr>
            <w:tcW w:w="1151" w:type="dxa"/>
            <w:vMerge w:val="restart"/>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“三同时”</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73" w:type="dxa"/>
            <w:vMerge w:val="continue"/>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rPr>
            </w:pPr>
          </w:p>
        </w:tc>
        <w:tc>
          <w:tcPr>
            <w:tcW w:w="1145" w:type="dxa"/>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环境管理</w:t>
            </w:r>
          </w:p>
        </w:tc>
        <w:tc>
          <w:tcPr>
            <w:tcW w:w="1168" w:type="dxa"/>
            <w:vAlign w:val="center"/>
          </w:tcPr>
          <w:p>
            <w:pPr>
              <w:keepNext w:val="0"/>
              <w:keepLines w:val="0"/>
              <w:pageBreakBefore w:val="0"/>
              <w:widowControl w:val="0"/>
              <w:kinsoku/>
              <w:wordWrap/>
              <w:overflowPunct/>
              <w:topLinePunct/>
              <w:autoSpaceDE w:val="0"/>
              <w:autoSpaceDN/>
              <w:bidi w:val="0"/>
              <w:adjustRightInd/>
              <w:snapToGrid/>
              <w:spacing w:line="360" w:lineRule="exact"/>
              <w:ind w:firstLine="420" w:firstLineChars="200"/>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lang w:val="en-GB"/>
              </w:rPr>
              <w:t>/</w:t>
            </w:r>
          </w:p>
        </w:tc>
        <w:tc>
          <w:tcPr>
            <w:tcW w:w="7498" w:type="dxa"/>
            <w:gridSpan w:val="2"/>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rPr>
            </w:pPr>
            <w:r>
              <w:rPr>
                <w:rFonts w:hint="default" w:ascii="Arial" w:hAnsi="Arial" w:eastAsia="宋体" w:cs="Arial"/>
                <w:color w:val="auto"/>
                <w:sz w:val="21"/>
                <w:szCs w:val="21"/>
                <w:highlight w:val="none"/>
              </w:rPr>
              <w:t>设置环保机构，建立健全各项环境管理制度，制定工作计划，提出管理要求。</w:t>
            </w:r>
          </w:p>
        </w:tc>
        <w:tc>
          <w:tcPr>
            <w:tcW w:w="2492" w:type="dxa"/>
            <w:vMerge w:val="continue"/>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rPr>
            </w:pPr>
          </w:p>
        </w:tc>
        <w:tc>
          <w:tcPr>
            <w:tcW w:w="1151" w:type="dxa"/>
            <w:vMerge w:val="continue"/>
            <w:vAlign w:val="center"/>
          </w:tcPr>
          <w:p>
            <w:pPr>
              <w:pStyle w:val="63"/>
              <w:keepNext w:val="0"/>
              <w:keepLines w:val="0"/>
              <w:pageBreakBefore w:val="0"/>
              <w:widowControl w:val="0"/>
              <w:kinsoku/>
              <w:wordWrap/>
              <w:overflowPunct/>
              <w:topLinePunct/>
              <w:autoSpaceDE w:val="0"/>
              <w:autoSpaceDN/>
              <w:bidi w:val="0"/>
              <w:adjustRightInd/>
              <w:snapToGrid/>
              <w:spacing w:line="360" w:lineRule="exact"/>
              <w:ind w:firstLine="0" w:firstLineChars="0"/>
              <w:textAlignment w:val="center"/>
              <w:rPr>
                <w:rFonts w:hint="default" w:ascii="Arial" w:hAnsi="Arial" w:eastAsia="宋体" w:cs="Arial"/>
                <w:color w:val="auto"/>
                <w:sz w:val="21"/>
                <w:szCs w:val="21"/>
                <w:highlight w:val="none"/>
              </w:rPr>
            </w:pPr>
          </w:p>
        </w:tc>
      </w:tr>
      <w:bookmarkEnd w:id="612"/>
    </w:tbl>
    <w:p>
      <w:pPr>
        <w:ind w:firstLine="480"/>
        <w:rPr>
          <w:rFonts w:hint="default" w:ascii="Arial" w:hAnsi="Arial" w:eastAsia="宋体" w:cs="Arial"/>
          <w:color w:val="auto"/>
          <w:highlight w:val="none"/>
        </w:rPr>
      </w:pPr>
    </w:p>
    <w:p>
      <w:pPr>
        <w:ind w:firstLine="480"/>
        <w:rPr>
          <w:rFonts w:hint="default" w:ascii="Arial" w:hAnsi="Arial" w:eastAsia="宋体" w:cs="Arial"/>
          <w:color w:val="auto"/>
          <w:szCs w:val="20"/>
          <w:highlight w:val="none"/>
          <w:lang w:val="en-GB"/>
        </w:rPr>
        <w:sectPr>
          <w:pgSz w:w="16838" w:h="11906" w:orient="landscape"/>
          <w:pgMar w:top="1418" w:right="1418" w:bottom="1247" w:left="1701" w:header="851" w:footer="680" w:gutter="0"/>
          <w:pgBorders>
            <w:top w:val="none" w:sz="0" w:space="0"/>
            <w:left w:val="none" w:sz="0" w:space="0"/>
            <w:bottom w:val="none" w:sz="0" w:space="0"/>
            <w:right w:val="none" w:sz="0" w:space="0"/>
          </w:pgBorders>
          <w:pgNumType w:fmt="numberInDash"/>
          <w:cols w:space="720" w:num="1"/>
          <w:docGrid w:linePitch="326" w:charSpace="0"/>
        </w:sectPr>
      </w:pPr>
    </w:p>
    <w:p>
      <w:pPr>
        <w:pStyle w:val="4"/>
        <w:rPr>
          <w:rFonts w:hint="default" w:ascii="Arial" w:hAnsi="Arial" w:eastAsia="宋体" w:cs="Arial"/>
          <w:color w:val="auto"/>
          <w:highlight w:val="none"/>
        </w:rPr>
      </w:pPr>
      <w:bookmarkStart w:id="613" w:name="_Toc523322410"/>
      <w:bookmarkStart w:id="614" w:name="_Toc16277"/>
      <w:r>
        <w:rPr>
          <w:rFonts w:hint="default" w:ascii="Arial" w:hAnsi="Arial" w:eastAsia="宋体" w:cs="Arial"/>
          <w:color w:val="auto"/>
          <w:highlight w:val="none"/>
        </w:rPr>
        <w:t>10结论及建议</w:t>
      </w:r>
      <w:bookmarkEnd w:id="613"/>
      <w:bookmarkEnd w:id="614"/>
    </w:p>
    <w:p>
      <w:pPr>
        <w:pStyle w:val="5"/>
        <w:rPr>
          <w:rFonts w:hint="default" w:ascii="Arial" w:hAnsi="Arial" w:eastAsia="宋体" w:cs="Arial"/>
          <w:color w:val="auto"/>
          <w:highlight w:val="none"/>
        </w:rPr>
      </w:pPr>
      <w:bookmarkStart w:id="615" w:name="_Toc487188689"/>
      <w:bookmarkStart w:id="616" w:name="_Toc494206411"/>
      <w:bookmarkStart w:id="617" w:name="_Toc523322411"/>
      <w:bookmarkStart w:id="618" w:name="_Toc17840"/>
      <w:r>
        <w:rPr>
          <w:rFonts w:hint="default" w:ascii="Arial" w:hAnsi="Arial" w:eastAsia="宋体" w:cs="Arial"/>
          <w:color w:val="auto"/>
          <w:highlight w:val="none"/>
        </w:rPr>
        <w:t>10.1建设项目概况</w:t>
      </w:r>
      <w:bookmarkEnd w:id="615"/>
      <w:bookmarkEnd w:id="616"/>
      <w:bookmarkEnd w:id="617"/>
      <w:bookmarkEnd w:id="618"/>
    </w:p>
    <w:p>
      <w:pPr>
        <w:ind w:firstLine="480"/>
        <w:rPr>
          <w:rFonts w:hint="default" w:ascii="Arial" w:hAnsi="Arial" w:eastAsia="宋体" w:cs="Arial"/>
          <w:color w:val="auto"/>
          <w:szCs w:val="24"/>
          <w:highlight w:val="none"/>
        </w:rPr>
      </w:pPr>
      <w:r>
        <w:rPr>
          <w:rFonts w:hint="default" w:ascii="Arial" w:hAnsi="Arial" w:eastAsia="宋体" w:cs="Arial"/>
          <w:color w:val="auto"/>
          <w:szCs w:val="24"/>
          <w:highlight w:val="none"/>
          <w:lang w:eastAsia="zh-CN"/>
        </w:rPr>
        <w:t>五原县天吉泰镇宏腾肉牛养殖示范基地建设项目</w:t>
      </w:r>
      <w:r>
        <w:rPr>
          <w:rFonts w:hint="default" w:ascii="Arial" w:hAnsi="Arial" w:eastAsia="宋体" w:cs="Arial"/>
          <w:color w:val="auto"/>
          <w:szCs w:val="24"/>
          <w:highlight w:val="none"/>
        </w:rPr>
        <w:t>位于</w:t>
      </w:r>
      <w:r>
        <w:rPr>
          <w:rFonts w:hint="default" w:ascii="Arial" w:hAnsi="Arial" w:eastAsia="宋体" w:cs="Arial"/>
          <w:color w:val="auto"/>
          <w:szCs w:val="24"/>
          <w:highlight w:val="none"/>
          <w:lang w:eastAsia="zh-CN"/>
        </w:rPr>
        <w:t>内蒙古自治区巴彦淖尔市五原县天吉泰镇二合永村五社</w:t>
      </w:r>
      <w:r>
        <w:rPr>
          <w:rFonts w:hint="default" w:ascii="Arial" w:hAnsi="Arial" w:eastAsia="宋体" w:cs="Arial"/>
          <w:color w:val="auto"/>
          <w:szCs w:val="24"/>
          <w:highlight w:val="none"/>
        </w:rPr>
        <w:t>，项目总投资</w:t>
      </w:r>
      <w:r>
        <w:rPr>
          <w:rFonts w:hint="default" w:ascii="Arial" w:hAnsi="Arial" w:eastAsia="宋体" w:cs="Arial"/>
          <w:color w:val="auto"/>
          <w:szCs w:val="24"/>
          <w:highlight w:val="none"/>
          <w:lang w:val="en-US" w:eastAsia="zh-CN"/>
        </w:rPr>
        <w:t>5000万元</w:t>
      </w:r>
      <w:r>
        <w:rPr>
          <w:rFonts w:hint="default" w:ascii="Arial" w:hAnsi="Arial" w:eastAsia="宋体" w:cs="Arial"/>
          <w:color w:val="auto"/>
          <w:szCs w:val="24"/>
          <w:highlight w:val="none"/>
          <w:lang w:eastAsia="zh-CN"/>
        </w:rPr>
        <w:t>。</w:t>
      </w:r>
      <w:r>
        <w:rPr>
          <w:rFonts w:hint="default" w:ascii="Arial" w:hAnsi="Arial" w:eastAsia="宋体" w:cs="Arial"/>
          <w:color w:val="auto"/>
          <w:highlight w:val="none"/>
        </w:rPr>
        <w:t>项目占地面积</w:t>
      </w:r>
      <w:r>
        <w:rPr>
          <w:rFonts w:hint="default" w:ascii="Arial" w:hAnsi="Arial" w:eastAsia="宋体" w:cs="Arial"/>
          <w:color w:val="auto"/>
          <w:highlight w:val="none"/>
          <w:lang w:eastAsia="zh-CN"/>
        </w:rPr>
        <w:t>216200</w:t>
      </w:r>
      <w:r>
        <w:rPr>
          <w:rFonts w:hint="default" w:ascii="Arial" w:hAnsi="Arial" w:eastAsia="宋体" w:cs="Arial"/>
          <w:color w:val="auto"/>
          <w:highlight w:val="none"/>
          <w:lang w:val="en-US" w:eastAsia="zh-CN"/>
        </w:rPr>
        <w:t>m</w:t>
      </w:r>
      <w:r>
        <w:rPr>
          <w:rFonts w:hint="default" w:ascii="Arial" w:hAnsi="Arial" w:eastAsia="宋体" w:cs="Arial"/>
          <w:color w:val="auto"/>
          <w:highlight w:val="none"/>
          <w:vertAlign w:val="superscript"/>
          <w:lang w:val="en-US" w:eastAsia="zh-CN"/>
        </w:rPr>
        <w:t>2</w:t>
      </w:r>
      <w:r>
        <w:rPr>
          <w:rFonts w:hint="default" w:ascii="Arial" w:hAnsi="Arial" w:eastAsia="宋体" w:cs="Arial"/>
          <w:color w:val="auto"/>
          <w:highlight w:val="none"/>
        </w:rPr>
        <w:t>，主要建设内容包括：</w:t>
      </w:r>
      <w:r>
        <w:rPr>
          <w:rFonts w:hint="default" w:ascii="Arial" w:hAnsi="Arial" w:eastAsia="宋体" w:cs="Arial"/>
          <w:color w:val="auto"/>
          <w:lang w:eastAsia="zh-CN"/>
        </w:rPr>
        <w:t>建设</w:t>
      </w:r>
      <w:r>
        <w:rPr>
          <w:rFonts w:hint="default" w:ascii="Arial" w:hAnsi="Arial" w:eastAsia="宋体" w:cs="Arial"/>
          <w:color w:val="auto"/>
          <w:lang w:val="en-US" w:eastAsia="zh-CN"/>
        </w:rPr>
        <w:t>8个标准化单元区：每个单元区建设养殖圈舍25000m</w:t>
      </w:r>
      <w:r>
        <w:rPr>
          <w:rFonts w:hint="default" w:ascii="Arial" w:hAnsi="Arial" w:eastAsia="宋体" w:cs="Arial"/>
          <w:color w:val="auto"/>
          <w:vertAlign w:val="superscript"/>
          <w:lang w:val="en-US" w:eastAsia="zh-CN"/>
        </w:rPr>
        <w:t>2</w:t>
      </w:r>
      <w:r>
        <w:rPr>
          <w:rFonts w:hint="default" w:ascii="Arial" w:hAnsi="Arial" w:eastAsia="宋体" w:cs="Arial"/>
          <w:color w:val="auto"/>
          <w:lang w:val="en-US" w:eastAsia="zh-CN"/>
        </w:rPr>
        <w:t>，饲草料库房1000m</w:t>
      </w:r>
      <w:r>
        <w:rPr>
          <w:rFonts w:hint="default" w:ascii="Arial" w:hAnsi="Arial" w:eastAsia="宋体" w:cs="Arial"/>
          <w:color w:val="auto"/>
          <w:vertAlign w:val="superscript"/>
          <w:lang w:val="en-US" w:eastAsia="zh-CN"/>
        </w:rPr>
        <w:t>2</w:t>
      </w:r>
      <w:r>
        <w:rPr>
          <w:rFonts w:hint="default" w:ascii="Arial" w:hAnsi="Arial" w:eastAsia="宋体" w:cs="Arial"/>
          <w:color w:val="auto"/>
          <w:lang w:val="en-US" w:eastAsia="zh-CN"/>
        </w:rPr>
        <w:t>，办公区150m</w:t>
      </w:r>
      <w:r>
        <w:rPr>
          <w:rFonts w:hint="default" w:ascii="Arial" w:hAnsi="Arial" w:eastAsia="宋体" w:cs="Arial"/>
          <w:color w:val="auto"/>
          <w:vertAlign w:val="superscript"/>
          <w:lang w:val="en-US" w:eastAsia="zh-CN"/>
        </w:rPr>
        <w:t>2</w:t>
      </w:r>
      <w:r>
        <w:rPr>
          <w:rFonts w:hint="default" w:ascii="Arial" w:hAnsi="Arial" w:eastAsia="宋体" w:cs="Arial"/>
          <w:color w:val="auto"/>
          <w:lang w:val="en-US" w:eastAsia="zh-CN"/>
        </w:rPr>
        <w:t>，青贮池容积750m</w:t>
      </w:r>
      <w:r>
        <w:rPr>
          <w:rFonts w:hint="default" w:ascii="Arial" w:hAnsi="Arial" w:eastAsia="宋体" w:cs="Arial"/>
          <w:color w:val="auto"/>
          <w:vertAlign w:val="superscript"/>
          <w:lang w:val="en-US" w:eastAsia="zh-CN"/>
        </w:rPr>
        <w:t>2</w:t>
      </w:r>
      <w:r>
        <w:rPr>
          <w:rFonts w:hint="default" w:ascii="Arial" w:hAnsi="Arial" w:eastAsia="宋体" w:cs="Arial"/>
          <w:color w:val="auto"/>
          <w:lang w:eastAsia="zh-CN"/>
        </w:rPr>
        <w:t>；</w:t>
      </w:r>
      <w:r>
        <w:rPr>
          <w:rFonts w:hint="default" w:ascii="Arial" w:hAnsi="Arial" w:eastAsia="宋体" w:cs="Arial"/>
          <w:color w:val="auto"/>
          <w:lang w:val="en-US" w:eastAsia="zh-CN"/>
        </w:rPr>
        <w:t>并进行相应的给排水，供电，供暖，通风，消防，道路及地面硬化，绿化等配套设施建设</w:t>
      </w:r>
      <w:r>
        <w:rPr>
          <w:rFonts w:hint="default" w:ascii="Arial" w:hAnsi="Arial" w:eastAsia="宋体" w:cs="Arial"/>
          <w:color w:val="auto"/>
          <w:highlight w:val="none"/>
          <w:lang w:eastAsia="zh-CN"/>
        </w:rPr>
        <w:t>。本</w:t>
      </w:r>
      <w:r>
        <w:rPr>
          <w:rFonts w:hint="default" w:ascii="Arial" w:hAnsi="Arial" w:eastAsia="宋体" w:cs="Arial"/>
          <w:color w:val="auto"/>
          <w:highlight w:val="none"/>
        </w:rPr>
        <w:t>项目投产后</w:t>
      </w:r>
      <w:r>
        <w:rPr>
          <w:rFonts w:hint="default" w:ascii="Arial" w:hAnsi="Arial" w:eastAsia="宋体" w:cs="Arial"/>
          <w:color w:val="auto"/>
          <w:highlight w:val="none"/>
          <w:lang w:eastAsia="zh-CN"/>
        </w:rPr>
        <w:t>，</w:t>
      </w:r>
      <w:r>
        <w:rPr>
          <w:rFonts w:hint="default" w:ascii="Arial" w:hAnsi="Arial" w:eastAsia="宋体" w:cs="Arial"/>
          <w:color w:val="auto"/>
          <w:lang w:eastAsia="zh-CN"/>
        </w:rPr>
        <w:t>存栏</w:t>
      </w:r>
      <w:r>
        <w:rPr>
          <w:rFonts w:hint="default" w:ascii="Arial" w:hAnsi="Arial" w:eastAsia="宋体" w:cs="Arial"/>
          <w:color w:val="auto"/>
          <w:lang w:val="en-US" w:eastAsia="zh-CN"/>
        </w:rPr>
        <w:t>10000只肉牛，</w:t>
      </w:r>
      <w:r>
        <w:rPr>
          <w:rFonts w:hint="default" w:ascii="Arial" w:hAnsi="Arial" w:eastAsia="宋体" w:cs="Arial"/>
          <w:color w:val="auto"/>
        </w:rPr>
        <w:t>年</w:t>
      </w:r>
      <w:r>
        <w:rPr>
          <w:rFonts w:hint="default" w:ascii="Arial" w:hAnsi="Arial" w:eastAsia="宋体" w:cs="Arial"/>
          <w:color w:val="auto"/>
          <w:lang w:eastAsia="zh-CN"/>
        </w:rPr>
        <w:t>出栏</w:t>
      </w:r>
      <w:r>
        <w:rPr>
          <w:rFonts w:hint="default" w:ascii="Arial" w:hAnsi="Arial" w:eastAsia="宋体" w:cs="Arial"/>
          <w:color w:val="auto"/>
          <w:lang w:val="en-US" w:eastAsia="zh-CN"/>
        </w:rPr>
        <w:t>5000头肉牛</w:t>
      </w:r>
      <w:r>
        <w:rPr>
          <w:rFonts w:hint="default" w:ascii="Arial" w:hAnsi="Arial" w:eastAsia="宋体" w:cs="Arial"/>
          <w:color w:val="auto"/>
          <w:szCs w:val="24"/>
          <w:highlight w:val="none"/>
        </w:rPr>
        <w:t>。</w:t>
      </w:r>
    </w:p>
    <w:p>
      <w:pPr>
        <w:pStyle w:val="5"/>
        <w:rPr>
          <w:rFonts w:hint="default" w:ascii="Arial" w:hAnsi="Arial" w:eastAsia="宋体" w:cs="Arial"/>
          <w:color w:val="auto"/>
          <w:highlight w:val="none"/>
        </w:rPr>
      </w:pPr>
      <w:bookmarkStart w:id="619" w:name="_Toc371696638"/>
      <w:bookmarkStart w:id="620" w:name="_Toc29469"/>
      <w:bookmarkStart w:id="621" w:name="_Toc487188690"/>
      <w:bookmarkStart w:id="622" w:name="_Toc494206412"/>
      <w:bookmarkStart w:id="623" w:name="_Toc523322412"/>
      <w:r>
        <w:rPr>
          <w:rFonts w:hint="default" w:ascii="Arial" w:hAnsi="Arial" w:eastAsia="宋体" w:cs="Arial"/>
          <w:color w:val="auto"/>
          <w:highlight w:val="none"/>
        </w:rPr>
        <w:t>10.2</w:t>
      </w:r>
      <w:bookmarkEnd w:id="619"/>
      <w:r>
        <w:rPr>
          <w:rFonts w:hint="default" w:ascii="Arial" w:hAnsi="Arial" w:eastAsia="宋体" w:cs="Arial"/>
          <w:color w:val="auto"/>
          <w:highlight w:val="none"/>
        </w:rPr>
        <w:t>环境可行性结论</w:t>
      </w:r>
      <w:bookmarkEnd w:id="620"/>
    </w:p>
    <w:p>
      <w:pPr>
        <w:pStyle w:val="6"/>
        <w:rPr>
          <w:rFonts w:hint="default" w:ascii="Arial" w:hAnsi="Arial" w:eastAsia="宋体" w:cs="Arial"/>
          <w:color w:val="auto"/>
          <w:highlight w:val="none"/>
        </w:rPr>
      </w:pPr>
      <w:bookmarkStart w:id="624" w:name="_Toc3085"/>
      <w:r>
        <w:rPr>
          <w:rFonts w:hint="default" w:ascii="Arial" w:hAnsi="Arial" w:eastAsia="宋体" w:cs="Arial"/>
          <w:color w:val="auto"/>
          <w:highlight w:val="none"/>
        </w:rPr>
        <w:t>10.2.1产业政策符合性分析</w:t>
      </w:r>
      <w:bookmarkEnd w:id="621"/>
      <w:bookmarkEnd w:id="622"/>
      <w:bookmarkEnd w:id="623"/>
      <w:bookmarkEnd w:id="624"/>
    </w:p>
    <w:p>
      <w:pPr>
        <w:pageBreakBefore w:val="0"/>
        <w:widowControl w:val="0"/>
        <w:kinsoku/>
        <w:wordWrap/>
        <w:topLinePunct/>
        <w:autoSpaceDN/>
        <w:bidi w:val="0"/>
        <w:adjustRightInd/>
        <w:snapToGrid/>
        <w:spacing w:line="480" w:lineRule="exact"/>
        <w:ind w:firstLine="480"/>
        <w:textAlignment w:val="auto"/>
        <w:rPr>
          <w:rFonts w:hint="default" w:ascii="Arial" w:hAnsi="Arial" w:eastAsia="宋体" w:cs="Arial"/>
          <w:color w:val="auto"/>
          <w:highlight w:val="none"/>
          <w:lang w:val="en-US" w:eastAsia="zh-CN"/>
        </w:rPr>
      </w:pPr>
      <w:r>
        <w:rPr>
          <w:rFonts w:hint="default" w:ascii="Arial" w:hAnsi="Arial" w:eastAsia="宋体" w:cs="Arial"/>
          <w:color w:val="auto"/>
          <w:highlight w:val="none"/>
        </w:rPr>
        <w:t>本项目为</w:t>
      </w:r>
      <w:r>
        <w:rPr>
          <w:rFonts w:hint="default" w:ascii="Arial" w:hAnsi="Arial" w:eastAsia="宋体" w:cs="Arial"/>
          <w:color w:val="auto"/>
          <w:highlight w:val="none"/>
          <w:lang w:eastAsia="zh-CN"/>
        </w:rPr>
        <w:t>规模化肉牛养殖项目</w:t>
      </w:r>
      <w:r>
        <w:rPr>
          <w:rFonts w:hint="default" w:ascii="Arial" w:hAnsi="Arial" w:eastAsia="宋体" w:cs="Arial"/>
          <w:color w:val="auto"/>
          <w:highlight w:val="none"/>
        </w:rPr>
        <w:t>，根据《产业结构调整指导目录（2019年本）》（中华人民共和国国家发展和改革委员会令</w:t>
      </w:r>
      <w:r>
        <w:rPr>
          <w:rFonts w:hint="default" w:ascii="Arial" w:hAnsi="Arial" w:eastAsia="宋体" w:cs="Arial"/>
          <w:color w:val="auto"/>
          <w:highlight w:val="none"/>
          <w:lang w:val="en-US" w:eastAsia="zh-CN"/>
        </w:rPr>
        <w:t xml:space="preserve"> </w:t>
      </w:r>
      <w:r>
        <w:rPr>
          <w:rFonts w:hint="default" w:ascii="Arial" w:hAnsi="Arial" w:eastAsia="宋体" w:cs="Arial"/>
          <w:color w:val="auto"/>
          <w:highlight w:val="none"/>
        </w:rPr>
        <w:t>第29号），</w:t>
      </w:r>
      <w:r>
        <w:rPr>
          <w:rFonts w:hint="default" w:ascii="Arial" w:hAnsi="Arial" w:eastAsia="宋体" w:cs="Arial"/>
          <w:color w:val="auto"/>
          <w:highlight w:val="none"/>
          <w:lang w:eastAsia="zh-CN"/>
        </w:rPr>
        <w:t>本</w:t>
      </w:r>
      <w:r>
        <w:rPr>
          <w:rFonts w:hint="default" w:ascii="Arial" w:hAnsi="Arial" w:eastAsia="宋体" w:cs="Arial"/>
          <w:color w:val="auto"/>
          <w:highlight w:val="none"/>
        </w:rPr>
        <w:t>项目属于</w:t>
      </w:r>
      <w:r>
        <w:rPr>
          <w:rFonts w:hint="default" w:ascii="Arial" w:hAnsi="Arial" w:eastAsia="宋体" w:cs="Arial"/>
          <w:color w:val="auto"/>
          <w:highlight w:val="none"/>
          <w:lang w:eastAsia="zh-CN"/>
        </w:rPr>
        <w:t>“第一类</w:t>
      </w:r>
      <w:r>
        <w:rPr>
          <w:rFonts w:hint="default" w:ascii="Arial" w:hAnsi="Arial" w:eastAsia="宋体" w:cs="Arial"/>
          <w:color w:val="auto"/>
          <w:highlight w:val="none"/>
          <w:lang w:val="en-US" w:eastAsia="zh-CN"/>
        </w:rPr>
        <w:t xml:space="preserve"> </w:t>
      </w:r>
      <w:r>
        <w:rPr>
          <w:rFonts w:hint="default" w:ascii="Arial" w:hAnsi="Arial" w:eastAsia="宋体" w:cs="Arial"/>
          <w:color w:val="auto"/>
          <w:highlight w:val="none"/>
        </w:rPr>
        <w:t>鼓励类</w:t>
      </w:r>
      <w:r>
        <w:rPr>
          <w:rFonts w:hint="default" w:ascii="Arial" w:hAnsi="Arial" w:eastAsia="宋体" w:cs="Arial"/>
          <w:color w:val="auto"/>
          <w:highlight w:val="none"/>
          <w:lang w:eastAsia="zh-CN"/>
        </w:rPr>
        <w:t>”中“一、农林业</w:t>
      </w:r>
      <w:r>
        <w:rPr>
          <w:rFonts w:hint="default" w:ascii="Arial" w:hAnsi="Arial" w:eastAsia="宋体" w:cs="Arial"/>
          <w:color w:val="auto"/>
          <w:highlight w:val="none"/>
          <w:lang w:val="en-US" w:eastAsia="zh-CN"/>
        </w:rPr>
        <w:t>--4、</w:t>
      </w:r>
      <w:r>
        <w:rPr>
          <w:rFonts w:hint="default" w:ascii="Arial" w:hAnsi="Arial" w:eastAsia="宋体" w:cs="Arial"/>
          <w:color w:val="auto"/>
          <w:highlight w:val="none"/>
        </w:rPr>
        <w:t>畜禽标准化规模养殖技术开发与应用</w:t>
      </w:r>
      <w:r>
        <w:rPr>
          <w:rFonts w:hint="default" w:ascii="Arial" w:hAnsi="Arial" w:eastAsia="宋体" w:cs="Arial"/>
          <w:color w:val="auto"/>
          <w:highlight w:val="none"/>
          <w:lang w:eastAsia="zh-CN"/>
        </w:rPr>
        <w:t>”。</w:t>
      </w:r>
    </w:p>
    <w:p>
      <w:pPr>
        <w:pageBreakBefore w:val="0"/>
        <w:widowControl w:val="0"/>
        <w:kinsoku/>
        <w:wordWrap/>
        <w:topLinePunct/>
        <w:autoSpaceDN/>
        <w:bidi w:val="0"/>
        <w:adjustRightInd/>
        <w:snapToGrid/>
        <w:spacing w:line="480" w:lineRule="exact"/>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lang w:eastAsia="zh-CN"/>
        </w:rPr>
        <w:t>本</w:t>
      </w:r>
      <w:r>
        <w:rPr>
          <w:rFonts w:hint="default" w:ascii="Arial" w:hAnsi="Arial" w:eastAsia="宋体" w:cs="Arial"/>
          <w:color w:val="auto"/>
          <w:highlight w:val="none"/>
        </w:rPr>
        <w:t>项目</w:t>
      </w:r>
      <w:r>
        <w:rPr>
          <w:rFonts w:hint="default" w:ascii="Arial" w:hAnsi="Arial" w:eastAsia="宋体" w:cs="Arial"/>
          <w:bCs/>
          <w:color w:val="auto"/>
          <w:szCs w:val="21"/>
          <w:highlight w:val="none"/>
          <w:lang w:val="en-US" w:eastAsia="zh-CN"/>
        </w:rPr>
        <w:t>于2022年2月17日</w:t>
      </w:r>
      <w:r>
        <w:rPr>
          <w:rFonts w:hint="default" w:ascii="Arial" w:hAnsi="Arial" w:eastAsia="宋体" w:cs="Arial"/>
          <w:color w:val="auto"/>
          <w:highlight w:val="none"/>
        </w:rPr>
        <w:t>取得</w:t>
      </w:r>
      <w:r>
        <w:rPr>
          <w:rFonts w:hint="default" w:ascii="Arial" w:hAnsi="Arial" w:eastAsia="宋体" w:cs="Arial"/>
          <w:color w:val="auto"/>
          <w:highlight w:val="none"/>
          <w:lang w:eastAsia="zh-CN"/>
        </w:rPr>
        <w:t>了五原县</w:t>
      </w:r>
      <w:r>
        <w:rPr>
          <w:rFonts w:hint="default" w:ascii="Arial" w:hAnsi="Arial" w:eastAsia="宋体" w:cs="Arial"/>
          <w:color w:val="auto"/>
          <w:highlight w:val="none"/>
        </w:rPr>
        <w:t>发展和改革委员会</w:t>
      </w:r>
      <w:r>
        <w:rPr>
          <w:rFonts w:hint="default" w:ascii="Arial" w:hAnsi="Arial" w:eastAsia="宋体" w:cs="Arial"/>
          <w:color w:val="auto"/>
          <w:highlight w:val="none"/>
          <w:lang w:eastAsia="zh-CN"/>
        </w:rPr>
        <w:t>出具的</w:t>
      </w:r>
      <w:r>
        <w:rPr>
          <w:rFonts w:hint="default" w:ascii="Arial" w:hAnsi="Arial" w:eastAsia="宋体" w:cs="Arial"/>
          <w:color w:val="auto"/>
          <w:highlight w:val="none"/>
        </w:rPr>
        <w:t>《项目备案告知书》</w:t>
      </w:r>
      <w:r>
        <w:rPr>
          <w:rFonts w:hint="default" w:ascii="Arial" w:hAnsi="Arial" w:eastAsia="宋体" w:cs="Arial"/>
          <w:color w:val="auto"/>
          <w:highlight w:val="none"/>
          <w:lang w:eastAsia="zh-CN"/>
        </w:rPr>
        <w:t>，项目代码：</w:t>
      </w:r>
      <w:r>
        <w:rPr>
          <w:rFonts w:hint="default" w:ascii="Arial" w:hAnsi="Arial" w:eastAsia="宋体" w:cs="Arial"/>
          <w:color w:val="auto"/>
          <w:highlight w:val="none"/>
          <w:lang w:val="en-US" w:eastAsia="zh-CN"/>
        </w:rPr>
        <w:t>2202-150821-04-01-595635，本项目符合产业政策和市场准入标准</w:t>
      </w:r>
      <w:r>
        <w:rPr>
          <w:rFonts w:hint="default" w:ascii="Arial" w:hAnsi="Arial" w:eastAsia="宋体" w:cs="Arial"/>
          <w:color w:val="auto"/>
          <w:highlight w:val="none"/>
        </w:rPr>
        <w:t>。</w:t>
      </w:r>
    </w:p>
    <w:p>
      <w:pPr>
        <w:ind w:firstLine="480"/>
        <w:rPr>
          <w:rFonts w:hint="default" w:ascii="Arial" w:hAnsi="Arial" w:eastAsia="宋体" w:cs="Arial"/>
          <w:color w:val="auto"/>
          <w:highlight w:val="none"/>
        </w:rPr>
      </w:pPr>
      <w:r>
        <w:rPr>
          <w:rFonts w:hint="default" w:ascii="Arial" w:hAnsi="Arial" w:eastAsia="宋体" w:cs="Arial"/>
          <w:color w:val="auto"/>
          <w:highlight w:val="none"/>
        </w:rPr>
        <w:t>因此，本项目建设符合国家的产业政策。</w:t>
      </w:r>
    </w:p>
    <w:p>
      <w:pPr>
        <w:pStyle w:val="6"/>
        <w:rPr>
          <w:rFonts w:hint="default" w:ascii="Arial" w:hAnsi="Arial" w:eastAsia="宋体" w:cs="Arial"/>
          <w:color w:val="auto"/>
          <w:highlight w:val="none"/>
        </w:rPr>
      </w:pPr>
      <w:bookmarkStart w:id="625" w:name="_Toc31812"/>
      <w:r>
        <w:rPr>
          <w:rFonts w:hint="default" w:ascii="Arial" w:hAnsi="Arial" w:eastAsia="宋体" w:cs="Arial"/>
          <w:color w:val="auto"/>
          <w:highlight w:val="none"/>
        </w:rPr>
        <w:t>10.2.2选址与相关规划符合性分析结论</w:t>
      </w:r>
      <w:bookmarkEnd w:id="625"/>
    </w:p>
    <w:p>
      <w:pPr>
        <w:pageBreakBefore w:val="0"/>
        <w:widowControl w:val="0"/>
        <w:kinsoku/>
        <w:wordWrap/>
        <w:topLinePunct/>
        <w:autoSpaceDN/>
        <w:bidi w:val="0"/>
        <w:adjustRightInd/>
        <w:snapToGrid/>
        <w:spacing w:line="480" w:lineRule="exact"/>
        <w:ind w:firstLine="480"/>
        <w:textAlignment w:val="auto"/>
        <w:rPr>
          <w:rFonts w:hint="default" w:ascii="Arial" w:hAnsi="Arial" w:eastAsia="宋体" w:cs="Arial"/>
          <w:color w:val="auto"/>
          <w:highlight w:val="none"/>
        </w:rPr>
      </w:pPr>
      <w:r>
        <w:rPr>
          <w:rFonts w:hint="default" w:ascii="Arial" w:hAnsi="Arial" w:eastAsia="宋体" w:cs="Arial"/>
          <w:color w:val="auto"/>
          <w:highlight w:val="none"/>
        </w:rPr>
        <w:t>本项目选址于</w:t>
      </w:r>
      <w:r>
        <w:rPr>
          <w:rFonts w:hint="default" w:ascii="Arial" w:hAnsi="Arial" w:eastAsia="宋体" w:cs="Arial"/>
          <w:color w:val="auto"/>
          <w:sz w:val="24"/>
          <w:szCs w:val="24"/>
          <w:highlight w:val="none"/>
          <w:lang w:eastAsia="zh-CN"/>
        </w:rPr>
        <w:t>内蒙古自治区巴彦淖尔市五原县天吉泰镇二合永村五社</w:t>
      </w:r>
      <w:r>
        <w:rPr>
          <w:rFonts w:hint="default" w:ascii="Arial" w:hAnsi="Arial" w:eastAsia="宋体" w:cs="Arial"/>
          <w:color w:val="auto"/>
          <w:highlight w:val="none"/>
        </w:rPr>
        <w:t>，项目周围500m范围内无工业企业，区域环境质量良好，有利于畜禽的生长，并可以保持良好的健康状态。</w:t>
      </w:r>
    </w:p>
    <w:p>
      <w:pPr>
        <w:ind w:firstLine="480"/>
        <w:rPr>
          <w:rFonts w:hint="default" w:ascii="Arial" w:hAnsi="Arial" w:eastAsia="宋体" w:cs="Arial"/>
          <w:color w:val="auto"/>
          <w:szCs w:val="24"/>
          <w:highlight w:val="none"/>
        </w:rPr>
      </w:pPr>
      <w:r>
        <w:rPr>
          <w:rFonts w:hint="default" w:ascii="Arial" w:hAnsi="Arial" w:eastAsia="宋体" w:cs="Arial"/>
          <w:color w:val="auto"/>
          <w:highlight w:val="none"/>
        </w:rPr>
        <w:t>根据调查，项目周边</w:t>
      </w:r>
      <w:r>
        <w:rPr>
          <w:rFonts w:hint="default" w:ascii="Arial" w:hAnsi="Arial" w:eastAsia="宋体" w:cs="Arial"/>
          <w:color w:val="auto"/>
          <w:highlight w:val="none"/>
          <w:lang w:eastAsia="zh-CN"/>
        </w:rPr>
        <w:t>土地性质</w:t>
      </w:r>
      <w:r>
        <w:rPr>
          <w:rFonts w:hint="default" w:ascii="Arial" w:hAnsi="Arial" w:eastAsia="宋体" w:cs="Arial"/>
          <w:color w:val="auto"/>
          <w:highlight w:val="none"/>
        </w:rPr>
        <w:t>主要为</w:t>
      </w:r>
      <w:r>
        <w:rPr>
          <w:rFonts w:hint="default" w:ascii="Arial" w:hAnsi="Arial" w:eastAsia="宋体" w:cs="Arial"/>
          <w:color w:val="auto"/>
          <w:highlight w:val="none"/>
          <w:lang w:eastAsia="zh-CN"/>
        </w:rPr>
        <w:t>天然牧草地、旱地和林地</w:t>
      </w:r>
      <w:r>
        <w:rPr>
          <w:rFonts w:hint="default" w:ascii="Arial" w:hAnsi="Arial" w:eastAsia="宋体" w:cs="Arial"/>
          <w:color w:val="auto"/>
          <w:highlight w:val="none"/>
        </w:rPr>
        <w:t>，下风向1000m范围内无学校、医院、</w:t>
      </w:r>
      <w:r>
        <w:rPr>
          <w:rFonts w:hint="default" w:ascii="Arial" w:hAnsi="Arial" w:eastAsia="宋体" w:cs="Arial"/>
          <w:color w:val="auto"/>
          <w:highlight w:val="none"/>
          <w:lang w:eastAsia="zh-CN"/>
        </w:rPr>
        <w:t>行政办公室</w:t>
      </w:r>
      <w:r>
        <w:rPr>
          <w:rFonts w:hint="default" w:ascii="Arial" w:hAnsi="Arial" w:eastAsia="宋体" w:cs="Arial"/>
          <w:color w:val="auto"/>
          <w:highlight w:val="none"/>
        </w:rPr>
        <w:t>等敏感目标</w:t>
      </w:r>
      <w:r>
        <w:rPr>
          <w:rFonts w:hint="default" w:ascii="Arial" w:hAnsi="Arial" w:eastAsia="宋体" w:cs="Arial"/>
          <w:color w:val="auto"/>
          <w:highlight w:val="none"/>
          <w:lang w:eastAsia="zh-CN"/>
        </w:rPr>
        <w:t>；本项目评价范围内无饮用水水源地、自然保护区、风景名胜区等特殊环境敏感区，不涉及重要生态功能区、生态敏感脆弱区、禁止开发区域以及其他各类保护地，根据生态红线的主要划定依据，本项目不在生态保护红线范围内</w:t>
      </w:r>
      <w:r>
        <w:rPr>
          <w:rFonts w:hint="default" w:ascii="Arial" w:hAnsi="Arial" w:eastAsia="宋体" w:cs="Arial"/>
          <w:bCs/>
          <w:color w:val="auto"/>
          <w:szCs w:val="21"/>
          <w:highlight w:val="none"/>
          <w:lang w:val="en-US" w:eastAsia="zh-CN"/>
        </w:rPr>
        <w:t>；</w:t>
      </w:r>
      <w:r>
        <w:rPr>
          <w:rFonts w:hint="default" w:ascii="Arial" w:hAnsi="Arial" w:eastAsia="宋体" w:cs="Arial"/>
          <w:color w:val="auto"/>
          <w:highlight w:val="none"/>
        </w:rPr>
        <w:t>项目选址符合《关于做好畜禽规模养殖项目环境影响评价管理工作的通知》（环办环评</w:t>
      </w:r>
      <w:r>
        <w:rPr>
          <w:rFonts w:hint="default" w:ascii="Arial" w:hAnsi="Arial" w:eastAsia="宋体" w:cs="Arial"/>
          <w:color w:val="auto"/>
          <w:highlight w:val="none"/>
          <w:lang w:eastAsia="zh-CN"/>
        </w:rPr>
        <w:t>[</w:t>
      </w:r>
      <w:r>
        <w:rPr>
          <w:rFonts w:hint="default" w:ascii="Arial" w:hAnsi="Arial" w:eastAsia="宋体" w:cs="Arial"/>
          <w:color w:val="auto"/>
          <w:highlight w:val="none"/>
        </w:rPr>
        <w:t>2018</w:t>
      </w:r>
      <w:r>
        <w:rPr>
          <w:rFonts w:hint="default" w:ascii="Arial" w:hAnsi="Arial" w:eastAsia="宋体" w:cs="Arial"/>
          <w:color w:val="auto"/>
          <w:highlight w:val="none"/>
          <w:lang w:eastAsia="zh-CN"/>
        </w:rPr>
        <w:t>]</w:t>
      </w:r>
      <w:r>
        <w:rPr>
          <w:rFonts w:hint="default" w:ascii="Arial" w:hAnsi="Arial" w:eastAsia="宋体" w:cs="Arial"/>
          <w:color w:val="auto"/>
          <w:highlight w:val="none"/>
        </w:rPr>
        <w:t>31号）、《畜禽规模养殖污染防治条例》国务院令第643号、《畜禽养殖业污染防治技术规范》（HJ-T81-2001）、《畜禽场场区设计技术规范》（NY-T682-2003）等法律法规和行业规范的选址要求</w:t>
      </w:r>
      <w:r>
        <w:rPr>
          <w:rFonts w:hint="default" w:ascii="Arial" w:hAnsi="Arial" w:eastAsia="宋体" w:cs="Arial"/>
          <w:color w:val="auto"/>
          <w:highlight w:val="none"/>
          <w:lang w:eastAsia="zh-CN"/>
        </w:rPr>
        <w:t>，因此，本项目选址合理</w:t>
      </w:r>
      <w:r>
        <w:rPr>
          <w:rFonts w:hint="default" w:ascii="Arial" w:hAnsi="Arial" w:eastAsia="宋体" w:cs="Arial"/>
          <w:color w:val="auto"/>
          <w:szCs w:val="24"/>
          <w:highlight w:val="none"/>
        </w:rPr>
        <w:t>。</w:t>
      </w:r>
    </w:p>
    <w:p>
      <w:pPr>
        <w:pStyle w:val="6"/>
        <w:rPr>
          <w:rFonts w:hint="default" w:ascii="Arial" w:hAnsi="Arial" w:eastAsia="宋体" w:cs="Arial"/>
          <w:color w:val="auto"/>
          <w:highlight w:val="none"/>
        </w:rPr>
      </w:pPr>
      <w:bookmarkStart w:id="626" w:name="_Toc24182"/>
      <w:r>
        <w:rPr>
          <w:rFonts w:hint="default" w:ascii="Arial" w:hAnsi="Arial" w:eastAsia="宋体" w:cs="Arial"/>
          <w:color w:val="auto"/>
          <w:highlight w:val="none"/>
        </w:rPr>
        <w:t>10.2.3平面布局合理性分析结论</w:t>
      </w:r>
      <w:bookmarkEnd w:id="626"/>
    </w:p>
    <w:p>
      <w:pPr>
        <w:ind w:firstLine="480"/>
        <w:rPr>
          <w:rFonts w:hint="default" w:ascii="Arial" w:hAnsi="Arial" w:eastAsia="宋体" w:cs="Arial"/>
          <w:color w:val="auto"/>
          <w:szCs w:val="24"/>
          <w:highlight w:val="none"/>
        </w:rPr>
      </w:pPr>
      <w:r>
        <w:rPr>
          <w:rFonts w:hint="default" w:ascii="Arial" w:hAnsi="Arial" w:eastAsia="宋体" w:cs="Arial"/>
          <w:color w:val="auto"/>
          <w:szCs w:val="24"/>
          <w:highlight w:val="none"/>
        </w:rPr>
        <w:t>本项目养殖区和生活</w:t>
      </w:r>
      <w:r>
        <w:rPr>
          <w:rFonts w:hint="default" w:ascii="Arial" w:hAnsi="Arial" w:eastAsia="宋体" w:cs="Arial"/>
          <w:color w:val="auto"/>
          <w:szCs w:val="24"/>
          <w:highlight w:val="none"/>
          <w:lang w:eastAsia="zh-CN"/>
        </w:rPr>
        <w:t>办公室</w:t>
      </w:r>
      <w:r>
        <w:rPr>
          <w:rFonts w:hint="default" w:ascii="Arial" w:hAnsi="Arial" w:eastAsia="宋体" w:cs="Arial"/>
          <w:color w:val="auto"/>
          <w:szCs w:val="24"/>
          <w:highlight w:val="none"/>
        </w:rPr>
        <w:t>功能分区布置相对独立，通过合理组织功能分区，合理布置养殖区及粪污处理单元，合理组织交通运输使物料运输方便快捷；保证生产工艺流程畅通。场界四周及养殖区四周种植高大乔木，尽可能减轻恶臭气体对居民的影响因素。保证场区平面布置符合环境保护、安全生产、卫生防疫、绿化与工业企业卫生要求。</w:t>
      </w:r>
    </w:p>
    <w:p>
      <w:pPr>
        <w:pStyle w:val="5"/>
        <w:rPr>
          <w:rFonts w:hint="default" w:ascii="Arial" w:hAnsi="Arial" w:eastAsia="宋体" w:cs="Arial"/>
          <w:color w:val="auto"/>
          <w:highlight w:val="none"/>
        </w:rPr>
      </w:pPr>
      <w:bookmarkStart w:id="627" w:name="_Toc487188694"/>
      <w:bookmarkStart w:id="628" w:name="_Toc523322413"/>
      <w:bookmarkStart w:id="629" w:name="_Toc494206416"/>
      <w:bookmarkStart w:id="630" w:name="_Toc13196"/>
      <w:r>
        <w:rPr>
          <w:rFonts w:hint="default" w:ascii="Arial" w:hAnsi="Arial" w:eastAsia="宋体" w:cs="Arial"/>
          <w:color w:val="auto"/>
          <w:highlight w:val="none"/>
        </w:rPr>
        <w:t>10.3环境质量现状</w:t>
      </w:r>
      <w:bookmarkEnd w:id="627"/>
      <w:bookmarkEnd w:id="628"/>
      <w:bookmarkEnd w:id="629"/>
      <w:bookmarkEnd w:id="630"/>
    </w:p>
    <w:p>
      <w:pPr>
        <w:ind w:firstLine="480"/>
        <w:rPr>
          <w:rFonts w:hint="default" w:ascii="Arial" w:hAnsi="Arial" w:eastAsia="宋体" w:cs="Arial"/>
          <w:color w:val="auto"/>
          <w:highlight w:val="none"/>
        </w:rPr>
      </w:pPr>
      <w:bookmarkStart w:id="631" w:name="_Toc487188695"/>
      <w:bookmarkStart w:id="632" w:name="_Toc494206417"/>
      <w:r>
        <w:rPr>
          <w:rFonts w:hint="default" w:ascii="Arial" w:hAnsi="Arial" w:eastAsia="宋体" w:cs="Arial"/>
          <w:color w:val="auto"/>
          <w:highlight w:val="none"/>
        </w:rPr>
        <w:t>（1）环境空气</w:t>
      </w:r>
    </w:p>
    <w:p>
      <w:pPr>
        <w:ind w:firstLine="480"/>
        <w:rPr>
          <w:rFonts w:hint="default" w:ascii="Arial" w:hAnsi="Arial" w:eastAsia="宋体" w:cs="Arial"/>
          <w:color w:val="auto"/>
          <w:highlight w:val="none"/>
        </w:rPr>
      </w:pPr>
      <w:r>
        <w:rPr>
          <w:rFonts w:hint="default" w:ascii="Arial" w:hAnsi="Arial" w:eastAsia="宋体" w:cs="Arial"/>
          <w:color w:val="auto"/>
          <w:highlight w:val="none"/>
        </w:rPr>
        <w:t>根据</w:t>
      </w:r>
      <w:r>
        <w:rPr>
          <w:rFonts w:hint="default" w:ascii="Arial" w:hAnsi="Arial" w:eastAsia="宋体" w:cs="Arial"/>
          <w:color w:val="auto"/>
          <w:kern w:val="0"/>
          <w:sz w:val="24"/>
          <w:szCs w:val="24"/>
          <w:highlight w:val="none"/>
          <w:lang w:eastAsia="zh-CN"/>
        </w:rPr>
        <w:t>《巴彦淖尔市环境质量状况公报</w:t>
      </w:r>
      <w:r>
        <w:rPr>
          <w:rFonts w:hint="default" w:ascii="Arial" w:hAnsi="Arial" w:eastAsia="宋体" w:cs="Arial"/>
          <w:color w:val="auto"/>
          <w:kern w:val="0"/>
          <w:sz w:val="24"/>
          <w:szCs w:val="24"/>
          <w:highlight w:val="none"/>
          <w:lang w:val="en-US" w:eastAsia="zh-CN"/>
        </w:rPr>
        <w:t>2020年</w:t>
      </w:r>
      <w:r>
        <w:rPr>
          <w:rFonts w:hint="default" w:ascii="Arial" w:hAnsi="Arial" w:eastAsia="宋体" w:cs="Arial"/>
          <w:color w:val="auto"/>
          <w:kern w:val="0"/>
          <w:sz w:val="24"/>
          <w:szCs w:val="24"/>
          <w:highlight w:val="none"/>
          <w:lang w:eastAsia="zh-CN"/>
        </w:rPr>
        <w:t>》</w:t>
      </w:r>
      <w:r>
        <w:rPr>
          <w:rFonts w:hint="default" w:ascii="Arial" w:hAnsi="Arial" w:eastAsia="宋体" w:cs="Arial"/>
          <w:color w:val="auto"/>
          <w:highlight w:val="none"/>
        </w:rPr>
        <w:t>，</w:t>
      </w:r>
      <w:r>
        <w:rPr>
          <w:rFonts w:hint="default" w:ascii="Arial" w:hAnsi="Arial" w:eastAsia="宋体" w:cs="Arial"/>
          <w:color w:val="auto"/>
          <w:kern w:val="0"/>
          <w:sz w:val="24"/>
          <w:szCs w:val="24"/>
          <w:highlight w:val="none"/>
        </w:rPr>
        <w:t>内蒙古巴彦淖尔市</w:t>
      </w:r>
      <w:r>
        <w:rPr>
          <w:rFonts w:hint="default" w:ascii="Arial" w:hAnsi="Arial" w:eastAsia="宋体" w:cs="Arial"/>
          <w:color w:val="auto"/>
          <w:kern w:val="0"/>
          <w:sz w:val="24"/>
          <w:szCs w:val="24"/>
          <w:highlight w:val="none"/>
          <w:lang w:eastAsia="zh-CN"/>
        </w:rPr>
        <w:t>五原县</w:t>
      </w:r>
      <w:r>
        <w:rPr>
          <w:rFonts w:hint="default" w:ascii="Arial" w:hAnsi="Arial" w:eastAsia="宋体" w:cs="Arial"/>
          <w:color w:val="auto"/>
          <w:kern w:val="0"/>
          <w:sz w:val="24"/>
          <w:szCs w:val="24"/>
          <w:highlight w:val="none"/>
        </w:rPr>
        <w:t>20</w:t>
      </w:r>
      <w:r>
        <w:rPr>
          <w:rFonts w:hint="default" w:ascii="Arial" w:hAnsi="Arial" w:eastAsia="宋体" w:cs="Arial"/>
          <w:color w:val="auto"/>
          <w:kern w:val="0"/>
          <w:sz w:val="24"/>
          <w:szCs w:val="24"/>
          <w:highlight w:val="none"/>
          <w:lang w:val="en-US" w:eastAsia="zh-CN"/>
        </w:rPr>
        <w:t>20</w:t>
      </w:r>
      <w:r>
        <w:rPr>
          <w:rFonts w:hint="default" w:ascii="Arial" w:hAnsi="Arial" w:eastAsia="宋体" w:cs="Arial"/>
          <w:color w:val="auto"/>
          <w:kern w:val="0"/>
          <w:sz w:val="24"/>
          <w:szCs w:val="24"/>
          <w:highlight w:val="none"/>
        </w:rPr>
        <w:t>年六项污染物</w:t>
      </w:r>
      <w:r>
        <w:rPr>
          <w:rFonts w:hint="default" w:ascii="Arial" w:hAnsi="Arial" w:eastAsia="宋体" w:cs="Arial"/>
          <w:color w:val="auto"/>
          <w:kern w:val="0"/>
          <w:sz w:val="24"/>
          <w:szCs w:val="24"/>
          <w:highlight w:val="none"/>
          <w:lang w:eastAsia="zh-CN"/>
        </w:rPr>
        <w:t>环境质量数据</w:t>
      </w:r>
      <w:r>
        <w:rPr>
          <w:rFonts w:hint="default" w:ascii="Arial" w:hAnsi="Arial" w:eastAsia="宋体" w:cs="Arial"/>
          <w:color w:val="auto"/>
          <w:highlight w:val="none"/>
        </w:rPr>
        <w:t>SO</w:t>
      </w:r>
      <w:r>
        <w:rPr>
          <w:rFonts w:hint="default" w:ascii="Arial" w:hAnsi="Arial" w:eastAsia="宋体" w:cs="Arial"/>
          <w:color w:val="auto"/>
          <w:highlight w:val="none"/>
          <w:vertAlign w:val="subscript"/>
        </w:rPr>
        <w:t>2</w:t>
      </w:r>
      <w:r>
        <w:rPr>
          <w:rFonts w:hint="default" w:ascii="Arial" w:hAnsi="Arial" w:eastAsia="宋体" w:cs="Arial"/>
          <w:color w:val="auto"/>
          <w:highlight w:val="none"/>
        </w:rPr>
        <w:t>、NO</w:t>
      </w:r>
      <w:r>
        <w:rPr>
          <w:rFonts w:hint="default" w:ascii="Arial" w:hAnsi="Arial" w:eastAsia="宋体" w:cs="Arial"/>
          <w:color w:val="auto"/>
          <w:highlight w:val="none"/>
          <w:vertAlign w:val="subscript"/>
        </w:rPr>
        <w:t>2</w:t>
      </w:r>
      <w:r>
        <w:rPr>
          <w:rFonts w:hint="default" w:ascii="Arial" w:hAnsi="Arial" w:eastAsia="宋体" w:cs="Arial"/>
          <w:color w:val="auto"/>
          <w:highlight w:val="none"/>
        </w:rPr>
        <w:t>、PM</w:t>
      </w:r>
      <w:r>
        <w:rPr>
          <w:rFonts w:hint="default" w:ascii="Arial" w:hAnsi="Arial" w:eastAsia="宋体" w:cs="Arial"/>
          <w:color w:val="auto"/>
          <w:highlight w:val="none"/>
          <w:vertAlign w:val="subscript"/>
        </w:rPr>
        <w:t>10</w:t>
      </w:r>
      <w:r>
        <w:rPr>
          <w:rFonts w:hint="default" w:ascii="Arial" w:hAnsi="Arial" w:eastAsia="宋体" w:cs="Arial"/>
          <w:color w:val="auto"/>
          <w:highlight w:val="none"/>
        </w:rPr>
        <w:t>、PM</w:t>
      </w:r>
      <w:r>
        <w:rPr>
          <w:rFonts w:hint="default" w:ascii="Arial" w:hAnsi="Arial" w:eastAsia="宋体" w:cs="Arial"/>
          <w:color w:val="auto"/>
          <w:highlight w:val="none"/>
          <w:vertAlign w:val="subscript"/>
        </w:rPr>
        <w:t>2.5</w:t>
      </w:r>
      <w:r>
        <w:rPr>
          <w:rFonts w:hint="default" w:ascii="Arial" w:hAnsi="Arial" w:eastAsia="宋体" w:cs="Arial"/>
          <w:color w:val="auto"/>
          <w:highlight w:val="none"/>
        </w:rPr>
        <w:t>年均浓度、CO（第95百分位浓度）、O</w:t>
      </w:r>
      <w:r>
        <w:rPr>
          <w:rFonts w:hint="default" w:ascii="Arial" w:hAnsi="Arial" w:eastAsia="宋体" w:cs="Arial"/>
          <w:color w:val="auto"/>
          <w:highlight w:val="none"/>
          <w:vertAlign w:val="subscript"/>
        </w:rPr>
        <w:t>3</w:t>
      </w:r>
      <w:r>
        <w:rPr>
          <w:rFonts w:hint="default" w:ascii="Arial" w:hAnsi="Arial" w:eastAsia="宋体" w:cs="Arial"/>
          <w:color w:val="auto"/>
          <w:highlight w:val="none"/>
        </w:rPr>
        <w:t>（日最大8小时，第90百分位浓度）分别为1</w:t>
      </w:r>
      <w:r>
        <w:rPr>
          <w:rFonts w:hint="default" w:ascii="Arial" w:hAnsi="Arial" w:eastAsia="宋体" w:cs="Arial"/>
          <w:color w:val="auto"/>
          <w:highlight w:val="none"/>
          <w:lang w:val="en-US" w:eastAsia="zh-CN"/>
        </w:rPr>
        <w:t>7</w:t>
      </w:r>
      <w:r>
        <w:rPr>
          <w:rFonts w:hint="default" w:ascii="Arial" w:hAnsi="Arial" w:eastAsia="宋体" w:cs="Arial"/>
          <w:color w:val="auto"/>
          <w:highlight w:val="none"/>
        </w:rPr>
        <w:t>μg/m</w:t>
      </w:r>
      <w:r>
        <w:rPr>
          <w:rFonts w:hint="default" w:ascii="Arial" w:hAnsi="Arial" w:eastAsia="宋体" w:cs="Arial"/>
          <w:color w:val="auto"/>
          <w:highlight w:val="none"/>
          <w:vertAlign w:val="superscript"/>
        </w:rPr>
        <w:t>3</w:t>
      </w:r>
      <w:r>
        <w:rPr>
          <w:rFonts w:hint="default" w:ascii="Arial" w:hAnsi="Arial" w:eastAsia="宋体" w:cs="Arial"/>
          <w:color w:val="auto"/>
          <w:highlight w:val="none"/>
        </w:rPr>
        <w:t>、</w:t>
      </w:r>
      <w:r>
        <w:rPr>
          <w:rFonts w:hint="default" w:ascii="Arial" w:hAnsi="Arial" w:eastAsia="宋体" w:cs="Arial"/>
          <w:color w:val="auto"/>
          <w:highlight w:val="none"/>
          <w:lang w:val="en-US" w:eastAsia="zh-CN"/>
        </w:rPr>
        <w:t>21</w:t>
      </w:r>
      <w:r>
        <w:rPr>
          <w:rFonts w:hint="default" w:ascii="Arial" w:hAnsi="Arial" w:eastAsia="宋体" w:cs="Arial"/>
          <w:color w:val="auto"/>
          <w:highlight w:val="none"/>
        </w:rPr>
        <w:t>μg/m</w:t>
      </w:r>
      <w:r>
        <w:rPr>
          <w:rFonts w:hint="default" w:ascii="Arial" w:hAnsi="Arial" w:eastAsia="宋体" w:cs="Arial"/>
          <w:color w:val="auto"/>
          <w:highlight w:val="none"/>
          <w:vertAlign w:val="superscript"/>
        </w:rPr>
        <w:t>3</w:t>
      </w:r>
      <w:r>
        <w:rPr>
          <w:rFonts w:hint="default" w:ascii="Arial" w:hAnsi="Arial" w:eastAsia="宋体" w:cs="Arial"/>
          <w:color w:val="auto"/>
          <w:highlight w:val="none"/>
        </w:rPr>
        <w:t>、</w:t>
      </w:r>
      <w:r>
        <w:rPr>
          <w:rFonts w:hint="default" w:ascii="Arial" w:hAnsi="Arial" w:eastAsia="宋体" w:cs="Arial"/>
          <w:color w:val="auto"/>
          <w:highlight w:val="none"/>
          <w:lang w:val="en-US" w:eastAsia="zh-CN"/>
        </w:rPr>
        <w:t>56</w:t>
      </w:r>
      <w:r>
        <w:rPr>
          <w:rFonts w:hint="default" w:ascii="Arial" w:hAnsi="Arial" w:eastAsia="宋体" w:cs="Arial"/>
          <w:color w:val="auto"/>
          <w:highlight w:val="none"/>
        </w:rPr>
        <w:t>μg/m</w:t>
      </w:r>
      <w:r>
        <w:rPr>
          <w:rFonts w:hint="default" w:ascii="Arial" w:hAnsi="Arial" w:eastAsia="宋体" w:cs="Arial"/>
          <w:color w:val="auto"/>
          <w:highlight w:val="none"/>
          <w:vertAlign w:val="superscript"/>
        </w:rPr>
        <w:t>3</w:t>
      </w:r>
      <w:r>
        <w:rPr>
          <w:rFonts w:hint="default" w:ascii="Arial" w:hAnsi="Arial" w:eastAsia="宋体" w:cs="Arial"/>
          <w:color w:val="auto"/>
          <w:highlight w:val="none"/>
        </w:rPr>
        <w:t>、</w:t>
      </w:r>
      <w:r>
        <w:rPr>
          <w:rFonts w:hint="default" w:ascii="Arial" w:hAnsi="Arial" w:eastAsia="宋体" w:cs="Arial"/>
          <w:color w:val="auto"/>
          <w:highlight w:val="none"/>
          <w:lang w:val="en-US" w:eastAsia="zh-CN"/>
        </w:rPr>
        <w:t>34</w:t>
      </w:r>
      <w:r>
        <w:rPr>
          <w:rFonts w:hint="default" w:ascii="Arial" w:hAnsi="Arial" w:eastAsia="宋体" w:cs="Arial"/>
          <w:color w:val="auto"/>
          <w:highlight w:val="none"/>
        </w:rPr>
        <w:t>μg/m</w:t>
      </w:r>
      <w:r>
        <w:rPr>
          <w:rFonts w:hint="default" w:ascii="Arial" w:hAnsi="Arial" w:eastAsia="宋体" w:cs="Arial"/>
          <w:color w:val="auto"/>
          <w:highlight w:val="none"/>
          <w:vertAlign w:val="superscript"/>
        </w:rPr>
        <w:t>3</w:t>
      </w:r>
      <w:r>
        <w:rPr>
          <w:rFonts w:hint="default" w:ascii="Arial" w:hAnsi="Arial" w:eastAsia="宋体" w:cs="Arial"/>
          <w:color w:val="auto"/>
          <w:highlight w:val="none"/>
        </w:rPr>
        <w:t>、</w:t>
      </w:r>
      <w:r>
        <w:rPr>
          <w:rFonts w:hint="default" w:ascii="Arial" w:hAnsi="Arial" w:eastAsia="宋体" w:cs="Arial"/>
          <w:color w:val="auto"/>
          <w:highlight w:val="none"/>
          <w:lang w:val="en-US" w:eastAsia="zh-CN"/>
        </w:rPr>
        <w:t>2.2</w:t>
      </w:r>
      <w:r>
        <w:rPr>
          <w:rFonts w:hint="default" w:ascii="Arial" w:hAnsi="Arial" w:eastAsia="宋体" w:cs="Arial"/>
          <w:color w:val="auto"/>
          <w:highlight w:val="none"/>
        </w:rPr>
        <w:t>mg/m</w:t>
      </w:r>
      <w:r>
        <w:rPr>
          <w:rFonts w:hint="default" w:ascii="Arial" w:hAnsi="Arial" w:eastAsia="宋体" w:cs="Arial"/>
          <w:color w:val="auto"/>
          <w:highlight w:val="none"/>
          <w:vertAlign w:val="superscript"/>
        </w:rPr>
        <w:t>3</w:t>
      </w:r>
      <w:r>
        <w:rPr>
          <w:rFonts w:hint="default" w:ascii="Arial" w:hAnsi="Arial" w:eastAsia="宋体" w:cs="Arial"/>
          <w:color w:val="auto"/>
          <w:highlight w:val="none"/>
        </w:rPr>
        <w:t>、</w:t>
      </w:r>
      <w:r>
        <w:rPr>
          <w:rFonts w:hint="default" w:ascii="Arial" w:hAnsi="Arial" w:eastAsia="宋体" w:cs="Arial"/>
          <w:color w:val="auto"/>
          <w:highlight w:val="none"/>
          <w:lang w:val="en-US" w:eastAsia="zh-CN"/>
        </w:rPr>
        <w:t>144</w:t>
      </w:r>
      <w:r>
        <w:rPr>
          <w:rFonts w:hint="default" w:ascii="Arial" w:hAnsi="Arial" w:eastAsia="宋体" w:cs="Arial"/>
          <w:color w:val="auto"/>
          <w:highlight w:val="none"/>
        </w:rPr>
        <w:t>μg/m</w:t>
      </w:r>
      <w:r>
        <w:rPr>
          <w:rFonts w:hint="default" w:ascii="Arial" w:hAnsi="Arial" w:eastAsia="宋体" w:cs="Arial"/>
          <w:color w:val="auto"/>
          <w:highlight w:val="none"/>
          <w:vertAlign w:val="superscript"/>
        </w:rPr>
        <w:t>3</w:t>
      </w:r>
      <w:r>
        <w:rPr>
          <w:rFonts w:hint="default" w:ascii="Arial" w:hAnsi="Arial" w:eastAsia="宋体" w:cs="Arial"/>
          <w:color w:val="auto"/>
          <w:highlight w:val="none"/>
        </w:rPr>
        <w:t>，均满足《环境空气质量标准》（GB3095-2012）二级限值，因此，项目所在地为达标区；TSP</w:t>
      </w:r>
      <w:r>
        <w:rPr>
          <w:rFonts w:hint="default" w:ascii="Arial" w:hAnsi="Arial" w:eastAsia="宋体" w:cs="Arial"/>
          <w:color w:val="auto"/>
          <w:highlight w:val="none"/>
          <w:lang w:eastAsia="zh-CN"/>
        </w:rPr>
        <w:t>质量浓度</w:t>
      </w:r>
      <w:r>
        <w:rPr>
          <w:rFonts w:hint="default" w:ascii="Arial" w:hAnsi="Arial" w:eastAsia="宋体" w:cs="Arial"/>
          <w:color w:val="auto"/>
          <w:highlight w:val="none"/>
        </w:rPr>
        <w:t>满足《环境空气质量标准》（GB3095-2012）中二级标准限值，H</w:t>
      </w:r>
      <w:r>
        <w:rPr>
          <w:rFonts w:hint="default" w:ascii="Arial" w:hAnsi="Arial" w:eastAsia="宋体" w:cs="Arial"/>
          <w:color w:val="auto"/>
          <w:highlight w:val="none"/>
          <w:vertAlign w:val="subscript"/>
        </w:rPr>
        <w:t>2</w:t>
      </w:r>
      <w:r>
        <w:rPr>
          <w:rFonts w:hint="default" w:ascii="Arial" w:hAnsi="Arial" w:eastAsia="宋体" w:cs="Arial"/>
          <w:color w:val="auto"/>
          <w:highlight w:val="none"/>
        </w:rPr>
        <w:t>S、NH</w:t>
      </w:r>
      <w:r>
        <w:rPr>
          <w:rFonts w:hint="default" w:ascii="Arial" w:hAnsi="Arial" w:eastAsia="宋体" w:cs="Arial"/>
          <w:color w:val="auto"/>
          <w:highlight w:val="none"/>
          <w:vertAlign w:val="subscript"/>
        </w:rPr>
        <w:t>3</w:t>
      </w:r>
      <w:r>
        <w:rPr>
          <w:rFonts w:hint="default" w:ascii="Arial" w:hAnsi="Arial" w:eastAsia="宋体" w:cs="Arial"/>
          <w:color w:val="auto"/>
          <w:highlight w:val="none"/>
          <w:lang w:eastAsia="zh-CN"/>
        </w:rPr>
        <w:t>质量浓度</w:t>
      </w:r>
      <w:r>
        <w:rPr>
          <w:rFonts w:hint="default" w:ascii="Arial" w:hAnsi="Arial" w:eastAsia="宋体" w:cs="Arial"/>
          <w:color w:val="auto"/>
          <w:highlight w:val="none"/>
        </w:rPr>
        <w:t>均符合《环境影响评价技术导则 大气环境》（HJ2.2－2018）附录D其他污染物空气质量浓度参考限值。</w:t>
      </w:r>
    </w:p>
    <w:p>
      <w:pPr>
        <w:ind w:firstLine="480"/>
        <w:rPr>
          <w:rFonts w:hint="default" w:ascii="Arial" w:hAnsi="Arial" w:eastAsia="宋体" w:cs="Arial"/>
          <w:color w:val="auto"/>
          <w:highlight w:val="none"/>
        </w:rPr>
      </w:pPr>
      <w:r>
        <w:rPr>
          <w:rFonts w:hint="default" w:ascii="Arial" w:hAnsi="Arial" w:eastAsia="宋体" w:cs="Arial"/>
          <w:color w:val="auto"/>
          <w:highlight w:val="none"/>
        </w:rPr>
        <w:t>（2）地下水环境</w:t>
      </w:r>
    </w:p>
    <w:p>
      <w:pPr>
        <w:ind w:firstLine="480"/>
        <w:rPr>
          <w:rFonts w:hint="default" w:ascii="Arial" w:hAnsi="Arial" w:eastAsia="宋体" w:cs="Arial"/>
          <w:color w:val="auto"/>
          <w:highlight w:val="none"/>
          <w:lang w:eastAsia="zh-CN"/>
        </w:rPr>
      </w:pPr>
      <w:r>
        <w:rPr>
          <w:rFonts w:hint="default" w:ascii="Arial" w:hAnsi="Arial" w:eastAsia="宋体" w:cs="Arial"/>
          <w:color w:val="auto"/>
          <w:highlight w:val="none"/>
          <w:lang w:val="en-US" w:eastAsia="zh-CN"/>
        </w:rPr>
        <w:t>从</w:t>
      </w:r>
      <w:r>
        <w:rPr>
          <w:rFonts w:hint="default" w:ascii="Arial" w:hAnsi="Arial" w:eastAsia="宋体" w:cs="Arial"/>
          <w:color w:val="auto"/>
          <w:highlight w:val="none"/>
        </w:rPr>
        <w:t>地下水监测结果可以看出，</w:t>
      </w:r>
      <w:r>
        <w:rPr>
          <w:rFonts w:hint="default" w:ascii="Arial" w:hAnsi="Arial" w:eastAsia="宋体" w:cs="Arial"/>
          <w:color w:val="auto"/>
          <w:highlight w:val="none"/>
          <w:lang w:eastAsia="zh-CN"/>
        </w:rPr>
        <w:t>该区域地下水环境各监测因子中</w:t>
      </w:r>
      <w:r>
        <w:rPr>
          <w:rFonts w:hint="default" w:ascii="Arial" w:hAnsi="Arial" w:eastAsia="宋体" w:cs="Arial"/>
          <w:color w:val="auto"/>
          <w:highlight w:val="none"/>
        </w:rPr>
        <w:t>溶解性总固体、总硬度、氯化物、</w:t>
      </w:r>
      <w:r>
        <w:rPr>
          <w:rFonts w:hint="default" w:ascii="Arial" w:hAnsi="Arial" w:eastAsia="宋体" w:cs="Arial"/>
          <w:color w:val="auto"/>
          <w:highlight w:val="none"/>
          <w:lang w:eastAsia="zh-CN"/>
        </w:rPr>
        <w:t>硫酸盐、氨氮等指标</w:t>
      </w:r>
      <w:r>
        <w:rPr>
          <w:rFonts w:hint="default" w:ascii="Arial" w:hAnsi="Arial" w:eastAsia="宋体" w:cs="Arial"/>
          <w:color w:val="auto"/>
          <w:highlight w:val="none"/>
        </w:rPr>
        <w:t>超</w:t>
      </w:r>
      <w:r>
        <w:rPr>
          <w:rFonts w:hint="default" w:ascii="Arial" w:hAnsi="Arial" w:eastAsia="宋体" w:cs="Arial"/>
          <w:color w:val="auto"/>
          <w:highlight w:val="none"/>
          <w:lang w:eastAsia="zh-CN"/>
        </w:rPr>
        <w:t>过</w:t>
      </w:r>
      <w:r>
        <w:rPr>
          <w:rFonts w:hint="default" w:ascii="Arial" w:hAnsi="Arial" w:eastAsia="宋体" w:cs="Arial"/>
          <w:color w:val="auto"/>
          <w:highlight w:val="none"/>
        </w:rPr>
        <w:t>《地下水质量标准》（GB/T14848-2017</w:t>
      </w:r>
      <w:r>
        <w:rPr>
          <w:rFonts w:hint="default" w:ascii="Arial" w:hAnsi="Arial" w:eastAsia="宋体" w:cs="Arial"/>
          <w:color w:val="auto"/>
          <w:highlight w:val="none"/>
          <w:lang w:eastAsia="zh-CN"/>
        </w:rPr>
        <w:t>）Ⅲ</w:t>
      </w:r>
      <w:r>
        <w:rPr>
          <w:rFonts w:hint="default" w:ascii="Arial" w:hAnsi="Arial" w:eastAsia="宋体" w:cs="Arial"/>
          <w:color w:val="auto"/>
          <w:highlight w:val="none"/>
        </w:rPr>
        <w:t>类标准，其它所检因子均符合《地下水质量标准》（GB/T14848-2017</w:t>
      </w:r>
      <w:r>
        <w:rPr>
          <w:rFonts w:hint="default" w:ascii="Arial" w:hAnsi="Arial" w:eastAsia="宋体" w:cs="Arial"/>
          <w:color w:val="auto"/>
          <w:highlight w:val="none"/>
          <w:lang w:eastAsia="zh-CN"/>
        </w:rPr>
        <w:t>）Ⅲ</w:t>
      </w:r>
      <w:r>
        <w:rPr>
          <w:rFonts w:hint="default" w:ascii="Arial" w:hAnsi="Arial" w:eastAsia="宋体" w:cs="Arial"/>
          <w:color w:val="auto"/>
          <w:highlight w:val="none"/>
        </w:rPr>
        <w:t>类标准</w:t>
      </w:r>
      <w:r>
        <w:rPr>
          <w:rFonts w:hint="default" w:ascii="Arial" w:hAnsi="Arial" w:eastAsia="宋体" w:cs="Arial"/>
          <w:color w:val="auto"/>
          <w:highlight w:val="none"/>
          <w:lang w:eastAsia="zh-CN"/>
        </w:rPr>
        <w:t>。</w:t>
      </w:r>
    </w:p>
    <w:p>
      <w:pPr>
        <w:ind w:firstLine="480"/>
        <w:rPr>
          <w:rFonts w:hint="default" w:ascii="Arial" w:hAnsi="Arial" w:eastAsia="宋体" w:cs="Arial"/>
          <w:color w:val="auto"/>
          <w:highlight w:val="none"/>
        </w:rPr>
      </w:pPr>
      <w:r>
        <w:rPr>
          <w:rFonts w:hint="default" w:ascii="Arial" w:hAnsi="Arial" w:eastAsia="宋体" w:cs="Arial"/>
          <w:color w:val="auto"/>
          <w:highlight w:val="none"/>
        </w:rPr>
        <w:t>超标原因：溶解性总固体、总硬度、氟化物、硫酸盐</w:t>
      </w:r>
      <w:r>
        <w:rPr>
          <w:rFonts w:hint="default" w:ascii="Arial" w:hAnsi="Arial" w:eastAsia="宋体" w:cs="Arial"/>
          <w:color w:val="auto"/>
          <w:highlight w:val="none"/>
          <w:lang w:eastAsia="zh-CN"/>
        </w:rPr>
        <w:t>、氨氮</w:t>
      </w:r>
      <w:r>
        <w:rPr>
          <w:rFonts w:hint="default" w:ascii="Arial" w:hAnsi="Arial" w:eastAsia="宋体" w:cs="Arial"/>
          <w:color w:val="auto"/>
          <w:highlight w:val="none"/>
        </w:rPr>
        <w:t>出现超标，是评价区含水层形成环境与现状地下水特征所决定的。</w:t>
      </w:r>
    </w:p>
    <w:p>
      <w:pPr>
        <w:ind w:firstLine="480"/>
        <w:rPr>
          <w:rFonts w:hint="default" w:ascii="Arial" w:hAnsi="Arial" w:eastAsia="宋体" w:cs="Arial"/>
          <w:color w:val="auto"/>
          <w:highlight w:val="none"/>
        </w:rPr>
      </w:pPr>
      <w:r>
        <w:rPr>
          <w:rFonts w:hint="default" w:ascii="Arial" w:hAnsi="Arial" w:eastAsia="宋体" w:cs="Arial"/>
          <w:color w:val="auto"/>
          <w:highlight w:val="none"/>
        </w:rPr>
        <w:t>（3）土壤环境</w:t>
      </w:r>
    </w:p>
    <w:p>
      <w:pPr>
        <w:ind w:firstLine="480"/>
        <w:rPr>
          <w:rFonts w:hint="default" w:ascii="Arial" w:hAnsi="Arial" w:eastAsia="宋体" w:cs="Arial"/>
          <w:color w:val="auto"/>
          <w:highlight w:val="none"/>
        </w:rPr>
      </w:pPr>
      <w:r>
        <w:rPr>
          <w:rFonts w:hint="default" w:ascii="Arial" w:hAnsi="Arial" w:eastAsia="宋体" w:cs="Arial"/>
          <w:color w:val="auto"/>
          <w:highlight w:val="none"/>
        </w:rPr>
        <w:t>根据检测结果，</w:t>
      </w:r>
      <w:r>
        <w:rPr>
          <w:rFonts w:hint="default" w:ascii="Arial" w:hAnsi="Arial" w:eastAsia="宋体" w:cs="Arial"/>
          <w:color w:val="auto"/>
          <w:highlight w:val="none"/>
          <w:lang w:eastAsia="zh-CN"/>
        </w:rPr>
        <w:t>本项目</w:t>
      </w:r>
      <w:r>
        <w:rPr>
          <w:rFonts w:hint="default" w:ascii="Arial" w:hAnsi="Arial" w:eastAsia="宋体" w:cs="Arial"/>
          <w:color w:val="auto"/>
          <w:highlight w:val="none"/>
        </w:rPr>
        <w:t>用地范围内各监测点</w:t>
      </w:r>
      <w:r>
        <w:rPr>
          <w:rFonts w:hint="default" w:ascii="Arial" w:hAnsi="Arial" w:eastAsia="宋体" w:cs="Arial"/>
          <w:color w:val="auto"/>
          <w:highlight w:val="none"/>
          <w:lang w:eastAsia="zh-CN"/>
        </w:rPr>
        <w:t>土壤环境</w:t>
      </w:r>
      <w:r>
        <w:rPr>
          <w:rFonts w:hint="default" w:ascii="Arial" w:hAnsi="Arial" w:eastAsia="宋体" w:cs="Arial"/>
          <w:color w:val="auto"/>
          <w:highlight w:val="none"/>
        </w:rPr>
        <w:t>各项监测指标均满足项目用地土壤</w:t>
      </w:r>
      <w:r>
        <w:rPr>
          <w:rFonts w:hint="default" w:ascii="Arial" w:hAnsi="Arial" w:eastAsia="宋体" w:cs="Arial"/>
          <w:color w:val="auto"/>
          <w:highlight w:val="none"/>
          <w:lang w:eastAsia="zh-CN"/>
        </w:rPr>
        <w:t>环境质量</w:t>
      </w:r>
      <w:r>
        <w:rPr>
          <w:rFonts w:hint="default" w:ascii="Arial" w:hAnsi="Arial" w:eastAsia="宋体" w:cs="Arial"/>
          <w:color w:val="auto"/>
          <w:highlight w:val="none"/>
        </w:rPr>
        <w:t>执行</w:t>
      </w:r>
      <w:r>
        <w:rPr>
          <w:rFonts w:hint="default" w:ascii="Arial" w:hAnsi="Arial" w:eastAsia="宋体" w:cs="Arial"/>
          <w:color w:val="auto"/>
          <w:highlight w:val="none"/>
          <w:lang w:eastAsia="zh-CN"/>
        </w:rPr>
        <w:t>《土壤环境质量 农用地土壤污染风险管控标准（试行）》（GB 15618-2018）表1农用地土壤污染风险筛选值（基本项目）--“其他”标准</w:t>
      </w:r>
      <w:r>
        <w:rPr>
          <w:rFonts w:hint="default" w:ascii="Arial" w:hAnsi="Arial" w:eastAsia="宋体" w:cs="Arial"/>
          <w:color w:val="auto"/>
          <w:highlight w:val="none"/>
        </w:rPr>
        <w:t>，项目所在地土壤环境质量良好。</w:t>
      </w:r>
    </w:p>
    <w:p>
      <w:pPr>
        <w:ind w:firstLine="480"/>
        <w:rPr>
          <w:rFonts w:hint="default" w:ascii="Arial" w:hAnsi="Arial" w:eastAsia="宋体" w:cs="Arial"/>
          <w:color w:val="auto"/>
          <w:highlight w:val="none"/>
        </w:rPr>
      </w:pPr>
      <w:r>
        <w:rPr>
          <w:rFonts w:hint="default" w:ascii="Arial" w:hAnsi="Arial" w:eastAsia="宋体" w:cs="Arial"/>
          <w:color w:val="auto"/>
          <w:highlight w:val="none"/>
        </w:rPr>
        <w:t>（4）声环境</w:t>
      </w:r>
    </w:p>
    <w:p>
      <w:pPr>
        <w:ind w:firstLine="480"/>
        <w:rPr>
          <w:rFonts w:hint="default" w:ascii="Arial" w:hAnsi="Arial" w:eastAsia="宋体" w:cs="Arial"/>
          <w:color w:val="auto"/>
          <w:highlight w:val="none"/>
        </w:rPr>
      </w:pPr>
      <w:r>
        <w:rPr>
          <w:rFonts w:hint="default" w:ascii="Arial" w:hAnsi="Arial" w:eastAsia="宋体" w:cs="Arial"/>
          <w:color w:val="auto"/>
          <w:highlight w:val="none"/>
        </w:rPr>
        <w:t>根据本次噪声现状监测结果，项目区周围厂界各监测点昼间、夜间噪声值均满足《声环境质量标准》（GB3096-2008）2类标准，项目区声环境质量较好。</w:t>
      </w:r>
    </w:p>
    <w:bookmarkEnd w:id="631"/>
    <w:bookmarkEnd w:id="632"/>
    <w:p>
      <w:pPr>
        <w:pStyle w:val="5"/>
        <w:rPr>
          <w:rFonts w:hint="default" w:ascii="Arial" w:hAnsi="Arial" w:eastAsia="宋体" w:cs="Arial"/>
          <w:color w:val="auto"/>
          <w:highlight w:val="none"/>
        </w:rPr>
      </w:pPr>
      <w:bookmarkStart w:id="633" w:name="_Toc523322414"/>
      <w:bookmarkStart w:id="634" w:name="_Toc17595"/>
      <w:r>
        <w:rPr>
          <w:rFonts w:hint="default" w:ascii="Arial" w:hAnsi="Arial" w:eastAsia="宋体" w:cs="Arial"/>
          <w:color w:val="auto"/>
          <w:highlight w:val="none"/>
        </w:rPr>
        <w:t>10.4环境影响分析结论</w:t>
      </w:r>
      <w:bookmarkEnd w:id="633"/>
      <w:bookmarkEnd w:id="634"/>
    </w:p>
    <w:p>
      <w:pPr>
        <w:pStyle w:val="6"/>
        <w:rPr>
          <w:rFonts w:hint="default" w:ascii="Arial" w:hAnsi="Arial" w:eastAsia="宋体" w:cs="Arial"/>
          <w:color w:val="auto"/>
          <w:highlight w:val="none"/>
        </w:rPr>
      </w:pPr>
      <w:bookmarkStart w:id="635" w:name="_Toc523322415"/>
      <w:bookmarkStart w:id="636" w:name="_Toc471227933"/>
      <w:bookmarkStart w:id="637" w:name="_Toc5513"/>
      <w:r>
        <w:rPr>
          <w:rFonts w:hint="default" w:ascii="Arial" w:hAnsi="Arial" w:eastAsia="宋体" w:cs="Arial"/>
          <w:color w:val="auto"/>
          <w:highlight w:val="none"/>
        </w:rPr>
        <w:t>10.4.1施工期环境影响</w:t>
      </w:r>
      <w:bookmarkEnd w:id="635"/>
      <w:bookmarkEnd w:id="636"/>
      <w:bookmarkEnd w:id="637"/>
    </w:p>
    <w:p>
      <w:pPr>
        <w:ind w:firstLine="480"/>
        <w:rPr>
          <w:rFonts w:hint="default" w:ascii="Arial" w:hAnsi="Arial" w:eastAsia="宋体" w:cs="Arial"/>
          <w:color w:val="auto"/>
          <w:highlight w:val="none"/>
        </w:rPr>
      </w:pPr>
      <w:r>
        <w:rPr>
          <w:rFonts w:hint="default" w:ascii="Arial" w:hAnsi="Arial" w:eastAsia="宋体" w:cs="Arial"/>
          <w:color w:val="auto"/>
          <w:highlight w:val="none"/>
        </w:rPr>
        <w:t>在项目施工期间各项施工活动产生噪声、废水、扬尘和固体废弃物，有可能对周围环境产生短期的、局部的影响。项目方对产生噪声的机械设备采取减振、隔声措施，施工期</w:t>
      </w:r>
      <w:r>
        <w:rPr>
          <w:rFonts w:hint="default" w:ascii="Arial" w:hAnsi="Arial" w:eastAsia="宋体" w:cs="Arial"/>
          <w:color w:val="auto"/>
          <w:highlight w:val="none"/>
          <w:lang w:eastAsia="zh-CN"/>
        </w:rPr>
        <w:t>生活污水排入临时</w:t>
      </w:r>
      <w:r>
        <w:rPr>
          <w:rFonts w:hint="default" w:ascii="Arial" w:hAnsi="Arial" w:eastAsia="宋体" w:cs="Arial"/>
          <w:color w:val="auto"/>
          <w:highlight w:val="none"/>
        </w:rPr>
        <w:t>旱厕，施工场地及运输道路定期洒水抑尘，材料堆放及运输粉状材料是采取遮盖等措施，产生建筑垃圾部分全部利用，生活垃圾运至环卫部门指定地点等措施后，本项目施工期对周围环境的影响可以接受。</w:t>
      </w:r>
    </w:p>
    <w:p>
      <w:pPr>
        <w:pStyle w:val="6"/>
        <w:rPr>
          <w:rFonts w:hint="default" w:ascii="Arial" w:hAnsi="Arial" w:eastAsia="宋体" w:cs="Arial"/>
          <w:color w:val="auto"/>
          <w:highlight w:val="none"/>
        </w:rPr>
      </w:pPr>
      <w:bookmarkStart w:id="638" w:name="_Toc523322416"/>
      <w:bookmarkStart w:id="639" w:name="_Toc13566"/>
      <w:r>
        <w:rPr>
          <w:rFonts w:hint="default" w:ascii="Arial" w:hAnsi="Arial" w:eastAsia="宋体" w:cs="Arial"/>
          <w:color w:val="auto"/>
          <w:highlight w:val="none"/>
        </w:rPr>
        <w:t>10.4.2运营期环境影响</w:t>
      </w:r>
      <w:bookmarkEnd w:id="638"/>
      <w:bookmarkEnd w:id="639"/>
    </w:p>
    <w:p>
      <w:pPr>
        <w:ind w:firstLine="480"/>
        <w:rPr>
          <w:rFonts w:hint="default" w:ascii="Arial" w:hAnsi="Arial" w:eastAsia="宋体" w:cs="Arial"/>
          <w:color w:val="auto"/>
          <w:highlight w:val="none"/>
        </w:rPr>
      </w:pPr>
      <w:bookmarkStart w:id="640" w:name="_Toc494206423"/>
      <w:bookmarkStart w:id="641" w:name="_Toc371696644"/>
      <w:bookmarkStart w:id="642" w:name="_Toc487188701"/>
      <w:bookmarkStart w:id="643" w:name="_Toc494206429"/>
      <w:bookmarkStart w:id="644" w:name="_Toc371696648"/>
      <w:bookmarkStart w:id="645" w:name="_Toc487188707"/>
      <w:bookmarkStart w:id="646" w:name="_Toc523322418"/>
      <w:r>
        <w:rPr>
          <w:rFonts w:hint="default" w:ascii="Arial" w:hAnsi="Arial" w:eastAsia="宋体" w:cs="Arial"/>
          <w:color w:val="auto"/>
          <w:highlight w:val="none"/>
        </w:rPr>
        <w:t>（1）大气环境影响评价</w:t>
      </w:r>
      <w:bookmarkEnd w:id="640"/>
      <w:bookmarkEnd w:id="641"/>
      <w:bookmarkEnd w:id="642"/>
    </w:p>
    <w:p>
      <w:pPr>
        <w:ind w:firstLine="480"/>
        <w:rPr>
          <w:rFonts w:hint="default" w:ascii="Arial" w:hAnsi="Arial" w:eastAsia="宋体" w:cs="Arial"/>
          <w:color w:val="auto"/>
          <w:highlight w:val="none"/>
        </w:rPr>
      </w:pPr>
      <w:bookmarkStart w:id="647" w:name="_Toc494206424"/>
      <w:bookmarkStart w:id="648" w:name="_Toc487188702"/>
      <w:bookmarkStart w:id="649" w:name="_Toc371696645"/>
      <w:r>
        <w:rPr>
          <w:rFonts w:hint="default" w:ascii="Arial" w:hAnsi="Arial" w:eastAsia="宋体" w:cs="Arial"/>
          <w:color w:val="auto"/>
          <w:highlight w:val="none"/>
        </w:rPr>
        <w:t>根据估算模式计算可知，本项目所产生的污染物的最大落地浓度的占标率均未超过10%，其中占标率相对较大的H</w:t>
      </w:r>
      <w:r>
        <w:rPr>
          <w:rFonts w:hint="default" w:ascii="Arial" w:hAnsi="Arial" w:eastAsia="宋体" w:cs="Arial"/>
          <w:color w:val="auto"/>
          <w:highlight w:val="none"/>
          <w:vertAlign w:val="subscript"/>
        </w:rPr>
        <w:t>2</w:t>
      </w:r>
      <w:r>
        <w:rPr>
          <w:rFonts w:hint="default" w:ascii="Arial" w:hAnsi="Arial" w:eastAsia="宋体" w:cs="Arial"/>
          <w:color w:val="auto"/>
          <w:highlight w:val="none"/>
        </w:rPr>
        <w:t>S、NH</w:t>
      </w:r>
      <w:r>
        <w:rPr>
          <w:rFonts w:hint="default" w:ascii="Arial" w:hAnsi="Arial" w:eastAsia="宋体" w:cs="Arial"/>
          <w:color w:val="auto"/>
          <w:highlight w:val="none"/>
          <w:vertAlign w:val="subscript"/>
        </w:rPr>
        <w:t>3</w:t>
      </w:r>
      <w:r>
        <w:rPr>
          <w:rFonts w:hint="default" w:ascii="Arial" w:hAnsi="Arial" w:eastAsia="宋体" w:cs="Arial"/>
          <w:color w:val="auto"/>
          <w:highlight w:val="none"/>
        </w:rPr>
        <w:t>占标率分别为3.56%、</w:t>
      </w:r>
      <w:r>
        <w:rPr>
          <w:rFonts w:hint="default" w:ascii="Arial" w:hAnsi="Arial" w:eastAsia="宋体" w:cs="Arial"/>
          <w:snapToGrid w:val="0"/>
          <w:color w:val="auto"/>
          <w:highlight w:val="none"/>
          <w:lang w:val="en-US" w:eastAsia="zh-CN"/>
        </w:rPr>
        <w:t>9.80</w:t>
      </w:r>
      <w:r>
        <w:rPr>
          <w:rFonts w:hint="default" w:ascii="Arial" w:hAnsi="Arial" w:eastAsia="宋体" w:cs="Arial"/>
          <w:color w:val="auto"/>
          <w:highlight w:val="none"/>
        </w:rPr>
        <w:t>%，其它的均相对较低，因此本项目产生的污染对周围环境产生的影响不大。</w:t>
      </w:r>
    </w:p>
    <w:p>
      <w:pPr>
        <w:ind w:firstLine="480"/>
        <w:rPr>
          <w:rFonts w:hint="default" w:ascii="Arial" w:hAnsi="Arial" w:eastAsia="宋体" w:cs="Arial"/>
          <w:color w:val="auto"/>
          <w:highlight w:val="none"/>
        </w:rPr>
      </w:pPr>
      <w:r>
        <w:rPr>
          <w:rFonts w:hint="default" w:ascii="Arial" w:hAnsi="Arial" w:eastAsia="宋体" w:cs="Arial"/>
          <w:color w:val="auto"/>
          <w:highlight w:val="none"/>
        </w:rPr>
        <w:t>（2）地表水环境影响评价</w:t>
      </w:r>
      <w:bookmarkEnd w:id="647"/>
      <w:bookmarkEnd w:id="648"/>
      <w:bookmarkEnd w:id="649"/>
    </w:p>
    <w:p>
      <w:pPr>
        <w:ind w:firstLine="480"/>
        <w:rPr>
          <w:rFonts w:hint="default" w:ascii="Arial" w:hAnsi="Arial" w:eastAsia="宋体" w:cs="Arial"/>
          <w:color w:val="auto"/>
          <w:kern w:val="0"/>
          <w:sz w:val="24"/>
          <w:szCs w:val="24"/>
          <w:lang w:eastAsia="zh-CN"/>
        </w:rPr>
      </w:pPr>
      <w:r>
        <w:rPr>
          <w:rFonts w:hint="default" w:ascii="Arial" w:hAnsi="Arial" w:eastAsia="宋体" w:cs="Arial"/>
          <w:color w:val="auto"/>
          <w:sz w:val="24"/>
          <w:szCs w:val="28"/>
        </w:rPr>
        <w:t>本项目</w:t>
      </w:r>
      <w:r>
        <w:rPr>
          <w:rFonts w:hint="default" w:ascii="Arial" w:hAnsi="Arial" w:eastAsia="宋体" w:cs="Arial"/>
          <w:color w:val="auto"/>
          <w:kern w:val="0"/>
          <w:sz w:val="24"/>
          <w:szCs w:val="24"/>
          <w:lang w:eastAsia="zh-CN"/>
        </w:rPr>
        <w:t>肉牛饲养过程中饮用水量较少，排放的尿液较少，并且牛粪较为干燥，在</w:t>
      </w:r>
      <w:r>
        <w:rPr>
          <w:rFonts w:hint="default" w:ascii="Arial" w:hAnsi="Arial" w:eastAsia="宋体" w:cs="Arial"/>
          <w:color w:val="auto"/>
          <w:kern w:val="0"/>
          <w:sz w:val="24"/>
          <w:szCs w:val="24"/>
        </w:rPr>
        <w:t>养殖区</w:t>
      </w:r>
      <w:r>
        <w:rPr>
          <w:rFonts w:hint="default" w:ascii="Arial" w:hAnsi="Arial" w:eastAsia="宋体" w:cs="Arial"/>
          <w:color w:val="auto"/>
          <w:kern w:val="0"/>
          <w:sz w:val="24"/>
          <w:szCs w:val="24"/>
          <w:lang w:eastAsia="zh-CN"/>
        </w:rPr>
        <w:t>（</w:t>
      </w:r>
      <w:r>
        <w:rPr>
          <w:rFonts w:hint="default" w:ascii="Arial" w:hAnsi="Arial" w:eastAsia="宋体" w:cs="Arial"/>
          <w:color w:val="auto"/>
          <w:kern w:val="0"/>
          <w:sz w:val="24"/>
          <w:szCs w:val="24"/>
        </w:rPr>
        <w:t>牛舍</w:t>
      </w:r>
      <w:r>
        <w:rPr>
          <w:rFonts w:hint="default" w:ascii="Arial" w:hAnsi="Arial" w:eastAsia="宋体" w:cs="Arial"/>
          <w:color w:val="auto"/>
          <w:kern w:val="0"/>
          <w:sz w:val="24"/>
          <w:szCs w:val="24"/>
          <w:lang w:eastAsia="zh-CN"/>
        </w:rPr>
        <w:t>、运动场）排放的尿液大部分由于当地气候干燥挥发，剩余尿液与粪便完全粘结混合在一起，一起运往堆粪场</w:t>
      </w:r>
      <w:r>
        <w:rPr>
          <w:rFonts w:hint="default" w:ascii="Arial" w:hAnsi="Arial" w:eastAsia="宋体" w:cs="Arial"/>
          <w:color w:val="auto"/>
          <w:kern w:val="0"/>
          <w:sz w:val="24"/>
          <w:szCs w:val="24"/>
        </w:rPr>
        <w:t>储存并堆肥</w:t>
      </w:r>
      <w:r>
        <w:rPr>
          <w:rFonts w:hint="default" w:ascii="Arial" w:hAnsi="Arial" w:eastAsia="宋体" w:cs="Arial"/>
          <w:color w:val="auto"/>
          <w:kern w:val="0"/>
          <w:sz w:val="24"/>
          <w:szCs w:val="24"/>
          <w:lang w:eastAsia="zh-CN"/>
        </w:rPr>
        <w:t>，因此，没有尿液排放；</w:t>
      </w:r>
      <w:r>
        <w:rPr>
          <w:rFonts w:hint="default" w:ascii="Arial" w:hAnsi="Arial" w:eastAsia="宋体" w:cs="Arial"/>
          <w:color w:val="auto"/>
          <w:kern w:val="0"/>
          <w:sz w:val="24"/>
          <w:szCs w:val="24"/>
        </w:rPr>
        <w:t>养殖区</w:t>
      </w:r>
      <w:r>
        <w:rPr>
          <w:rFonts w:hint="default" w:ascii="Arial" w:hAnsi="Arial" w:eastAsia="宋体" w:cs="Arial"/>
          <w:color w:val="auto"/>
          <w:kern w:val="0"/>
          <w:sz w:val="24"/>
          <w:szCs w:val="24"/>
          <w:lang w:eastAsia="zh-CN"/>
        </w:rPr>
        <w:t>（</w:t>
      </w:r>
      <w:r>
        <w:rPr>
          <w:rFonts w:hint="default" w:ascii="Arial" w:hAnsi="Arial" w:eastAsia="宋体" w:cs="Arial"/>
          <w:color w:val="auto"/>
          <w:kern w:val="0"/>
          <w:sz w:val="24"/>
          <w:szCs w:val="24"/>
        </w:rPr>
        <w:t>牛舍</w:t>
      </w:r>
      <w:r>
        <w:rPr>
          <w:rFonts w:hint="default" w:ascii="Arial" w:hAnsi="Arial" w:eastAsia="宋体" w:cs="Arial"/>
          <w:color w:val="auto"/>
          <w:kern w:val="0"/>
          <w:sz w:val="24"/>
          <w:szCs w:val="24"/>
          <w:lang w:eastAsia="zh-CN"/>
        </w:rPr>
        <w:t>、运动场）场地不采取水冲洗方式清理，采用生石灰或者消毒水每周喷洒消毒</w:t>
      </w:r>
      <w:r>
        <w:rPr>
          <w:rFonts w:hint="default" w:ascii="Arial" w:hAnsi="Arial" w:eastAsia="宋体" w:cs="Arial"/>
          <w:color w:val="auto"/>
          <w:kern w:val="0"/>
          <w:sz w:val="24"/>
          <w:szCs w:val="24"/>
          <w:lang w:val="en-US" w:eastAsia="zh-CN"/>
        </w:rPr>
        <w:t>2~3次</w:t>
      </w:r>
      <w:r>
        <w:rPr>
          <w:rFonts w:hint="default" w:ascii="Arial" w:hAnsi="Arial" w:eastAsia="宋体" w:cs="Arial"/>
          <w:color w:val="auto"/>
          <w:kern w:val="0"/>
          <w:sz w:val="24"/>
          <w:szCs w:val="24"/>
          <w:lang w:eastAsia="zh-CN"/>
        </w:rPr>
        <w:t>，因此，</w:t>
      </w:r>
      <w:r>
        <w:rPr>
          <w:rFonts w:hint="default" w:ascii="Arial" w:hAnsi="Arial" w:eastAsia="宋体" w:cs="Arial"/>
          <w:color w:val="auto"/>
          <w:kern w:val="0"/>
          <w:sz w:val="24"/>
          <w:szCs w:val="24"/>
        </w:rPr>
        <w:t>养殖区</w:t>
      </w:r>
      <w:r>
        <w:rPr>
          <w:rFonts w:hint="default" w:ascii="Arial" w:hAnsi="Arial" w:eastAsia="宋体" w:cs="Arial"/>
          <w:color w:val="auto"/>
          <w:kern w:val="0"/>
          <w:sz w:val="24"/>
          <w:szCs w:val="24"/>
          <w:lang w:eastAsia="zh-CN"/>
        </w:rPr>
        <w:t>（</w:t>
      </w:r>
      <w:r>
        <w:rPr>
          <w:rFonts w:hint="default" w:ascii="Arial" w:hAnsi="Arial" w:eastAsia="宋体" w:cs="Arial"/>
          <w:color w:val="auto"/>
          <w:kern w:val="0"/>
          <w:sz w:val="24"/>
          <w:szCs w:val="24"/>
        </w:rPr>
        <w:t>牛舍</w:t>
      </w:r>
      <w:r>
        <w:rPr>
          <w:rFonts w:hint="default" w:ascii="Arial" w:hAnsi="Arial" w:eastAsia="宋体" w:cs="Arial"/>
          <w:color w:val="auto"/>
          <w:kern w:val="0"/>
          <w:sz w:val="24"/>
          <w:szCs w:val="24"/>
          <w:lang w:eastAsia="zh-CN"/>
        </w:rPr>
        <w:t>、运动场）</w:t>
      </w:r>
      <w:r>
        <w:rPr>
          <w:rFonts w:hint="default" w:ascii="Arial" w:hAnsi="Arial" w:eastAsia="宋体" w:cs="Arial"/>
          <w:color w:val="auto"/>
          <w:kern w:val="0"/>
          <w:sz w:val="24"/>
          <w:szCs w:val="24"/>
        </w:rPr>
        <w:t>不产生冲洗废水</w:t>
      </w:r>
      <w:r>
        <w:rPr>
          <w:rFonts w:hint="default" w:ascii="Arial" w:hAnsi="Arial" w:eastAsia="宋体" w:cs="Arial"/>
          <w:color w:val="auto"/>
          <w:kern w:val="0"/>
          <w:sz w:val="24"/>
          <w:szCs w:val="24"/>
          <w:lang w:eastAsia="zh-CN"/>
        </w:rPr>
        <w:t>。</w:t>
      </w:r>
    </w:p>
    <w:p>
      <w:pPr>
        <w:ind w:firstLine="480"/>
        <w:rPr>
          <w:rFonts w:hint="default" w:ascii="Arial" w:hAnsi="Arial" w:eastAsia="宋体" w:cs="Arial"/>
          <w:color w:val="auto"/>
          <w:highlight w:val="none"/>
        </w:rPr>
      </w:pPr>
      <w:r>
        <w:rPr>
          <w:rFonts w:hint="default" w:ascii="Arial" w:hAnsi="Arial" w:eastAsia="宋体" w:cs="Arial"/>
          <w:color w:val="auto"/>
          <w:highlight w:val="none"/>
        </w:rPr>
        <w:t>项目生活污水</w:t>
      </w:r>
      <w:r>
        <w:rPr>
          <w:rFonts w:hint="default" w:ascii="Arial" w:hAnsi="Arial" w:eastAsia="宋体" w:cs="Arial"/>
          <w:color w:val="auto"/>
          <w:highlight w:val="none"/>
          <w:lang w:eastAsia="zh-CN"/>
        </w:rPr>
        <w:t>经化粪池暂存处理后，定期清掏</w:t>
      </w:r>
      <w:r>
        <w:rPr>
          <w:rFonts w:hint="default" w:ascii="Arial" w:hAnsi="Arial" w:eastAsia="宋体" w:cs="Arial"/>
          <w:color w:val="auto"/>
          <w:highlight w:val="none"/>
        </w:rPr>
        <w:t>，因此对区域水环境影响很小。</w:t>
      </w:r>
    </w:p>
    <w:p>
      <w:pPr>
        <w:ind w:firstLine="480"/>
        <w:rPr>
          <w:rFonts w:hint="default" w:ascii="Arial" w:hAnsi="Arial" w:eastAsia="宋体" w:cs="Arial"/>
          <w:color w:val="auto"/>
          <w:highlight w:val="none"/>
        </w:rPr>
      </w:pPr>
      <w:bookmarkStart w:id="650" w:name="_Toc494206425"/>
      <w:bookmarkStart w:id="651" w:name="_Toc487188703"/>
      <w:bookmarkStart w:id="652" w:name="_Toc371696646"/>
      <w:r>
        <w:rPr>
          <w:rFonts w:hint="default" w:ascii="Arial" w:hAnsi="Arial" w:eastAsia="宋体" w:cs="Arial"/>
          <w:color w:val="auto"/>
          <w:highlight w:val="none"/>
        </w:rPr>
        <w:t>（3）地下水环境影响评价</w:t>
      </w:r>
      <w:bookmarkEnd w:id="650"/>
      <w:bookmarkEnd w:id="651"/>
      <w:bookmarkEnd w:id="652"/>
    </w:p>
    <w:p>
      <w:pPr>
        <w:ind w:firstLine="480"/>
        <w:rPr>
          <w:rFonts w:hint="default" w:ascii="Arial" w:hAnsi="Arial" w:eastAsia="宋体" w:cs="Arial"/>
          <w:color w:val="auto"/>
          <w:highlight w:val="none"/>
        </w:rPr>
      </w:pPr>
      <w:r>
        <w:rPr>
          <w:rFonts w:hint="default" w:ascii="Arial" w:hAnsi="Arial" w:eastAsia="宋体" w:cs="Arial"/>
          <w:color w:val="auto"/>
          <w:highlight w:val="none"/>
        </w:rPr>
        <w:t>危险废物暂存间等场区重点防渗区渗透系数要求小于1.0×10</w:t>
      </w:r>
      <w:r>
        <w:rPr>
          <w:rFonts w:hint="default" w:ascii="Arial" w:hAnsi="Arial" w:eastAsia="宋体" w:cs="Arial"/>
          <w:color w:val="auto"/>
          <w:highlight w:val="none"/>
          <w:vertAlign w:val="superscript"/>
        </w:rPr>
        <w:t>-10</w:t>
      </w:r>
      <w:r>
        <w:rPr>
          <w:rFonts w:hint="default" w:ascii="Arial" w:hAnsi="Arial" w:eastAsia="宋体" w:cs="Arial"/>
          <w:color w:val="auto"/>
          <w:highlight w:val="none"/>
        </w:rPr>
        <w:t>cm/s；</w:t>
      </w:r>
      <w:r>
        <w:rPr>
          <w:rFonts w:hint="default" w:ascii="Arial" w:hAnsi="Arial" w:eastAsia="宋体" w:cs="Arial"/>
          <w:color w:val="auto"/>
          <w:highlight w:val="none"/>
          <w:lang w:eastAsia="zh-CN"/>
        </w:rPr>
        <w:t>堆肥场</w:t>
      </w:r>
      <w:r>
        <w:rPr>
          <w:rFonts w:hint="default" w:ascii="Arial" w:hAnsi="Arial" w:eastAsia="宋体" w:cs="Arial"/>
          <w:color w:val="auto"/>
          <w:highlight w:val="none"/>
        </w:rPr>
        <w:t>底部</w:t>
      </w:r>
      <w:r>
        <w:rPr>
          <w:rFonts w:hint="default" w:ascii="Arial" w:hAnsi="Arial" w:eastAsia="宋体" w:cs="Arial"/>
          <w:color w:val="auto"/>
          <w:highlight w:val="none"/>
          <w:lang w:eastAsia="zh-CN"/>
        </w:rPr>
        <w:t>、化粪池</w:t>
      </w:r>
      <w:r>
        <w:rPr>
          <w:rFonts w:hint="default" w:ascii="Arial" w:hAnsi="Arial" w:eastAsia="宋体" w:cs="Arial"/>
          <w:color w:val="auto"/>
          <w:highlight w:val="none"/>
        </w:rPr>
        <w:t>等一般防渗区渗透系数要求小于1.0×10</w:t>
      </w:r>
      <w:r>
        <w:rPr>
          <w:rFonts w:hint="default" w:ascii="Arial" w:hAnsi="Arial" w:eastAsia="宋体" w:cs="Arial"/>
          <w:color w:val="auto"/>
          <w:highlight w:val="none"/>
          <w:vertAlign w:val="superscript"/>
        </w:rPr>
        <w:t>-7</w:t>
      </w:r>
      <w:r>
        <w:rPr>
          <w:rFonts w:hint="default" w:ascii="Arial" w:hAnsi="Arial" w:eastAsia="宋体" w:cs="Arial"/>
          <w:color w:val="auto"/>
          <w:highlight w:val="none"/>
        </w:rPr>
        <w:t>cm/s</w:t>
      </w:r>
      <w:r>
        <w:rPr>
          <w:rFonts w:hint="default" w:ascii="Arial" w:hAnsi="Arial" w:eastAsia="宋体" w:cs="Arial"/>
          <w:color w:val="auto"/>
          <w:highlight w:val="none"/>
          <w:lang w:eastAsia="zh-CN"/>
        </w:rPr>
        <w:t>；</w:t>
      </w:r>
      <w:r>
        <w:rPr>
          <w:rFonts w:hint="default" w:ascii="Arial" w:hAnsi="Arial" w:eastAsia="宋体" w:cs="Arial"/>
          <w:color w:val="auto"/>
          <w:highlight w:val="none"/>
        </w:rPr>
        <w:t>对于饲草料库</w:t>
      </w:r>
      <w:r>
        <w:rPr>
          <w:rFonts w:hint="default" w:ascii="Arial" w:hAnsi="Arial" w:eastAsia="宋体" w:cs="Arial"/>
          <w:color w:val="auto"/>
          <w:highlight w:val="none"/>
          <w:lang w:eastAsia="zh-CN"/>
        </w:rPr>
        <w:t>、</w:t>
      </w:r>
      <w:r>
        <w:rPr>
          <w:rFonts w:hint="default" w:ascii="Arial" w:hAnsi="Arial" w:eastAsia="宋体" w:cs="Arial"/>
          <w:color w:val="auto"/>
          <w:highlight w:val="none"/>
        </w:rPr>
        <w:t>消毒室、</w:t>
      </w:r>
      <w:r>
        <w:rPr>
          <w:rFonts w:hint="default" w:ascii="Arial" w:hAnsi="Arial" w:eastAsia="宋体" w:cs="Arial"/>
          <w:color w:val="auto"/>
          <w:highlight w:val="none"/>
          <w:lang w:eastAsia="zh-CN"/>
        </w:rPr>
        <w:t>青贮池</w:t>
      </w:r>
      <w:r>
        <w:rPr>
          <w:rFonts w:hint="default" w:ascii="Arial" w:hAnsi="Arial" w:eastAsia="宋体" w:cs="Arial"/>
          <w:color w:val="auto"/>
          <w:highlight w:val="none"/>
        </w:rPr>
        <w:t>、场区道路、牛舍饲料通道、运输道路单元等生产区，铺设防渗混凝土地面进行防渗。经防渗措施处理后该项目不会对附近地下水造成不良影响。</w:t>
      </w:r>
    </w:p>
    <w:p>
      <w:pPr>
        <w:ind w:firstLine="480"/>
        <w:rPr>
          <w:rFonts w:hint="default" w:ascii="Arial" w:hAnsi="Arial" w:eastAsia="宋体" w:cs="Arial"/>
          <w:color w:val="auto"/>
          <w:highlight w:val="none"/>
        </w:rPr>
      </w:pPr>
      <w:r>
        <w:rPr>
          <w:rFonts w:hint="default" w:ascii="Arial" w:hAnsi="Arial" w:eastAsia="宋体" w:cs="Arial"/>
          <w:color w:val="auto"/>
          <w:highlight w:val="none"/>
        </w:rPr>
        <w:t>综上所述，项目在采用相应的措施后，对区域地下水产生的影响较小。</w:t>
      </w:r>
    </w:p>
    <w:p>
      <w:pPr>
        <w:ind w:firstLine="480"/>
        <w:rPr>
          <w:rFonts w:hint="default" w:ascii="Arial" w:hAnsi="Arial" w:eastAsia="宋体" w:cs="Arial"/>
          <w:color w:val="auto"/>
          <w:highlight w:val="none"/>
        </w:rPr>
      </w:pPr>
      <w:bookmarkStart w:id="653" w:name="_Toc371696647"/>
      <w:bookmarkStart w:id="654" w:name="_Toc494206426"/>
      <w:bookmarkStart w:id="655" w:name="_Toc487188704"/>
      <w:r>
        <w:rPr>
          <w:rFonts w:hint="default" w:ascii="Arial" w:hAnsi="Arial" w:eastAsia="宋体" w:cs="Arial"/>
          <w:color w:val="auto"/>
          <w:highlight w:val="none"/>
        </w:rPr>
        <w:t>（4）声环境影响评价</w:t>
      </w:r>
      <w:bookmarkEnd w:id="653"/>
      <w:bookmarkEnd w:id="654"/>
      <w:bookmarkEnd w:id="655"/>
    </w:p>
    <w:p>
      <w:pPr>
        <w:ind w:firstLine="480"/>
        <w:rPr>
          <w:rFonts w:hint="default" w:ascii="Arial" w:hAnsi="Arial" w:eastAsia="宋体" w:cs="Arial"/>
          <w:color w:val="auto"/>
          <w:highlight w:val="none"/>
        </w:rPr>
      </w:pPr>
      <w:r>
        <w:rPr>
          <w:rFonts w:hint="default" w:ascii="Arial" w:hAnsi="Arial" w:eastAsia="宋体" w:cs="Arial"/>
          <w:color w:val="auto"/>
          <w:highlight w:val="none"/>
        </w:rPr>
        <w:t>采取措施后，本项目厂界噪声昼夜间均可满足《工业企业厂界环境噪声排放标准》（GB12348-2008）对应的2类区标准限值，</w:t>
      </w:r>
      <w:r>
        <w:rPr>
          <w:rFonts w:hint="default" w:ascii="Arial" w:hAnsi="Arial" w:eastAsia="宋体" w:cs="Arial"/>
          <w:color w:val="auto"/>
          <w:highlight w:val="none"/>
          <w:lang w:eastAsia="zh-CN"/>
        </w:rPr>
        <w:t>对周围</w:t>
      </w:r>
      <w:r>
        <w:rPr>
          <w:rFonts w:hint="default" w:ascii="Arial" w:hAnsi="Arial" w:eastAsia="宋体" w:cs="Arial"/>
          <w:color w:val="auto"/>
          <w:highlight w:val="none"/>
        </w:rPr>
        <w:t>声环境影响</w:t>
      </w:r>
      <w:r>
        <w:rPr>
          <w:rFonts w:hint="default" w:ascii="Arial" w:hAnsi="Arial" w:eastAsia="宋体" w:cs="Arial"/>
          <w:color w:val="auto"/>
          <w:highlight w:val="none"/>
          <w:lang w:eastAsia="zh-CN"/>
        </w:rPr>
        <w:t>较小</w:t>
      </w:r>
      <w:r>
        <w:rPr>
          <w:rFonts w:hint="default" w:ascii="Arial" w:hAnsi="Arial" w:eastAsia="宋体" w:cs="Arial"/>
          <w:color w:val="auto"/>
          <w:highlight w:val="none"/>
        </w:rPr>
        <w:t>。</w:t>
      </w:r>
    </w:p>
    <w:p>
      <w:pPr>
        <w:ind w:firstLine="480"/>
        <w:rPr>
          <w:rFonts w:hint="default" w:ascii="Arial" w:hAnsi="Arial" w:eastAsia="宋体" w:cs="Arial"/>
          <w:color w:val="auto"/>
          <w:highlight w:val="none"/>
        </w:rPr>
      </w:pPr>
      <w:bookmarkStart w:id="656" w:name="_Toc494206427"/>
      <w:bookmarkStart w:id="657" w:name="_Toc487188705"/>
      <w:r>
        <w:rPr>
          <w:rFonts w:hint="default" w:ascii="Arial" w:hAnsi="Arial" w:eastAsia="宋体" w:cs="Arial"/>
          <w:color w:val="auto"/>
          <w:highlight w:val="none"/>
        </w:rPr>
        <w:t>（5）固体废物影响评价</w:t>
      </w:r>
      <w:bookmarkEnd w:id="656"/>
      <w:bookmarkEnd w:id="657"/>
    </w:p>
    <w:p>
      <w:pPr>
        <w:ind w:firstLine="480"/>
        <w:rPr>
          <w:rFonts w:hint="default" w:ascii="Arial" w:hAnsi="Arial" w:eastAsia="宋体" w:cs="Arial"/>
          <w:color w:val="auto"/>
          <w:highlight w:val="none"/>
        </w:rPr>
      </w:pPr>
      <w:r>
        <w:rPr>
          <w:rFonts w:hint="default" w:ascii="Arial" w:hAnsi="Arial" w:eastAsia="宋体" w:cs="Arial"/>
          <w:color w:val="auto"/>
          <w:highlight w:val="none"/>
        </w:rPr>
        <w:t>项目产生的养殖过程由于疾病等原因产生的</w:t>
      </w:r>
      <w:r>
        <w:rPr>
          <w:rFonts w:hint="default" w:ascii="Arial" w:hAnsi="Arial" w:eastAsia="宋体" w:cs="Arial"/>
          <w:color w:val="auto"/>
          <w:highlight w:val="none"/>
          <w:lang w:eastAsia="zh-CN"/>
        </w:rPr>
        <w:t>病死牛</w:t>
      </w:r>
      <w:r>
        <w:rPr>
          <w:rFonts w:hint="default" w:ascii="Arial" w:hAnsi="Arial" w:eastAsia="宋体" w:cs="Arial"/>
          <w:color w:val="auto"/>
          <w:highlight w:val="none"/>
        </w:rPr>
        <w:t>等应按照当地兽医局的相关文件规定处理，交由巴彦淖尔市绿之源生物技术发展有限公司进行无害化处理；运营过程产生的医疗废弃物，暂存</w:t>
      </w:r>
      <w:r>
        <w:rPr>
          <w:rFonts w:hint="default" w:ascii="Arial" w:hAnsi="Arial" w:eastAsia="宋体" w:cs="Arial"/>
          <w:color w:val="auto"/>
          <w:highlight w:val="none"/>
          <w:lang w:eastAsia="zh-CN"/>
        </w:rPr>
        <w:t>于危废暂存间定期</w:t>
      </w:r>
      <w:r>
        <w:rPr>
          <w:rFonts w:hint="default" w:ascii="Arial" w:hAnsi="Arial" w:eastAsia="宋体" w:cs="Arial"/>
          <w:color w:val="auto"/>
          <w:highlight w:val="none"/>
        </w:rPr>
        <w:t>交由有资质单位处理；</w:t>
      </w:r>
      <w:r>
        <w:rPr>
          <w:rFonts w:hint="default" w:ascii="Arial" w:hAnsi="Arial" w:eastAsia="宋体" w:cs="Arial"/>
          <w:color w:val="auto"/>
          <w:highlight w:val="none"/>
          <w:lang w:eastAsia="zh-CN"/>
        </w:rPr>
        <w:t>牛粪便</w:t>
      </w:r>
      <w:r>
        <w:rPr>
          <w:rFonts w:hint="default" w:ascii="Arial" w:hAnsi="Arial" w:eastAsia="宋体" w:cs="Arial"/>
          <w:color w:val="auto"/>
          <w:highlight w:val="none"/>
        </w:rPr>
        <w:t>采取干清粪工艺清运至</w:t>
      </w:r>
      <w:r>
        <w:rPr>
          <w:rFonts w:hint="default" w:ascii="Arial" w:hAnsi="Arial" w:eastAsia="宋体" w:cs="Arial"/>
          <w:color w:val="auto"/>
          <w:highlight w:val="none"/>
          <w:lang w:eastAsia="zh-CN"/>
        </w:rPr>
        <w:t>堆肥场</w:t>
      </w:r>
      <w:r>
        <w:rPr>
          <w:rFonts w:hint="default" w:ascii="Arial" w:hAnsi="Arial" w:eastAsia="宋体" w:cs="Arial"/>
          <w:color w:val="auto"/>
          <w:highlight w:val="none"/>
        </w:rPr>
        <w:t>，堆肥后最终作为有机肥进行资源化利用；生活垃圾</w:t>
      </w:r>
      <w:r>
        <w:rPr>
          <w:rFonts w:hint="default" w:ascii="Arial" w:hAnsi="Arial" w:eastAsia="宋体" w:cs="Arial"/>
          <w:color w:val="auto"/>
          <w:highlight w:val="none"/>
          <w:lang w:bidi="zh-CN"/>
        </w:rPr>
        <w:t>清运到环卫部门指定的地点集中处理</w:t>
      </w:r>
      <w:r>
        <w:rPr>
          <w:rFonts w:hint="default" w:ascii="Arial" w:hAnsi="Arial" w:eastAsia="宋体" w:cs="Arial"/>
          <w:color w:val="auto"/>
          <w:highlight w:val="none"/>
        </w:rPr>
        <w:t>。</w:t>
      </w:r>
    </w:p>
    <w:p>
      <w:pPr>
        <w:ind w:firstLine="480"/>
        <w:rPr>
          <w:rFonts w:hint="default" w:ascii="Arial" w:hAnsi="Arial" w:eastAsia="宋体" w:cs="Arial"/>
          <w:color w:val="auto"/>
          <w:highlight w:val="none"/>
        </w:rPr>
      </w:pPr>
      <w:r>
        <w:rPr>
          <w:rFonts w:hint="default" w:ascii="Arial" w:hAnsi="Arial" w:eastAsia="宋体" w:cs="Arial"/>
          <w:color w:val="auto"/>
          <w:highlight w:val="none"/>
        </w:rPr>
        <w:t>本项目根据固体废物的不同性质采取了不同的处理措施，能利用的废物均被有效利用，不能利用的固废也均能得到妥善处置，因此本项目固体废物处置合理，基本不会对周围环境产生影响。</w:t>
      </w:r>
    </w:p>
    <w:p>
      <w:pPr>
        <w:pStyle w:val="5"/>
        <w:rPr>
          <w:rFonts w:hint="default" w:ascii="Arial" w:hAnsi="Arial" w:eastAsia="宋体" w:cs="Arial"/>
          <w:color w:val="auto"/>
          <w:highlight w:val="none"/>
        </w:rPr>
      </w:pPr>
      <w:bookmarkStart w:id="658" w:name="_Toc1073"/>
      <w:r>
        <w:rPr>
          <w:rFonts w:hint="default" w:ascii="Arial" w:hAnsi="Arial" w:eastAsia="宋体" w:cs="Arial"/>
          <w:color w:val="auto"/>
          <w:highlight w:val="none"/>
        </w:rPr>
        <w:t>10.5污染防治措施</w:t>
      </w:r>
      <w:bookmarkEnd w:id="643"/>
      <w:bookmarkEnd w:id="644"/>
      <w:bookmarkEnd w:id="645"/>
      <w:bookmarkEnd w:id="646"/>
      <w:bookmarkEnd w:id="658"/>
    </w:p>
    <w:p>
      <w:pPr>
        <w:ind w:firstLine="480"/>
        <w:rPr>
          <w:rFonts w:hint="default" w:ascii="Arial" w:hAnsi="Arial" w:eastAsia="宋体" w:cs="Arial"/>
          <w:color w:val="auto"/>
          <w:highlight w:val="none"/>
        </w:rPr>
      </w:pPr>
      <w:bookmarkStart w:id="659" w:name="_Toc487188708"/>
      <w:bookmarkStart w:id="660" w:name="_Toc371696649"/>
      <w:bookmarkStart w:id="661" w:name="_Toc494206430"/>
      <w:bookmarkStart w:id="662" w:name="_Toc523322419"/>
      <w:r>
        <w:rPr>
          <w:rFonts w:hint="default" w:ascii="Arial" w:hAnsi="Arial" w:eastAsia="宋体" w:cs="Arial"/>
          <w:color w:val="auto"/>
          <w:highlight w:val="none"/>
        </w:rPr>
        <w:t>（1）大气污染防治措施</w:t>
      </w:r>
    </w:p>
    <w:p>
      <w:pPr>
        <w:ind w:firstLine="480"/>
        <w:rPr>
          <w:rFonts w:hint="default" w:ascii="Arial" w:hAnsi="Arial" w:eastAsia="宋体" w:cs="Arial"/>
          <w:color w:val="auto"/>
          <w:highlight w:val="none"/>
        </w:rPr>
      </w:pPr>
      <w:r>
        <w:rPr>
          <w:rFonts w:hint="default" w:ascii="Arial" w:hAnsi="Arial" w:eastAsia="宋体" w:cs="Arial"/>
          <w:color w:val="auto"/>
          <w:highlight w:val="none"/>
        </w:rPr>
        <w:t>本项目对养殖过程产生的无组织恶臭采用科学喂养、通风换气、粪污日产日清、控制圈养密度、饲料添加EM剂益生菌等治理措施；并对厂区进行绿化，使企业厂界无组织</w:t>
      </w:r>
      <w:r>
        <w:rPr>
          <w:rFonts w:hint="default" w:ascii="Arial" w:hAnsi="Arial" w:eastAsia="宋体" w:cs="Arial"/>
          <w:color w:val="auto"/>
          <w:highlight w:val="none"/>
          <w:lang w:eastAsia="zh-CN"/>
        </w:rPr>
        <w:t>硫化氢和氨气</w:t>
      </w:r>
      <w:r>
        <w:rPr>
          <w:rFonts w:hint="default" w:ascii="Arial" w:hAnsi="Arial" w:eastAsia="宋体" w:cs="Arial"/>
          <w:color w:val="auto"/>
          <w:highlight w:val="none"/>
        </w:rPr>
        <w:t>排放满足《恶臭污染物排放标准》（GB14554-93）厂界二级标准</w:t>
      </w:r>
      <w:r>
        <w:rPr>
          <w:rFonts w:hint="default" w:ascii="Arial" w:hAnsi="Arial" w:eastAsia="宋体" w:cs="Arial"/>
          <w:color w:val="auto"/>
          <w:highlight w:val="none"/>
          <w:lang w:eastAsia="zh-CN"/>
        </w:rPr>
        <w:t>、臭气浓度排放满足</w:t>
      </w:r>
      <w:r>
        <w:rPr>
          <w:rFonts w:hint="default" w:ascii="Arial" w:hAnsi="Arial" w:eastAsia="宋体" w:cs="Arial"/>
          <w:color w:val="auto"/>
          <w:highlight w:val="none"/>
        </w:rPr>
        <w:t>《畜禽养殖业污染物排放标准》（GB18596-2001）中臭气浓度的限值要求。</w:t>
      </w:r>
    </w:p>
    <w:p>
      <w:pPr>
        <w:ind w:firstLine="480"/>
        <w:rPr>
          <w:rFonts w:hint="default" w:ascii="Arial" w:hAnsi="Arial" w:eastAsia="宋体" w:cs="Arial"/>
          <w:color w:val="auto"/>
          <w:highlight w:val="none"/>
        </w:rPr>
      </w:pPr>
      <w:r>
        <w:rPr>
          <w:rFonts w:hint="default" w:ascii="Arial" w:hAnsi="Arial" w:eastAsia="宋体" w:cs="Arial"/>
          <w:color w:val="auto"/>
          <w:highlight w:val="none"/>
        </w:rPr>
        <w:t>（2）</w:t>
      </w:r>
      <w:r>
        <w:rPr>
          <w:rFonts w:hint="default" w:ascii="Arial" w:hAnsi="Arial" w:eastAsia="宋体" w:cs="Arial"/>
          <w:color w:val="auto"/>
          <w:highlight w:val="none"/>
          <w:lang w:eastAsia="zh-CN"/>
        </w:rPr>
        <w:t>废</w:t>
      </w:r>
      <w:r>
        <w:rPr>
          <w:rFonts w:hint="default" w:ascii="Arial" w:hAnsi="Arial" w:eastAsia="宋体" w:cs="Arial"/>
          <w:color w:val="auto"/>
          <w:highlight w:val="none"/>
        </w:rPr>
        <w:t>水污染防治措施</w:t>
      </w:r>
    </w:p>
    <w:p>
      <w:pPr>
        <w:ind w:firstLine="480"/>
        <w:rPr>
          <w:rFonts w:hint="default" w:ascii="Arial" w:hAnsi="Arial" w:eastAsia="宋体" w:cs="Arial"/>
          <w:color w:val="auto"/>
          <w:highlight w:val="none"/>
        </w:rPr>
      </w:pPr>
      <w:r>
        <w:rPr>
          <w:rFonts w:hint="default" w:ascii="Arial" w:hAnsi="Arial" w:eastAsia="宋体" w:cs="Arial"/>
          <w:color w:val="auto"/>
          <w:highlight w:val="none"/>
        </w:rPr>
        <w:t>场区严格实行雨污分流制度</w:t>
      </w:r>
      <w:r>
        <w:rPr>
          <w:rFonts w:hint="default" w:ascii="Arial" w:hAnsi="Arial" w:eastAsia="宋体" w:cs="Arial"/>
          <w:color w:val="auto"/>
          <w:highlight w:val="none"/>
          <w:lang w:eastAsia="zh-CN"/>
        </w:rPr>
        <w:t>。</w:t>
      </w:r>
      <w:r>
        <w:rPr>
          <w:rFonts w:hint="default" w:ascii="Arial" w:hAnsi="Arial" w:eastAsia="宋体" w:cs="Arial"/>
          <w:color w:val="auto"/>
          <w:highlight w:val="none"/>
        </w:rPr>
        <w:t>项目设置严格的分区防渗措施并在场地</w:t>
      </w:r>
      <w:r>
        <w:rPr>
          <w:rFonts w:hint="default" w:ascii="Arial" w:hAnsi="Arial" w:eastAsia="宋体" w:cs="Arial"/>
          <w:color w:val="auto"/>
          <w:highlight w:val="none"/>
          <w:lang w:eastAsia="zh-CN"/>
        </w:rPr>
        <w:t>内</w:t>
      </w:r>
      <w:r>
        <w:rPr>
          <w:rFonts w:hint="default" w:ascii="Arial" w:hAnsi="Arial" w:eastAsia="宋体" w:cs="Arial"/>
          <w:color w:val="auto"/>
          <w:highlight w:val="none"/>
        </w:rPr>
        <w:t>设置1眼地下水监控井，综上项目水污染防治措施是可行的。</w:t>
      </w:r>
    </w:p>
    <w:p>
      <w:pPr>
        <w:ind w:firstLine="480"/>
        <w:rPr>
          <w:rFonts w:hint="default" w:ascii="Arial" w:hAnsi="Arial" w:eastAsia="宋体" w:cs="Arial"/>
          <w:color w:val="auto"/>
          <w:highlight w:val="none"/>
        </w:rPr>
      </w:pPr>
      <w:r>
        <w:rPr>
          <w:rFonts w:hint="default" w:ascii="Arial" w:hAnsi="Arial" w:eastAsia="宋体" w:cs="Arial"/>
          <w:color w:val="auto"/>
          <w:highlight w:val="none"/>
        </w:rPr>
        <w:t>（3）噪声污染防治措施</w:t>
      </w:r>
    </w:p>
    <w:p>
      <w:pPr>
        <w:ind w:firstLine="480"/>
        <w:rPr>
          <w:rFonts w:hint="default" w:ascii="Arial" w:hAnsi="Arial" w:eastAsia="宋体" w:cs="Arial"/>
          <w:color w:val="auto"/>
          <w:highlight w:val="none"/>
        </w:rPr>
      </w:pPr>
      <w:r>
        <w:rPr>
          <w:rFonts w:hint="default" w:ascii="Arial" w:hAnsi="Arial" w:eastAsia="宋体" w:cs="Arial"/>
          <w:color w:val="auto"/>
          <w:highlight w:val="none"/>
        </w:rPr>
        <w:t>主要通过合理布局、优先选择低噪声设备，将设备置于室内，并进行基础减振，尽可能满足牛群饮食需要，避免因饥饿或口渴而发出叫声。对于水泵，在水泵底部安装减震垫、使用软性接头，设置于独立的泵房内；将噪声大的噪声源远离厂界和敏感点，通过距离衰减降噪。同时可在牛场周围种植高大树木，起到吸声降噪的效果。</w:t>
      </w:r>
    </w:p>
    <w:p>
      <w:pPr>
        <w:ind w:firstLine="480"/>
        <w:rPr>
          <w:rFonts w:hint="default" w:ascii="Arial" w:hAnsi="Arial" w:eastAsia="宋体" w:cs="Arial"/>
          <w:color w:val="auto"/>
          <w:highlight w:val="none"/>
        </w:rPr>
      </w:pPr>
      <w:r>
        <w:rPr>
          <w:rFonts w:hint="default" w:ascii="Arial" w:hAnsi="Arial" w:eastAsia="宋体" w:cs="Arial"/>
          <w:color w:val="auto"/>
          <w:highlight w:val="none"/>
        </w:rPr>
        <w:t>（4）固体废物污染防治措施</w:t>
      </w:r>
    </w:p>
    <w:bookmarkEnd w:id="659"/>
    <w:bookmarkEnd w:id="660"/>
    <w:bookmarkEnd w:id="661"/>
    <w:p>
      <w:pPr>
        <w:ind w:firstLine="480"/>
        <w:rPr>
          <w:rFonts w:hint="default" w:ascii="Arial" w:hAnsi="Arial" w:eastAsia="宋体" w:cs="Arial"/>
          <w:color w:val="auto"/>
          <w:highlight w:val="none"/>
        </w:rPr>
      </w:pPr>
      <w:r>
        <w:rPr>
          <w:rFonts w:hint="default" w:ascii="Arial" w:hAnsi="Arial" w:eastAsia="宋体" w:cs="Arial"/>
          <w:color w:val="auto"/>
          <w:highlight w:val="none"/>
        </w:rPr>
        <w:t>固废按照“无害化、资源化、减量化”原则实行管理，</w:t>
      </w:r>
      <w:r>
        <w:rPr>
          <w:rFonts w:hint="default" w:ascii="Arial" w:hAnsi="Arial" w:eastAsia="宋体" w:cs="Arial"/>
          <w:color w:val="auto"/>
          <w:highlight w:val="none"/>
          <w:lang w:eastAsia="zh-CN"/>
        </w:rPr>
        <w:t>牛粪便</w:t>
      </w:r>
      <w:r>
        <w:rPr>
          <w:rFonts w:hint="default" w:ascii="Arial" w:hAnsi="Arial" w:eastAsia="宋体" w:cs="Arial"/>
          <w:color w:val="auto"/>
          <w:highlight w:val="none"/>
        </w:rPr>
        <w:t>经好氧堆肥后用于农肥；</w:t>
      </w:r>
      <w:r>
        <w:rPr>
          <w:rFonts w:hint="default" w:ascii="Arial" w:hAnsi="Arial" w:eastAsia="宋体" w:cs="Arial"/>
          <w:color w:val="auto"/>
          <w:highlight w:val="none"/>
          <w:lang w:eastAsia="zh-CN"/>
        </w:rPr>
        <w:t>病死牛</w:t>
      </w:r>
      <w:r>
        <w:rPr>
          <w:rFonts w:hint="default" w:ascii="Arial" w:hAnsi="Arial" w:eastAsia="宋体" w:cs="Arial"/>
          <w:color w:val="auto"/>
          <w:highlight w:val="none"/>
        </w:rPr>
        <w:t>交第三方按照规范进行处理；危险废物委托有资质单位进行处理。本项目根据固体废物的性质采取了不同的处理措施，能利用的废物均被有效利用，不能利用的固废也均能得到妥善处置，不会产生二次污染。</w:t>
      </w:r>
    </w:p>
    <w:p>
      <w:pPr>
        <w:pStyle w:val="5"/>
        <w:rPr>
          <w:rFonts w:hint="default" w:ascii="Arial" w:hAnsi="Arial" w:eastAsia="宋体" w:cs="Arial"/>
          <w:color w:val="auto"/>
          <w:highlight w:val="none"/>
        </w:rPr>
      </w:pPr>
      <w:bookmarkStart w:id="663" w:name="_Toc9295"/>
      <w:r>
        <w:rPr>
          <w:rFonts w:hint="default" w:ascii="Arial" w:hAnsi="Arial" w:eastAsia="宋体" w:cs="Arial"/>
          <w:color w:val="auto"/>
          <w:highlight w:val="none"/>
        </w:rPr>
        <w:t>10.6总量控制指标</w:t>
      </w:r>
      <w:bookmarkEnd w:id="662"/>
      <w:bookmarkEnd w:id="663"/>
    </w:p>
    <w:p>
      <w:pPr>
        <w:overflowPunct w:val="0"/>
        <w:autoSpaceDE/>
        <w:ind w:firstLine="480"/>
        <w:rPr>
          <w:rFonts w:hint="default" w:ascii="Arial" w:hAnsi="Arial" w:eastAsia="宋体" w:cs="Arial"/>
          <w:color w:val="auto"/>
          <w:szCs w:val="20"/>
          <w:highlight w:val="none"/>
        </w:rPr>
      </w:pPr>
      <w:bookmarkStart w:id="664" w:name="_Toc523322420"/>
      <w:r>
        <w:rPr>
          <w:rFonts w:hint="default" w:ascii="Arial" w:hAnsi="Arial" w:eastAsia="宋体" w:cs="Arial"/>
          <w:color w:val="auto"/>
          <w:szCs w:val="20"/>
          <w:highlight w:val="none"/>
          <w:lang w:eastAsia="zh-CN"/>
        </w:rPr>
        <w:t>无</w:t>
      </w:r>
      <w:r>
        <w:rPr>
          <w:rFonts w:hint="default" w:ascii="Arial" w:hAnsi="Arial" w:eastAsia="宋体" w:cs="Arial"/>
          <w:color w:val="auto"/>
          <w:szCs w:val="20"/>
          <w:highlight w:val="none"/>
        </w:rPr>
        <w:t>。</w:t>
      </w:r>
    </w:p>
    <w:p>
      <w:pPr>
        <w:pStyle w:val="5"/>
        <w:rPr>
          <w:rFonts w:hint="default" w:ascii="Arial" w:hAnsi="Arial" w:eastAsia="宋体" w:cs="Arial"/>
          <w:color w:val="auto"/>
          <w:highlight w:val="none"/>
        </w:rPr>
      </w:pPr>
      <w:bookmarkStart w:id="665" w:name="_Toc6016"/>
      <w:r>
        <w:rPr>
          <w:rFonts w:hint="default" w:ascii="Arial" w:hAnsi="Arial" w:eastAsia="宋体" w:cs="Arial"/>
          <w:color w:val="auto"/>
          <w:highlight w:val="none"/>
        </w:rPr>
        <w:t>10.7环境影响经济损益分析</w:t>
      </w:r>
      <w:bookmarkEnd w:id="664"/>
      <w:bookmarkEnd w:id="665"/>
    </w:p>
    <w:p>
      <w:pPr>
        <w:ind w:firstLine="480"/>
        <w:rPr>
          <w:rFonts w:hint="default" w:ascii="Arial" w:hAnsi="Arial" w:eastAsia="宋体" w:cs="Arial"/>
          <w:color w:val="auto"/>
          <w:highlight w:val="none"/>
        </w:rPr>
      </w:pPr>
      <w:r>
        <w:rPr>
          <w:rFonts w:hint="default" w:ascii="Arial" w:hAnsi="Arial" w:eastAsia="宋体" w:cs="Arial"/>
          <w:color w:val="auto"/>
          <w:highlight w:val="none"/>
        </w:rPr>
        <w:t>本项目总投资</w:t>
      </w:r>
      <w:r>
        <w:rPr>
          <w:rFonts w:hint="default" w:ascii="Arial" w:hAnsi="Arial" w:eastAsia="宋体" w:cs="Arial"/>
          <w:color w:val="auto"/>
          <w:highlight w:val="none"/>
          <w:lang w:val="en-US" w:eastAsia="zh-CN"/>
        </w:rPr>
        <w:t>5000万元</w:t>
      </w:r>
      <w:r>
        <w:rPr>
          <w:rFonts w:hint="default" w:ascii="Arial" w:hAnsi="Arial" w:eastAsia="宋体" w:cs="Arial"/>
          <w:color w:val="auto"/>
          <w:highlight w:val="none"/>
        </w:rPr>
        <w:t>，环保投资193.1万元，占总投资比例为3.86%。项目建设具有良好的经济效益和社会效益，但对环境的损害是存在的。建设单位要加强污染防治的投资与环境管理，把污染控制在最低限度，保证项目经济效益、社会效益和环境效益的同步发展。</w:t>
      </w:r>
    </w:p>
    <w:p>
      <w:pPr>
        <w:pStyle w:val="5"/>
        <w:rPr>
          <w:rFonts w:hint="default" w:ascii="Arial" w:hAnsi="Arial" w:eastAsia="宋体" w:cs="Arial"/>
          <w:color w:val="auto"/>
          <w:highlight w:val="none"/>
        </w:rPr>
      </w:pPr>
      <w:bookmarkStart w:id="666" w:name="_Toc523322422"/>
      <w:bookmarkStart w:id="667" w:name="_Toc3391"/>
      <w:r>
        <w:rPr>
          <w:rFonts w:hint="default" w:ascii="Arial" w:hAnsi="Arial" w:eastAsia="宋体" w:cs="Arial"/>
          <w:color w:val="auto"/>
          <w:highlight w:val="none"/>
        </w:rPr>
        <w:t>10.8环境管理和监测计划</w:t>
      </w:r>
      <w:bookmarkEnd w:id="666"/>
      <w:bookmarkEnd w:id="667"/>
    </w:p>
    <w:p>
      <w:pPr>
        <w:ind w:firstLine="480"/>
        <w:rPr>
          <w:rFonts w:hint="default" w:ascii="Arial" w:hAnsi="Arial" w:eastAsia="宋体" w:cs="Arial"/>
          <w:color w:val="auto"/>
          <w:highlight w:val="none"/>
        </w:rPr>
      </w:pPr>
      <w:r>
        <w:rPr>
          <w:rFonts w:hint="default" w:ascii="Arial" w:hAnsi="Arial" w:eastAsia="宋体" w:cs="Arial"/>
          <w:color w:val="auto"/>
          <w:highlight w:val="none"/>
        </w:rPr>
        <w:t>企业应配置环保管理机构、监测人员等。按环境影响报告书的要求严格落实环保要求，明确职责，专人管理，切实搞好环境管理和监测、验收工作，保证环保设施的正常运行，规范各排污口。</w:t>
      </w:r>
    </w:p>
    <w:p>
      <w:pPr>
        <w:pStyle w:val="5"/>
        <w:rPr>
          <w:rFonts w:hint="default" w:ascii="Arial" w:hAnsi="Arial" w:eastAsia="宋体" w:cs="Arial"/>
          <w:color w:val="auto"/>
          <w:highlight w:val="none"/>
        </w:rPr>
      </w:pPr>
      <w:bookmarkStart w:id="668" w:name="_Toc8250"/>
      <w:r>
        <w:rPr>
          <w:rFonts w:hint="default" w:ascii="Arial" w:hAnsi="Arial" w:eastAsia="宋体" w:cs="Arial"/>
          <w:color w:val="auto"/>
          <w:highlight w:val="none"/>
        </w:rPr>
        <w:t>10.9公众参与情况</w:t>
      </w:r>
      <w:bookmarkEnd w:id="668"/>
    </w:p>
    <w:p>
      <w:pPr>
        <w:ind w:firstLine="480"/>
        <w:rPr>
          <w:rFonts w:hint="default" w:ascii="Arial" w:hAnsi="Arial" w:eastAsia="宋体" w:cs="Arial"/>
          <w:color w:val="auto"/>
          <w:highlight w:val="none"/>
        </w:rPr>
      </w:pPr>
      <w:bookmarkStart w:id="669" w:name="_Toc494206436"/>
      <w:bookmarkStart w:id="670" w:name="_Toc523322423"/>
      <w:bookmarkStart w:id="671" w:name="_Toc487188715"/>
      <w:bookmarkStart w:id="672" w:name="_Toc371696657"/>
      <w:r>
        <w:rPr>
          <w:rFonts w:hint="default" w:ascii="Arial" w:hAnsi="Arial" w:eastAsia="宋体" w:cs="Arial"/>
          <w:color w:val="auto"/>
          <w:highlight w:val="none"/>
        </w:rPr>
        <w:t>建设单位按照《环境影响评价公众参与办法》要求，在本项目环境影响评价报告书编制阶段开展了公众参与工作，根据建设单位提供的公众参与调查说明，202</w:t>
      </w:r>
      <w:r>
        <w:rPr>
          <w:rFonts w:hint="eastAsia" w:ascii="Arial" w:hAnsi="Arial" w:cs="Arial"/>
          <w:color w:val="auto"/>
          <w:highlight w:val="none"/>
          <w:lang w:val="en-US" w:eastAsia="zh-CN"/>
        </w:rPr>
        <w:t>2</w:t>
      </w:r>
      <w:r>
        <w:rPr>
          <w:rFonts w:hint="default" w:ascii="Arial" w:hAnsi="Arial" w:eastAsia="宋体" w:cs="Arial"/>
          <w:color w:val="auto"/>
          <w:highlight w:val="none"/>
        </w:rPr>
        <w:t>年</w:t>
      </w:r>
      <w:r>
        <w:rPr>
          <w:rFonts w:hint="eastAsia" w:ascii="Arial" w:hAnsi="Arial" w:cs="Arial"/>
          <w:color w:val="auto"/>
          <w:highlight w:val="none"/>
          <w:lang w:val="en-US" w:eastAsia="zh-CN"/>
        </w:rPr>
        <w:t>1</w:t>
      </w:r>
      <w:r>
        <w:rPr>
          <w:rFonts w:hint="default" w:ascii="Arial" w:hAnsi="Arial" w:eastAsia="宋体" w:cs="Arial"/>
          <w:color w:val="auto"/>
          <w:highlight w:val="none"/>
        </w:rPr>
        <w:t>月</w:t>
      </w:r>
      <w:r>
        <w:rPr>
          <w:rFonts w:hint="eastAsia" w:ascii="Arial" w:hAnsi="Arial" w:cs="Arial"/>
          <w:color w:val="auto"/>
          <w:highlight w:val="none"/>
          <w:lang w:val="en-US" w:eastAsia="zh-CN"/>
        </w:rPr>
        <w:t>5</w:t>
      </w:r>
      <w:r>
        <w:rPr>
          <w:rFonts w:hint="default" w:ascii="Arial" w:hAnsi="Arial" w:eastAsia="宋体" w:cs="Arial"/>
          <w:color w:val="auto"/>
          <w:highlight w:val="none"/>
        </w:rPr>
        <w:t>日</w:t>
      </w:r>
      <w:r>
        <w:rPr>
          <w:rFonts w:hint="default" w:ascii="Arial" w:hAnsi="Arial" w:eastAsia="宋体" w:cs="Arial"/>
          <w:color w:val="auto"/>
          <w:highlight w:val="none"/>
          <w:lang w:eastAsia="zh-CN"/>
        </w:rPr>
        <w:t>五原县天吉泰镇宏腾养殖专业合作社</w:t>
      </w:r>
      <w:r>
        <w:rPr>
          <w:rFonts w:hint="default" w:ascii="Arial" w:hAnsi="Arial" w:eastAsia="宋体" w:cs="Arial"/>
          <w:color w:val="auto"/>
          <w:highlight w:val="none"/>
        </w:rPr>
        <w:t>在</w:t>
      </w:r>
      <w:r>
        <w:rPr>
          <w:rFonts w:hint="eastAsia" w:ascii="Arial" w:hAnsi="Arial" w:cs="Arial"/>
          <w:color w:val="auto"/>
          <w:highlight w:val="none"/>
          <w:lang w:eastAsia="zh-CN"/>
        </w:rPr>
        <w:t>五原县</w:t>
      </w:r>
      <w:r>
        <w:rPr>
          <w:rFonts w:hint="default" w:ascii="Arial" w:hAnsi="Arial" w:eastAsia="宋体" w:cs="Arial"/>
          <w:color w:val="auto"/>
          <w:highlight w:val="none"/>
        </w:rPr>
        <w:t>人民政府网进行了第一次公众参与公告，20</w:t>
      </w:r>
      <w:r>
        <w:rPr>
          <w:rFonts w:hint="default" w:ascii="Arial" w:hAnsi="Arial" w:eastAsia="宋体" w:cs="Arial"/>
          <w:color w:val="auto"/>
          <w:highlight w:val="none"/>
          <w:lang w:val="en-US" w:eastAsia="zh-CN"/>
        </w:rPr>
        <w:t>2</w:t>
      </w:r>
      <w:r>
        <w:rPr>
          <w:rFonts w:hint="eastAsia" w:ascii="Arial" w:hAnsi="Arial" w:cs="Arial"/>
          <w:color w:val="auto"/>
          <w:highlight w:val="none"/>
          <w:lang w:val="en-US" w:eastAsia="zh-CN"/>
        </w:rPr>
        <w:t>2</w:t>
      </w:r>
      <w:r>
        <w:rPr>
          <w:rFonts w:hint="default" w:ascii="Arial" w:hAnsi="Arial" w:eastAsia="宋体" w:cs="Arial"/>
          <w:color w:val="auto"/>
          <w:highlight w:val="none"/>
        </w:rPr>
        <w:t>年</w:t>
      </w:r>
      <w:r>
        <w:rPr>
          <w:rFonts w:hint="eastAsia" w:ascii="Arial" w:hAnsi="Arial" w:cs="Arial"/>
          <w:color w:val="auto"/>
          <w:highlight w:val="none"/>
          <w:lang w:val="en-US" w:eastAsia="zh-CN"/>
        </w:rPr>
        <w:t>2</w:t>
      </w:r>
      <w:r>
        <w:rPr>
          <w:rFonts w:hint="default" w:ascii="Arial" w:hAnsi="Arial" w:eastAsia="宋体" w:cs="Arial"/>
          <w:color w:val="auto"/>
          <w:highlight w:val="none"/>
        </w:rPr>
        <w:t>月</w:t>
      </w:r>
      <w:r>
        <w:rPr>
          <w:rFonts w:hint="eastAsia" w:ascii="Arial" w:hAnsi="Arial" w:cs="Arial"/>
          <w:color w:val="auto"/>
          <w:highlight w:val="none"/>
          <w:lang w:val="en-US" w:eastAsia="zh-CN"/>
        </w:rPr>
        <w:t>11</w:t>
      </w:r>
      <w:r>
        <w:rPr>
          <w:rFonts w:hint="default" w:ascii="Arial" w:hAnsi="Arial" w:eastAsia="宋体" w:cs="Arial"/>
          <w:color w:val="auto"/>
          <w:highlight w:val="none"/>
        </w:rPr>
        <w:t>日在</w:t>
      </w:r>
      <w:r>
        <w:rPr>
          <w:rFonts w:hint="eastAsia" w:ascii="Arial" w:hAnsi="Arial" w:cs="Arial"/>
          <w:color w:val="auto"/>
          <w:highlight w:val="none"/>
          <w:lang w:eastAsia="zh-CN"/>
        </w:rPr>
        <w:t>五原县</w:t>
      </w:r>
      <w:r>
        <w:rPr>
          <w:rFonts w:hint="default" w:ascii="Arial" w:hAnsi="Arial" w:eastAsia="宋体" w:cs="Arial"/>
          <w:color w:val="auto"/>
          <w:highlight w:val="none"/>
        </w:rPr>
        <w:t>人民政府网进行了环境影响评价征求意见稿网上公示，公示时间为公布之日起十个工作日，同期进行了登报公示，并在项目区附近张贴了公示信息。</w:t>
      </w:r>
    </w:p>
    <w:p>
      <w:pPr>
        <w:ind w:firstLine="480"/>
        <w:rPr>
          <w:rFonts w:hint="default" w:ascii="Arial" w:hAnsi="Arial" w:eastAsia="宋体" w:cs="Arial"/>
          <w:color w:val="auto"/>
          <w:highlight w:val="none"/>
        </w:rPr>
      </w:pPr>
      <w:r>
        <w:rPr>
          <w:rFonts w:hint="default" w:ascii="Arial" w:hAnsi="Arial" w:eastAsia="宋体" w:cs="Arial"/>
          <w:color w:val="auto"/>
          <w:highlight w:val="none"/>
        </w:rPr>
        <w:t>对于本项目的建设，无公众提出文字性意见和建议。建设单位已编制公众参与说明书，其相关内容详见说明书。</w:t>
      </w:r>
    </w:p>
    <w:p>
      <w:pPr>
        <w:pStyle w:val="5"/>
        <w:rPr>
          <w:rFonts w:hint="default" w:ascii="Arial" w:hAnsi="Arial" w:eastAsia="宋体" w:cs="Arial"/>
          <w:color w:val="auto"/>
          <w:highlight w:val="none"/>
        </w:rPr>
      </w:pPr>
      <w:bookmarkStart w:id="673" w:name="_Toc9236"/>
      <w:r>
        <w:rPr>
          <w:rFonts w:hint="default" w:ascii="Arial" w:hAnsi="Arial" w:eastAsia="宋体" w:cs="Arial"/>
          <w:color w:val="auto"/>
          <w:highlight w:val="none"/>
        </w:rPr>
        <w:t>10.10总结论</w:t>
      </w:r>
      <w:bookmarkEnd w:id="669"/>
      <w:bookmarkEnd w:id="670"/>
      <w:bookmarkEnd w:id="671"/>
      <w:bookmarkEnd w:id="672"/>
      <w:bookmarkEnd w:id="673"/>
    </w:p>
    <w:p>
      <w:pPr>
        <w:ind w:firstLine="480"/>
        <w:rPr>
          <w:rFonts w:hint="default" w:ascii="Arial" w:hAnsi="Arial" w:eastAsia="宋体" w:cs="Arial"/>
          <w:color w:val="auto"/>
          <w:highlight w:val="none"/>
        </w:rPr>
      </w:pPr>
      <w:r>
        <w:rPr>
          <w:rFonts w:hint="default" w:ascii="Arial" w:hAnsi="Arial" w:eastAsia="宋体" w:cs="Arial"/>
          <w:color w:val="auto"/>
          <w:highlight w:val="none"/>
        </w:rPr>
        <w:t>（1）结论</w:t>
      </w:r>
    </w:p>
    <w:p>
      <w:pPr>
        <w:ind w:firstLine="480"/>
        <w:rPr>
          <w:rFonts w:hint="default" w:ascii="Arial" w:hAnsi="Arial" w:eastAsia="宋体" w:cs="Arial"/>
          <w:color w:val="auto"/>
          <w:highlight w:val="none"/>
        </w:rPr>
      </w:pPr>
      <w:r>
        <w:rPr>
          <w:rFonts w:hint="default" w:ascii="Arial" w:hAnsi="Arial" w:eastAsia="宋体" w:cs="Arial"/>
          <w:color w:val="auto"/>
          <w:highlight w:val="none"/>
          <w:lang w:eastAsia="zh-CN"/>
        </w:rPr>
        <w:t>五原县天吉泰镇宏腾肉牛养殖示范基地建设项目</w:t>
      </w:r>
      <w:r>
        <w:rPr>
          <w:rFonts w:hint="default" w:ascii="Arial" w:hAnsi="Arial" w:eastAsia="宋体" w:cs="Arial"/>
          <w:color w:val="auto"/>
          <w:highlight w:val="none"/>
        </w:rPr>
        <w:t>采用农业循环经济发展模式进行</w:t>
      </w:r>
      <w:r>
        <w:rPr>
          <w:rFonts w:hint="default" w:ascii="Arial" w:hAnsi="Arial" w:eastAsia="宋体" w:cs="Arial"/>
          <w:color w:val="auto"/>
          <w:highlight w:val="none"/>
          <w:lang w:eastAsia="zh-CN"/>
        </w:rPr>
        <w:t>肉牛</w:t>
      </w:r>
      <w:r>
        <w:rPr>
          <w:rFonts w:hint="default" w:ascii="Arial" w:hAnsi="Arial" w:eastAsia="宋体" w:cs="Arial"/>
          <w:color w:val="auto"/>
          <w:highlight w:val="none"/>
        </w:rPr>
        <w:t>养殖并配套消纳土地实现粪污资源化利用，符合国家当前产业政策及内蒙古自治区农业发展规划的要求，其选址符合</w:t>
      </w:r>
      <w:r>
        <w:rPr>
          <w:rFonts w:hint="default" w:ascii="Arial" w:hAnsi="Arial" w:eastAsia="宋体" w:cs="Arial"/>
          <w:color w:val="auto"/>
          <w:highlight w:val="none"/>
          <w:lang w:eastAsia="zh-CN"/>
        </w:rPr>
        <w:t>五原县</w:t>
      </w:r>
      <w:r>
        <w:rPr>
          <w:rFonts w:hint="default" w:ascii="Arial" w:hAnsi="Arial" w:eastAsia="宋体" w:cs="Arial"/>
          <w:color w:val="auto"/>
          <w:highlight w:val="none"/>
        </w:rPr>
        <w:t>农业发展规划，不属于禁养区和限养区范围内，场址选址可行，具有良好的社会经济效益。</w:t>
      </w:r>
    </w:p>
    <w:p>
      <w:pPr>
        <w:ind w:firstLine="480"/>
        <w:rPr>
          <w:rFonts w:hint="default" w:ascii="Arial" w:hAnsi="Arial" w:eastAsia="宋体" w:cs="Arial"/>
          <w:color w:val="auto"/>
          <w:highlight w:val="none"/>
        </w:rPr>
      </w:pPr>
      <w:r>
        <w:rPr>
          <w:rFonts w:hint="default" w:ascii="Arial" w:hAnsi="Arial" w:eastAsia="宋体" w:cs="Arial"/>
          <w:color w:val="auto"/>
          <w:highlight w:val="none"/>
        </w:rPr>
        <w:t>项目的建设符合国家“三线一单”的管控原则，拟定的各项环保措施可行有效，项目所产生的污染物均能合规利用或达标排放并满足总量控制要求，对周边环境影响较小；项目发生环境风险事故的概率较低，其潜在的风险水平可以接受。因此，只要该项目在下一步的建设和运行中，认真落实本报告提出的各项环保措施，并严格执行环保“三同时”制度，本次评价认为：从环境保护的角度分析，该项目建设是可行的。</w:t>
      </w:r>
    </w:p>
    <w:p>
      <w:pPr>
        <w:ind w:firstLine="480"/>
        <w:rPr>
          <w:rFonts w:hint="default" w:ascii="Arial" w:hAnsi="Arial" w:eastAsia="宋体" w:cs="Arial"/>
          <w:color w:val="auto"/>
          <w:highlight w:val="none"/>
        </w:rPr>
      </w:pPr>
      <w:bookmarkStart w:id="674" w:name="_Toc19199707"/>
      <w:r>
        <w:rPr>
          <w:rFonts w:hint="default" w:ascii="Arial" w:hAnsi="Arial" w:eastAsia="宋体" w:cs="Arial"/>
          <w:color w:val="auto"/>
          <w:highlight w:val="none"/>
        </w:rPr>
        <w:t>（2）建议</w:t>
      </w:r>
      <w:bookmarkEnd w:id="674"/>
    </w:p>
    <w:p>
      <w:pPr>
        <w:ind w:firstLine="480"/>
        <w:rPr>
          <w:rFonts w:hint="default" w:ascii="Arial" w:hAnsi="Arial" w:eastAsia="宋体" w:cs="Arial"/>
          <w:color w:val="auto"/>
          <w:szCs w:val="24"/>
          <w:highlight w:val="none"/>
        </w:rPr>
      </w:pPr>
      <w:r>
        <w:rPr>
          <w:rFonts w:hint="default" w:ascii="Arial" w:hAnsi="Arial" w:eastAsia="宋体" w:cs="Arial"/>
          <w:color w:val="auto"/>
          <w:szCs w:val="24"/>
          <w:highlight w:val="none"/>
        </w:rPr>
        <w:t>1）污染</w:t>
      </w:r>
      <w:r>
        <w:rPr>
          <w:rFonts w:hint="default" w:ascii="Arial" w:hAnsi="Arial" w:eastAsia="宋体" w:cs="Arial"/>
          <w:color w:val="auto"/>
          <w:szCs w:val="16"/>
          <w:highlight w:val="none"/>
        </w:rPr>
        <w:t>防治措施必须与项目主体工程同时设计、同时施工、同时投产使用。</w:t>
      </w:r>
      <w:r>
        <w:rPr>
          <w:rFonts w:hint="default" w:ascii="Arial" w:hAnsi="Arial" w:eastAsia="宋体" w:cs="Arial"/>
          <w:color w:val="auto"/>
          <w:szCs w:val="24"/>
          <w:highlight w:val="none"/>
        </w:rPr>
        <w:t>项目运行期间，需加强环保设施的维护及管理，保证环保设施的正常运行，提高其运行效率，确保污染物达标排放或合规利用，减少对环境的影响。</w:t>
      </w:r>
    </w:p>
    <w:p>
      <w:pPr>
        <w:ind w:firstLine="480"/>
        <w:rPr>
          <w:rFonts w:hint="default" w:ascii="Arial" w:hAnsi="Arial" w:eastAsia="宋体" w:cs="Arial"/>
          <w:color w:val="auto"/>
          <w:szCs w:val="24"/>
          <w:highlight w:val="none"/>
        </w:rPr>
      </w:pPr>
      <w:r>
        <w:rPr>
          <w:rFonts w:hint="default" w:ascii="Arial" w:hAnsi="Arial" w:eastAsia="宋体" w:cs="Arial"/>
          <w:color w:val="auto"/>
          <w:szCs w:val="24"/>
          <w:highlight w:val="none"/>
        </w:rPr>
        <w:t>2）全面实施场区除臭方案，加强场区边界恶臭污染因子浓度监测，保证项目场区边界及周围各敏感点恶臭污染因子浓度达标。</w:t>
      </w:r>
    </w:p>
    <w:p>
      <w:pPr>
        <w:ind w:firstLine="480"/>
        <w:rPr>
          <w:rFonts w:hint="default" w:ascii="Arial" w:hAnsi="Arial" w:eastAsia="宋体" w:cs="Arial"/>
          <w:color w:val="auto"/>
          <w:highlight w:val="none"/>
          <w:lang w:eastAsia="zh-CN"/>
        </w:rPr>
      </w:pPr>
      <w:r>
        <w:rPr>
          <w:rFonts w:hint="default" w:ascii="Arial" w:hAnsi="Arial" w:eastAsia="宋体" w:cs="Arial"/>
          <w:color w:val="auto"/>
          <w:highlight w:val="none"/>
        </w:rPr>
        <w:t>3）企业应建立健全的环保规章制度，配备专职环保人员，加强管理，杜绝生产过程中的跑、冒、滴、漏。加强设备、管道、各项治污措施的定期检修和维护工作。做好病死畜、危险废物管理制度</w:t>
      </w:r>
      <w:r>
        <w:rPr>
          <w:rFonts w:hint="default" w:ascii="Arial" w:hAnsi="Arial" w:eastAsia="宋体" w:cs="Arial"/>
          <w:color w:val="auto"/>
          <w:highlight w:val="none"/>
          <w:lang w:eastAsia="zh-CN"/>
        </w:rPr>
        <w:t>。</w:t>
      </w:r>
    </w:p>
    <w:p>
      <w:pPr>
        <w:bidi w:val="0"/>
        <w:rPr>
          <w:rFonts w:hint="default" w:ascii="Arial" w:hAnsi="Arial" w:eastAsia="宋体" w:cs="Arial"/>
          <w:color w:val="auto"/>
          <w:lang w:eastAsia="zh-CN"/>
        </w:rPr>
      </w:pPr>
    </w:p>
    <w:p>
      <w:pPr>
        <w:bidi w:val="0"/>
        <w:rPr>
          <w:rFonts w:hint="default" w:ascii="Arial" w:hAnsi="Arial" w:eastAsia="宋体" w:cs="Arial"/>
          <w:color w:val="auto"/>
          <w:lang w:eastAsia="zh-CN"/>
        </w:rPr>
      </w:pPr>
    </w:p>
    <w:sectPr>
      <w:pgSz w:w="11906" w:h="16838"/>
      <w:pgMar w:top="1418" w:right="1418" w:bottom="1247" w:left="1701" w:header="851" w:footer="680" w:gutter="0"/>
      <w:pgBorders>
        <w:top w:val="none" w:sz="0" w:space="0"/>
        <w:left w:val="none" w:sz="0" w:space="0"/>
        <w:bottom w:val="none" w:sz="0" w:space="0"/>
        <w:right w:val="none" w:sz="0" w:space="0"/>
      </w:pgBorders>
      <w:pgNumType w:fmt="numberInDash"/>
      <w:cols w:space="425" w:num="1"/>
      <w:docGrid w:linePitch="32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Verdana">
    <w:panose1 w:val="020B0604030504040204"/>
    <w:charset w:val="00"/>
    <w:family w:val="swiss"/>
    <w:pitch w:val="default"/>
    <w:sig w:usb0="A10006FF" w:usb1="4000205B" w:usb2="00000010" w:usb3="00000000" w:csb0="2000019F" w:csb1="00000000"/>
  </w:font>
  <w:font w:name="Wingdings 2">
    <w:panose1 w:val="05020102010507070707"/>
    <w:charset w:val="02"/>
    <w:family w:val="roman"/>
    <w:pitch w:val="default"/>
    <w:sig w:usb0="00000000" w:usb1="00000000" w:usb2="00000000" w:usb3="00000000" w:csb0="80000000" w:csb1="00000000"/>
  </w:font>
  <w:font w:name="Cambria Math">
    <w:panose1 w:val="02040503050406030204"/>
    <w:charset w:val="00"/>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ind w:firstLine="48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48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62718332"/>
    </w:sdtPr>
    <w:sdtContent>
      <w:p>
        <w:pPr>
          <w:pStyle w:val="27"/>
          <w:ind w:firstLine="480"/>
          <w:jc w:val="center"/>
        </w:pPr>
        <w:r>
          <w:fldChar w:fldCharType="begin"/>
        </w:r>
        <w:r>
          <w:instrText xml:space="preserve">PAGE   \* MERGEFORMAT</w:instrText>
        </w:r>
        <w:r>
          <w:fldChar w:fldCharType="separate"/>
        </w:r>
        <w:r>
          <w:rPr>
            <w:lang w:val="zh-CN"/>
          </w:rPr>
          <w:t>X</w:t>
        </w:r>
        <w:r>
          <w:fldChar w:fldCharType="end"/>
        </w:r>
      </w:p>
    </w:sdtContent>
  </w:sdt>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ind w:firstLine="480"/>
      <w:jc w:val="center"/>
    </w:pPr>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9" name="文本框 4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62718332"/>
                          </w:sdtPr>
                          <w:sdtContent>
                            <w:p>
                              <w:pPr>
                                <w:pStyle w:val="27"/>
                                <w:ind w:firstLine="480"/>
                                <w:jc w:val="center"/>
                              </w:pPr>
                              <w:r>
                                <w:fldChar w:fldCharType="begin"/>
                              </w:r>
                              <w:r>
                                <w:instrText xml:space="preserve">PAGE   \* MERGEFORMAT</w:instrText>
                              </w:r>
                              <w:r>
                                <w:fldChar w:fldCharType="separate"/>
                              </w:r>
                              <w:r>
                                <w:rPr>
                                  <w:lang w:val="zh-CN"/>
                                </w:rPr>
                                <w:t>X</w:t>
                              </w:r>
                              <w:r>
                                <w:fldChar w:fldCharType="end"/>
                              </w:r>
                            </w:p>
                          </w:sdtContent>
                        </w:sdt>
                        <w:p>
                          <w:pPr>
                            <w:pStyle w:val="2"/>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Hg6Gf4zAgAAYwQAAA4AAAAAAAAAAQAgAAAAHwEAAGRycy9lMm9Eb2MueG1sUEsF&#10;BgAAAAAGAAYAWQEAAMQFAAAAAA==&#10;">
              <v:fill on="f" focussize="0,0"/>
              <v:stroke on="f" weight="0.5pt"/>
              <v:imagedata o:title=""/>
              <o:lock v:ext="edit" aspectratio="f"/>
              <v:textbox inset="0mm,0mm,0mm,0mm" style="mso-fit-shape-to-text:t;">
                <w:txbxContent>
                  <w:sdt>
                    <w:sdtPr>
                      <w:id w:val="-1962718332"/>
                    </w:sdtPr>
                    <w:sdtContent>
                      <w:p>
                        <w:pPr>
                          <w:pStyle w:val="27"/>
                          <w:ind w:firstLine="480"/>
                          <w:jc w:val="center"/>
                        </w:pPr>
                        <w:r>
                          <w:fldChar w:fldCharType="begin"/>
                        </w:r>
                        <w:r>
                          <w:instrText xml:space="preserve">PAGE   \* MERGEFORMAT</w:instrText>
                        </w:r>
                        <w:r>
                          <w:fldChar w:fldCharType="separate"/>
                        </w:r>
                        <w:r>
                          <w:rPr>
                            <w:lang w:val="zh-CN"/>
                          </w:rPr>
                          <w:t>X</w:t>
                        </w:r>
                        <w:r>
                          <w:fldChar w:fldCharType="end"/>
                        </w:r>
                      </w:p>
                    </w:sdtContent>
                  </w:sdt>
                  <w:p>
                    <w:pPr>
                      <w:pStyle w:val="2"/>
                    </w:pP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480"/>
      </w:pPr>
      <w:r>
        <w:separator/>
      </w:r>
    </w:p>
  </w:footnote>
  <w:footnote w:type="continuationSeparator" w:id="1">
    <w:p>
      <w:pPr>
        <w:spacing w:line="24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9"/>
      <w:ind w:firstLine="420"/>
      <w:rPr>
        <w:rFonts w:hint="eastAsia" w:eastAsia="宋体"/>
        <w:lang w:eastAsia="zh-CN"/>
      </w:rPr>
    </w:pPr>
    <w:r>
      <w:rPr>
        <w:rFonts w:hint="eastAsia"/>
        <w:lang w:eastAsia="zh-CN"/>
      </w:rPr>
      <w:t>五原县天吉泰镇宏腾肉牛养殖示范基地建设项目</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0" w:firstLineChars="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3F879BA"/>
    <w:multiLevelType w:val="singleLevel"/>
    <w:tmpl w:val="C3F879BA"/>
    <w:lvl w:ilvl="0" w:tentative="0">
      <w:start w:val="1"/>
      <w:numFmt w:val="bullet"/>
      <w:pStyle w:val="19"/>
      <w:lvlText w:val=""/>
      <w:lvlJc w:val="left"/>
      <w:pPr>
        <w:tabs>
          <w:tab w:val="left" w:pos="2040"/>
        </w:tabs>
        <w:ind w:left="2040" w:hanging="360"/>
      </w:pPr>
      <w:rPr>
        <w:rFonts w:hint="default" w:ascii="Wingdings" w:hAnsi="Wingdings"/>
      </w:rPr>
    </w:lvl>
  </w:abstractNum>
  <w:abstractNum w:abstractNumId="1">
    <w:nsid w:val="4C8C5312"/>
    <w:multiLevelType w:val="multilevel"/>
    <w:tmpl w:val="4C8C5312"/>
    <w:lvl w:ilvl="0" w:tentative="0">
      <w:start w:val="1"/>
      <w:numFmt w:val="decimal"/>
      <w:lvlText w:val="%1."/>
      <w:lvlJc w:val="left"/>
      <w:pPr>
        <w:tabs>
          <w:tab w:val="left" w:pos="425"/>
        </w:tabs>
        <w:ind w:left="425" w:hanging="425"/>
      </w:pPr>
      <w:rPr>
        <w:rFonts w:hint="eastAsia"/>
      </w:rPr>
    </w:lvl>
    <w:lvl w:ilvl="1" w:tentative="0">
      <w:start w:val="1"/>
      <w:numFmt w:val="decimal"/>
      <w:lvlText w:val="%1.%2."/>
      <w:lvlJc w:val="left"/>
      <w:pPr>
        <w:tabs>
          <w:tab w:val="left" w:pos="567"/>
        </w:tabs>
        <w:ind w:left="567" w:hanging="567"/>
      </w:pPr>
      <w:rPr>
        <w:rFonts w:hint="default" w:ascii="Times New Roman" w:hAnsi="Times New Roman" w:cs="Times New Roman"/>
        <w:sz w:val="30"/>
        <w:szCs w:val="30"/>
      </w:rPr>
    </w:lvl>
    <w:lvl w:ilvl="2" w:tentative="0">
      <w:start w:val="1"/>
      <w:numFmt w:val="decimal"/>
      <w:lvlText w:val="%1.%2.%3."/>
      <w:lvlJc w:val="left"/>
      <w:pPr>
        <w:tabs>
          <w:tab w:val="left" w:pos="0"/>
        </w:tabs>
        <w:ind w:left="0" w:firstLine="0"/>
      </w:pPr>
      <w:rPr>
        <w:rFonts w:hint="eastAsia"/>
      </w:rPr>
    </w:lvl>
    <w:lvl w:ilvl="3" w:tentative="0">
      <w:start w:val="1"/>
      <w:numFmt w:val="decimal"/>
      <w:pStyle w:val="14"/>
      <w:lvlText w:val="%1.%2.%3.%4."/>
      <w:lvlJc w:val="left"/>
      <w:pPr>
        <w:tabs>
          <w:tab w:val="left" w:pos="851"/>
        </w:tabs>
        <w:ind w:left="851" w:hanging="851"/>
      </w:pPr>
      <w:rPr>
        <w:rFonts w:hint="eastAsia"/>
        <w:b/>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gutterAtTop/>
  <w:hideSpellingErrors/>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14A2"/>
    <w:rsid w:val="00000098"/>
    <w:rsid w:val="000003C2"/>
    <w:rsid w:val="00000777"/>
    <w:rsid w:val="00000CF0"/>
    <w:rsid w:val="00000E94"/>
    <w:rsid w:val="000013D6"/>
    <w:rsid w:val="00001AD7"/>
    <w:rsid w:val="00002925"/>
    <w:rsid w:val="0000311E"/>
    <w:rsid w:val="0000317A"/>
    <w:rsid w:val="00003189"/>
    <w:rsid w:val="0000366E"/>
    <w:rsid w:val="0000427E"/>
    <w:rsid w:val="00004647"/>
    <w:rsid w:val="000047A0"/>
    <w:rsid w:val="00005A39"/>
    <w:rsid w:val="00006083"/>
    <w:rsid w:val="00006412"/>
    <w:rsid w:val="00006AA7"/>
    <w:rsid w:val="000076FD"/>
    <w:rsid w:val="00007B11"/>
    <w:rsid w:val="00010750"/>
    <w:rsid w:val="00010C6E"/>
    <w:rsid w:val="00011584"/>
    <w:rsid w:val="00011A62"/>
    <w:rsid w:val="00012557"/>
    <w:rsid w:val="00013D16"/>
    <w:rsid w:val="00014005"/>
    <w:rsid w:val="00014184"/>
    <w:rsid w:val="0001450A"/>
    <w:rsid w:val="00014A6E"/>
    <w:rsid w:val="0001515A"/>
    <w:rsid w:val="0001554D"/>
    <w:rsid w:val="00015A18"/>
    <w:rsid w:val="0001616B"/>
    <w:rsid w:val="000162E2"/>
    <w:rsid w:val="000168CD"/>
    <w:rsid w:val="000170D7"/>
    <w:rsid w:val="000177D4"/>
    <w:rsid w:val="000217FE"/>
    <w:rsid w:val="0002217B"/>
    <w:rsid w:val="000238F3"/>
    <w:rsid w:val="00024180"/>
    <w:rsid w:val="00024287"/>
    <w:rsid w:val="00026AB5"/>
    <w:rsid w:val="00026D25"/>
    <w:rsid w:val="00026E3B"/>
    <w:rsid w:val="0002798E"/>
    <w:rsid w:val="0003053F"/>
    <w:rsid w:val="000307C0"/>
    <w:rsid w:val="00030C18"/>
    <w:rsid w:val="00032F70"/>
    <w:rsid w:val="00033205"/>
    <w:rsid w:val="00033359"/>
    <w:rsid w:val="00033493"/>
    <w:rsid w:val="000336FD"/>
    <w:rsid w:val="00033F2F"/>
    <w:rsid w:val="000344E3"/>
    <w:rsid w:val="00034D6A"/>
    <w:rsid w:val="000351D9"/>
    <w:rsid w:val="00035B43"/>
    <w:rsid w:val="00036850"/>
    <w:rsid w:val="00040C00"/>
    <w:rsid w:val="00041391"/>
    <w:rsid w:val="0004205A"/>
    <w:rsid w:val="0004254E"/>
    <w:rsid w:val="00042A80"/>
    <w:rsid w:val="00042D03"/>
    <w:rsid w:val="0004313F"/>
    <w:rsid w:val="00044BDB"/>
    <w:rsid w:val="00045214"/>
    <w:rsid w:val="00045A93"/>
    <w:rsid w:val="00046007"/>
    <w:rsid w:val="00046B35"/>
    <w:rsid w:val="000478C8"/>
    <w:rsid w:val="00047A49"/>
    <w:rsid w:val="000503AC"/>
    <w:rsid w:val="00050759"/>
    <w:rsid w:val="0005101D"/>
    <w:rsid w:val="000524D8"/>
    <w:rsid w:val="00052E7B"/>
    <w:rsid w:val="00053CBF"/>
    <w:rsid w:val="00053E2E"/>
    <w:rsid w:val="00054E57"/>
    <w:rsid w:val="00055E05"/>
    <w:rsid w:val="00055F31"/>
    <w:rsid w:val="00057443"/>
    <w:rsid w:val="00057678"/>
    <w:rsid w:val="000577C1"/>
    <w:rsid w:val="00057A23"/>
    <w:rsid w:val="00060DE1"/>
    <w:rsid w:val="000619DE"/>
    <w:rsid w:val="000619F6"/>
    <w:rsid w:val="00062317"/>
    <w:rsid w:val="00064572"/>
    <w:rsid w:val="00066AD7"/>
    <w:rsid w:val="000672CB"/>
    <w:rsid w:val="0006733E"/>
    <w:rsid w:val="000702FC"/>
    <w:rsid w:val="00070403"/>
    <w:rsid w:val="0007103F"/>
    <w:rsid w:val="0007189F"/>
    <w:rsid w:val="00071FC2"/>
    <w:rsid w:val="00073B60"/>
    <w:rsid w:val="00074460"/>
    <w:rsid w:val="00075C74"/>
    <w:rsid w:val="00076227"/>
    <w:rsid w:val="00076470"/>
    <w:rsid w:val="00076FF3"/>
    <w:rsid w:val="00077768"/>
    <w:rsid w:val="00077821"/>
    <w:rsid w:val="00077AB6"/>
    <w:rsid w:val="000801E8"/>
    <w:rsid w:val="0008043C"/>
    <w:rsid w:val="00080B32"/>
    <w:rsid w:val="000818C5"/>
    <w:rsid w:val="00081AB3"/>
    <w:rsid w:val="0008202C"/>
    <w:rsid w:val="000820A3"/>
    <w:rsid w:val="00083E1E"/>
    <w:rsid w:val="0008647B"/>
    <w:rsid w:val="00086A86"/>
    <w:rsid w:val="00086F18"/>
    <w:rsid w:val="00087841"/>
    <w:rsid w:val="000907D0"/>
    <w:rsid w:val="00090D2D"/>
    <w:rsid w:val="00091083"/>
    <w:rsid w:val="0009201D"/>
    <w:rsid w:val="00092035"/>
    <w:rsid w:val="0009241E"/>
    <w:rsid w:val="000936CB"/>
    <w:rsid w:val="00093A9D"/>
    <w:rsid w:val="00093DE8"/>
    <w:rsid w:val="00095722"/>
    <w:rsid w:val="0009574C"/>
    <w:rsid w:val="000962DC"/>
    <w:rsid w:val="00097530"/>
    <w:rsid w:val="000A0049"/>
    <w:rsid w:val="000A0A8B"/>
    <w:rsid w:val="000A0B28"/>
    <w:rsid w:val="000A1749"/>
    <w:rsid w:val="000A1A2E"/>
    <w:rsid w:val="000A2966"/>
    <w:rsid w:val="000A33EE"/>
    <w:rsid w:val="000A36EF"/>
    <w:rsid w:val="000A43F9"/>
    <w:rsid w:val="000A676C"/>
    <w:rsid w:val="000A6C8A"/>
    <w:rsid w:val="000A6D2B"/>
    <w:rsid w:val="000B0153"/>
    <w:rsid w:val="000B094D"/>
    <w:rsid w:val="000B0B9D"/>
    <w:rsid w:val="000B114F"/>
    <w:rsid w:val="000B16B9"/>
    <w:rsid w:val="000B19FA"/>
    <w:rsid w:val="000B1E16"/>
    <w:rsid w:val="000B4222"/>
    <w:rsid w:val="000B44C0"/>
    <w:rsid w:val="000B4A72"/>
    <w:rsid w:val="000B502A"/>
    <w:rsid w:val="000B548D"/>
    <w:rsid w:val="000B69A6"/>
    <w:rsid w:val="000B7C29"/>
    <w:rsid w:val="000C0252"/>
    <w:rsid w:val="000C08D1"/>
    <w:rsid w:val="000C16A3"/>
    <w:rsid w:val="000C192C"/>
    <w:rsid w:val="000C1B14"/>
    <w:rsid w:val="000C1CDC"/>
    <w:rsid w:val="000C28E9"/>
    <w:rsid w:val="000C2B7F"/>
    <w:rsid w:val="000C2BDF"/>
    <w:rsid w:val="000C378E"/>
    <w:rsid w:val="000C39B0"/>
    <w:rsid w:val="000C4411"/>
    <w:rsid w:val="000C552E"/>
    <w:rsid w:val="000C6155"/>
    <w:rsid w:val="000C68FF"/>
    <w:rsid w:val="000C73C4"/>
    <w:rsid w:val="000C7DA2"/>
    <w:rsid w:val="000D01E1"/>
    <w:rsid w:val="000D063B"/>
    <w:rsid w:val="000D216F"/>
    <w:rsid w:val="000D21F5"/>
    <w:rsid w:val="000D314F"/>
    <w:rsid w:val="000D4057"/>
    <w:rsid w:val="000D4932"/>
    <w:rsid w:val="000D4BF4"/>
    <w:rsid w:val="000D57FE"/>
    <w:rsid w:val="000D63CB"/>
    <w:rsid w:val="000D6F41"/>
    <w:rsid w:val="000D71BD"/>
    <w:rsid w:val="000E0A89"/>
    <w:rsid w:val="000E0EEA"/>
    <w:rsid w:val="000E149A"/>
    <w:rsid w:val="000E2107"/>
    <w:rsid w:val="000E22B4"/>
    <w:rsid w:val="000E257A"/>
    <w:rsid w:val="000E2968"/>
    <w:rsid w:val="000E2A00"/>
    <w:rsid w:val="000E2D85"/>
    <w:rsid w:val="000E4A5C"/>
    <w:rsid w:val="000E5E01"/>
    <w:rsid w:val="000E7AB8"/>
    <w:rsid w:val="000F0AE5"/>
    <w:rsid w:val="000F15C5"/>
    <w:rsid w:val="000F1648"/>
    <w:rsid w:val="000F2401"/>
    <w:rsid w:val="000F2E79"/>
    <w:rsid w:val="000F4EEF"/>
    <w:rsid w:val="000F5ED7"/>
    <w:rsid w:val="000F5FEF"/>
    <w:rsid w:val="000F6FDF"/>
    <w:rsid w:val="000F7456"/>
    <w:rsid w:val="000F7C5F"/>
    <w:rsid w:val="00100672"/>
    <w:rsid w:val="001009A2"/>
    <w:rsid w:val="00100B30"/>
    <w:rsid w:val="00103A7C"/>
    <w:rsid w:val="0010415D"/>
    <w:rsid w:val="00104447"/>
    <w:rsid w:val="001057F8"/>
    <w:rsid w:val="001060FC"/>
    <w:rsid w:val="00106169"/>
    <w:rsid w:val="00107078"/>
    <w:rsid w:val="00107443"/>
    <w:rsid w:val="001077B3"/>
    <w:rsid w:val="00111754"/>
    <w:rsid w:val="001117CA"/>
    <w:rsid w:val="00111A4D"/>
    <w:rsid w:val="00112B62"/>
    <w:rsid w:val="00113313"/>
    <w:rsid w:val="0011331B"/>
    <w:rsid w:val="001138BA"/>
    <w:rsid w:val="00113EEF"/>
    <w:rsid w:val="00113F9F"/>
    <w:rsid w:val="00114020"/>
    <w:rsid w:val="00114D22"/>
    <w:rsid w:val="0011671C"/>
    <w:rsid w:val="00116A0A"/>
    <w:rsid w:val="0012040F"/>
    <w:rsid w:val="00124239"/>
    <w:rsid w:val="0012477A"/>
    <w:rsid w:val="00124FAC"/>
    <w:rsid w:val="00124FCE"/>
    <w:rsid w:val="00125FCF"/>
    <w:rsid w:val="0012685A"/>
    <w:rsid w:val="00126B5D"/>
    <w:rsid w:val="001279AB"/>
    <w:rsid w:val="00127A0C"/>
    <w:rsid w:val="001301AD"/>
    <w:rsid w:val="001301BB"/>
    <w:rsid w:val="0013058D"/>
    <w:rsid w:val="001311B8"/>
    <w:rsid w:val="001312CE"/>
    <w:rsid w:val="0013164A"/>
    <w:rsid w:val="00131741"/>
    <w:rsid w:val="00132310"/>
    <w:rsid w:val="00133AF3"/>
    <w:rsid w:val="00133F47"/>
    <w:rsid w:val="0013567A"/>
    <w:rsid w:val="00135B20"/>
    <w:rsid w:val="00135D32"/>
    <w:rsid w:val="00136279"/>
    <w:rsid w:val="001369DE"/>
    <w:rsid w:val="00137243"/>
    <w:rsid w:val="0013745F"/>
    <w:rsid w:val="001375C6"/>
    <w:rsid w:val="00142B86"/>
    <w:rsid w:val="00143F0A"/>
    <w:rsid w:val="001445F0"/>
    <w:rsid w:val="0014493A"/>
    <w:rsid w:val="0014615A"/>
    <w:rsid w:val="001478EC"/>
    <w:rsid w:val="001500F6"/>
    <w:rsid w:val="00150345"/>
    <w:rsid w:val="00150F25"/>
    <w:rsid w:val="001512B8"/>
    <w:rsid w:val="00153828"/>
    <w:rsid w:val="00154BFF"/>
    <w:rsid w:val="00154E02"/>
    <w:rsid w:val="001555EB"/>
    <w:rsid w:val="00156292"/>
    <w:rsid w:val="001569A5"/>
    <w:rsid w:val="00156A6A"/>
    <w:rsid w:val="001573C5"/>
    <w:rsid w:val="001573F7"/>
    <w:rsid w:val="00160362"/>
    <w:rsid w:val="00161328"/>
    <w:rsid w:val="00161ADE"/>
    <w:rsid w:val="00161C5C"/>
    <w:rsid w:val="00162B8F"/>
    <w:rsid w:val="00162BB4"/>
    <w:rsid w:val="00163A0B"/>
    <w:rsid w:val="00164B74"/>
    <w:rsid w:val="00164CCC"/>
    <w:rsid w:val="00166635"/>
    <w:rsid w:val="00167D0E"/>
    <w:rsid w:val="00170998"/>
    <w:rsid w:val="001711D9"/>
    <w:rsid w:val="00171D3B"/>
    <w:rsid w:val="00171F45"/>
    <w:rsid w:val="00171FF3"/>
    <w:rsid w:val="001746DE"/>
    <w:rsid w:val="001748CE"/>
    <w:rsid w:val="00174ABA"/>
    <w:rsid w:val="00174F22"/>
    <w:rsid w:val="00175978"/>
    <w:rsid w:val="00175B9B"/>
    <w:rsid w:val="00175C16"/>
    <w:rsid w:val="0017716C"/>
    <w:rsid w:val="0017767F"/>
    <w:rsid w:val="00180885"/>
    <w:rsid w:val="0018105E"/>
    <w:rsid w:val="00181F74"/>
    <w:rsid w:val="00182285"/>
    <w:rsid w:val="00182C63"/>
    <w:rsid w:val="00182CA8"/>
    <w:rsid w:val="00182D53"/>
    <w:rsid w:val="00183095"/>
    <w:rsid w:val="001842BC"/>
    <w:rsid w:val="00184B2B"/>
    <w:rsid w:val="00184E43"/>
    <w:rsid w:val="0018522D"/>
    <w:rsid w:val="00185553"/>
    <w:rsid w:val="00185DB6"/>
    <w:rsid w:val="001872F3"/>
    <w:rsid w:val="00191434"/>
    <w:rsid w:val="001922C9"/>
    <w:rsid w:val="001933EB"/>
    <w:rsid w:val="00193EB1"/>
    <w:rsid w:val="00194230"/>
    <w:rsid w:val="00194C5A"/>
    <w:rsid w:val="00196338"/>
    <w:rsid w:val="00196659"/>
    <w:rsid w:val="00196C0F"/>
    <w:rsid w:val="0019735E"/>
    <w:rsid w:val="00197424"/>
    <w:rsid w:val="00197D41"/>
    <w:rsid w:val="001A05AE"/>
    <w:rsid w:val="001A1354"/>
    <w:rsid w:val="001A1C43"/>
    <w:rsid w:val="001A1DC1"/>
    <w:rsid w:val="001A320E"/>
    <w:rsid w:val="001A3A81"/>
    <w:rsid w:val="001A4625"/>
    <w:rsid w:val="001A495F"/>
    <w:rsid w:val="001A53F2"/>
    <w:rsid w:val="001A6F40"/>
    <w:rsid w:val="001A7E21"/>
    <w:rsid w:val="001A7F92"/>
    <w:rsid w:val="001B08E7"/>
    <w:rsid w:val="001B0CF4"/>
    <w:rsid w:val="001B13E2"/>
    <w:rsid w:val="001B15D2"/>
    <w:rsid w:val="001B2145"/>
    <w:rsid w:val="001B5452"/>
    <w:rsid w:val="001B55C5"/>
    <w:rsid w:val="001B5F4A"/>
    <w:rsid w:val="001B614F"/>
    <w:rsid w:val="001B68C4"/>
    <w:rsid w:val="001B7229"/>
    <w:rsid w:val="001B75A9"/>
    <w:rsid w:val="001B7835"/>
    <w:rsid w:val="001B7928"/>
    <w:rsid w:val="001C037B"/>
    <w:rsid w:val="001C0A0D"/>
    <w:rsid w:val="001C0B7F"/>
    <w:rsid w:val="001C1884"/>
    <w:rsid w:val="001C1B7C"/>
    <w:rsid w:val="001C275B"/>
    <w:rsid w:val="001C3AB9"/>
    <w:rsid w:val="001C430F"/>
    <w:rsid w:val="001C495C"/>
    <w:rsid w:val="001C5483"/>
    <w:rsid w:val="001C5846"/>
    <w:rsid w:val="001C5B53"/>
    <w:rsid w:val="001C75BF"/>
    <w:rsid w:val="001D0321"/>
    <w:rsid w:val="001D05AF"/>
    <w:rsid w:val="001D09C6"/>
    <w:rsid w:val="001D0A06"/>
    <w:rsid w:val="001D1174"/>
    <w:rsid w:val="001D16E7"/>
    <w:rsid w:val="001D24C1"/>
    <w:rsid w:val="001D3710"/>
    <w:rsid w:val="001D3EAA"/>
    <w:rsid w:val="001D4BEF"/>
    <w:rsid w:val="001D6061"/>
    <w:rsid w:val="001D723F"/>
    <w:rsid w:val="001D7C24"/>
    <w:rsid w:val="001D7DD2"/>
    <w:rsid w:val="001E01D4"/>
    <w:rsid w:val="001E1132"/>
    <w:rsid w:val="001E13DE"/>
    <w:rsid w:val="001E1999"/>
    <w:rsid w:val="001E1BFD"/>
    <w:rsid w:val="001E1D68"/>
    <w:rsid w:val="001E23F4"/>
    <w:rsid w:val="001E2AC1"/>
    <w:rsid w:val="001E3218"/>
    <w:rsid w:val="001E388D"/>
    <w:rsid w:val="001E4028"/>
    <w:rsid w:val="001E4204"/>
    <w:rsid w:val="001E4B72"/>
    <w:rsid w:val="001E5950"/>
    <w:rsid w:val="001E5D11"/>
    <w:rsid w:val="001E68FC"/>
    <w:rsid w:val="001E71D5"/>
    <w:rsid w:val="001E7919"/>
    <w:rsid w:val="001E7E63"/>
    <w:rsid w:val="001F0437"/>
    <w:rsid w:val="001F0F5B"/>
    <w:rsid w:val="001F1541"/>
    <w:rsid w:val="001F22AA"/>
    <w:rsid w:val="001F2401"/>
    <w:rsid w:val="001F2605"/>
    <w:rsid w:val="001F296A"/>
    <w:rsid w:val="001F2A8B"/>
    <w:rsid w:val="001F3580"/>
    <w:rsid w:val="001F459E"/>
    <w:rsid w:val="001F4FBB"/>
    <w:rsid w:val="001F4FE8"/>
    <w:rsid w:val="001F5002"/>
    <w:rsid w:val="001F5830"/>
    <w:rsid w:val="001F5949"/>
    <w:rsid w:val="001F692C"/>
    <w:rsid w:val="001F6965"/>
    <w:rsid w:val="001F6A43"/>
    <w:rsid w:val="001F6E90"/>
    <w:rsid w:val="001F7528"/>
    <w:rsid w:val="001F7A5D"/>
    <w:rsid w:val="001F7B46"/>
    <w:rsid w:val="001F7DC7"/>
    <w:rsid w:val="001F7EFF"/>
    <w:rsid w:val="0020081A"/>
    <w:rsid w:val="00200A3D"/>
    <w:rsid w:val="00201526"/>
    <w:rsid w:val="00202282"/>
    <w:rsid w:val="00202D8E"/>
    <w:rsid w:val="00202E81"/>
    <w:rsid w:val="002037F3"/>
    <w:rsid w:val="00203939"/>
    <w:rsid w:val="00203BF3"/>
    <w:rsid w:val="00204ACF"/>
    <w:rsid w:val="00204E0B"/>
    <w:rsid w:val="00205673"/>
    <w:rsid w:val="00205F32"/>
    <w:rsid w:val="002065DA"/>
    <w:rsid w:val="002073C0"/>
    <w:rsid w:val="00207A22"/>
    <w:rsid w:val="00210A54"/>
    <w:rsid w:val="00210D94"/>
    <w:rsid w:val="00211408"/>
    <w:rsid w:val="00211BD7"/>
    <w:rsid w:val="002120B0"/>
    <w:rsid w:val="002126B4"/>
    <w:rsid w:val="00212975"/>
    <w:rsid w:val="00212BB0"/>
    <w:rsid w:val="00213D58"/>
    <w:rsid w:val="00213F5E"/>
    <w:rsid w:val="00215AC7"/>
    <w:rsid w:val="002160BC"/>
    <w:rsid w:val="00217D38"/>
    <w:rsid w:val="00220C32"/>
    <w:rsid w:val="00221386"/>
    <w:rsid w:val="00221918"/>
    <w:rsid w:val="00221F35"/>
    <w:rsid w:val="00222262"/>
    <w:rsid w:val="0022241D"/>
    <w:rsid w:val="002226CF"/>
    <w:rsid w:val="00222BBC"/>
    <w:rsid w:val="00222FD8"/>
    <w:rsid w:val="002236BB"/>
    <w:rsid w:val="0022492C"/>
    <w:rsid w:val="00224AE2"/>
    <w:rsid w:val="00225642"/>
    <w:rsid w:val="0022578D"/>
    <w:rsid w:val="0022593F"/>
    <w:rsid w:val="00225A76"/>
    <w:rsid w:val="00225B1B"/>
    <w:rsid w:val="00226427"/>
    <w:rsid w:val="002266FD"/>
    <w:rsid w:val="00226DBC"/>
    <w:rsid w:val="002272F8"/>
    <w:rsid w:val="00227309"/>
    <w:rsid w:val="00227AA7"/>
    <w:rsid w:val="002305CF"/>
    <w:rsid w:val="002309EE"/>
    <w:rsid w:val="00232211"/>
    <w:rsid w:val="0023238D"/>
    <w:rsid w:val="00232828"/>
    <w:rsid w:val="00232948"/>
    <w:rsid w:val="00232F15"/>
    <w:rsid w:val="00234FEA"/>
    <w:rsid w:val="0023509A"/>
    <w:rsid w:val="0023541F"/>
    <w:rsid w:val="002358C1"/>
    <w:rsid w:val="00236930"/>
    <w:rsid w:val="00236D19"/>
    <w:rsid w:val="0023720A"/>
    <w:rsid w:val="00237DDD"/>
    <w:rsid w:val="0024098F"/>
    <w:rsid w:val="00240A60"/>
    <w:rsid w:val="00240D4C"/>
    <w:rsid w:val="00241F3D"/>
    <w:rsid w:val="0024218B"/>
    <w:rsid w:val="0024322A"/>
    <w:rsid w:val="0024555A"/>
    <w:rsid w:val="00246171"/>
    <w:rsid w:val="00246559"/>
    <w:rsid w:val="00246A54"/>
    <w:rsid w:val="00246B35"/>
    <w:rsid w:val="002472A6"/>
    <w:rsid w:val="0024740B"/>
    <w:rsid w:val="002478F3"/>
    <w:rsid w:val="00247F91"/>
    <w:rsid w:val="00252C8F"/>
    <w:rsid w:val="002533EE"/>
    <w:rsid w:val="00253951"/>
    <w:rsid w:val="002555E3"/>
    <w:rsid w:val="00255ECE"/>
    <w:rsid w:val="002569DD"/>
    <w:rsid w:val="00256CA5"/>
    <w:rsid w:val="00260681"/>
    <w:rsid w:val="00262968"/>
    <w:rsid w:val="00263E96"/>
    <w:rsid w:val="00264812"/>
    <w:rsid w:val="00265838"/>
    <w:rsid w:val="00265EF1"/>
    <w:rsid w:val="00266693"/>
    <w:rsid w:val="002670A4"/>
    <w:rsid w:val="00267BBF"/>
    <w:rsid w:val="00267BD7"/>
    <w:rsid w:val="00270418"/>
    <w:rsid w:val="002709DD"/>
    <w:rsid w:val="002718F3"/>
    <w:rsid w:val="00272090"/>
    <w:rsid w:val="00272F2C"/>
    <w:rsid w:val="00273143"/>
    <w:rsid w:val="00273400"/>
    <w:rsid w:val="002743D1"/>
    <w:rsid w:val="00274E35"/>
    <w:rsid w:val="002753E6"/>
    <w:rsid w:val="00276562"/>
    <w:rsid w:val="00276694"/>
    <w:rsid w:val="00276DF5"/>
    <w:rsid w:val="00276F1A"/>
    <w:rsid w:val="002771F3"/>
    <w:rsid w:val="0028064C"/>
    <w:rsid w:val="00280A22"/>
    <w:rsid w:val="00281605"/>
    <w:rsid w:val="00281CBC"/>
    <w:rsid w:val="002831C8"/>
    <w:rsid w:val="00284247"/>
    <w:rsid w:val="002842D9"/>
    <w:rsid w:val="00284D6B"/>
    <w:rsid w:val="00286036"/>
    <w:rsid w:val="00286262"/>
    <w:rsid w:val="002864F7"/>
    <w:rsid w:val="00286B8F"/>
    <w:rsid w:val="00287F54"/>
    <w:rsid w:val="0029030D"/>
    <w:rsid w:val="0029089F"/>
    <w:rsid w:val="0029157B"/>
    <w:rsid w:val="00293B2C"/>
    <w:rsid w:val="00293F8A"/>
    <w:rsid w:val="002942C6"/>
    <w:rsid w:val="002942D1"/>
    <w:rsid w:val="0029456B"/>
    <w:rsid w:val="00295E08"/>
    <w:rsid w:val="00296155"/>
    <w:rsid w:val="00296B1A"/>
    <w:rsid w:val="002A0841"/>
    <w:rsid w:val="002A0B3D"/>
    <w:rsid w:val="002A0D34"/>
    <w:rsid w:val="002A0F92"/>
    <w:rsid w:val="002A1454"/>
    <w:rsid w:val="002A1847"/>
    <w:rsid w:val="002A2092"/>
    <w:rsid w:val="002A30D9"/>
    <w:rsid w:val="002A3606"/>
    <w:rsid w:val="002A5254"/>
    <w:rsid w:val="002A527F"/>
    <w:rsid w:val="002A6817"/>
    <w:rsid w:val="002A697B"/>
    <w:rsid w:val="002A6B37"/>
    <w:rsid w:val="002A7AF0"/>
    <w:rsid w:val="002A7FA3"/>
    <w:rsid w:val="002B00E0"/>
    <w:rsid w:val="002B0525"/>
    <w:rsid w:val="002B05C6"/>
    <w:rsid w:val="002B1098"/>
    <w:rsid w:val="002B1259"/>
    <w:rsid w:val="002B1642"/>
    <w:rsid w:val="002B1CEC"/>
    <w:rsid w:val="002B1E8B"/>
    <w:rsid w:val="002B240D"/>
    <w:rsid w:val="002B3462"/>
    <w:rsid w:val="002B3534"/>
    <w:rsid w:val="002B367C"/>
    <w:rsid w:val="002B47FD"/>
    <w:rsid w:val="002B4D42"/>
    <w:rsid w:val="002B5C88"/>
    <w:rsid w:val="002B6088"/>
    <w:rsid w:val="002C014F"/>
    <w:rsid w:val="002C12FC"/>
    <w:rsid w:val="002C134C"/>
    <w:rsid w:val="002C2A5B"/>
    <w:rsid w:val="002C2AD8"/>
    <w:rsid w:val="002C2B97"/>
    <w:rsid w:val="002C3022"/>
    <w:rsid w:val="002C383B"/>
    <w:rsid w:val="002C3C47"/>
    <w:rsid w:val="002C579E"/>
    <w:rsid w:val="002C6122"/>
    <w:rsid w:val="002C6BF8"/>
    <w:rsid w:val="002D03DD"/>
    <w:rsid w:val="002D1796"/>
    <w:rsid w:val="002D21A6"/>
    <w:rsid w:val="002D23D9"/>
    <w:rsid w:val="002D2775"/>
    <w:rsid w:val="002D2979"/>
    <w:rsid w:val="002D2CBB"/>
    <w:rsid w:val="002D39E1"/>
    <w:rsid w:val="002D41F6"/>
    <w:rsid w:val="002D43AA"/>
    <w:rsid w:val="002D45CC"/>
    <w:rsid w:val="002D5446"/>
    <w:rsid w:val="002D5A70"/>
    <w:rsid w:val="002D5AA8"/>
    <w:rsid w:val="002D6545"/>
    <w:rsid w:val="002D6AB7"/>
    <w:rsid w:val="002D7D19"/>
    <w:rsid w:val="002E06AF"/>
    <w:rsid w:val="002E18A2"/>
    <w:rsid w:val="002E36E7"/>
    <w:rsid w:val="002E5967"/>
    <w:rsid w:val="002E5ED6"/>
    <w:rsid w:val="002E6683"/>
    <w:rsid w:val="002E7A61"/>
    <w:rsid w:val="002E7C3E"/>
    <w:rsid w:val="002E7EAB"/>
    <w:rsid w:val="002F04C3"/>
    <w:rsid w:val="002F070A"/>
    <w:rsid w:val="002F07DB"/>
    <w:rsid w:val="002F0B0F"/>
    <w:rsid w:val="002F0EDC"/>
    <w:rsid w:val="002F1614"/>
    <w:rsid w:val="002F193E"/>
    <w:rsid w:val="002F22BE"/>
    <w:rsid w:val="002F28DA"/>
    <w:rsid w:val="002F2EB7"/>
    <w:rsid w:val="002F3757"/>
    <w:rsid w:val="002F39EC"/>
    <w:rsid w:val="002F4085"/>
    <w:rsid w:val="002F40BD"/>
    <w:rsid w:val="002F516D"/>
    <w:rsid w:val="002F7086"/>
    <w:rsid w:val="002F79AF"/>
    <w:rsid w:val="003007D6"/>
    <w:rsid w:val="00300E12"/>
    <w:rsid w:val="00301A8C"/>
    <w:rsid w:val="00301C26"/>
    <w:rsid w:val="00301F53"/>
    <w:rsid w:val="00303137"/>
    <w:rsid w:val="0030367C"/>
    <w:rsid w:val="00303E89"/>
    <w:rsid w:val="0030473A"/>
    <w:rsid w:val="00304C1A"/>
    <w:rsid w:val="00304F6E"/>
    <w:rsid w:val="00305383"/>
    <w:rsid w:val="003073EF"/>
    <w:rsid w:val="00307DEF"/>
    <w:rsid w:val="0031004D"/>
    <w:rsid w:val="00310365"/>
    <w:rsid w:val="00310EE8"/>
    <w:rsid w:val="00310F00"/>
    <w:rsid w:val="003114D1"/>
    <w:rsid w:val="00311E43"/>
    <w:rsid w:val="0031236E"/>
    <w:rsid w:val="0031259B"/>
    <w:rsid w:val="00313B3A"/>
    <w:rsid w:val="003148A3"/>
    <w:rsid w:val="00314BA0"/>
    <w:rsid w:val="00314D98"/>
    <w:rsid w:val="0031539B"/>
    <w:rsid w:val="00315BBA"/>
    <w:rsid w:val="00316395"/>
    <w:rsid w:val="0031686A"/>
    <w:rsid w:val="00316B9F"/>
    <w:rsid w:val="0031731B"/>
    <w:rsid w:val="00317878"/>
    <w:rsid w:val="003223B4"/>
    <w:rsid w:val="00322EE9"/>
    <w:rsid w:val="00322F4D"/>
    <w:rsid w:val="0032430F"/>
    <w:rsid w:val="003246B6"/>
    <w:rsid w:val="00324A39"/>
    <w:rsid w:val="00325539"/>
    <w:rsid w:val="00325D73"/>
    <w:rsid w:val="00326BC8"/>
    <w:rsid w:val="00327C77"/>
    <w:rsid w:val="00331E37"/>
    <w:rsid w:val="0033226C"/>
    <w:rsid w:val="00332312"/>
    <w:rsid w:val="003324CB"/>
    <w:rsid w:val="00332D41"/>
    <w:rsid w:val="0033339E"/>
    <w:rsid w:val="00336A63"/>
    <w:rsid w:val="00336E61"/>
    <w:rsid w:val="0033763C"/>
    <w:rsid w:val="00340906"/>
    <w:rsid w:val="00340C31"/>
    <w:rsid w:val="00341A57"/>
    <w:rsid w:val="0034259C"/>
    <w:rsid w:val="00342D0D"/>
    <w:rsid w:val="00342E89"/>
    <w:rsid w:val="00344639"/>
    <w:rsid w:val="003446CF"/>
    <w:rsid w:val="003455D3"/>
    <w:rsid w:val="0034586B"/>
    <w:rsid w:val="0034597E"/>
    <w:rsid w:val="00345A9A"/>
    <w:rsid w:val="00345C36"/>
    <w:rsid w:val="00346C47"/>
    <w:rsid w:val="00346F4C"/>
    <w:rsid w:val="0034712E"/>
    <w:rsid w:val="0034773A"/>
    <w:rsid w:val="003508AB"/>
    <w:rsid w:val="003508C6"/>
    <w:rsid w:val="0035235B"/>
    <w:rsid w:val="003523D9"/>
    <w:rsid w:val="00352EBC"/>
    <w:rsid w:val="00353B46"/>
    <w:rsid w:val="003544FB"/>
    <w:rsid w:val="003546CE"/>
    <w:rsid w:val="00354888"/>
    <w:rsid w:val="00354EC0"/>
    <w:rsid w:val="003559A7"/>
    <w:rsid w:val="003563FA"/>
    <w:rsid w:val="003571CB"/>
    <w:rsid w:val="003576AF"/>
    <w:rsid w:val="00360083"/>
    <w:rsid w:val="00360727"/>
    <w:rsid w:val="00360D25"/>
    <w:rsid w:val="00360FBA"/>
    <w:rsid w:val="00361784"/>
    <w:rsid w:val="00361802"/>
    <w:rsid w:val="00361DA5"/>
    <w:rsid w:val="0036214B"/>
    <w:rsid w:val="003624C1"/>
    <w:rsid w:val="00362F10"/>
    <w:rsid w:val="003633BA"/>
    <w:rsid w:val="00363818"/>
    <w:rsid w:val="003638BC"/>
    <w:rsid w:val="00363F4C"/>
    <w:rsid w:val="0036417A"/>
    <w:rsid w:val="00364195"/>
    <w:rsid w:val="003646A1"/>
    <w:rsid w:val="00365E1E"/>
    <w:rsid w:val="00367371"/>
    <w:rsid w:val="003674AC"/>
    <w:rsid w:val="0036763B"/>
    <w:rsid w:val="003705D5"/>
    <w:rsid w:val="00370869"/>
    <w:rsid w:val="00371AEE"/>
    <w:rsid w:val="00372365"/>
    <w:rsid w:val="00372C61"/>
    <w:rsid w:val="003740BB"/>
    <w:rsid w:val="0037529B"/>
    <w:rsid w:val="00375664"/>
    <w:rsid w:val="00375C16"/>
    <w:rsid w:val="00376445"/>
    <w:rsid w:val="0037714E"/>
    <w:rsid w:val="0037722B"/>
    <w:rsid w:val="00377496"/>
    <w:rsid w:val="003775D7"/>
    <w:rsid w:val="0037779B"/>
    <w:rsid w:val="0038029E"/>
    <w:rsid w:val="00380423"/>
    <w:rsid w:val="00380457"/>
    <w:rsid w:val="003807AF"/>
    <w:rsid w:val="00381E63"/>
    <w:rsid w:val="00384242"/>
    <w:rsid w:val="003844BD"/>
    <w:rsid w:val="00384D48"/>
    <w:rsid w:val="003850C1"/>
    <w:rsid w:val="003852AB"/>
    <w:rsid w:val="0038780B"/>
    <w:rsid w:val="00387C9B"/>
    <w:rsid w:val="00387DFC"/>
    <w:rsid w:val="00387FB3"/>
    <w:rsid w:val="003910E1"/>
    <w:rsid w:val="00391D3B"/>
    <w:rsid w:val="00392CE0"/>
    <w:rsid w:val="003940EF"/>
    <w:rsid w:val="003970AD"/>
    <w:rsid w:val="003971BB"/>
    <w:rsid w:val="003971D8"/>
    <w:rsid w:val="003A05F9"/>
    <w:rsid w:val="003A0C0D"/>
    <w:rsid w:val="003A0F18"/>
    <w:rsid w:val="003A1A98"/>
    <w:rsid w:val="003A1E00"/>
    <w:rsid w:val="003A3595"/>
    <w:rsid w:val="003A35DC"/>
    <w:rsid w:val="003A3CFB"/>
    <w:rsid w:val="003A4060"/>
    <w:rsid w:val="003A40BA"/>
    <w:rsid w:val="003A4E66"/>
    <w:rsid w:val="003A60B9"/>
    <w:rsid w:val="003A690E"/>
    <w:rsid w:val="003A7049"/>
    <w:rsid w:val="003B033E"/>
    <w:rsid w:val="003B0473"/>
    <w:rsid w:val="003B1F99"/>
    <w:rsid w:val="003B23F5"/>
    <w:rsid w:val="003B4601"/>
    <w:rsid w:val="003B4668"/>
    <w:rsid w:val="003B648B"/>
    <w:rsid w:val="003B64CC"/>
    <w:rsid w:val="003B78C6"/>
    <w:rsid w:val="003C07DB"/>
    <w:rsid w:val="003C0A28"/>
    <w:rsid w:val="003C19EC"/>
    <w:rsid w:val="003C1C45"/>
    <w:rsid w:val="003C1CF7"/>
    <w:rsid w:val="003C1D2E"/>
    <w:rsid w:val="003C1F5F"/>
    <w:rsid w:val="003C2E08"/>
    <w:rsid w:val="003C6772"/>
    <w:rsid w:val="003C79E9"/>
    <w:rsid w:val="003C7B5F"/>
    <w:rsid w:val="003D003C"/>
    <w:rsid w:val="003D0283"/>
    <w:rsid w:val="003D032C"/>
    <w:rsid w:val="003D1640"/>
    <w:rsid w:val="003D2194"/>
    <w:rsid w:val="003D25ED"/>
    <w:rsid w:val="003D304B"/>
    <w:rsid w:val="003D308F"/>
    <w:rsid w:val="003D3E89"/>
    <w:rsid w:val="003D3FDE"/>
    <w:rsid w:val="003D6513"/>
    <w:rsid w:val="003D6C00"/>
    <w:rsid w:val="003E3DB9"/>
    <w:rsid w:val="003E5B45"/>
    <w:rsid w:val="003E5CDF"/>
    <w:rsid w:val="003E6AE5"/>
    <w:rsid w:val="003F0332"/>
    <w:rsid w:val="003F0FEC"/>
    <w:rsid w:val="003F17E6"/>
    <w:rsid w:val="003F1FAC"/>
    <w:rsid w:val="003F224C"/>
    <w:rsid w:val="003F26E8"/>
    <w:rsid w:val="003F2A3E"/>
    <w:rsid w:val="003F2FF5"/>
    <w:rsid w:val="003F4339"/>
    <w:rsid w:val="003F4E9E"/>
    <w:rsid w:val="003F51BA"/>
    <w:rsid w:val="003F5745"/>
    <w:rsid w:val="003F707C"/>
    <w:rsid w:val="003F7446"/>
    <w:rsid w:val="003F7872"/>
    <w:rsid w:val="003F7A43"/>
    <w:rsid w:val="004004A2"/>
    <w:rsid w:val="00400E72"/>
    <w:rsid w:val="004016FA"/>
    <w:rsid w:val="00402296"/>
    <w:rsid w:val="00403581"/>
    <w:rsid w:val="004037F5"/>
    <w:rsid w:val="004045E0"/>
    <w:rsid w:val="0040532C"/>
    <w:rsid w:val="004057EA"/>
    <w:rsid w:val="0040661D"/>
    <w:rsid w:val="00411327"/>
    <w:rsid w:val="00412176"/>
    <w:rsid w:val="004124F5"/>
    <w:rsid w:val="00412DF2"/>
    <w:rsid w:val="00412EB4"/>
    <w:rsid w:val="004133DC"/>
    <w:rsid w:val="0041489B"/>
    <w:rsid w:val="00414D55"/>
    <w:rsid w:val="00416785"/>
    <w:rsid w:val="00416B4E"/>
    <w:rsid w:val="00417267"/>
    <w:rsid w:val="00417497"/>
    <w:rsid w:val="0042072D"/>
    <w:rsid w:val="00420DBD"/>
    <w:rsid w:val="00421812"/>
    <w:rsid w:val="0042212E"/>
    <w:rsid w:val="00422C5F"/>
    <w:rsid w:val="004232D6"/>
    <w:rsid w:val="00423525"/>
    <w:rsid w:val="0042366C"/>
    <w:rsid w:val="00423FD9"/>
    <w:rsid w:val="004242F4"/>
    <w:rsid w:val="00424586"/>
    <w:rsid w:val="00424AFE"/>
    <w:rsid w:val="004251A1"/>
    <w:rsid w:val="00425227"/>
    <w:rsid w:val="0042547F"/>
    <w:rsid w:val="00426651"/>
    <w:rsid w:val="00427314"/>
    <w:rsid w:val="004300DD"/>
    <w:rsid w:val="0043050D"/>
    <w:rsid w:val="004334C1"/>
    <w:rsid w:val="00434400"/>
    <w:rsid w:val="00434E65"/>
    <w:rsid w:val="00434E98"/>
    <w:rsid w:val="00435354"/>
    <w:rsid w:val="00437725"/>
    <w:rsid w:val="004401A6"/>
    <w:rsid w:val="00441B76"/>
    <w:rsid w:val="00442392"/>
    <w:rsid w:val="004423CE"/>
    <w:rsid w:val="004433BF"/>
    <w:rsid w:val="0044373E"/>
    <w:rsid w:val="00443AD2"/>
    <w:rsid w:val="00444791"/>
    <w:rsid w:val="00444842"/>
    <w:rsid w:val="004449D5"/>
    <w:rsid w:val="00444AB2"/>
    <w:rsid w:val="00444F17"/>
    <w:rsid w:val="0044605F"/>
    <w:rsid w:val="0045026D"/>
    <w:rsid w:val="00450C67"/>
    <w:rsid w:val="00450D24"/>
    <w:rsid w:val="00450EF3"/>
    <w:rsid w:val="004520E1"/>
    <w:rsid w:val="0045250D"/>
    <w:rsid w:val="00452B67"/>
    <w:rsid w:val="00452C1D"/>
    <w:rsid w:val="00452FDC"/>
    <w:rsid w:val="00455097"/>
    <w:rsid w:val="00455309"/>
    <w:rsid w:val="00455747"/>
    <w:rsid w:val="00455BAF"/>
    <w:rsid w:val="00456EE4"/>
    <w:rsid w:val="0045743F"/>
    <w:rsid w:val="0046069A"/>
    <w:rsid w:val="00460BB0"/>
    <w:rsid w:val="00460D69"/>
    <w:rsid w:val="0046147C"/>
    <w:rsid w:val="0046147E"/>
    <w:rsid w:val="00461A15"/>
    <w:rsid w:val="00462396"/>
    <w:rsid w:val="004639DF"/>
    <w:rsid w:val="00463DB2"/>
    <w:rsid w:val="00463FB8"/>
    <w:rsid w:val="00464760"/>
    <w:rsid w:val="00464761"/>
    <w:rsid w:val="0046543D"/>
    <w:rsid w:val="0046603E"/>
    <w:rsid w:val="004670AB"/>
    <w:rsid w:val="00471142"/>
    <w:rsid w:val="004711AF"/>
    <w:rsid w:val="00471491"/>
    <w:rsid w:val="0047176D"/>
    <w:rsid w:val="004718BB"/>
    <w:rsid w:val="004722A2"/>
    <w:rsid w:val="00472B75"/>
    <w:rsid w:val="0047382A"/>
    <w:rsid w:val="00473AE6"/>
    <w:rsid w:val="00473AF8"/>
    <w:rsid w:val="00473C1C"/>
    <w:rsid w:val="004744E3"/>
    <w:rsid w:val="0047492B"/>
    <w:rsid w:val="00474A16"/>
    <w:rsid w:val="00476170"/>
    <w:rsid w:val="0047665B"/>
    <w:rsid w:val="00476D35"/>
    <w:rsid w:val="0048116A"/>
    <w:rsid w:val="004811E4"/>
    <w:rsid w:val="00481F2B"/>
    <w:rsid w:val="00481FEC"/>
    <w:rsid w:val="00482B43"/>
    <w:rsid w:val="00483C8B"/>
    <w:rsid w:val="00483E1B"/>
    <w:rsid w:val="004840EC"/>
    <w:rsid w:val="004840F7"/>
    <w:rsid w:val="004847DF"/>
    <w:rsid w:val="00484DCF"/>
    <w:rsid w:val="00485674"/>
    <w:rsid w:val="00485C55"/>
    <w:rsid w:val="00485DC6"/>
    <w:rsid w:val="004861EA"/>
    <w:rsid w:val="004876C8"/>
    <w:rsid w:val="00490036"/>
    <w:rsid w:val="00491082"/>
    <w:rsid w:val="00491181"/>
    <w:rsid w:val="00491B48"/>
    <w:rsid w:val="004933FE"/>
    <w:rsid w:val="00493D29"/>
    <w:rsid w:val="00493E74"/>
    <w:rsid w:val="00493EB1"/>
    <w:rsid w:val="0049492E"/>
    <w:rsid w:val="00495525"/>
    <w:rsid w:val="00495C6B"/>
    <w:rsid w:val="004971E0"/>
    <w:rsid w:val="004A0926"/>
    <w:rsid w:val="004A1DA2"/>
    <w:rsid w:val="004A2B24"/>
    <w:rsid w:val="004A2F08"/>
    <w:rsid w:val="004A2F78"/>
    <w:rsid w:val="004A3186"/>
    <w:rsid w:val="004A3E37"/>
    <w:rsid w:val="004A5B80"/>
    <w:rsid w:val="004A628E"/>
    <w:rsid w:val="004A6ACE"/>
    <w:rsid w:val="004A6EDE"/>
    <w:rsid w:val="004B0537"/>
    <w:rsid w:val="004B1371"/>
    <w:rsid w:val="004B138B"/>
    <w:rsid w:val="004B13D9"/>
    <w:rsid w:val="004B1BCA"/>
    <w:rsid w:val="004B1C79"/>
    <w:rsid w:val="004B1FC1"/>
    <w:rsid w:val="004B2078"/>
    <w:rsid w:val="004B2C99"/>
    <w:rsid w:val="004B3D3E"/>
    <w:rsid w:val="004B41C4"/>
    <w:rsid w:val="004B4F06"/>
    <w:rsid w:val="004B4FF4"/>
    <w:rsid w:val="004B5028"/>
    <w:rsid w:val="004B5E1B"/>
    <w:rsid w:val="004B71F2"/>
    <w:rsid w:val="004C14AC"/>
    <w:rsid w:val="004C1508"/>
    <w:rsid w:val="004C1892"/>
    <w:rsid w:val="004C1D06"/>
    <w:rsid w:val="004C1F4F"/>
    <w:rsid w:val="004C2706"/>
    <w:rsid w:val="004C2A44"/>
    <w:rsid w:val="004C2B24"/>
    <w:rsid w:val="004C3772"/>
    <w:rsid w:val="004C3A5D"/>
    <w:rsid w:val="004C40BE"/>
    <w:rsid w:val="004C43B0"/>
    <w:rsid w:val="004C45D1"/>
    <w:rsid w:val="004C681F"/>
    <w:rsid w:val="004C6AAB"/>
    <w:rsid w:val="004C6F65"/>
    <w:rsid w:val="004C7296"/>
    <w:rsid w:val="004C72C9"/>
    <w:rsid w:val="004C7859"/>
    <w:rsid w:val="004C7EE8"/>
    <w:rsid w:val="004D081C"/>
    <w:rsid w:val="004D08CF"/>
    <w:rsid w:val="004D1269"/>
    <w:rsid w:val="004D1393"/>
    <w:rsid w:val="004D1815"/>
    <w:rsid w:val="004D1856"/>
    <w:rsid w:val="004D195E"/>
    <w:rsid w:val="004D2488"/>
    <w:rsid w:val="004D3210"/>
    <w:rsid w:val="004D3963"/>
    <w:rsid w:val="004D4066"/>
    <w:rsid w:val="004D43C4"/>
    <w:rsid w:val="004D5274"/>
    <w:rsid w:val="004D5CA0"/>
    <w:rsid w:val="004D70BF"/>
    <w:rsid w:val="004D7A3A"/>
    <w:rsid w:val="004E006D"/>
    <w:rsid w:val="004E01BA"/>
    <w:rsid w:val="004E0A2B"/>
    <w:rsid w:val="004E1BC9"/>
    <w:rsid w:val="004E202C"/>
    <w:rsid w:val="004E2160"/>
    <w:rsid w:val="004E286B"/>
    <w:rsid w:val="004E2FBF"/>
    <w:rsid w:val="004E34F9"/>
    <w:rsid w:val="004E474D"/>
    <w:rsid w:val="004E5760"/>
    <w:rsid w:val="004E680D"/>
    <w:rsid w:val="004F145D"/>
    <w:rsid w:val="004F1FB0"/>
    <w:rsid w:val="004F2F51"/>
    <w:rsid w:val="004F34E3"/>
    <w:rsid w:val="004F41F9"/>
    <w:rsid w:val="004F4566"/>
    <w:rsid w:val="004F53EE"/>
    <w:rsid w:val="004F54EC"/>
    <w:rsid w:val="004F58C8"/>
    <w:rsid w:val="004F619A"/>
    <w:rsid w:val="004F666C"/>
    <w:rsid w:val="00500E5D"/>
    <w:rsid w:val="00500F08"/>
    <w:rsid w:val="0050189B"/>
    <w:rsid w:val="00501AE3"/>
    <w:rsid w:val="00501BFB"/>
    <w:rsid w:val="00501C05"/>
    <w:rsid w:val="00502A9C"/>
    <w:rsid w:val="005035AD"/>
    <w:rsid w:val="0050421B"/>
    <w:rsid w:val="00505664"/>
    <w:rsid w:val="005067B4"/>
    <w:rsid w:val="00506F6E"/>
    <w:rsid w:val="00506FC5"/>
    <w:rsid w:val="00507549"/>
    <w:rsid w:val="00507EEC"/>
    <w:rsid w:val="0051065C"/>
    <w:rsid w:val="00510AC9"/>
    <w:rsid w:val="005112C7"/>
    <w:rsid w:val="00511827"/>
    <w:rsid w:val="00512A93"/>
    <w:rsid w:val="005133A2"/>
    <w:rsid w:val="00513BAA"/>
    <w:rsid w:val="00513DB6"/>
    <w:rsid w:val="005144A0"/>
    <w:rsid w:val="00514A11"/>
    <w:rsid w:val="00514A71"/>
    <w:rsid w:val="005159DB"/>
    <w:rsid w:val="00515CCB"/>
    <w:rsid w:val="00516BB5"/>
    <w:rsid w:val="00520478"/>
    <w:rsid w:val="00520DD4"/>
    <w:rsid w:val="0052114F"/>
    <w:rsid w:val="00521607"/>
    <w:rsid w:val="0052192F"/>
    <w:rsid w:val="0052225C"/>
    <w:rsid w:val="0052255A"/>
    <w:rsid w:val="005226AE"/>
    <w:rsid w:val="00522EA5"/>
    <w:rsid w:val="00522F9A"/>
    <w:rsid w:val="00523068"/>
    <w:rsid w:val="005234A7"/>
    <w:rsid w:val="00523F63"/>
    <w:rsid w:val="005241D6"/>
    <w:rsid w:val="005247AD"/>
    <w:rsid w:val="00524EF9"/>
    <w:rsid w:val="0052688A"/>
    <w:rsid w:val="00526F49"/>
    <w:rsid w:val="005276E1"/>
    <w:rsid w:val="00530B6F"/>
    <w:rsid w:val="0053105A"/>
    <w:rsid w:val="00531FAB"/>
    <w:rsid w:val="005326E2"/>
    <w:rsid w:val="00532BAE"/>
    <w:rsid w:val="005336F2"/>
    <w:rsid w:val="00533AA9"/>
    <w:rsid w:val="00533FCB"/>
    <w:rsid w:val="005340B4"/>
    <w:rsid w:val="00534285"/>
    <w:rsid w:val="005343BD"/>
    <w:rsid w:val="005343F3"/>
    <w:rsid w:val="0053591D"/>
    <w:rsid w:val="00535D72"/>
    <w:rsid w:val="00535E29"/>
    <w:rsid w:val="005372B8"/>
    <w:rsid w:val="00537428"/>
    <w:rsid w:val="00537F8C"/>
    <w:rsid w:val="00540353"/>
    <w:rsid w:val="00542460"/>
    <w:rsid w:val="00542B3D"/>
    <w:rsid w:val="00542DF5"/>
    <w:rsid w:val="00543036"/>
    <w:rsid w:val="00543D05"/>
    <w:rsid w:val="00544B2F"/>
    <w:rsid w:val="00544DD8"/>
    <w:rsid w:val="00545425"/>
    <w:rsid w:val="00546303"/>
    <w:rsid w:val="0054639F"/>
    <w:rsid w:val="00546F11"/>
    <w:rsid w:val="0055017E"/>
    <w:rsid w:val="00550430"/>
    <w:rsid w:val="005543BB"/>
    <w:rsid w:val="00554A3D"/>
    <w:rsid w:val="00554A90"/>
    <w:rsid w:val="00555153"/>
    <w:rsid w:val="0055525A"/>
    <w:rsid w:val="00555B37"/>
    <w:rsid w:val="0055631B"/>
    <w:rsid w:val="00556901"/>
    <w:rsid w:val="0055695D"/>
    <w:rsid w:val="005569F2"/>
    <w:rsid w:val="00556AB8"/>
    <w:rsid w:val="0055748E"/>
    <w:rsid w:val="00557CF8"/>
    <w:rsid w:val="00561479"/>
    <w:rsid w:val="00561DE6"/>
    <w:rsid w:val="00562410"/>
    <w:rsid w:val="00562517"/>
    <w:rsid w:val="00564225"/>
    <w:rsid w:val="00564BAB"/>
    <w:rsid w:val="005653BC"/>
    <w:rsid w:val="00565A54"/>
    <w:rsid w:val="00565AD4"/>
    <w:rsid w:val="0056663A"/>
    <w:rsid w:val="00566C96"/>
    <w:rsid w:val="005701B7"/>
    <w:rsid w:val="00570A7D"/>
    <w:rsid w:val="00570CF3"/>
    <w:rsid w:val="00571180"/>
    <w:rsid w:val="00571BF8"/>
    <w:rsid w:val="00571C27"/>
    <w:rsid w:val="00571FA2"/>
    <w:rsid w:val="0057357E"/>
    <w:rsid w:val="00573FFC"/>
    <w:rsid w:val="005748F1"/>
    <w:rsid w:val="00574F2B"/>
    <w:rsid w:val="00575397"/>
    <w:rsid w:val="0057628E"/>
    <w:rsid w:val="005770D8"/>
    <w:rsid w:val="005778FF"/>
    <w:rsid w:val="005807B2"/>
    <w:rsid w:val="00580B2E"/>
    <w:rsid w:val="00581977"/>
    <w:rsid w:val="0058213D"/>
    <w:rsid w:val="0058492C"/>
    <w:rsid w:val="00584D71"/>
    <w:rsid w:val="00584D9A"/>
    <w:rsid w:val="00584FE1"/>
    <w:rsid w:val="00585BCE"/>
    <w:rsid w:val="00586F5A"/>
    <w:rsid w:val="0058763D"/>
    <w:rsid w:val="005902B3"/>
    <w:rsid w:val="00590463"/>
    <w:rsid w:val="005908C3"/>
    <w:rsid w:val="00590E92"/>
    <w:rsid w:val="005913EB"/>
    <w:rsid w:val="005916C7"/>
    <w:rsid w:val="0059171A"/>
    <w:rsid w:val="00591C76"/>
    <w:rsid w:val="00595B63"/>
    <w:rsid w:val="005965B2"/>
    <w:rsid w:val="00596A26"/>
    <w:rsid w:val="00596EDE"/>
    <w:rsid w:val="00597375"/>
    <w:rsid w:val="00597869"/>
    <w:rsid w:val="00597B29"/>
    <w:rsid w:val="00597EDF"/>
    <w:rsid w:val="005A0034"/>
    <w:rsid w:val="005A100A"/>
    <w:rsid w:val="005A1469"/>
    <w:rsid w:val="005A18FD"/>
    <w:rsid w:val="005A1B7B"/>
    <w:rsid w:val="005A2BB2"/>
    <w:rsid w:val="005A2E47"/>
    <w:rsid w:val="005A5108"/>
    <w:rsid w:val="005A5724"/>
    <w:rsid w:val="005A6166"/>
    <w:rsid w:val="005A6C1A"/>
    <w:rsid w:val="005A7A34"/>
    <w:rsid w:val="005A7FAE"/>
    <w:rsid w:val="005B092D"/>
    <w:rsid w:val="005B0B4E"/>
    <w:rsid w:val="005B0CD9"/>
    <w:rsid w:val="005B0F8E"/>
    <w:rsid w:val="005B184C"/>
    <w:rsid w:val="005B2278"/>
    <w:rsid w:val="005B2434"/>
    <w:rsid w:val="005B3E98"/>
    <w:rsid w:val="005B4483"/>
    <w:rsid w:val="005B4513"/>
    <w:rsid w:val="005B4982"/>
    <w:rsid w:val="005B4F2E"/>
    <w:rsid w:val="005B523B"/>
    <w:rsid w:val="005B5DB8"/>
    <w:rsid w:val="005B6DEB"/>
    <w:rsid w:val="005B7B55"/>
    <w:rsid w:val="005C05F6"/>
    <w:rsid w:val="005C0F65"/>
    <w:rsid w:val="005C175C"/>
    <w:rsid w:val="005C2439"/>
    <w:rsid w:val="005C271F"/>
    <w:rsid w:val="005C2C49"/>
    <w:rsid w:val="005C2D7E"/>
    <w:rsid w:val="005C3BD2"/>
    <w:rsid w:val="005C4263"/>
    <w:rsid w:val="005C42AF"/>
    <w:rsid w:val="005C441B"/>
    <w:rsid w:val="005C4A43"/>
    <w:rsid w:val="005C4C60"/>
    <w:rsid w:val="005C4EC3"/>
    <w:rsid w:val="005C632A"/>
    <w:rsid w:val="005C6437"/>
    <w:rsid w:val="005C6657"/>
    <w:rsid w:val="005D04D8"/>
    <w:rsid w:val="005D07D8"/>
    <w:rsid w:val="005D1149"/>
    <w:rsid w:val="005D1200"/>
    <w:rsid w:val="005D1BDC"/>
    <w:rsid w:val="005D22EB"/>
    <w:rsid w:val="005D266C"/>
    <w:rsid w:val="005D2CFF"/>
    <w:rsid w:val="005D37C1"/>
    <w:rsid w:val="005D4287"/>
    <w:rsid w:val="005D4885"/>
    <w:rsid w:val="005D498F"/>
    <w:rsid w:val="005D5CDD"/>
    <w:rsid w:val="005D6E30"/>
    <w:rsid w:val="005D7D2F"/>
    <w:rsid w:val="005E0FCC"/>
    <w:rsid w:val="005E1437"/>
    <w:rsid w:val="005E1D57"/>
    <w:rsid w:val="005E1E8B"/>
    <w:rsid w:val="005E333B"/>
    <w:rsid w:val="005E407A"/>
    <w:rsid w:val="005E6AAB"/>
    <w:rsid w:val="005E7BCC"/>
    <w:rsid w:val="005E7C8A"/>
    <w:rsid w:val="005F06AE"/>
    <w:rsid w:val="005F1968"/>
    <w:rsid w:val="005F1C06"/>
    <w:rsid w:val="005F35F6"/>
    <w:rsid w:val="005F3A09"/>
    <w:rsid w:val="005F4D95"/>
    <w:rsid w:val="005F59E4"/>
    <w:rsid w:val="005F6693"/>
    <w:rsid w:val="005F766F"/>
    <w:rsid w:val="005F7B5D"/>
    <w:rsid w:val="006019AF"/>
    <w:rsid w:val="00601F72"/>
    <w:rsid w:val="00602822"/>
    <w:rsid w:val="00602856"/>
    <w:rsid w:val="00602CA1"/>
    <w:rsid w:val="00605591"/>
    <w:rsid w:val="00605976"/>
    <w:rsid w:val="00605A95"/>
    <w:rsid w:val="00605AD5"/>
    <w:rsid w:val="00606E2C"/>
    <w:rsid w:val="00606FF3"/>
    <w:rsid w:val="00611041"/>
    <w:rsid w:val="00611BDE"/>
    <w:rsid w:val="00611CF7"/>
    <w:rsid w:val="0061269B"/>
    <w:rsid w:val="0061292F"/>
    <w:rsid w:val="00612B35"/>
    <w:rsid w:val="00613831"/>
    <w:rsid w:val="00615C38"/>
    <w:rsid w:val="00615ECE"/>
    <w:rsid w:val="006162B8"/>
    <w:rsid w:val="00616826"/>
    <w:rsid w:val="00616A6B"/>
    <w:rsid w:val="00616AB8"/>
    <w:rsid w:val="00616FA6"/>
    <w:rsid w:val="00617688"/>
    <w:rsid w:val="00617D5C"/>
    <w:rsid w:val="0062216F"/>
    <w:rsid w:val="00622AAD"/>
    <w:rsid w:val="0062446E"/>
    <w:rsid w:val="00624615"/>
    <w:rsid w:val="00624C73"/>
    <w:rsid w:val="0062584A"/>
    <w:rsid w:val="00626414"/>
    <w:rsid w:val="006272BF"/>
    <w:rsid w:val="00627D8B"/>
    <w:rsid w:val="00627E0D"/>
    <w:rsid w:val="006302A4"/>
    <w:rsid w:val="00630DA3"/>
    <w:rsid w:val="006317D6"/>
    <w:rsid w:val="00631AB7"/>
    <w:rsid w:val="00632BE4"/>
    <w:rsid w:val="0063482B"/>
    <w:rsid w:val="006360BC"/>
    <w:rsid w:val="0063697D"/>
    <w:rsid w:val="00637021"/>
    <w:rsid w:val="00637395"/>
    <w:rsid w:val="0063755D"/>
    <w:rsid w:val="0063779E"/>
    <w:rsid w:val="006377CA"/>
    <w:rsid w:val="0064253B"/>
    <w:rsid w:val="006435E7"/>
    <w:rsid w:val="00643900"/>
    <w:rsid w:val="006446CD"/>
    <w:rsid w:val="006452F0"/>
    <w:rsid w:val="00645BAF"/>
    <w:rsid w:val="00645BE4"/>
    <w:rsid w:val="006460DC"/>
    <w:rsid w:val="00646941"/>
    <w:rsid w:val="00646B0E"/>
    <w:rsid w:val="00647415"/>
    <w:rsid w:val="00647D9E"/>
    <w:rsid w:val="006503CA"/>
    <w:rsid w:val="006506AB"/>
    <w:rsid w:val="006509F6"/>
    <w:rsid w:val="006511CD"/>
    <w:rsid w:val="00652410"/>
    <w:rsid w:val="00652C15"/>
    <w:rsid w:val="00653CB9"/>
    <w:rsid w:val="006545B2"/>
    <w:rsid w:val="006547D8"/>
    <w:rsid w:val="00655874"/>
    <w:rsid w:val="00656144"/>
    <w:rsid w:val="00656760"/>
    <w:rsid w:val="00660416"/>
    <w:rsid w:val="006608BA"/>
    <w:rsid w:val="00660A73"/>
    <w:rsid w:val="00660B98"/>
    <w:rsid w:val="006623E8"/>
    <w:rsid w:val="00663850"/>
    <w:rsid w:val="00663B2F"/>
    <w:rsid w:val="00663E32"/>
    <w:rsid w:val="00664551"/>
    <w:rsid w:val="00664BBE"/>
    <w:rsid w:val="006656A7"/>
    <w:rsid w:val="0066616D"/>
    <w:rsid w:val="00666478"/>
    <w:rsid w:val="00666AC5"/>
    <w:rsid w:val="00666C51"/>
    <w:rsid w:val="00667209"/>
    <w:rsid w:val="00667DF7"/>
    <w:rsid w:val="006740A8"/>
    <w:rsid w:val="00674AF5"/>
    <w:rsid w:val="00675050"/>
    <w:rsid w:val="00675154"/>
    <w:rsid w:val="0067674E"/>
    <w:rsid w:val="006772D8"/>
    <w:rsid w:val="00677667"/>
    <w:rsid w:val="00680622"/>
    <w:rsid w:val="00681919"/>
    <w:rsid w:val="00682356"/>
    <w:rsid w:val="006823DC"/>
    <w:rsid w:val="00682689"/>
    <w:rsid w:val="00682F79"/>
    <w:rsid w:val="00682FC7"/>
    <w:rsid w:val="00683532"/>
    <w:rsid w:val="00683969"/>
    <w:rsid w:val="00684573"/>
    <w:rsid w:val="00685013"/>
    <w:rsid w:val="00686125"/>
    <w:rsid w:val="00686185"/>
    <w:rsid w:val="0068675C"/>
    <w:rsid w:val="00686D48"/>
    <w:rsid w:val="00690B1B"/>
    <w:rsid w:val="00690D48"/>
    <w:rsid w:val="00692A7F"/>
    <w:rsid w:val="00693997"/>
    <w:rsid w:val="00694074"/>
    <w:rsid w:val="00694696"/>
    <w:rsid w:val="006948F4"/>
    <w:rsid w:val="00696532"/>
    <w:rsid w:val="00696C49"/>
    <w:rsid w:val="00697057"/>
    <w:rsid w:val="006970C3"/>
    <w:rsid w:val="006972CA"/>
    <w:rsid w:val="00697B40"/>
    <w:rsid w:val="006A0426"/>
    <w:rsid w:val="006A1BEB"/>
    <w:rsid w:val="006A2724"/>
    <w:rsid w:val="006A34DE"/>
    <w:rsid w:val="006A4CAF"/>
    <w:rsid w:val="006A4D24"/>
    <w:rsid w:val="006A4FE9"/>
    <w:rsid w:val="006A5137"/>
    <w:rsid w:val="006A5D26"/>
    <w:rsid w:val="006A622D"/>
    <w:rsid w:val="006A6764"/>
    <w:rsid w:val="006A6E0F"/>
    <w:rsid w:val="006A7912"/>
    <w:rsid w:val="006A7DE0"/>
    <w:rsid w:val="006A7E40"/>
    <w:rsid w:val="006B0030"/>
    <w:rsid w:val="006B01F9"/>
    <w:rsid w:val="006B0407"/>
    <w:rsid w:val="006B0439"/>
    <w:rsid w:val="006B1957"/>
    <w:rsid w:val="006B248B"/>
    <w:rsid w:val="006B36A0"/>
    <w:rsid w:val="006B52B8"/>
    <w:rsid w:val="006B5F62"/>
    <w:rsid w:val="006B7436"/>
    <w:rsid w:val="006C0648"/>
    <w:rsid w:val="006C17F0"/>
    <w:rsid w:val="006C1EA0"/>
    <w:rsid w:val="006C21D0"/>
    <w:rsid w:val="006C3C71"/>
    <w:rsid w:val="006C4139"/>
    <w:rsid w:val="006C447B"/>
    <w:rsid w:val="006C54D4"/>
    <w:rsid w:val="006C5737"/>
    <w:rsid w:val="006C5D1E"/>
    <w:rsid w:val="006C5F3E"/>
    <w:rsid w:val="006C7191"/>
    <w:rsid w:val="006D1703"/>
    <w:rsid w:val="006D2903"/>
    <w:rsid w:val="006D301B"/>
    <w:rsid w:val="006D315E"/>
    <w:rsid w:val="006D4033"/>
    <w:rsid w:val="006D454D"/>
    <w:rsid w:val="006D4CAA"/>
    <w:rsid w:val="006D511C"/>
    <w:rsid w:val="006D5433"/>
    <w:rsid w:val="006D5969"/>
    <w:rsid w:val="006D5DAC"/>
    <w:rsid w:val="006D6551"/>
    <w:rsid w:val="006D6D4F"/>
    <w:rsid w:val="006D7C76"/>
    <w:rsid w:val="006E0CB4"/>
    <w:rsid w:val="006E1213"/>
    <w:rsid w:val="006E2C04"/>
    <w:rsid w:val="006E32C0"/>
    <w:rsid w:val="006E37D2"/>
    <w:rsid w:val="006E3E4F"/>
    <w:rsid w:val="006E429B"/>
    <w:rsid w:val="006E62AD"/>
    <w:rsid w:val="006E6701"/>
    <w:rsid w:val="006E72A1"/>
    <w:rsid w:val="006F0A68"/>
    <w:rsid w:val="006F0B07"/>
    <w:rsid w:val="006F175D"/>
    <w:rsid w:val="006F1985"/>
    <w:rsid w:val="006F1D7A"/>
    <w:rsid w:val="006F225C"/>
    <w:rsid w:val="006F317A"/>
    <w:rsid w:val="006F34A5"/>
    <w:rsid w:val="006F39EF"/>
    <w:rsid w:val="006F3A78"/>
    <w:rsid w:val="006F4061"/>
    <w:rsid w:val="006F4B1D"/>
    <w:rsid w:val="006F4F13"/>
    <w:rsid w:val="006F5CFB"/>
    <w:rsid w:val="006F6354"/>
    <w:rsid w:val="006F6543"/>
    <w:rsid w:val="006F6630"/>
    <w:rsid w:val="006F730E"/>
    <w:rsid w:val="006F73A3"/>
    <w:rsid w:val="00700759"/>
    <w:rsid w:val="00700D88"/>
    <w:rsid w:val="00701815"/>
    <w:rsid w:val="007019CF"/>
    <w:rsid w:val="0070230E"/>
    <w:rsid w:val="007027EF"/>
    <w:rsid w:val="00702882"/>
    <w:rsid w:val="007035D6"/>
    <w:rsid w:val="007065FE"/>
    <w:rsid w:val="00707873"/>
    <w:rsid w:val="00711130"/>
    <w:rsid w:val="00712A32"/>
    <w:rsid w:val="00712A8B"/>
    <w:rsid w:val="00713D48"/>
    <w:rsid w:val="00714209"/>
    <w:rsid w:val="0071465E"/>
    <w:rsid w:val="00715FC6"/>
    <w:rsid w:val="007169AE"/>
    <w:rsid w:val="00716D16"/>
    <w:rsid w:val="00716EB2"/>
    <w:rsid w:val="00717233"/>
    <w:rsid w:val="00717C44"/>
    <w:rsid w:val="007206E0"/>
    <w:rsid w:val="00720F19"/>
    <w:rsid w:val="00721302"/>
    <w:rsid w:val="007231BB"/>
    <w:rsid w:val="0072367D"/>
    <w:rsid w:val="0072368F"/>
    <w:rsid w:val="00724BBD"/>
    <w:rsid w:val="00724E7D"/>
    <w:rsid w:val="007254E4"/>
    <w:rsid w:val="00725DC3"/>
    <w:rsid w:val="00726272"/>
    <w:rsid w:val="00726A64"/>
    <w:rsid w:val="007270F7"/>
    <w:rsid w:val="007316DE"/>
    <w:rsid w:val="00731D02"/>
    <w:rsid w:val="00732697"/>
    <w:rsid w:val="00732C7E"/>
    <w:rsid w:val="00732ED9"/>
    <w:rsid w:val="00733785"/>
    <w:rsid w:val="00733E51"/>
    <w:rsid w:val="007343F8"/>
    <w:rsid w:val="00735BBA"/>
    <w:rsid w:val="007363EA"/>
    <w:rsid w:val="0073697C"/>
    <w:rsid w:val="00736EF7"/>
    <w:rsid w:val="00737D53"/>
    <w:rsid w:val="00741A82"/>
    <w:rsid w:val="00743886"/>
    <w:rsid w:val="00743A37"/>
    <w:rsid w:val="007446A6"/>
    <w:rsid w:val="0074546B"/>
    <w:rsid w:val="00745E25"/>
    <w:rsid w:val="00746623"/>
    <w:rsid w:val="007466B6"/>
    <w:rsid w:val="00746704"/>
    <w:rsid w:val="0074706D"/>
    <w:rsid w:val="00747A47"/>
    <w:rsid w:val="007510B0"/>
    <w:rsid w:val="00751E38"/>
    <w:rsid w:val="007522EB"/>
    <w:rsid w:val="00753C6B"/>
    <w:rsid w:val="00753D46"/>
    <w:rsid w:val="007542E6"/>
    <w:rsid w:val="007547EC"/>
    <w:rsid w:val="007552FC"/>
    <w:rsid w:val="00756C86"/>
    <w:rsid w:val="00756D63"/>
    <w:rsid w:val="0076052C"/>
    <w:rsid w:val="00760A90"/>
    <w:rsid w:val="00761413"/>
    <w:rsid w:val="007637E0"/>
    <w:rsid w:val="0076643A"/>
    <w:rsid w:val="00766C18"/>
    <w:rsid w:val="007676F9"/>
    <w:rsid w:val="00770CE0"/>
    <w:rsid w:val="0077336E"/>
    <w:rsid w:val="007735B7"/>
    <w:rsid w:val="00773B1B"/>
    <w:rsid w:val="00773B5B"/>
    <w:rsid w:val="007744A5"/>
    <w:rsid w:val="00775000"/>
    <w:rsid w:val="0077552B"/>
    <w:rsid w:val="00775CE3"/>
    <w:rsid w:val="00776DBB"/>
    <w:rsid w:val="00777462"/>
    <w:rsid w:val="00777642"/>
    <w:rsid w:val="0078034D"/>
    <w:rsid w:val="00780F83"/>
    <w:rsid w:val="00781372"/>
    <w:rsid w:val="00781ABB"/>
    <w:rsid w:val="00782ECF"/>
    <w:rsid w:val="00783026"/>
    <w:rsid w:val="00784589"/>
    <w:rsid w:val="0078472E"/>
    <w:rsid w:val="0078497A"/>
    <w:rsid w:val="00784FD8"/>
    <w:rsid w:val="00785A09"/>
    <w:rsid w:val="007867E0"/>
    <w:rsid w:val="00790D60"/>
    <w:rsid w:val="0079255F"/>
    <w:rsid w:val="00792ABF"/>
    <w:rsid w:val="00792CB3"/>
    <w:rsid w:val="00792E29"/>
    <w:rsid w:val="007930FD"/>
    <w:rsid w:val="007936E8"/>
    <w:rsid w:val="00794528"/>
    <w:rsid w:val="007954AC"/>
    <w:rsid w:val="0079593C"/>
    <w:rsid w:val="00795BD1"/>
    <w:rsid w:val="007964C3"/>
    <w:rsid w:val="00796D52"/>
    <w:rsid w:val="00796D9A"/>
    <w:rsid w:val="00796ECA"/>
    <w:rsid w:val="007A02CF"/>
    <w:rsid w:val="007A0609"/>
    <w:rsid w:val="007A2387"/>
    <w:rsid w:val="007A3104"/>
    <w:rsid w:val="007A3900"/>
    <w:rsid w:val="007A3A2C"/>
    <w:rsid w:val="007A3B6F"/>
    <w:rsid w:val="007A4F3F"/>
    <w:rsid w:val="007A63CA"/>
    <w:rsid w:val="007A63D9"/>
    <w:rsid w:val="007A7867"/>
    <w:rsid w:val="007A7B33"/>
    <w:rsid w:val="007A7D79"/>
    <w:rsid w:val="007B0500"/>
    <w:rsid w:val="007B1475"/>
    <w:rsid w:val="007B18A7"/>
    <w:rsid w:val="007B2F45"/>
    <w:rsid w:val="007B3FA0"/>
    <w:rsid w:val="007B459D"/>
    <w:rsid w:val="007B49E9"/>
    <w:rsid w:val="007B4FE0"/>
    <w:rsid w:val="007B530C"/>
    <w:rsid w:val="007B644B"/>
    <w:rsid w:val="007B6B4C"/>
    <w:rsid w:val="007B795B"/>
    <w:rsid w:val="007C07AC"/>
    <w:rsid w:val="007C08FD"/>
    <w:rsid w:val="007C1CA3"/>
    <w:rsid w:val="007C3041"/>
    <w:rsid w:val="007C3132"/>
    <w:rsid w:val="007C448E"/>
    <w:rsid w:val="007C44A9"/>
    <w:rsid w:val="007C4EB5"/>
    <w:rsid w:val="007C5BE6"/>
    <w:rsid w:val="007C60BB"/>
    <w:rsid w:val="007C6375"/>
    <w:rsid w:val="007C64C3"/>
    <w:rsid w:val="007C7032"/>
    <w:rsid w:val="007C77E7"/>
    <w:rsid w:val="007D0FA4"/>
    <w:rsid w:val="007D10AF"/>
    <w:rsid w:val="007D14EE"/>
    <w:rsid w:val="007D1871"/>
    <w:rsid w:val="007D239D"/>
    <w:rsid w:val="007D2985"/>
    <w:rsid w:val="007D2A8D"/>
    <w:rsid w:val="007D2BFE"/>
    <w:rsid w:val="007D2CC0"/>
    <w:rsid w:val="007D30A9"/>
    <w:rsid w:val="007D46AC"/>
    <w:rsid w:val="007D4EF9"/>
    <w:rsid w:val="007D523C"/>
    <w:rsid w:val="007D536F"/>
    <w:rsid w:val="007D57FE"/>
    <w:rsid w:val="007D6ADA"/>
    <w:rsid w:val="007D7479"/>
    <w:rsid w:val="007D79CD"/>
    <w:rsid w:val="007D7D73"/>
    <w:rsid w:val="007E0591"/>
    <w:rsid w:val="007E0A7C"/>
    <w:rsid w:val="007E0C9F"/>
    <w:rsid w:val="007E0F18"/>
    <w:rsid w:val="007E0F5F"/>
    <w:rsid w:val="007E44AD"/>
    <w:rsid w:val="007E552D"/>
    <w:rsid w:val="007E6F96"/>
    <w:rsid w:val="007E7B86"/>
    <w:rsid w:val="007E7C77"/>
    <w:rsid w:val="007E7D05"/>
    <w:rsid w:val="007F13E8"/>
    <w:rsid w:val="007F1484"/>
    <w:rsid w:val="007F1719"/>
    <w:rsid w:val="007F2860"/>
    <w:rsid w:val="007F313F"/>
    <w:rsid w:val="007F31F6"/>
    <w:rsid w:val="007F335C"/>
    <w:rsid w:val="007F4D25"/>
    <w:rsid w:val="007F51A8"/>
    <w:rsid w:val="007F51F3"/>
    <w:rsid w:val="007F5487"/>
    <w:rsid w:val="007F6402"/>
    <w:rsid w:val="007F6A23"/>
    <w:rsid w:val="007F7A5F"/>
    <w:rsid w:val="0080034A"/>
    <w:rsid w:val="00800E85"/>
    <w:rsid w:val="00801168"/>
    <w:rsid w:val="0080126E"/>
    <w:rsid w:val="008014F7"/>
    <w:rsid w:val="00802254"/>
    <w:rsid w:val="0080249A"/>
    <w:rsid w:val="008026ED"/>
    <w:rsid w:val="00804429"/>
    <w:rsid w:val="0080470F"/>
    <w:rsid w:val="0080482C"/>
    <w:rsid w:val="00805474"/>
    <w:rsid w:val="00807C3D"/>
    <w:rsid w:val="00807D00"/>
    <w:rsid w:val="00810002"/>
    <w:rsid w:val="0081080B"/>
    <w:rsid w:val="00810B7B"/>
    <w:rsid w:val="008111D3"/>
    <w:rsid w:val="00812269"/>
    <w:rsid w:val="008145B5"/>
    <w:rsid w:val="00814637"/>
    <w:rsid w:val="008154CD"/>
    <w:rsid w:val="008162CB"/>
    <w:rsid w:val="00816EAB"/>
    <w:rsid w:val="00817E3D"/>
    <w:rsid w:val="008202A7"/>
    <w:rsid w:val="00820BB3"/>
    <w:rsid w:val="00821317"/>
    <w:rsid w:val="00821A96"/>
    <w:rsid w:val="00822317"/>
    <w:rsid w:val="0082285F"/>
    <w:rsid w:val="00822B8A"/>
    <w:rsid w:val="008233AA"/>
    <w:rsid w:val="008239ED"/>
    <w:rsid w:val="00824078"/>
    <w:rsid w:val="0082485E"/>
    <w:rsid w:val="00824E12"/>
    <w:rsid w:val="008250D4"/>
    <w:rsid w:val="00826191"/>
    <w:rsid w:val="00826CE0"/>
    <w:rsid w:val="00827028"/>
    <w:rsid w:val="008272FF"/>
    <w:rsid w:val="00830E9A"/>
    <w:rsid w:val="00831164"/>
    <w:rsid w:val="00832776"/>
    <w:rsid w:val="00832A4E"/>
    <w:rsid w:val="0083329B"/>
    <w:rsid w:val="008335B2"/>
    <w:rsid w:val="0083373A"/>
    <w:rsid w:val="008342AD"/>
    <w:rsid w:val="00834FA6"/>
    <w:rsid w:val="00835553"/>
    <w:rsid w:val="00835870"/>
    <w:rsid w:val="00835B48"/>
    <w:rsid w:val="00835D90"/>
    <w:rsid w:val="00836FD3"/>
    <w:rsid w:val="00837067"/>
    <w:rsid w:val="00837948"/>
    <w:rsid w:val="00840330"/>
    <w:rsid w:val="00841064"/>
    <w:rsid w:val="00841477"/>
    <w:rsid w:val="00842C1E"/>
    <w:rsid w:val="00844385"/>
    <w:rsid w:val="00844CDF"/>
    <w:rsid w:val="00844DDA"/>
    <w:rsid w:val="008450A3"/>
    <w:rsid w:val="00845BC5"/>
    <w:rsid w:val="008461FB"/>
    <w:rsid w:val="0084672F"/>
    <w:rsid w:val="00846892"/>
    <w:rsid w:val="00847294"/>
    <w:rsid w:val="00847B03"/>
    <w:rsid w:val="00850506"/>
    <w:rsid w:val="008508A9"/>
    <w:rsid w:val="0085105A"/>
    <w:rsid w:val="00851C00"/>
    <w:rsid w:val="00852834"/>
    <w:rsid w:val="008529C0"/>
    <w:rsid w:val="00852B83"/>
    <w:rsid w:val="00853148"/>
    <w:rsid w:val="0085319C"/>
    <w:rsid w:val="0085358E"/>
    <w:rsid w:val="00854616"/>
    <w:rsid w:val="00854FD5"/>
    <w:rsid w:val="00854FD7"/>
    <w:rsid w:val="008556CB"/>
    <w:rsid w:val="008557E2"/>
    <w:rsid w:val="00855A66"/>
    <w:rsid w:val="00855BAB"/>
    <w:rsid w:val="0085653E"/>
    <w:rsid w:val="00857249"/>
    <w:rsid w:val="00857394"/>
    <w:rsid w:val="008575D4"/>
    <w:rsid w:val="008602E4"/>
    <w:rsid w:val="00862BE6"/>
    <w:rsid w:val="00863539"/>
    <w:rsid w:val="00863646"/>
    <w:rsid w:val="00865278"/>
    <w:rsid w:val="00866139"/>
    <w:rsid w:val="008661FA"/>
    <w:rsid w:val="008666AC"/>
    <w:rsid w:val="00866A75"/>
    <w:rsid w:val="00866C8D"/>
    <w:rsid w:val="00866E40"/>
    <w:rsid w:val="00867C75"/>
    <w:rsid w:val="00870343"/>
    <w:rsid w:val="008730B6"/>
    <w:rsid w:val="0087313F"/>
    <w:rsid w:val="00873222"/>
    <w:rsid w:val="008745D6"/>
    <w:rsid w:val="00874BE4"/>
    <w:rsid w:val="00874FC4"/>
    <w:rsid w:val="008755C2"/>
    <w:rsid w:val="00875613"/>
    <w:rsid w:val="008757C6"/>
    <w:rsid w:val="0087696E"/>
    <w:rsid w:val="00876AD4"/>
    <w:rsid w:val="00877FF5"/>
    <w:rsid w:val="00880F4F"/>
    <w:rsid w:val="00882964"/>
    <w:rsid w:val="00883642"/>
    <w:rsid w:val="00884596"/>
    <w:rsid w:val="00885388"/>
    <w:rsid w:val="00886F22"/>
    <w:rsid w:val="00887748"/>
    <w:rsid w:val="00890EF2"/>
    <w:rsid w:val="00891817"/>
    <w:rsid w:val="00891DCB"/>
    <w:rsid w:val="00893C5C"/>
    <w:rsid w:val="00893D71"/>
    <w:rsid w:val="00894048"/>
    <w:rsid w:val="0089511F"/>
    <w:rsid w:val="008954D1"/>
    <w:rsid w:val="00895D9A"/>
    <w:rsid w:val="00895F6C"/>
    <w:rsid w:val="00896324"/>
    <w:rsid w:val="0089693B"/>
    <w:rsid w:val="00897D17"/>
    <w:rsid w:val="008A0346"/>
    <w:rsid w:val="008A10CD"/>
    <w:rsid w:val="008A23F7"/>
    <w:rsid w:val="008A2765"/>
    <w:rsid w:val="008A481F"/>
    <w:rsid w:val="008A4A61"/>
    <w:rsid w:val="008A4FC8"/>
    <w:rsid w:val="008A5BC3"/>
    <w:rsid w:val="008A61A9"/>
    <w:rsid w:val="008A6ED6"/>
    <w:rsid w:val="008A716E"/>
    <w:rsid w:val="008B0B53"/>
    <w:rsid w:val="008B1277"/>
    <w:rsid w:val="008B130D"/>
    <w:rsid w:val="008B1B7E"/>
    <w:rsid w:val="008B1C21"/>
    <w:rsid w:val="008B1F9B"/>
    <w:rsid w:val="008B2C73"/>
    <w:rsid w:val="008B43DF"/>
    <w:rsid w:val="008B5DAE"/>
    <w:rsid w:val="008B6AE4"/>
    <w:rsid w:val="008B70AB"/>
    <w:rsid w:val="008B79CC"/>
    <w:rsid w:val="008C0734"/>
    <w:rsid w:val="008C0E4F"/>
    <w:rsid w:val="008C0EF9"/>
    <w:rsid w:val="008C0FD1"/>
    <w:rsid w:val="008C107D"/>
    <w:rsid w:val="008C1809"/>
    <w:rsid w:val="008C193B"/>
    <w:rsid w:val="008C277E"/>
    <w:rsid w:val="008C3E3B"/>
    <w:rsid w:val="008C58FA"/>
    <w:rsid w:val="008C5E62"/>
    <w:rsid w:val="008C6255"/>
    <w:rsid w:val="008C641E"/>
    <w:rsid w:val="008C6425"/>
    <w:rsid w:val="008C7403"/>
    <w:rsid w:val="008C7960"/>
    <w:rsid w:val="008D11BE"/>
    <w:rsid w:val="008D1F9F"/>
    <w:rsid w:val="008D214E"/>
    <w:rsid w:val="008D32E8"/>
    <w:rsid w:val="008D37B5"/>
    <w:rsid w:val="008D51BC"/>
    <w:rsid w:val="008D54C4"/>
    <w:rsid w:val="008D60C5"/>
    <w:rsid w:val="008E0041"/>
    <w:rsid w:val="008E0584"/>
    <w:rsid w:val="008E10FF"/>
    <w:rsid w:val="008E1424"/>
    <w:rsid w:val="008E14A2"/>
    <w:rsid w:val="008E2338"/>
    <w:rsid w:val="008E24F5"/>
    <w:rsid w:val="008E24F6"/>
    <w:rsid w:val="008E2605"/>
    <w:rsid w:val="008E2640"/>
    <w:rsid w:val="008E34EF"/>
    <w:rsid w:val="008E3E89"/>
    <w:rsid w:val="008E3ED5"/>
    <w:rsid w:val="008E50CA"/>
    <w:rsid w:val="008E6256"/>
    <w:rsid w:val="008E69D3"/>
    <w:rsid w:val="008E6C19"/>
    <w:rsid w:val="008E753F"/>
    <w:rsid w:val="008E7B58"/>
    <w:rsid w:val="008F175F"/>
    <w:rsid w:val="008F1AAF"/>
    <w:rsid w:val="008F1E00"/>
    <w:rsid w:val="008F281B"/>
    <w:rsid w:val="008F2A87"/>
    <w:rsid w:val="008F2FA3"/>
    <w:rsid w:val="008F3262"/>
    <w:rsid w:val="008F3658"/>
    <w:rsid w:val="008F373D"/>
    <w:rsid w:val="008F37D5"/>
    <w:rsid w:val="008F42DA"/>
    <w:rsid w:val="008F522B"/>
    <w:rsid w:val="008F59D9"/>
    <w:rsid w:val="008F6119"/>
    <w:rsid w:val="008F6369"/>
    <w:rsid w:val="008F63BB"/>
    <w:rsid w:val="008F6832"/>
    <w:rsid w:val="008F6D75"/>
    <w:rsid w:val="008F6D8A"/>
    <w:rsid w:val="008F7C16"/>
    <w:rsid w:val="00901065"/>
    <w:rsid w:val="009015D9"/>
    <w:rsid w:val="00901B76"/>
    <w:rsid w:val="00901C14"/>
    <w:rsid w:val="00901DA3"/>
    <w:rsid w:val="00902708"/>
    <w:rsid w:val="0090303E"/>
    <w:rsid w:val="00903942"/>
    <w:rsid w:val="009053DE"/>
    <w:rsid w:val="00905410"/>
    <w:rsid w:val="00905494"/>
    <w:rsid w:val="00905D4C"/>
    <w:rsid w:val="00906333"/>
    <w:rsid w:val="0090677C"/>
    <w:rsid w:val="00906AC8"/>
    <w:rsid w:val="00906E9D"/>
    <w:rsid w:val="00907234"/>
    <w:rsid w:val="00910A98"/>
    <w:rsid w:val="00910E4F"/>
    <w:rsid w:val="00911409"/>
    <w:rsid w:val="009121E6"/>
    <w:rsid w:val="00912202"/>
    <w:rsid w:val="00912D3E"/>
    <w:rsid w:val="00915ADE"/>
    <w:rsid w:val="00915C13"/>
    <w:rsid w:val="009174AA"/>
    <w:rsid w:val="00917608"/>
    <w:rsid w:val="00920C21"/>
    <w:rsid w:val="0092148D"/>
    <w:rsid w:val="00921548"/>
    <w:rsid w:val="0092332B"/>
    <w:rsid w:val="00924556"/>
    <w:rsid w:val="00924A17"/>
    <w:rsid w:val="00924A9E"/>
    <w:rsid w:val="00924DE7"/>
    <w:rsid w:val="00925762"/>
    <w:rsid w:val="00926507"/>
    <w:rsid w:val="00927444"/>
    <w:rsid w:val="0092780E"/>
    <w:rsid w:val="00930064"/>
    <w:rsid w:val="00931DAC"/>
    <w:rsid w:val="0093246F"/>
    <w:rsid w:val="00933827"/>
    <w:rsid w:val="00933EB9"/>
    <w:rsid w:val="009347F3"/>
    <w:rsid w:val="009359FC"/>
    <w:rsid w:val="0093750B"/>
    <w:rsid w:val="00937A68"/>
    <w:rsid w:val="00940770"/>
    <w:rsid w:val="0094172C"/>
    <w:rsid w:val="009419E4"/>
    <w:rsid w:val="00941A4B"/>
    <w:rsid w:val="00942526"/>
    <w:rsid w:val="00943715"/>
    <w:rsid w:val="0094461F"/>
    <w:rsid w:val="00944B03"/>
    <w:rsid w:val="00945A7B"/>
    <w:rsid w:val="00946B8D"/>
    <w:rsid w:val="00947521"/>
    <w:rsid w:val="009522A7"/>
    <w:rsid w:val="00952763"/>
    <w:rsid w:val="00952D55"/>
    <w:rsid w:val="00953802"/>
    <w:rsid w:val="00954480"/>
    <w:rsid w:val="009548AF"/>
    <w:rsid w:val="009557F5"/>
    <w:rsid w:val="00955B54"/>
    <w:rsid w:val="00957289"/>
    <w:rsid w:val="00960DEF"/>
    <w:rsid w:val="009628BB"/>
    <w:rsid w:val="00963809"/>
    <w:rsid w:val="00964ED0"/>
    <w:rsid w:val="00965A46"/>
    <w:rsid w:val="009669E0"/>
    <w:rsid w:val="009673CE"/>
    <w:rsid w:val="00967B2F"/>
    <w:rsid w:val="00970F96"/>
    <w:rsid w:val="00971B4B"/>
    <w:rsid w:val="00971FDB"/>
    <w:rsid w:val="00972CBC"/>
    <w:rsid w:val="0097359D"/>
    <w:rsid w:val="00973633"/>
    <w:rsid w:val="009739DA"/>
    <w:rsid w:val="00973AAF"/>
    <w:rsid w:val="00973C21"/>
    <w:rsid w:val="00974FD8"/>
    <w:rsid w:val="009761B8"/>
    <w:rsid w:val="009763D6"/>
    <w:rsid w:val="0097744C"/>
    <w:rsid w:val="00977746"/>
    <w:rsid w:val="0097795E"/>
    <w:rsid w:val="00977D91"/>
    <w:rsid w:val="00980603"/>
    <w:rsid w:val="0098163D"/>
    <w:rsid w:val="00982025"/>
    <w:rsid w:val="00982832"/>
    <w:rsid w:val="00983FD0"/>
    <w:rsid w:val="009842F4"/>
    <w:rsid w:val="0098443B"/>
    <w:rsid w:val="00984C61"/>
    <w:rsid w:val="009865D1"/>
    <w:rsid w:val="00986E16"/>
    <w:rsid w:val="00987266"/>
    <w:rsid w:val="00990394"/>
    <w:rsid w:val="00990621"/>
    <w:rsid w:val="00990BBC"/>
    <w:rsid w:val="00990DFF"/>
    <w:rsid w:val="009919EC"/>
    <w:rsid w:val="00991BD7"/>
    <w:rsid w:val="009930B4"/>
    <w:rsid w:val="00993179"/>
    <w:rsid w:val="00993AFB"/>
    <w:rsid w:val="00994F1D"/>
    <w:rsid w:val="00994F32"/>
    <w:rsid w:val="00996012"/>
    <w:rsid w:val="0099612A"/>
    <w:rsid w:val="00996490"/>
    <w:rsid w:val="00996B55"/>
    <w:rsid w:val="00997EE8"/>
    <w:rsid w:val="009A0633"/>
    <w:rsid w:val="009A1458"/>
    <w:rsid w:val="009A1483"/>
    <w:rsid w:val="009A16B2"/>
    <w:rsid w:val="009A180C"/>
    <w:rsid w:val="009A2864"/>
    <w:rsid w:val="009A2BF2"/>
    <w:rsid w:val="009A46B3"/>
    <w:rsid w:val="009A4BE8"/>
    <w:rsid w:val="009A4EDD"/>
    <w:rsid w:val="009A568F"/>
    <w:rsid w:val="009A6128"/>
    <w:rsid w:val="009A66B1"/>
    <w:rsid w:val="009A696D"/>
    <w:rsid w:val="009A733B"/>
    <w:rsid w:val="009B06DC"/>
    <w:rsid w:val="009B12DF"/>
    <w:rsid w:val="009B2F1B"/>
    <w:rsid w:val="009B3A3D"/>
    <w:rsid w:val="009B4152"/>
    <w:rsid w:val="009B47A8"/>
    <w:rsid w:val="009B484A"/>
    <w:rsid w:val="009B55F9"/>
    <w:rsid w:val="009B5FD5"/>
    <w:rsid w:val="009B616E"/>
    <w:rsid w:val="009B67F6"/>
    <w:rsid w:val="009B6F41"/>
    <w:rsid w:val="009B7295"/>
    <w:rsid w:val="009B7839"/>
    <w:rsid w:val="009C07C7"/>
    <w:rsid w:val="009C1328"/>
    <w:rsid w:val="009C141F"/>
    <w:rsid w:val="009C21D8"/>
    <w:rsid w:val="009C2ED1"/>
    <w:rsid w:val="009C3474"/>
    <w:rsid w:val="009C46B0"/>
    <w:rsid w:val="009C4809"/>
    <w:rsid w:val="009C6743"/>
    <w:rsid w:val="009C7FA8"/>
    <w:rsid w:val="009D000B"/>
    <w:rsid w:val="009D4A08"/>
    <w:rsid w:val="009D4C26"/>
    <w:rsid w:val="009E087D"/>
    <w:rsid w:val="009E14FA"/>
    <w:rsid w:val="009E1A24"/>
    <w:rsid w:val="009E1C05"/>
    <w:rsid w:val="009E3AD8"/>
    <w:rsid w:val="009E3DD8"/>
    <w:rsid w:val="009E5411"/>
    <w:rsid w:val="009E5854"/>
    <w:rsid w:val="009E799E"/>
    <w:rsid w:val="009E7B9A"/>
    <w:rsid w:val="009F1364"/>
    <w:rsid w:val="009F2AA9"/>
    <w:rsid w:val="009F2D09"/>
    <w:rsid w:val="009F3188"/>
    <w:rsid w:val="009F32D3"/>
    <w:rsid w:val="009F4109"/>
    <w:rsid w:val="009F4679"/>
    <w:rsid w:val="009F4725"/>
    <w:rsid w:val="009F4D83"/>
    <w:rsid w:val="009F5A98"/>
    <w:rsid w:val="009F5BC2"/>
    <w:rsid w:val="009F5E48"/>
    <w:rsid w:val="009F664D"/>
    <w:rsid w:val="009F6885"/>
    <w:rsid w:val="009F78AA"/>
    <w:rsid w:val="00A00657"/>
    <w:rsid w:val="00A00A8E"/>
    <w:rsid w:val="00A01456"/>
    <w:rsid w:val="00A016E6"/>
    <w:rsid w:val="00A0184A"/>
    <w:rsid w:val="00A02F83"/>
    <w:rsid w:val="00A0314D"/>
    <w:rsid w:val="00A03F6A"/>
    <w:rsid w:val="00A0427C"/>
    <w:rsid w:val="00A04772"/>
    <w:rsid w:val="00A0528B"/>
    <w:rsid w:val="00A0596D"/>
    <w:rsid w:val="00A10010"/>
    <w:rsid w:val="00A10579"/>
    <w:rsid w:val="00A10DF3"/>
    <w:rsid w:val="00A11027"/>
    <w:rsid w:val="00A110CD"/>
    <w:rsid w:val="00A146A9"/>
    <w:rsid w:val="00A15D67"/>
    <w:rsid w:val="00A1606A"/>
    <w:rsid w:val="00A161EE"/>
    <w:rsid w:val="00A162C8"/>
    <w:rsid w:val="00A16BAF"/>
    <w:rsid w:val="00A17585"/>
    <w:rsid w:val="00A20121"/>
    <w:rsid w:val="00A20F37"/>
    <w:rsid w:val="00A20FBA"/>
    <w:rsid w:val="00A2183E"/>
    <w:rsid w:val="00A23681"/>
    <w:rsid w:val="00A23783"/>
    <w:rsid w:val="00A253BF"/>
    <w:rsid w:val="00A260CD"/>
    <w:rsid w:val="00A27548"/>
    <w:rsid w:val="00A27C07"/>
    <w:rsid w:val="00A31E21"/>
    <w:rsid w:val="00A32682"/>
    <w:rsid w:val="00A327EE"/>
    <w:rsid w:val="00A329C4"/>
    <w:rsid w:val="00A32A5C"/>
    <w:rsid w:val="00A330D7"/>
    <w:rsid w:val="00A341AD"/>
    <w:rsid w:val="00A346D0"/>
    <w:rsid w:val="00A34EDF"/>
    <w:rsid w:val="00A35E5B"/>
    <w:rsid w:val="00A374AB"/>
    <w:rsid w:val="00A40251"/>
    <w:rsid w:val="00A40618"/>
    <w:rsid w:val="00A40C6E"/>
    <w:rsid w:val="00A414BC"/>
    <w:rsid w:val="00A4154B"/>
    <w:rsid w:val="00A4165B"/>
    <w:rsid w:val="00A441F9"/>
    <w:rsid w:val="00A442FD"/>
    <w:rsid w:val="00A45518"/>
    <w:rsid w:val="00A4578D"/>
    <w:rsid w:val="00A464FD"/>
    <w:rsid w:val="00A46814"/>
    <w:rsid w:val="00A502EE"/>
    <w:rsid w:val="00A50D6F"/>
    <w:rsid w:val="00A50ED3"/>
    <w:rsid w:val="00A50EE0"/>
    <w:rsid w:val="00A51112"/>
    <w:rsid w:val="00A51385"/>
    <w:rsid w:val="00A515AB"/>
    <w:rsid w:val="00A51FAC"/>
    <w:rsid w:val="00A54B02"/>
    <w:rsid w:val="00A54FF2"/>
    <w:rsid w:val="00A558C8"/>
    <w:rsid w:val="00A566EB"/>
    <w:rsid w:val="00A57028"/>
    <w:rsid w:val="00A5738A"/>
    <w:rsid w:val="00A574C6"/>
    <w:rsid w:val="00A5784B"/>
    <w:rsid w:val="00A60AEB"/>
    <w:rsid w:val="00A61A70"/>
    <w:rsid w:val="00A61D72"/>
    <w:rsid w:val="00A6344A"/>
    <w:rsid w:val="00A636CA"/>
    <w:rsid w:val="00A64A1D"/>
    <w:rsid w:val="00A64C5F"/>
    <w:rsid w:val="00A64E0E"/>
    <w:rsid w:val="00A651C5"/>
    <w:rsid w:val="00A65265"/>
    <w:rsid w:val="00A6526C"/>
    <w:rsid w:val="00A652FD"/>
    <w:rsid w:val="00A65540"/>
    <w:rsid w:val="00A65EFF"/>
    <w:rsid w:val="00A67186"/>
    <w:rsid w:val="00A67BA8"/>
    <w:rsid w:val="00A70958"/>
    <w:rsid w:val="00A712CB"/>
    <w:rsid w:val="00A713FE"/>
    <w:rsid w:val="00A71736"/>
    <w:rsid w:val="00A7237B"/>
    <w:rsid w:val="00A72821"/>
    <w:rsid w:val="00A72A56"/>
    <w:rsid w:val="00A736FD"/>
    <w:rsid w:val="00A73AC4"/>
    <w:rsid w:val="00A7464A"/>
    <w:rsid w:val="00A74F26"/>
    <w:rsid w:val="00A75DED"/>
    <w:rsid w:val="00A7646B"/>
    <w:rsid w:val="00A76C86"/>
    <w:rsid w:val="00A770AA"/>
    <w:rsid w:val="00A773B1"/>
    <w:rsid w:val="00A776AD"/>
    <w:rsid w:val="00A77A70"/>
    <w:rsid w:val="00A77E2B"/>
    <w:rsid w:val="00A81A6C"/>
    <w:rsid w:val="00A82140"/>
    <w:rsid w:val="00A823E6"/>
    <w:rsid w:val="00A8314F"/>
    <w:rsid w:val="00A844E8"/>
    <w:rsid w:val="00A85477"/>
    <w:rsid w:val="00A854B7"/>
    <w:rsid w:val="00A85ADC"/>
    <w:rsid w:val="00A85DF4"/>
    <w:rsid w:val="00A902CF"/>
    <w:rsid w:val="00A90804"/>
    <w:rsid w:val="00A932AB"/>
    <w:rsid w:val="00A932E1"/>
    <w:rsid w:val="00A93FCF"/>
    <w:rsid w:val="00A94BFE"/>
    <w:rsid w:val="00A958A2"/>
    <w:rsid w:val="00A95C5E"/>
    <w:rsid w:val="00A968B0"/>
    <w:rsid w:val="00A96AA9"/>
    <w:rsid w:val="00A9708E"/>
    <w:rsid w:val="00A973DF"/>
    <w:rsid w:val="00A974C6"/>
    <w:rsid w:val="00AA0F49"/>
    <w:rsid w:val="00AA2C91"/>
    <w:rsid w:val="00AA3B59"/>
    <w:rsid w:val="00AA3F56"/>
    <w:rsid w:val="00AA4E3E"/>
    <w:rsid w:val="00AA60BE"/>
    <w:rsid w:val="00AB0671"/>
    <w:rsid w:val="00AB155E"/>
    <w:rsid w:val="00AB2E62"/>
    <w:rsid w:val="00AB523B"/>
    <w:rsid w:val="00AB5E3D"/>
    <w:rsid w:val="00AB6D40"/>
    <w:rsid w:val="00AB751A"/>
    <w:rsid w:val="00AB787F"/>
    <w:rsid w:val="00AC075A"/>
    <w:rsid w:val="00AC2477"/>
    <w:rsid w:val="00AC26BC"/>
    <w:rsid w:val="00AC29A7"/>
    <w:rsid w:val="00AC4BFE"/>
    <w:rsid w:val="00AC64EC"/>
    <w:rsid w:val="00AC7909"/>
    <w:rsid w:val="00AD00A0"/>
    <w:rsid w:val="00AD01F0"/>
    <w:rsid w:val="00AD0826"/>
    <w:rsid w:val="00AD1392"/>
    <w:rsid w:val="00AD1B1A"/>
    <w:rsid w:val="00AD1ECC"/>
    <w:rsid w:val="00AD223A"/>
    <w:rsid w:val="00AD33FB"/>
    <w:rsid w:val="00AD394E"/>
    <w:rsid w:val="00AD5285"/>
    <w:rsid w:val="00AD6C4B"/>
    <w:rsid w:val="00AE0240"/>
    <w:rsid w:val="00AE1715"/>
    <w:rsid w:val="00AE1AC9"/>
    <w:rsid w:val="00AE1E7F"/>
    <w:rsid w:val="00AE2F48"/>
    <w:rsid w:val="00AE314B"/>
    <w:rsid w:val="00AE3348"/>
    <w:rsid w:val="00AE3DD7"/>
    <w:rsid w:val="00AE4316"/>
    <w:rsid w:val="00AE4F79"/>
    <w:rsid w:val="00AE5043"/>
    <w:rsid w:val="00AE63FB"/>
    <w:rsid w:val="00AE7142"/>
    <w:rsid w:val="00AF28FD"/>
    <w:rsid w:val="00AF2C1E"/>
    <w:rsid w:val="00AF2DFA"/>
    <w:rsid w:val="00AF2FA7"/>
    <w:rsid w:val="00AF349D"/>
    <w:rsid w:val="00AF397A"/>
    <w:rsid w:val="00AF3A87"/>
    <w:rsid w:val="00AF44F1"/>
    <w:rsid w:val="00AF452F"/>
    <w:rsid w:val="00AF46C1"/>
    <w:rsid w:val="00AF4D7C"/>
    <w:rsid w:val="00AF5B02"/>
    <w:rsid w:val="00AF6056"/>
    <w:rsid w:val="00AF6E95"/>
    <w:rsid w:val="00AF74A4"/>
    <w:rsid w:val="00AF7E97"/>
    <w:rsid w:val="00B00FEC"/>
    <w:rsid w:val="00B02563"/>
    <w:rsid w:val="00B02AF7"/>
    <w:rsid w:val="00B031A8"/>
    <w:rsid w:val="00B044C5"/>
    <w:rsid w:val="00B04BCE"/>
    <w:rsid w:val="00B05309"/>
    <w:rsid w:val="00B053F6"/>
    <w:rsid w:val="00B056C1"/>
    <w:rsid w:val="00B05781"/>
    <w:rsid w:val="00B06421"/>
    <w:rsid w:val="00B068EB"/>
    <w:rsid w:val="00B06A7E"/>
    <w:rsid w:val="00B06A93"/>
    <w:rsid w:val="00B07721"/>
    <w:rsid w:val="00B07D45"/>
    <w:rsid w:val="00B10194"/>
    <w:rsid w:val="00B104D0"/>
    <w:rsid w:val="00B12EDF"/>
    <w:rsid w:val="00B13B24"/>
    <w:rsid w:val="00B13C5D"/>
    <w:rsid w:val="00B1518D"/>
    <w:rsid w:val="00B163F8"/>
    <w:rsid w:val="00B16452"/>
    <w:rsid w:val="00B16FE3"/>
    <w:rsid w:val="00B17C1C"/>
    <w:rsid w:val="00B201E0"/>
    <w:rsid w:val="00B20386"/>
    <w:rsid w:val="00B20AB8"/>
    <w:rsid w:val="00B20B4B"/>
    <w:rsid w:val="00B20D95"/>
    <w:rsid w:val="00B21FEF"/>
    <w:rsid w:val="00B23544"/>
    <w:rsid w:val="00B24B1F"/>
    <w:rsid w:val="00B24CF7"/>
    <w:rsid w:val="00B253E5"/>
    <w:rsid w:val="00B27FF0"/>
    <w:rsid w:val="00B30146"/>
    <w:rsid w:val="00B30711"/>
    <w:rsid w:val="00B30AD8"/>
    <w:rsid w:val="00B3145D"/>
    <w:rsid w:val="00B31491"/>
    <w:rsid w:val="00B31FF2"/>
    <w:rsid w:val="00B329AA"/>
    <w:rsid w:val="00B32B63"/>
    <w:rsid w:val="00B3340B"/>
    <w:rsid w:val="00B3366A"/>
    <w:rsid w:val="00B3477C"/>
    <w:rsid w:val="00B34C59"/>
    <w:rsid w:val="00B34D3E"/>
    <w:rsid w:val="00B34D48"/>
    <w:rsid w:val="00B350FD"/>
    <w:rsid w:val="00B3541B"/>
    <w:rsid w:val="00B35A94"/>
    <w:rsid w:val="00B361C7"/>
    <w:rsid w:val="00B3721E"/>
    <w:rsid w:val="00B376E2"/>
    <w:rsid w:val="00B37948"/>
    <w:rsid w:val="00B40068"/>
    <w:rsid w:val="00B40490"/>
    <w:rsid w:val="00B404B6"/>
    <w:rsid w:val="00B40B30"/>
    <w:rsid w:val="00B40CA4"/>
    <w:rsid w:val="00B418CC"/>
    <w:rsid w:val="00B41E88"/>
    <w:rsid w:val="00B422A6"/>
    <w:rsid w:val="00B444A6"/>
    <w:rsid w:val="00B4564D"/>
    <w:rsid w:val="00B456BD"/>
    <w:rsid w:val="00B45E4C"/>
    <w:rsid w:val="00B46F15"/>
    <w:rsid w:val="00B476C1"/>
    <w:rsid w:val="00B47EE9"/>
    <w:rsid w:val="00B534DB"/>
    <w:rsid w:val="00B5505F"/>
    <w:rsid w:val="00B55B15"/>
    <w:rsid w:val="00B55F58"/>
    <w:rsid w:val="00B55F7C"/>
    <w:rsid w:val="00B56985"/>
    <w:rsid w:val="00B57A69"/>
    <w:rsid w:val="00B57DFA"/>
    <w:rsid w:val="00B604A0"/>
    <w:rsid w:val="00B604AD"/>
    <w:rsid w:val="00B60662"/>
    <w:rsid w:val="00B60AFF"/>
    <w:rsid w:val="00B61027"/>
    <w:rsid w:val="00B61B80"/>
    <w:rsid w:val="00B63719"/>
    <w:rsid w:val="00B6371F"/>
    <w:rsid w:val="00B63DED"/>
    <w:rsid w:val="00B6470A"/>
    <w:rsid w:val="00B64F4F"/>
    <w:rsid w:val="00B65071"/>
    <w:rsid w:val="00B65434"/>
    <w:rsid w:val="00B67993"/>
    <w:rsid w:val="00B67CE6"/>
    <w:rsid w:val="00B70983"/>
    <w:rsid w:val="00B7143D"/>
    <w:rsid w:val="00B72C59"/>
    <w:rsid w:val="00B739CD"/>
    <w:rsid w:val="00B74077"/>
    <w:rsid w:val="00B7531E"/>
    <w:rsid w:val="00B7569A"/>
    <w:rsid w:val="00B764A3"/>
    <w:rsid w:val="00B80F09"/>
    <w:rsid w:val="00B80FB8"/>
    <w:rsid w:val="00B80FCD"/>
    <w:rsid w:val="00B81154"/>
    <w:rsid w:val="00B81758"/>
    <w:rsid w:val="00B8282A"/>
    <w:rsid w:val="00B8487F"/>
    <w:rsid w:val="00B85F1C"/>
    <w:rsid w:val="00B86196"/>
    <w:rsid w:val="00B87558"/>
    <w:rsid w:val="00B87D89"/>
    <w:rsid w:val="00B87EFA"/>
    <w:rsid w:val="00B90010"/>
    <w:rsid w:val="00B90C38"/>
    <w:rsid w:val="00B90E15"/>
    <w:rsid w:val="00B90EDD"/>
    <w:rsid w:val="00B910EC"/>
    <w:rsid w:val="00B9287D"/>
    <w:rsid w:val="00B935AE"/>
    <w:rsid w:val="00B93774"/>
    <w:rsid w:val="00B94923"/>
    <w:rsid w:val="00B94F37"/>
    <w:rsid w:val="00B96436"/>
    <w:rsid w:val="00B9752B"/>
    <w:rsid w:val="00BA0F9F"/>
    <w:rsid w:val="00BA14F4"/>
    <w:rsid w:val="00BA1953"/>
    <w:rsid w:val="00BA1A03"/>
    <w:rsid w:val="00BA1A3E"/>
    <w:rsid w:val="00BA3CE6"/>
    <w:rsid w:val="00BA5388"/>
    <w:rsid w:val="00BA53AB"/>
    <w:rsid w:val="00BA5D37"/>
    <w:rsid w:val="00BA6CD6"/>
    <w:rsid w:val="00BA6D6D"/>
    <w:rsid w:val="00BA6E88"/>
    <w:rsid w:val="00BA7322"/>
    <w:rsid w:val="00BB0865"/>
    <w:rsid w:val="00BB0B8D"/>
    <w:rsid w:val="00BB0B94"/>
    <w:rsid w:val="00BB0BEB"/>
    <w:rsid w:val="00BB1BFB"/>
    <w:rsid w:val="00BB1CDF"/>
    <w:rsid w:val="00BB2473"/>
    <w:rsid w:val="00BB2E27"/>
    <w:rsid w:val="00BB313C"/>
    <w:rsid w:val="00BB33E7"/>
    <w:rsid w:val="00BB34BF"/>
    <w:rsid w:val="00BB536D"/>
    <w:rsid w:val="00BB53EC"/>
    <w:rsid w:val="00BB543E"/>
    <w:rsid w:val="00BB60A8"/>
    <w:rsid w:val="00BB6E95"/>
    <w:rsid w:val="00BC068D"/>
    <w:rsid w:val="00BC0716"/>
    <w:rsid w:val="00BC0DD6"/>
    <w:rsid w:val="00BC30FB"/>
    <w:rsid w:val="00BC31DF"/>
    <w:rsid w:val="00BC4940"/>
    <w:rsid w:val="00BC57CD"/>
    <w:rsid w:val="00BC5A77"/>
    <w:rsid w:val="00BC5CF5"/>
    <w:rsid w:val="00BC6C2F"/>
    <w:rsid w:val="00BC7110"/>
    <w:rsid w:val="00BD001E"/>
    <w:rsid w:val="00BD074D"/>
    <w:rsid w:val="00BD1276"/>
    <w:rsid w:val="00BD1915"/>
    <w:rsid w:val="00BD1C0F"/>
    <w:rsid w:val="00BD1CEB"/>
    <w:rsid w:val="00BD2A46"/>
    <w:rsid w:val="00BD346B"/>
    <w:rsid w:val="00BD3501"/>
    <w:rsid w:val="00BD38A0"/>
    <w:rsid w:val="00BD3FEE"/>
    <w:rsid w:val="00BD4DA7"/>
    <w:rsid w:val="00BD510B"/>
    <w:rsid w:val="00BD5890"/>
    <w:rsid w:val="00BD6423"/>
    <w:rsid w:val="00BD73CE"/>
    <w:rsid w:val="00BD75E2"/>
    <w:rsid w:val="00BD77E2"/>
    <w:rsid w:val="00BD7C81"/>
    <w:rsid w:val="00BD7CEA"/>
    <w:rsid w:val="00BE0659"/>
    <w:rsid w:val="00BE0E40"/>
    <w:rsid w:val="00BE106B"/>
    <w:rsid w:val="00BE125A"/>
    <w:rsid w:val="00BE1414"/>
    <w:rsid w:val="00BE1A4D"/>
    <w:rsid w:val="00BE1DC7"/>
    <w:rsid w:val="00BE2240"/>
    <w:rsid w:val="00BE26CC"/>
    <w:rsid w:val="00BE31C3"/>
    <w:rsid w:val="00BE3606"/>
    <w:rsid w:val="00BE362E"/>
    <w:rsid w:val="00BE46C6"/>
    <w:rsid w:val="00BE4B1D"/>
    <w:rsid w:val="00BE75E0"/>
    <w:rsid w:val="00BE7D67"/>
    <w:rsid w:val="00BE7E4A"/>
    <w:rsid w:val="00BF0324"/>
    <w:rsid w:val="00BF0B2B"/>
    <w:rsid w:val="00BF1AF3"/>
    <w:rsid w:val="00BF1AFF"/>
    <w:rsid w:val="00BF1B56"/>
    <w:rsid w:val="00BF2695"/>
    <w:rsid w:val="00BF3095"/>
    <w:rsid w:val="00BF33A7"/>
    <w:rsid w:val="00BF3B07"/>
    <w:rsid w:val="00BF3D95"/>
    <w:rsid w:val="00BF48D5"/>
    <w:rsid w:val="00BF5123"/>
    <w:rsid w:val="00BF6423"/>
    <w:rsid w:val="00BF6556"/>
    <w:rsid w:val="00BF6AC3"/>
    <w:rsid w:val="00BF74A4"/>
    <w:rsid w:val="00BF7976"/>
    <w:rsid w:val="00BF79D9"/>
    <w:rsid w:val="00C009E4"/>
    <w:rsid w:val="00C00BD4"/>
    <w:rsid w:val="00C00EB5"/>
    <w:rsid w:val="00C027FC"/>
    <w:rsid w:val="00C03013"/>
    <w:rsid w:val="00C04AF1"/>
    <w:rsid w:val="00C04CE6"/>
    <w:rsid w:val="00C04D1C"/>
    <w:rsid w:val="00C05CF0"/>
    <w:rsid w:val="00C0686E"/>
    <w:rsid w:val="00C06967"/>
    <w:rsid w:val="00C07D54"/>
    <w:rsid w:val="00C101A8"/>
    <w:rsid w:val="00C11417"/>
    <w:rsid w:val="00C119A7"/>
    <w:rsid w:val="00C11B4F"/>
    <w:rsid w:val="00C132BC"/>
    <w:rsid w:val="00C13803"/>
    <w:rsid w:val="00C13ADE"/>
    <w:rsid w:val="00C14650"/>
    <w:rsid w:val="00C147B6"/>
    <w:rsid w:val="00C14823"/>
    <w:rsid w:val="00C14C57"/>
    <w:rsid w:val="00C14EA0"/>
    <w:rsid w:val="00C156A9"/>
    <w:rsid w:val="00C17102"/>
    <w:rsid w:val="00C17919"/>
    <w:rsid w:val="00C17F2D"/>
    <w:rsid w:val="00C17FB9"/>
    <w:rsid w:val="00C203D5"/>
    <w:rsid w:val="00C20DA6"/>
    <w:rsid w:val="00C24191"/>
    <w:rsid w:val="00C24B2A"/>
    <w:rsid w:val="00C26642"/>
    <w:rsid w:val="00C269E3"/>
    <w:rsid w:val="00C3040C"/>
    <w:rsid w:val="00C310DF"/>
    <w:rsid w:val="00C3162D"/>
    <w:rsid w:val="00C31884"/>
    <w:rsid w:val="00C31994"/>
    <w:rsid w:val="00C32765"/>
    <w:rsid w:val="00C32EBB"/>
    <w:rsid w:val="00C32ED8"/>
    <w:rsid w:val="00C33314"/>
    <w:rsid w:val="00C3358A"/>
    <w:rsid w:val="00C335BC"/>
    <w:rsid w:val="00C33D45"/>
    <w:rsid w:val="00C34183"/>
    <w:rsid w:val="00C35ABC"/>
    <w:rsid w:val="00C3716B"/>
    <w:rsid w:val="00C402A9"/>
    <w:rsid w:val="00C40896"/>
    <w:rsid w:val="00C40BEA"/>
    <w:rsid w:val="00C40C25"/>
    <w:rsid w:val="00C40C3B"/>
    <w:rsid w:val="00C41153"/>
    <w:rsid w:val="00C41BB4"/>
    <w:rsid w:val="00C41C19"/>
    <w:rsid w:val="00C43A47"/>
    <w:rsid w:val="00C43EE9"/>
    <w:rsid w:val="00C45D2F"/>
    <w:rsid w:val="00C46E29"/>
    <w:rsid w:val="00C4781E"/>
    <w:rsid w:val="00C514D4"/>
    <w:rsid w:val="00C516D7"/>
    <w:rsid w:val="00C538A8"/>
    <w:rsid w:val="00C5496C"/>
    <w:rsid w:val="00C54E0A"/>
    <w:rsid w:val="00C555B2"/>
    <w:rsid w:val="00C56A62"/>
    <w:rsid w:val="00C579F6"/>
    <w:rsid w:val="00C57FB8"/>
    <w:rsid w:val="00C602A1"/>
    <w:rsid w:val="00C607B0"/>
    <w:rsid w:val="00C61339"/>
    <w:rsid w:val="00C618BB"/>
    <w:rsid w:val="00C61B1A"/>
    <w:rsid w:val="00C628AF"/>
    <w:rsid w:val="00C63022"/>
    <w:rsid w:val="00C642AF"/>
    <w:rsid w:val="00C6642A"/>
    <w:rsid w:val="00C675FE"/>
    <w:rsid w:val="00C67E49"/>
    <w:rsid w:val="00C700A2"/>
    <w:rsid w:val="00C703C7"/>
    <w:rsid w:val="00C705A5"/>
    <w:rsid w:val="00C705DE"/>
    <w:rsid w:val="00C70881"/>
    <w:rsid w:val="00C70984"/>
    <w:rsid w:val="00C71107"/>
    <w:rsid w:val="00C715DB"/>
    <w:rsid w:val="00C71643"/>
    <w:rsid w:val="00C72B72"/>
    <w:rsid w:val="00C72FE5"/>
    <w:rsid w:val="00C7362D"/>
    <w:rsid w:val="00C73FF3"/>
    <w:rsid w:val="00C761DC"/>
    <w:rsid w:val="00C76266"/>
    <w:rsid w:val="00C812CA"/>
    <w:rsid w:val="00C817E7"/>
    <w:rsid w:val="00C81D8B"/>
    <w:rsid w:val="00C826AB"/>
    <w:rsid w:val="00C82CB2"/>
    <w:rsid w:val="00C85312"/>
    <w:rsid w:val="00C853EC"/>
    <w:rsid w:val="00C85D09"/>
    <w:rsid w:val="00C87123"/>
    <w:rsid w:val="00C8715B"/>
    <w:rsid w:val="00C87BB2"/>
    <w:rsid w:val="00C90654"/>
    <w:rsid w:val="00C9069A"/>
    <w:rsid w:val="00C906C5"/>
    <w:rsid w:val="00C90FDB"/>
    <w:rsid w:val="00C913E5"/>
    <w:rsid w:val="00C931D1"/>
    <w:rsid w:val="00C93C9A"/>
    <w:rsid w:val="00C93D36"/>
    <w:rsid w:val="00C93EC3"/>
    <w:rsid w:val="00C94198"/>
    <w:rsid w:val="00C96DF7"/>
    <w:rsid w:val="00C9726E"/>
    <w:rsid w:val="00C973F9"/>
    <w:rsid w:val="00C97894"/>
    <w:rsid w:val="00C97E02"/>
    <w:rsid w:val="00CA08D8"/>
    <w:rsid w:val="00CA16FF"/>
    <w:rsid w:val="00CA176E"/>
    <w:rsid w:val="00CA1948"/>
    <w:rsid w:val="00CA3859"/>
    <w:rsid w:val="00CA3B74"/>
    <w:rsid w:val="00CA3E4F"/>
    <w:rsid w:val="00CA5508"/>
    <w:rsid w:val="00CA55BB"/>
    <w:rsid w:val="00CA5E2D"/>
    <w:rsid w:val="00CA6425"/>
    <w:rsid w:val="00CA6658"/>
    <w:rsid w:val="00CA7BF2"/>
    <w:rsid w:val="00CA7C96"/>
    <w:rsid w:val="00CB127F"/>
    <w:rsid w:val="00CB1E41"/>
    <w:rsid w:val="00CB3F8D"/>
    <w:rsid w:val="00CB4362"/>
    <w:rsid w:val="00CB44CE"/>
    <w:rsid w:val="00CB4B9D"/>
    <w:rsid w:val="00CB5D2A"/>
    <w:rsid w:val="00CB6397"/>
    <w:rsid w:val="00CB6500"/>
    <w:rsid w:val="00CB6A17"/>
    <w:rsid w:val="00CB6AE5"/>
    <w:rsid w:val="00CB77AA"/>
    <w:rsid w:val="00CB7D7A"/>
    <w:rsid w:val="00CB7FF8"/>
    <w:rsid w:val="00CC0373"/>
    <w:rsid w:val="00CC195F"/>
    <w:rsid w:val="00CC1CF3"/>
    <w:rsid w:val="00CC5833"/>
    <w:rsid w:val="00CC63F0"/>
    <w:rsid w:val="00CC6D8B"/>
    <w:rsid w:val="00CC78A9"/>
    <w:rsid w:val="00CD0887"/>
    <w:rsid w:val="00CD1403"/>
    <w:rsid w:val="00CD170D"/>
    <w:rsid w:val="00CD1FE9"/>
    <w:rsid w:val="00CD23FE"/>
    <w:rsid w:val="00CD25C7"/>
    <w:rsid w:val="00CD29D9"/>
    <w:rsid w:val="00CD2BFF"/>
    <w:rsid w:val="00CD32E5"/>
    <w:rsid w:val="00CD4217"/>
    <w:rsid w:val="00CD485D"/>
    <w:rsid w:val="00CD6CD3"/>
    <w:rsid w:val="00CD7A12"/>
    <w:rsid w:val="00CE019B"/>
    <w:rsid w:val="00CE1DF7"/>
    <w:rsid w:val="00CE23CD"/>
    <w:rsid w:val="00CE29FD"/>
    <w:rsid w:val="00CE2DE4"/>
    <w:rsid w:val="00CE317C"/>
    <w:rsid w:val="00CE365C"/>
    <w:rsid w:val="00CE43E0"/>
    <w:rsid w:val="00CE45D7"/>
    <w:rsid w:val="00CE4CDF"/>
    <w:rsid w:val="00CE50D8"/>
    <w:rsid w:val="00CE515A"/>
    <w:rsid w:val="00CE522E"/>
    <w:rsid w:val="00CE68DF"/>
    <w:rsid w:val="00CF071D"/>
    <w:rsid w:val="00CF0813"/>
    <w:rsid w:val="00CF133E"/>
    <w:rsid w:val="00CF149E"/>
    <w:rsid w:val="00CF21D9"/>
    <w:rsid w:val="00CF228F"/>
    <w:rsid w:val="00CF42E2"/>
    <w:rsid w:val="00CF5580"/>
    <w:rsid w:val="00CF57F3"/>
    <w:rsid w:val="00CF6695"/>
    <w:rsid w:val="00CF7695"/>
    <w:rsid w:val="00D00B8B"/>
    <w:rsid w:val="00D00DCE"/>
    <w:rsid w:val="00D01247"/>
    <w:rsid w:val="00D01D9B"/>
    <w:rsid w:val="00D01E8E"/>
    <w:rsid w:val="00D038D1"/>
    <w:rsid w:val="00D03932"/>
    <w:rsid w:val="00D03B20"/>
    <w:rsid w:val="00D044E6"/>
    <w:rsid w:val="00D05A78"/>
    <w:rsid w:val="00D07CC2"/>
    <w:rsid w:val="00D07D29"/>
    <w:rsid w:val="00D1039A"/>
    <w:rsid w:val="00D107C5"/>
    <w:rsid w:val="00D12176"/>
    <w:rsid w:val="00D135EC"/>
    <w:rsid w:val="00D139FF"/>
    <w:rsid w:val="00D13B89"/>
    <w:rsid w:val="00D14522"/>
    <w:rsid w:val="00D14A54"/>
    <w:rsid w:val="00D14FD0"/>
    <w:rsid w:val="00D15E62"/>
    <w:rsid w:val="00D15EB8"/>
    <w:rsid w:val="00D16823"/>
    <w:rsid w:val="00D1686F"/>
    <w:rsid w:val="00D169E2"/>
    <w:rsid w:val="00D16EF3"/>
    <w:rsid w:val="00D211C7"/>
    <w:rsid w:val="00D2235B"/>
    <w:rsid w:val="00D22A1E"/>
    <w:rsid w:val="00D23041"/>
    <w:rsid w:val="00D23266"/>
    <w:rsid w:val="00D23415"/>
    <w:rsid w:val="00D2379B"/>
    <w:rsid w:val="00D257A1"/>
    <w:rsid w:val="00D26B97"/>
    <w:rsid w:val="00D276FF"/>
    <w:rsid w:val="00D27B7A"/>
    <w:rsid w:val="00D27CDA"/>
    <w:rsid w:val="00D30275"/>
    <w:rsid w:val="00D315DC"/>
    <w:rsid w:val="00D31CDF"/>
    <w:rsid w:val="00D32B14"/>
    <w:rsid w:val="00D32B90"/>
    <w:rsid w:val="00D3416E"/>
    <w:rsid w:val="00D35AA0"/>
    <w:rsid w:val="00D35F67"/>
    <w:rsid w:val="00D37AD3"/>
    <w:rsid w:val="00D40940"/>
    <w:rsid w:val="00D40AD7"/>
    <w:rsid w:val="00D4156B"/>
    <w:rsid w:val="00D42AB7"/>
    <w:rsid w:val="00D43169"/>
    <w:rsid w:val="00D44A2E"/>
    <w:rsid w:val="00D44DEA"/>
    <w:rsid w:val="00D45170"/>
    <w:rsid w:val="00D456F6"/>
    <w:rsid w:val="00D45D5C"/>
    <w:rsid w:val="00D47F3A"/>
    <w:rsid w:val="00D50024"/>
    <w:rsid w:val="00D518A5"/>
    <w:rsid w:val="00D518DE"/>
    <w:rsid w:val="00D51FBC"/>
    <w:rsid w:val="00D521D8"/>
    <w:rsid w:val="00D53041"/>
    <w:rsid w:val="00D53185"/>
    <w:rsid w:val="00D53805"/>
    <w:rsid w:val="00D54787"/>
    <w:rsid w:val="00D5757D"/>
    <w:rsid w:val="00D60C06"/>
    <w:rsid w:val="00D60CB8"/>
    <w:rsid w:val="00D60EDB"/>
    <w:rsid w:val="00D61BC6"/>
    <w:rsid w:val="00D62CE2"/>
    <w:rsid w:val="00D64F35"/>
    <w:rsid w:val="00D656AF"/>
    <w:rsid w:val="00D66223"/>
    <w:rsid w:val="00D6710D"/>
    <w:rsid w:val="00D6799C"/>
    <w:rsid w:val="00D71B25"/>
    <w:rsid w:val="00D725A9"/>
    <w:rsid w:val="00D72E41"/>
    <w:rsid w:val="00D739D0"/>
    <w:rsid w:val="00D7482B"/>
    <w:rsid w:val="00D74B33"/>
    <w:rsid w:val="00D7516A"/>
    <w:rsid w:val="00D75744"/>
    <w:rsid w:val="00D76161"/>
    <w:rsid w:val="00D762FA"/>
    <w:rsid w:val="00D7650A"/>
    <w:rsid w:val="00D76548"/>
    <w:rsid w:val="00D77B54"/>
    <w:rsid w:val="00D77B55"/>
    <w:rsid w:val="00D77F08"/>
    <w:rsid w:val="00D80016"/>
    <w:rsid w:val="00D80A91"/>
    <w:rsid w:val="00D812CC"/>
    <w:rsid w:val="00D831C9"/>
    <w:rsid w:val="00D83FE0"/>
    <w:rsid w:val="00D84471"/>
    <w:rsid w:val="00D84CA4"/>
    <w:rsid w:val="00D86CD1"/>
    <w:rsid w:val="00D86E52"/>
    <w:rsid w:val="00D86EB1"/>
    <w:rsid w:val="00D8706F"/>
    <w:rsid w:val="00D874C0"/>
    <w:rsid w:val="00D87CD4"/>
    <w:rsid w:val="00D90AEC"/>
    <w:rsid w:val="00D90D3E"/>
    <w:rsid w:val="00D914BE"/>
    <w:rsid w:val="00D91BD8"/>
    <w:rsid w:val="00D92622"/>
    <w:rsid w:val="00D93371"/>
    <w:rsid w:val="00D93D89"/>
    <w:rsid w:val="00D94623"/>
    <w:rsid w:val="00D94B6D"/>
    <w:rsid w:val="00D9587D"/>
    <w:rsid w:val="00D96F82"/>
    <w:rsid w:val="00D971F5"/>
    <w:rsid w:val="00D97431"/>
    <w:rsid w:val="00D97566"/>
    <w:rsid w:val="00D97B92"/>
    <w:rsid w:val="00D97BF7"/>
    <w:rsid w:val="00DA00D8"/>
    <w:rsid w:val="00DA04B3"/>
    <w:rsid w:val="00DA0C82"/>
    <w:rsid w:val="00DA1958"/>
    <w:rsid w:val="00DA2022"/>
    <w:rsid w:val="00DA3224"/>
    <w:rsid w:val="00DA37E6"/>
    <w:rsid w:val="00DA3A70"/>
    <w:rsid w:val="00DA409D"/>
    <w:rsid w:val="00DA42C1"/>
    <w:rsid w:val="00DA4322"/>
    <w:rsid w:val="00DA57F3"/>
    <w:rsid w:val="00DA5944"/>
    <w:rsid w:val="00DA614D"/>
    <w:rsid w:val="00DA6E2E"/>
    <w:rsid w:val="00DA76FB"/>
    <w:rsid w:val="00DA7C7A"/>
    <w:rsid w:val="00DB01DB"/>
    <w:rsid w:val="00DB07DF"/>
    <w:rsid w:val="00DB0B38"/>
    <w:rsid w:val="00DB0DAF"/>
    <w:rsid w:val="00DB2645"/>
    <w:rsid w:val="00DB2FE4"/>
    <w:rsid w:val="00DB363E"/>
    <w:rsid w:val="00DB39AC"/>
    <w:rsid w:val="00DB4BED"/>
    <w:rsid w:val="00DB4D38"/>
    <w:rsid w:val="00DB549A"/>
    <w:rsid w:val="00DB5940"/>
    <w:rsid w:val="00DB5DF8"/>
    <w:rsid w:val="00DB673D"/>
    <w:rsid w:val="00DB6E65"/>
    <w:rsid w:val="00DB7335"/>
    <w:rsid w:val="00DC002C"/>
    <w:rsid w:val="00DC017B"/>
    <w:rsid w:val="00DC0ADE"/>
    <w:rsid w:val="00DC218B"/>
    <w:rsid w:val="00DC2DD7"/>
    <w:rsid w:val="00DC4C08"/>
    <w:rsid w:val="00DC518F"/>
    <w:rsid w:val="00DC53B0"/>
    <w:rsid w:val="00DC552A"/>
    <w:rsid w:val="00DC56F2"/>
    <w:rsid w:val="00DC5D2A"/>
    <w:rsid w:val="00DC657C"/>
    <w:rsid w:val="00DC6B24"/>
    <w:rsid w:val="00DC71A0"/>
    <w:rsid w:val="00DD088B"/>
    <w:rsid w:val="00DD15F5"/>
    <w:rsid w:val="00DD2B73"/>
    <w:rsid w:val="00DD3B29"/>
    <w:rsid w:val="00DD44F3"/>
    <w:rsid w:val="00DD44F7"/>
    <w:rsid w:val="00DD456C"/>
    <w:rsid w:val="00DD5189"/>
    <w:rsid w:val="00DD599A"/>
    <w:rsid w:val="00DD5C58"/>
    <w:rsid w:val="00DD6285"/>
    <w:rsid w:val="00DD65A2"/>
    <w:rsid w:val="00DD698E"/>
    <w:rsid w:val="00DD6B4C"/>
    <w:rsid w:val="00DD7C85"/>
    <w:rsid w:val="00DE10C7"/>
    <w:rsid w:val="00DE1399"/>
    <w:rsid w:val="00DE1606"/>
    <w:rsid w:val="00DE1805"/>
    <w:rsid w:val="00DE1DC6"/>
    <w:rsid w:val="00DE20A0"/>
    <w:rsid w:val="00DE25D8"/>
    <w:rsid w:val="00DE2E07"/>
    <w:rsid w:val="00DE365D"/>
    <w:rsid w:val="00DE4096"/>
    <w:rsid w:val="00DE4776"/>
    <w:rsid w:val="00DE5A7F"/>
    <w:rsid w:val="00DE61F9"/>
    <w:rsid w:val="00DE6A6E"/>
    <w:rsid w:val="00DE75D1"/>
    <w:rsid w:val="00DE760C"/>
    <w:rsid w:val="00DE7C65"/>
    <w:rsid w:val="00DF0147"/>
    <w:rsid w:val="00DF14FB"/>
    <w:rsid w:val="00DF396C"/>
    <w:rsid w:val="00DF44DC"/>
    <w:rsid w:val="00DF5807"/>
    <w:rsid w:val="00DF5D80"/>
    <w:rsid w:val="00DF6648"/>
    <w:rsid w:val="00DF7860"/>
    <w:rsid w:val="00DF7C12"/>
    <w:rsid w:val="00E02752"/>
    <w:rsid w:val="00E02BBE"/>
    <w:rsid w:val="00E03598"/>
    <w:rsid w:val="00E053CB"/>
    <w:rsid w:val="00E0644A"/>
    <w:rsid w:val="00E06F91"/>
    <w:rsid w:val="00E10223"/>
    <w:rsid w:val="00E10B04"/>
    <w:rsid w:val="00E10B5F"/>
    <w:rsid w:val="00E127E7"/>
    <w:rsid w:val="00E145DA"/>
    <w:rsid w:val="00E14D1D"/>
    <w:rsid w:val="00E16044"/>
    <w:rsid w:val="00E161E8"/>
    <w:rsid w:val="00E167BF"/>
    <w:rsid w:val="00E16847"/>
    <w:rsid w:val="00E1699D"/>
    <w:rsid w:val="00E173D6"/>
    <w:rsid w:val="00E1742B"/>
    <w:rsid w:val="00E17910"/>
    <w:rsid w:val="00E17D2B"/>
    <w:rsid w:val="00E2023F"/>
    <w:rsid w:val="00E221D1"/>
    <w:rsid w:val="00E2264C"/>
    <w:rsid w:val="00E22F5D"/>
    <w:rsid w:val="00E237E2"/>
    <w:rsid w:val="00E24083"/>
    <w:rsid w:val="00E241E2"/>
    <w:rsid w:val="00E242E1"/>
    <w:rsid w:val="00E242EB"/>
    <w:rsid w:val="00E247B9"/>
    <w:rsid w:val="00E24897"/>
    <w:rsid w:val="00E2550D"/>
    <w:rsid w:val="00E25D1B"/>
    <w:rsid w:val="00E25F99"/>
    <w:rsid w:val="00E27C42"/>
    <w:rsid w:val="00E3022B"/>
    <w:rsid w:val="00E313F6"/>
    <w:rsid w:val="00E3271E"/>
    <w:rsid w:val="00E33201"/>
    <w:rsid w:val="00E3391E"/>
    <w:rsid w:val="00E33B8F"/>
    <w:rsid w:val="00E34B6A"/>
    <w:rsid w:val="00E3618A"/>
    <w:rsid w:val="00E37FDC"/>
    <w:rsid w:val="00E40371"/>
    <w:rsid w:val="00E40F2A"/>
    <w:rsid w:val="00E41115"/>
    <w:rsid w:val="00E42252"/>
    <w:rsid w:val="00E422BF"/>
    <w:rsid w:val="00E456F3"/>
    <w:rsid w:val="00E45A95"/>
    <w:rsid w:val="00E467B1"/>
    <w:rsid w:val="00E469B0"/>
    <w:rsid w:val="00E474EE"/>
    <w:rsid w:val="00E5040D"/>
    <w:rsid w:val="00E5116C"/>
    <w:rsid w:val="00E51796"/>
    <w:rsid w:val="00E51987"/>
    <w:rsid w:val="00E522B9"/>
    <w:rsid w:val="00E52C34"/>
    <w:rsid w:val="00E53342"/>
    <w:rsid w:val="00E53897"/>
    <w:rsid w:val="00E539DF"/>
    <w:rsid w:val="00E53EEA"/>
    <w:rsid w:val="00E53F45"/>
    <w:rsid w:val="00E56246"/>
    <w:rsid w:val="00E568F7"/>
    <w:rsid w:val="00E57108"/>
    <w:rsid w:val="00E604AC"/>
    <w:rsid w:val="00E60502"/>
    <w:rsid w:val="00E60DAF"/>
    <w:rsid w:val="00E61937"/>
    <w:rsid w:val="00E6202C"/>
    <w:rsid w:val="00E622D1"/>
    <w:rsid w:val="00E6282E"/>
    <w:rsid w:val="00E62F52"/>
    <w:rsid w:val="00E631A3"/>
    <w:rsid w:val="00E632FE"/>
    <w:rsid w:val="00E63653"/>
    <w:rsid w:val="00E63A13"/>
    <w:rsid w:val="00E63E60"/>
    <w:rsid w:val="00E641B9"/>
    <w:rsid w:val="00E6455E"/>
    <w:rsid w:val="00E67539"/>
    <w:rsid w:val="00E701C4"/>
    <w:rsid w:val="00E7075A"/>
    <w:rsid w:val="00E70E80"/>
    <w:rsid w:val="00E70F64"/>
    <w:rsid w:val="00E712E8"/>
    <w:rsid w:val="00E717E5"/>
    <w:rsid w:val="00E71FF3"/>
    <w:rsid w:val="00E72968"/>
    <w:rsid w:val="00E72B53"/>
    <w:rsid w:val="00E72F52"/>
    <w:rsid w:val="00E738DC"/>
    <w:rsid w:val="00E738F9"/>
    <w:rsid w:val="00E73C94"/>
    <w:rsid w:val="00E7602B"/>
    <w:rsid w:val="00E764D2"/>
    <w:rsid w:val="00E76B7A"/>
    <w:rsid w:val="00E776E2"/>
    <w:rsid w:val="00E80D76"/>
    <w:rsid w:val="00E81A5A"/>
    <w:rsid w:val="00E82712"/>
    <w:rsid w:val="00E82C63"/>
    <w:rsid w:val="00E83C42"/>
    <w:rsid w:val="00E856F0"/>
    <w:rsid w:val="00E859C0"/>
    <w:rsid w:val="00E863DF"/>
    <w:rsid w:val="00E86D82"/>
    <w:rsid w:val="00E86F97"/>
    <w:rsid w:val="00E8743D"/>
    <w:rsid w:val="00E8748A"/>
    <w:rsid w:val="00E87893"/>
    <w:rsid w:val="00E87906"/>
    <w:rsid w:val="00E9071E"/>
    <w:rsid w:val="00E91382"/>
    <w:rsid w:val="00E91CF0"/>
    <w:rsid w:val="00E929F5"/>
    <w:rsid w:val="00E92ECA"/>
    <w:rsid w:val="00E936D9"/>
    <w:rsid w:val="00E93D41"/>
    <w:rsid w:val="00E93F41"/>
    <w:rsid w:val="00E9630A"/>
    <w:rsid w:val="00E9632B"/>
    <w:rsid w:val="00E96678"/>
    <w:rsid w:val="00E96F99"/>
    <w:rsid w:val="00E97873"/>
    <w:rsid w:val="00EA0220"/>
    <w:rsid w:val="00EA071C"/>
    <w:rsid w:val="00EA0DE3"/>
    <w:rsid w:val="00EA1000"/>
    <w:rsid w:val="00EA2359"/>
    <w:rsid w:val="00EA2EEA"/>
    <w:rsid w:val="00EA34AE"/>
    <w:rsid w:val="00EA3598"/>
    <w:rsid w:val="00EA3AD0"/>
    <w:rsid w:val="00EA5D1F"/>
    <w:rsid w:val="00EA6DEA"/>
    <w:rsid w:val="00EA7041"/>
    <w:rsid w:val="00EB03F1"/>
    <w:rsid w:val="00EB0AD5"/>
    <w:rsid w:val="00EB1C82"/>
    <w:rsid w:val="00EB26DC"/>
    <w:rsid w:val="00EB2715"/>
    <w:rsid w:val="00EB2AE3"/>
    <w:rsid w:val="00EB32DC"/>
    <w:rsid w:val="00EB34D7"/>
    <w:rsid w:val="00EB3D0A"/>
    <w:rsid w:val="00EB4DCF"/>
    <w:rsid w:val="00EB56CE"/>
    <w:rsid w:val="00EB6BE4"/>
    <w:rsid w:val="00EC00B2"/>
    <w:rsid w:val="00EC0DCF"/>
    <w:rsid w:val="00EC269A"/>
    <w:rsid w:val="00EC2E3A"/>
    <w:rsid w:val="00EC2F87"/>
    <w:rsid w:val="00EC30B8"/>
    <w:rsid w:val="00EC32A1"/>
    <w:rsid w:val="00EC4569"/>
    <w:rsid w:val="00EC4CB9"/>
    <w:rsid w:val="00EC53DE"/>
    <w:rsid w:val="00EC56CA"/>
    <w:rsid w:val="00EC65F9"/>
    <w:rsid w:val="00EC7263"/>
    <w:rsid w:val="00ED0815"/>
    <w:rsid w:val="00ED1BD3"/>
    <w:rsid w:val="00ED6538"/>
    <w:rsid w:val="00ED7568"/>
    <w:rsid w:val="00EE076C"/>
    <w:rsid w:val="00EE1767"/>
    <w:rsid w:val="00EE47D2"/>
    <w:rsid w:val="00EE4F91"/>
    <w:rsid w:val="00EE4FE6"/>
    <w:rsid w:val="00EE5122"/>
    <w:rsid w:val="00EE5270"/>
    <w:rsid w:val="00EE568E"/>
    <w:rsid w:val="00EE59F1"/>
    <w:rsid w:val="00EE5DC0"/>
    <w:rsid w:val="00EE5DD1"/>
    <w:rsid w:val="00EE5F96"/>
    <w:rsid w:val="00EE6704"/>
    <w:rsid w:val="00EE7587"/>
    <w:rsid w:val="00EF109B"/>
    <w:rsid w:val="00EF2525"/>
    <w:rsid w:val="00EF346A"/>
    <w:rsid w:val="00EF3C67"/>
    <w:rsid w:val="00EF6143"/>
    <w:rsid w:val="00EF6410"/>
    <w:rsid w:val="00EF67FF"/>
    <w:rsid w:val="00EF6B5B"/>
    <w:rsid w:val="00EF6F4F"/>
    <w:rsid w:val="00F00753"/>
    <w:rsid w:val="00F007E5"/>
    <w:rsid w:val="00F009D1"/>
    <w:rsid w:val="00F0245A"/>
    <w:rsid w:val="00F036D1"/>
    <w:rsid w:val="00F04088"/>
    <w:rsid w:val="00F043DA"/>
    <w:rsid w:val="00F05FC4"/>
    <w:rsid w:val="00F0658E"/>
    <w:rsid w:val="00F06753"/>
    <w:rsid w:val="00F0727D"/>
    <w:rsid w:val="00F10C75"/>
    <w:rsid w:val="00F110A1"/>
    <w:rsid w:val="00F11A54"/>
    <w:rsid w:val="00F146CC"/>
    <w:rsid w:val="00F15361"/>
    <w:rsid w:val="00F156F3"/>
    <w:rsid w:val="00F157CA"/>
    <w:rsid w:val="00F15934"/>
    <w:rsid w:val="00F16252"/>
    <w:rsid w:val="00F16A7C"/>
    <w:rsid w:val="00F16C40"/>
    <w:rsid w:val="00F170AB"/>
    <w:rsid w:val="00F177D4"/>
    <w:rsid w:val="00F203FB"/>
    <w:rsid w:val="00F20D6D"/>
    <w:rsid w:val="00F21401"/>
    <w:rsid w:val="00F22158"/>
    <w:rsid w:val="00F22478"/>
    <w:rsid w:val="00F22FAC"/>
    <w:rsid w:val="00F231DE"/>
    <w:rsid w:val="00F235A6"/>
    <w:rsid w:val="00F24489"/>
    <w:rsid w:val="00F244AD"/>
    <w:rsid w:val="00F259FC"/>
    <w:rsid w:val="00F25C93"/>
    <w:rsid w:val="00F263BB"/>
    <w:rsid w:val="00F26E45"/>
    <w:rsid w:val="00F31ADF"/>
    <w:rsid w:val="00F31FB1"/>
    <w:rsid w:val="00F323D9"/>
    <w:rsid w:val="00F32D18"/>
    <w:rsid w:val="00F33DF6"/>
    <w:rsid w:val="00F33F5B"/>
    <w:rsid w:val="00F34196"/>
    <w:rsid w:val="00F35520"/>
    <w:rsid w:val="00F35644"/>
    <w:rsid w:val="00F35903"/>
    <w:rsid w:val="00F36156"/>
    <w:rsid w:val="00F3662A"/>
    <w:rsid w:val="00F36FCA"/>
    <w:rsid w:val="00F3706E"/>
    <w:rsid w:val="00F40298"/>
    <w:rsid w:val="00F40A5B"/>
    <w:rsid w:val="00F4249E"/>
    <w:rsid w:val="00F42880"/>
    <w:rsid w:val="00F43085"/>
    <w:rsid w:val="00F4399F"/>
    <w:rsid w:val="00F45000"/>
    <w:rsid w:val="00F45495"/>
    <w:rsid w:val="00F47A8B"/>
    <w:rsid w:val="00F506A9"/>
    <w:rsid w:val="00F50C26"/>
    <w:rsid w:val="00F50C71"/>
    <w:rsid w:val="00F5132A"/>
    <w:rsid w:val="00F51DD0"/>
    <w:rsid w:val="00F52BCC"/>
    <w:rsid w:val="00F537AC"/>
    <w:rsid w:val="00F53D1E"/>
    <w:rsid w:val="00F53DB8"/>
    <w:rsid w:val="00F54771"/>
    <w:rsid w:val="00F54B50"/>
    <w:rsid w:val="00F55684"/>
    <w:rsid w:val="00F55ECE"/>
    <w:rsid w:val="00F55F4D"/>
    <w:rsid w:val="00F55F69"/>
    <w:rsid w:val="00F5657C"/>
    <w:rsid w:val="00F56B6E"/>
    <w:rsid w:val="00F56DB4"/>
    <w:rsid w:val="00F573E1"/>
    <w:rsid w:val="00F579D9"/>
    <w:rsid w:val="00F57DAB"/>
    <w:rsid w:val="00F602DF"/>
    <w:rsid w:val="00F6093B"/>
    <w:rsid w:val="00F609A2"/>
    <w:rsid w:val="00F60F9C"/>
    <w:rsid w:val="00F61463"/>
    <w:rsid w:val="00F6176F"/>
    <w:rsid w:val="00F61CF3"/>
    <w:rsid w:val="00F61D6F"/>
    <w:rsid w:val="00F61E54"/>
    <w:rsid w:val="00F6210B"/>
    <w:rsid w:val="00F63CFA"/>
    <w:rsid w:val="00F64016"/>
    <w:rsid w:val="00F641D2"/>
    <w:rsid w:val="00F64418"/>
    <w:rsid w:val="00F6582E"/>
    <w:rsid w:val="00F65AD0"/>
    <w:rsid w:val="00F66815"/>
    <w:rsid w:val="00F66E5A"/>
    <w:rsid w:val="00F6739D"/>
    <w:rsid w:val="00F706DE"/>
    <w:rsid w:val="00F70FA2"/>
    <w:rsid w:val="00F71289"/>
    <w:rsid w:val="00F717BF"/>
    <w:rsid w:val="00F72C60"/>
    <w:rsid w:val="00F7397F"/>
    <w:rsid w:val="00F73A10"/>
    <w:rsid w:val="00F74A25"/>
    <w:rsid w:val="00F74AFC"/>
    <w:rsid w:val="00F74B20"/>
    <w:rsid w:val="00F76EC0"/>
    <w:rsid w:val="00F8034E"/>
    <w:rsid w:val="00F80D6A"/>
    <w:rsid w:val="00F81750"/>
    <w:rsid w:val="00F817DF"/>
    <w:rsid w:val="00F82674"/>
    <w:rsid w:val="00F82D8A"/>
    <w:rsid w:val="00F83E49"/>
    <w:rsid w:val="00F83F3E"/>
    <w:rsid w:val="00F858D0"/>
    <w:rsid w:val="00F85D66"/>
    <w:rsid w:val="00F875AF"/>
    <w:rsid w:val="00F8798E"/>
    <w:rsid w:val="00F87F5B"/>
    <w:rsid w:val="00F90334"/>
    <w:rsid w:val="00F907AC"/>
    <w:rsid w:val="00F90E4D"/>
    <w:rsid w:val="00F91EE9"/>
    <w:rsid w:val="00F91F9D"/>
    <w:rsid w:val="00F920E8"/>
    <w:rsid w:val="00F92327"/>
    <w:rsid w:val="00F931F0"/>
    <w:rsid w:val="00F944E9"/>
    <w:rsid w:val="00F957CE"/>
    <w:rsid w:val="00F95CFC"/>
    <w:rsid w:val="00F95FE9"/>
    <w:rsid w:val="00F96380"/>
    <w:rsid w:val="00FA004F"/>
    <w:rsid w:val="00FA0DC0"/>
    <w:rsid w:val="00FA2C59"/>
    <w:rsid w:val="00FA3761"/>
    <w:rsid w:val="00FA3AD6"/>
    <w:rsid w:val="00FA4847"/>
    <w:rsid w:val="00FA5A4F"/>
    <w:rsid w:val="00FA6147"/>
    <w:rsid w:val="00FA68A9"/>
    <w:rsid w:val="00FA6E4F"/>
    <w:rsid w:val="00FA78A3"/>
    <w:rsid w:val="00FB159D"/>
    <w:rsid w:val="00FB244F"/>
    <w:rsid w:val="00FB3E13"/>
    <w:rsid w:val="00FB58C4"/>
    <w:rsid w:val="00FC0C43"/>
    <w:rsid w:val="00FC1465"/>
    <w:rsid w:val="00FC17DC"/>
    <w:rsid w:val="00FC2781"/>
    <w:rsid w:val="00FC3929"/>
    <w:rsid w:val="00FC603A"/>
    <w:rsid w:val="00FC6150"/>
    <w:rsid w:val="00FC7510"/>
    <w:rsid w:val="00FC778C"/>
    <w:rsid w:val="00FC7E25"/>
    <w:rsid w:val="00FD0D14"/>
    <w:rsid w:val="00FD15FB"/>
    <w:rsid w:val="00FD1C4B"/>
    <w:rsid w:val="00FD252C"/>
    <w:rsid w:val="00FD43B6"/>
    <w:rsid w:val="00FD544C"/>
    <w:rsid w:val="00FD571D"/>
    <w:rsid w:val="00FD5DBE"/>
    <w:rsid w:val="00FD5F32"/>
    <w:rsid w:val="00FD6C1E"/>
    <w:rsid w:val="00FD6F1E"/>
    <w:rsid w:val="00FE048F"/>
    <w:rsid w:val="00FE0AFB"/>
    <w:rsid w:val="00FE2B8F"/>
    <w:rsid w:val="00FE2DF3"/>
    <w:rsid w:val="00FE2FEB"/>
    <w:rsid w:val="00FE31D9"/>
    <w:rsid w:val="00FE36F5"/>
    <w:rsid w:val="00FE4572"/>
    <w:rsid w:val="00FE495E"/>
    <w:rsid w:val="00FE550F"/>
    <w:rsid w:val="00FE64FC"/>
    <w:rsid w:val="00FF09FD"/>
    <w:rsid w:val="00FF26EC"/>
    <w:rsid w:val="00FF492D"/>
    <w:rsid w:val="00FF61D3"/>
    <w:rsid w:val="00FF6625"/>
    <w:rsid w:val="00FF6F2A"/>
    <w:rsid w:val="00FF7235"/>
    <w:rsid w:val="01AD1873"/>
    <w:rsid w:val="02544A1E"/>
    <w:rsid w:val="02FA569D"/>
    <w:rsid w:val="031A4ACD"/>
    <w:rsid w:val="037670C0"/>
    <w:rsid w:val="04CC6316"/>
    <w:rsid w:val="05AB6BB5"/>
    <w:rsid w:val="06144A27"/>
    <w:rsid w:val="061C2766"/>
    <w:rsid w:val="07993245"/>
    <w:rsid w:val="0896662D"/>
    <w:rsid w:val="094D1481"/>
    <w:rsid w:val="097A2864"/>
    <w:rsid w:val="0A0E0016"/>
    <w:rsid w:val="0F3A3DFF"/>
    <w:rsid w:val="0FA97B58"/>
    <w:rsid w:val="109D458D"/>
    <w:rsid w:val="116D2EC9"/>
    <w:rsid w:val="117D3ED1"/>
    <w:rsid w:val="11D44E9C"/>
    <w:rsid w:val="11F02745"/>
    <w:rsid w:val="121579A3"/>
    <w:rsid w:val="125B57AE"/>
    <w:rsid w:val="12C77779"/>
    <w:rsid w:val="12C90CF0"/>
    <w:rsid w:val="13234267"/>
    <w:rsid w:val="13722859"/>
    <w:rsid w:val="13A6528A"/>
    <w:rsid w:val="13FC0C0A"/>
    <w:rsid w:val="14777F72"/>
    <w:rsid w:val="16164F06"/>
    <w:rsid w:val="17FF434E"/>
    <w:rsid w:val="18CA6249"/>
    <w:rsid w:val="19B54768"/>
    <w:rsid w:val="19E24C1C"/>
    <w:rsid w:val="1A3120C0"/>
    <w:rsid w:val="1AD10631"/>
    <w:rsid w:val="1B2E266D"/>
    <w:rsid w:val="1BBE0DFF"/>
    <w:rsid w:val="1CF11735"/>
    <w:rsid w:val="1D725A26"/>
    <w:rsid w:val="1EEE5942"/>
    <w:rsid w:val="1F0A69A8"/>
    <w:rsid w:val="20D34BC1"/>
    <w:rsid w:val="20F45B3A"/>
    <w:rsid w:val="21194A7C"/>
    <w:rsid w:val="218441BA"/>
    <w:rsid w:val="2214019E"/>
    <w:rsid w:val="22977D57"/>
    <w:rsid w:val="24A43E2E"/>
    <w:rsid w:val="25F73654"/>
    <w:rsid w:val="25F803D3"/>
    <w:rsid w:val="26AF259A"/>
    <w:rsid w:val="281650F9"/>
    <w:rsid w:val="28B3029B"/>
    <w:rsid w:val="28EE63EB"/>
    <w:rsid w:val="28FC1734"/>
    <w:rsid w:val="29091082"/>
    <w:rsid w:val="2933430F"/>
    <w:rsid w:val="29DE0C5C"/>
    <w:rsid w:val="2A312ABD"/>
    <w:rsid w:val="2A7B3912"/>
    <w:rsid w:val="2BC80F3A"/>
    <w:rsid w:val="2BE94E51"/>
    <w:rsid w:val="2C9B7890"/>
    <w:rsid w:val="2D73578A"/>
    <w:rsid w:val="2E446497"/>
    <w:rsid w:val="2F7E7EC7"/>
    <w:rsid w:val="2F800BA1"/>
    <w:rsid w:val="3137452B"/>
    <w:rsid w:val="31C1529D"/>
    <w:rsid w:val="3208793B"/>
    <w:rsid w:val="331E3659"/>
    <w:rsid w:val="33885346"/>
    <w:rsid w:val="33AD4F8F"/>
    <w:rsid w:val="33E74D8D"/>
    <w:rsid w:val="34B95E12"/>
    <w:rsid w:val="34EE1612"/>
    <w:rsid w:val="35250630"/>
    <w:rsid w:val="38204EE7"/>
    <w:rsid w:val="39283912"/>
    <w:rsid w:val="398E4756"/>
    <w:rsid w:val="39AA4B42"/>
    <w:rsid w:val="3A3A7DDC"/>
    <w:rsid w:val="3A9737FA"/>
    <w:rsid w:val="3B9F62CF"/>
    <w:rsid w:val="3C446E29"/>
    <w:rsid w:val="3DD118B1"/>
    <w:rsid w:val="3DEE7E73"/>
    <w:rsid w:val="3E1C30C0"/>
    <w:rsid w:val="3E344F3C"/>
    <w:rsid w:val="3EA220F0"/>
    <w:rsid w:val="3ECF4038"/>
    <w:rsid w:val="3F5E7D4A"/>
    <w:rsid w:val="3FDE2F37"/>
    <w:rsid w:val="41AB4620"/>
    <w:rsid w:val="41DC347B"/>
    <w:rsid w:val="42083C6E"/>
    <w:rsid w:val="421A6102"/>
    <w:rsid w:val="430E2370"/>
    <w:rsid w:val="45333FF1"/>
    <w:rsid w:val="46032522"/>
    <w:rsid w:val="464669B6"/>
    <w:rsid w:val="46E279C6"/>
    <w:rsid w:val="472153AE"/>
    <w:rsid w:val="49A52D09"/>
    <w:rsid w:val="49C967F5"/>
    <w:rsid w:val="49FC467B"/>
    <w:rsid w:val="4A7463DC"/>
    <w:rsid w:val="4A8E309D"/>
    <w:rsid w:val="4B9C1CE2"/>
    <w:rsid w:val="4BAE1039"/>
    <w:rsid w:val="4C350FA0"/>
    <w:rsid w:val="4CB37889"/>
    <w:rsid w:val="4DC42A8D"/>
    <w:rsid w:val="4DE83669"/>
    <w:rsid w:val="4DF92415"/>
    <w:rsid w:val="4E7379CD"/>
    <w:rsid w:val="4F235B89"/>
    <w:rsid w:val="50EB4A95"/>
    <w:rsid w:val="512F4C4C"/>
    <w:rsid w:val="514A5E8C"/>
    <w:rsid w:val="53BB196D"/>
    <w:rsid w:val="53F97BE8"/>
    <w:rsid w:val="54C35D5C"/>
    <w:rsid w:val="55023CE0"/>
    <w:rsid w:val="55FF2686"/>
    <w:rsid w:val="561C2EC0"/>
    <w:rsid w:val="57935995"/>
    <w:rsid w:val="57F63F01"/>
    <w:rsid w:val="58D566F0"/>
    <w:rsid w:val="59CD7852"/>
    <w:rsid w:val="5A5A2754"/>
    <w:rsid w:val="5B1E36A3"/>
    <w:rsid w:val="5BB071C7"/>
    <w:rsid w:val="5BFB04BD"/>
    <w:rsid w:val="5C355706"/>
    <w:rsid w:val="5C7436DF"/>
    <w:rsid w:val="60D540A2"/>
    <w:rsid w:val="60DA3D76"/>
    <w:rsid w:val="61043104"/>
    <w:rsid w:val="611C205A"/>
    <w:rsid w:val="62FB3D99"/>
    <w:rsid w:val="651C23C7"/>
    <w:rsid w:val="66234278"/>
    <w:rsid w:val="6730634A"/>
    <w:rsid w:val="67595369"/>
    <w:rsid w:val="68506B89"/>
    <w:rsid w:val="69176DE2"/>
    <w:rsid w:val="6A110CB9"/>
    <w:rsid w:val="6A78677B"/>
    <w:rsid w:val="6B0153FF"/>
    <w:rsid w:val="6CE8600F"/>
    <w:rsid w:val="6E73196B"/>
    <w:rsid w:val="6E7709DE"/>
    <w:rsid w:val="6E9D7C4E"/>
    <w:rsid w:val="6FB464A6"/>
    <w:rsid w:val="71300247"/>
    <w:rsid w:val="717C20A8"/>
    <w:rsid w:val="719B26A7"/>
    <w:rsid w:val="72A006FF"/>
    <w:rsid w:val="73E00292"/>
    <w:rsid w:val="74A040AF"/>
    <w:rsid w:val="75736D3C"/>
    <w:rsid w:val="75BB7F0A"/>
    <w:rsid w:val="75DF3DA7"/>
    <w:rsid w:val="773D5571"/>
    <w:rsid w:val="77423989"/>
    <w:rsid w:val="786E142C"/>
    <w:rsid w:val="79356981"/>
    <w:rsid w:val="799110FD"/>
    <w:rsid w:val="79A0771F"/>
    <w:rsid w:val="7A2E6882"/>
    <w:rsid w:val="7B393714"/>
    <w:rsid w:val="7B3E6326"/>
    <w:rsid w:val="7CB1244A"/>
    <w:rsid w:val="7DA6539C"/>
    <w:rsid w:val="7E6703A4"/>
    <w:rsid w:val="7EA30B1B"/>
    <w:rsid w:val="7EE9018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0" w:semiHidden="0" w:name="heading 5"/>
    <w:lsdException w:qFormat="1" w:uiPriority="9" w:semiHidden="0" w:name="heading 6"/>
    <w:lsdException w:qFormat="1" w:uiPriority="9" w:semiHidden="0" w:name="heading 7"/>
    <w:lsdException w:qFormat="1" w:uiPriority="0" w:semiHidden="0" w:name="heading 8"/>
    <w:lsdException w:qFormat="1"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uiPriority="99" w:name="footnote text"/>
    <w:lsdException w:qFormat="1" w:uiPriority="0" w:name="annotation text"/>
    <w:lsdException w:qFormat="1" w:uiPriority="99" w:semiHidden="0" w:name="header"/>
    <w:lsdException w:qFormat="1"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qFormat="1" w:uiPriority="99"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qFormat="1"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qFormat="1" w:uiPriority="99" w:name="Body Text First Indent"/>
    <w:lsdException w:qFormat="1" w:uiPriority="99" w:semiHidden="0" w:name="Body Text First Indent 2"/>
    <w:lsdException w:uiPriority="0" w:name="Note Heading"/>
    <w:lsdException w:uiPriority="99" w:name="Body Text 2"/>
    <w:lsdException w:uiPriority="99" w:name="Body Text 3"/>
    <w:lsdException w:qFormat="1" w:uiPriority="99" w:semiHidden="0"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0" w:semiHidden="0" w:name="Strong"/>
    <w:lsdException w:qFormat="1" w:unhideWhenUsed="0" w:uiPriority="20" w:semiHidden="0" w:name="Emphasis"/>
    <w:lsdException w:qFormat="1" w:uiPriority="99" w:name="Document Map"/>
    <w:lsdException w:qFormat="1" w:unhideWhenUsed="0" w:uiPriority="0" w:semiHidden="0" w:name="Plain Text"/>
    <w:lsdException w:uiPriority="99" w:name="E-mail Signature"/>
    <w:lsdException w:qFormat="1" w:uiPriority="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topLinePunct/>
      <w:autoSpaceDE w:val="0"/>
      <w:spacing w:line="480" w:lineRule="exact"/>
      <w:ind w:firstLine="200" w:firstLineChars="200"/>
      <w:jc w:val="both"/>
    </w:pPr>
    <w:rPr>
      <w:rFonts w:ascii="Times New Roman" w:hAnsi="Times New Roman" w:eastAsia="宋体" w:cs="Times New Roman"/>
      <w:kern w:val="2"/>
      <w:sz w:val="24"/>
      <w:szCs w:val="22"/>
      <w:lang w:val="en-US" w:eastAsia="zh-CN" w:bidi="ar-SA"/>
    </w:rPr>
  </w:style>
  <w:style w:type="paragraph" w:styleId="4">
    <w:name w:val="heading 1"/>
    <w:basedOn w:val="1"/>
    <w:next w:val="1"/>
    <w:link w:val="48"/>
    <w:qFormat/>
    <w:uiPriority w:val="9"/>
    <w:pPr>
      <w:keepNext/>
      <w:keepLines/>
      <w:spacing w:before="180" w:after="180"/>
      <w:ind w:firstLine="0" w:firstLineChars="0"/>
      <w:outlineLvl w:val="0"/>
    </w:pPr>
    <w:rPr>
      <w:rFonts w:eastAsiaTheme="majorEastAsia" w:cstheme="minorBidi"/>
      <w:b/>
      <w:bCs/>
      <w:kern w:val="44"/>
      <w:sz w:val="30"/>
      <w:szCs w:val="44"/>
    </w:rPr>
  </w:style>
  <w:style w:type="paragraph" w:styleId="5">
    <w:name w:val="heading 2"/>
    <w:basedOn w:val="1"/>
    <w:next w:val="1"/>
    <w:link w:val="49"/>
    <w:unhideWhenUsed/>
    <w:qFormat/>
    <w:uiPriority w:val="9"/>
    <w:pPr>
      <w:keepNext/>
      <w:keepLines/>
      <w:spacing w:before="120" w:after="120"/>
      <w:ind w:firstLine="0" w:firstLineChars="0"/>
      <w:outlineLvl w:val="1"/>
    </w:pPr>
    <w:rPr>
      <w:rFonts w:cstheme="majorBidi"/>
      <w:b/>
      <w:bCs/>
      <w:sz w:val="28"/>
      <w:szCs w:val="32"/>
    </w:rPr>
  </w:style>
  <w:style w:type="paragraph" w:styleId="6">
    <w:name w:val="heading 3"/>
    <w:basedOn w:val="1"/>
    <w:next w:val="1"/>
    <w:link w:val="50"/>
    <w:unhideWhenUsed/>
    <w:qFormat/>
    <w:uiPriority w:val="9"/>
    <w:pPr>
      <w:keepNext/>
      <w:keepLines/>
      <w:spacing w:before="120" w:after="120"/>
      <w:ind w:firstLine="0" w:firstLineChars="0"/>
      <w:outlineLvl w:val="2"/>
    </w:pPr>
    <w:rPr>
      <w:b/>
      <w:bCs/>
      <w:szCs w:val="32"/>
    </w:rPr>
  </w:style>
  <w:style w:type="paragraph" w:styleId="7">
    <w:name w:val="heading 4"/>
    <w:basedOn w:val="1"/>
    <w:next w:val="1"/>
    <w:link w:val="51"/>
    <w:unhideWhenUsed/>
    <w:qFormat/>
    <w:uiPriority w:val="9"/>
    <w:pPr>
      <w:keepNext/>
      <w:keepLines/>
      <w:spacing w:before="120" w:after="120"/>
      <w:ind w:firstLine="0" w:firstLineChars="0"/>
      <w:jc w:val="left"/>
      <w:outlineLvl w:val="3"/>
    </w:pPr>
    <w:rPr>
      <w:rFonts w:cstheme="majorBidi"/>
      <w:b/>
      <w:bCs/>
      <w:szCs w:val="28"/>
    </w:rPr>
  </w:style>
  <w:style w:type="paragraph" w:styleId="8">
    <w:name w:val="heading 5"/>
    <w:basedOn w:val="1"/>
    <w:next w:val="1"/>
    <w:link w:val="52"/>
    <w:unhideWhenUsed/>
    <w:qFormat/>
    <w:uiPriority w:val="0"/>
    <w:pPr>
      <w:keepNext/>
      <w:keepLines/>
      <w:ind w:firstLine="0" w:firstLineChars="0"/>
      <w:jc w:val="center"/>
      <w:outlineLvl w:val="4"/>
    </w:pPr>
    <w:rPr>
      <w:b/>
      <w:bCs/>
      <w:szCs w:val="28"/>
    </w:rPr>
  </w:style>
  <w:style w:type="paragraph" w:styleId="9">
    <w:name w:val="heading 6"/>
    <w:basedOn w:val="1"/>
    <w:next w:val="1"/>
    <w:link w:val="53"/>
    <w:unhideWhenUsed/>
    <w:qFormat/>
    <w:uiPriority w:val="9"/>
    <w:pPr>
      <w:keepNext/>
      <w:keepLines/>
      <w:spacing w:before="240" w:after="64" w:line="320" w:lineRule="auto"/>
      <w:outlineLvl w:val="5"/>
    </w:pPr>
    <w:rPr>
      <w:rFonts w:asciiTheme="majorHAnsi" w:hAnsiTheme="majorHAnsi" w:eastAsiaTheme="majorEastAsia" w:cstheme="majorBidi"/>
      <w:b/>
      <w:bCs/>
      <w:szCs w:val="24"/>
    </w:rPr>
  </w:style>
  <w:style w:type="paragraph" w:styleId="10">
    <w:name w:val="heading 7"/>
    <w:basedOn w:val="1"/>
    <w:next w:val="1"/>
    <w:link w:val="54"/>
    <w:unhideWhenUsed/>
    <w:qFormat/>
    <w:uiPriority w:val="9"/>
    <w:pPr>
      <w:keepNext/>
      <w:keepLines/>
      <w:spacing w:before="240" w:after="64" w:line="320" w:lineRule="auto"/>
      <w:outlineLvl w:val="6"/>
    </w:pPr>
    <w:rPr>
      <w:b/>
      <w:bCs/>
      <w:szCs w:val="24"/>
    </w:rPr>
  </w:style>
  <w:style w:type="paragraph" w:styleId="11">
    <w:name w:val="heading 8"/>
    <w:basedOn w:val="1"/>
    <w:next w:val="1"/>
    <w:link w:val="55"/>
    <w:unhideWhenUsed/>
    <w:qFormat/>
    <w:uiPriority w:val="0"/>
    <w:pPr>
      <w:keepNext/>
      <w:keepLines/>
      <w:spacing w:before="240" w:after="64" w:line="320" w:lineRule="auto"/>
      <w:outlineLvl w:val="7"/>
    </w:pPr>
    <w:rPr>
      <w:rFonts w:asciiTheme="majorHAnsi" w:hAnsiTheme="majorHAnsi" w:eastAsiaTheme="majorEastAsia" w:cstheme="majorBidi"/>
      <w:szCs w:val="24"/>
    </w:rPr>
  </w:style>
  <w:style w:type="paragraph" w:styleId="12">
    <w:name w:val="heading 9"/>
    <w:basedOn w:val="1"/>
    <w:next w:val="1"/>
    <w:link w:val="56"/>
    <w:unhideWhenUsed/>
    <w:qFormat/>
    <w:uiPriority w:val="0"/>
    <w:pPr>
      <w:keepNext/>
      <w:keepLines/>
      <w:spacing w:before="240" w:after="64" w:line="320" w:lineRule="auto"/>
      <w:outlineLvl w:val="8"/>
    </w:pPr>
    <w:rPr>
      <w:rFonts w:asciiTheme="majorHAnsi" w:hAnsiTheme="majorHAnsi" w:eastAsiaTheme="majorEastAsia" w:cstheme="majorBidi"/>
    </w:rPr>
  </w:style>
  <w:style w:type="character" w:default="1" w:styleId="41">
    <w:name w:val="Default Paragraph Font"/>
    <w:semiHidden/>
    <w:unhideWhenUsed/>
    <w:qFormat/>
    <w:uiPriority w:val="1"/>
  </w:style>
  <w:style w:type="table" w:default="1" w:styleId="39">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link w:val="88"/>
    <w:unhideWhenUsed/>
    <w:qFormat/>
    <w:uiPriority w:val="99"/>
    <w:pPr>
      <w:spacing w:after="120"/>
      <w:ind w:left="420" w:leftChars="200" w:firstLine="420"/>
    </w:pPr>
    <w:rPr>
      <w:rFonts w:ascii="宋体" w:cs="宋体" w:hAnsiTheme="minorHAnsi"/>
      <w:kern w:val="0"/>
      <w:szCs w:val="24"/>
    </w:rPr>
  </w:style>
  <w:style w:type="paragraph" w:styleId="3">
    <w:name w:val="Body Text Indent"/>
    <w:basedOn w:val="1"/>
    <w:next w:val="1"/>
    <w:link w:val="120"/>
    <w:semiHidden/>
    <w:unhideWhenUsed/>
    <w:qFormat/>
    <w:uiPriority w:val="99"/>
    <w:pPr>
      <w:spacing w:after="120"/>
      <w:ind w:left="420" w:leftChars="200"/>
    </w:pPr>
  </w:style>
  <w:style w:type="paragraph" w:styleId="13">
    <w:name w:val="toc 7"/>
    <w:basedOn w:val="1"/>
    <w:next w:val="1"/>
    <w:unhideWhenUsed/>
    <w:qFormat/>
    <w:uiPriority w:val="39"/>
    <w:pPr>
      <w:topLinePunct w:val="0"/>
      <w:autoSpaceDE/>
      <w:spacing w:line="240" w:lineRule="auto"/>
      <w:ind w:left="2520" w:leftChars="1200" w:firstLine="0" w:firstLineChars="0"/>
    </w:pPr>
    <w:rPr>
      <w:rFonts w:asciiTheme="minorHAnsi" w:hAnsiTheme="minorHAnsi" w:eastAsiaTheme="minorEastAsia" w:cstheme="minorBidi"/>
      <w:sz w:val="21"/>
    </w:rPr>
  </w:style>
  <w:style w:type="paragraph" w:styleId="14">
    <w:name w:val="Normal Indent"/>
    <w:basedOn w:val="1"/>
    <w:next w:val="2"/>
    <w:qFormat/>
    <w:uiPriority w:val="0"/>
    <w:pPr>
      <w:numPr>
        <w:ilvl w:val="3"/>
        <w:numId w:val="1"/>
      </w:numPr>
      <w:ind w:firstLineChars="0"/>
    </w:pPr>
  </w:style>
  <w:style w:type="paragraph" w:styleId="15">
    <w:name w:val="caption"/>
    <w:basedOn w:val="1"/>
    <w:next w:val="1"/>
    <w:qFormat/>
    <w:uiPriority w:val="0"/>
    <w:pPr>
      <w:spacing w:beforeLines="50" w:line="360" w:lineRule="auto"/>
      <w:jc w:val="center"/>
    </w:pPr>
    <w:rPr>
      <w:rFonts w:cs="Arial"/>
      <w:b/>
      <w:szCs w:val="20"/>
    </w:rPr>
  </w:style>
  <w:style w:type="paragraph" w:styleId="16">
    <w:name w:val="Document Map"/>
    <w:basedOn w:val="1"/>
    <w:link w:val="57"/>
    <w:semiHidden/>
    <w:unhideWhenUsed/>
    <w:qFormat/>
    <w:uiPriority w:val="99"/>
    <w:rPr>
      <w:rFonts w:ascii="宋体"/>
      <w:sz w:val="18"/>
      <w:szCs w:val="18"/>
    </w:rPr>
  </w:style>
  <w:style w:type="paragraph" w:styleId="17">
    <w:name w:val="annotation text"/>
    <w:basedOn w:val="1"/>
    <w:link w:val="129"/>
    <w:semiHidden/>
    <w:unhideWhenUsed/>
    <w:qFormat/>
    <w:uiPriority w:val="0"/>
    <w:pPr>
      <w:jc w:val="left"/>
    </w:pPr>
  </w:style>
  <w:style w:type="paragraph" w:styleId="18">
    <w:name w:val="Body Text"/>
    <w:basedOn w:val="1"/>
    <w:next w:val="19"/>
    <w:link w:val="122"/>
    <w:semiHidden/>
    <w:unhideWhenUsed/>
    <w:qFormat/>
    <w:uiPriority w:val="99"/>
    <w:pPr>
      <w:spacing w:after="120"/>
    </w:pPr>
  </w:style>
  <w:style w:type="paragraph" w:styleId="19">
    <w:name w:val="List Bullet 5"/>
    <w:basedOn w:val="1"/>
    <w:semiHidden/>
    <w:unhideWhenUsed/>
    <w:qFormat/>
    <w:uiPriority w:val="99"/>
    <w:pPr>
      <w:numPr>
        <w:ilvl w:val="0"/>
        <w:numId w:val="2"/>
      </w:numPr>
    </w:pPr>
  </w:style>
  <w:style w:type="paragraph" w:styleId="20">
    <w:name w:val="toc 5"/>
    <w:basedOn w:val="1"/>
    <w:next w:val="1"/>
    <w:unhideWhenUsed/>
    <w:qFormat/>
    <w:uiPriority w:val="39"/>
    <w:pPr>
      <w:topLinePunct w:val="0"/>
      <w:autoSpaceDE/>
      <w:spacing w:line="240" w:lineRule="auto"/>
      <w:ind w:left="1680" w:leftChars="800" w:firstLine="0" w:firstLineChars="0"/>
    </w:pPr>
    <w:rPr>
      <w:rFonts w:asciiTheme="minorHAnsi" w:hAnsiTheme="minorHAnsi" w:eastAsiaTheme="minorEastAsia" w:cstheme="minorBidi"/>
      <w:sz w:val="21"/>
    </w:rPr>
  </w:style>
  <w:style w:type="paragraph" w:styleId="21">
    <w:name w:val="toc 3"/>
    <w:basedOn w:val="1"/>
    <w:next w:val="1"/>
    <w:unhideWhenUsed/>
    <w:qFormat/>
    <w:uiPriority w:val="39"/>
    <w:pPr>
      <w:ind w:left="840" w:leftChars="400"/>
    </w:pPr>
  </w:style>
  <w:style w:type="paragraph" w:styleId="22">
    <w:name w:val="Plain Text"/>
    <w:basedOn w:val="1"/>
    <w:qFormat/>
    <w:uiPriority w:val="0"/>
    <w:rPr>
      <w:rFonts w:ascii="宋体" w:hAnsi="Courier New" w:cs="Courier New"/>
      <w:sz w:val="32"/>
      <w:szCs w:val="21"/>
    </w:rPr>
  </w:style>
  <w:style w:type="paragraph" w:styleId="23">
    <w:name w:val="toc 8"/>
    <w:basedOn w:val="1"/>
    <w:next w:val="1"/>
    <w:unhideWhenUsed/>
    <w:qFormat/>
    <w:uiPriority w:val="39"/>
    <w:pPr>
      <w:topLinePunct w:val="0"/>
      <w:autoSpaceDE/>
      <w:spacing w:line="240" w:lineRule="auto"/>
      <w:ind w:left="2940" w:leftChars="1400" w:firstLine="0" w:firstLineChars="0"/>
    </w:pPr>
    <w:rPr>
      <w:rFonts w:asciiTheme="minorHAnsi" w:hAnsiTheme="minorHAnsi" w:eastAsiaTheme="minorEastAsia" w:cstheme="minorBidi"/>
      <w:sz w:val="21"/>
    </w:rPr>
  </w:style>
  <w:style w:type="paragraph" w:styleId="24">
    <w:name w:val="Date"/>
    <w:basedOn w:val="1"/>
    <w:next w:val="1"/>
    <w:link w:val="58"/>
    <w:unhideWhenUsed/>
    <w:qFormat/>
    <w:uiPriority w:val="99"/>
    <w:pPr>
      <w:ind w:left="100" w:leftChars="2500"/>
    </w:pPr>
  </w:style>
  <w:style w:type="paragraph" w:styleId="25">
    <w:name w:val="Body Text Indent 2"/>
    <w:basedOn w:val="1"/>
    <w:link w:val="121"/>
    <w:unhideWhenUsed/>
    <w:qFormat/>
    <w:uiPriority w:val="99"/>
    <w:pPr>
      <w:spacing w:after="120" w:line="480" w:lineRule="auto"/>
      <w:ind w:left="420" w:leftChars="200"/>
    </w:pPr>
  </w:style>
  <w:style w:type="paragraph" w:styleId="26">
    <w:name w:val="Balloon Text"/>
    <w:basedOn w:val="1"/>
    <w:link w:val="123"/>
    <w:unhideWhenUsed/>
    <w:qFormat/>
    <w:uiPriority w:val="99"/>
    <w:pPr>
      <w:spacing w:line="240" w:lineRule="auto"/>
    </w:pPr>
    <w:rPr>
      <w:sz w:val="18"/>
      <w:szCs w:val="18"/>
    </w:rPr>
  </w:style>
  <w:style w:type="paragraph" w:styleId="27">
    <w:name w:val="footer"/>
    <w:basedOn w:val="1"/>
    <w:next w:val="28"/>
    <w:link w:val="59"/>
    <w:unhideWhenUsed/>
    <w:qFormat/>
    <w:uiPriority w:val="99"/>
    <w:pPr>
      <w:widowControl/>
      <w:tabs>
        <w:tab w:val="center" w:pos="4680"/>
        <w:tab w:val="right" w:pos="9360"/>
      </w:tabs>
      <w:topLinePunct w:val="0"/>
      <w:autoSpaceDE/>
      <w:spacing w:line="240" w:lineRule="auto"/>
      <w:ind w:firstLine="0" w:firstLineChars="0"/>
      <w:jc w:val="left"/>
    </w:pPr>
    <w:rPr>
      <w:rFonts w:asciiTheme="minorHAnsi" w:hAnsiTheme="minorHAnsi" w:eastAsiaTheme="minorHAnsi" w:cstheme="minorBidi"/>
      <w:kern w:val="0"/>
      <w:sz w:val="21"/>
      <w:szCs w:val="21"/>
    </w:rPr>
  </w:style>
  <w:style w:type="paragraph" w:customStyle="1" w:styleId="28">
    <w:name w:val="正文文字 6"/>
    <w:next w:val="1"/>
    <w:qFormat/>
    <w:uiPriority w:val="0"/>
    <w:pPr>
      <w:widowControl w:val="0"/>
      <w:ind w:left="240"/>
      <w:jc w:val="both"/>
    </w:pPr>
    <w:rPr>
      <w:rFonts w:ascii="宋体" w:hAnsi="Calibri" w:eastAsia="宋体" w:cs="Times New Roman"/>
      <w:b/>
      <w:bCs/>
      <w:kern w:val="2"/>
      <w:sz w:val="32"/>
      <w:szCs w:val="32"/>
      <w:lang w:val="en-US" w:eastAsia="zh-CN" w:bidi="ar-SA"/>
    </w:rPr>
  </w:style>
  <w:style w:type="paragraph" w:styleId="29">
    <w:name w:val="header"/>
    <w:basedOn w:val="1"/>
    <w:link w:val="60"/>
    <w:unhideWhenUsed/>
    <w:qFormat/>
    <w:uiPriority w:val="99"/>
    <w:pPr>
      <w:pBdr>
        <w:bottom w:val="single" w:color="auto" w:sz="6" w:space="1"/>
      </w:pBdr>
      <w:tabs>
        <w:tab w:val="center" w:pos="4153"/>
        <w:tab w:val="right" w:pos="8306"/>
      </w:tabs>
      <w:snapToGrid w:val="0"/>
      <w:spacing w:line="240" w:lineRule="atLeast"/>
      <w:jc w:val="center"/>
    </w:pPr>
    <w:rPr>
      <w:sz w:val="18"/>
      <w:szCs w:val="18"/>
    </w:rPr>
  </w:style>
  <w:style w:type="paragraph" w:styleId="30">
    <w:name w:val="toc 1"/>
    <w:basedOn w:val="1"/>
    <w:next w:val="1"/>
    <w:unhideWhenUsed/>
    <w:qFormat/>
    <w:uiPriority w:val="39"/>
  </w:style>
  <w:style w:type="paragraph" w:styleId="31">
    <w:name w:val="toc 4"/>
    <w:basedOn w:val="1"/>
    <w:next w:val="1"/>
    <w:unhideWhenUsed/>
    <w:qFormat/>
    <w:uiPriority w:val="39"/>
    <w:pPr>
      <w:topLinePunct w:val="0"/>
      <w:autoSpaceDE/>
      <w:spacing w:line="240" w:lineRule="auto"/>
      <w:ind w:left="1260" w:leftChars="600" w:firstLine="0" w:firstLineChars="0"/>
    </w:pPr>
    <w:rPr>
      <w:rFonts w:asciiTheme="minorHAnsi" w:hAnsiTheme="minorHAnsi" w:eastAsiaTheme="minorEastAsia" w:cstheme="minorBidi"/>
      <w:sz w:val="21"/>
    </w:rPr>
  </w:style>
  <w:style w:type="paragraph" w:styleId="32">
    <w:name w:val="List"/>
    <w:basedOn w:val="1"/>
    <w:unhideWhenUsed/>
    <w:qFormat/>
    <w:uiPriority w:val="99"/>
    <w:pPr>
      <w:ind w:left="200" w:hanging="200" w:hangingChars="200"/>
    </w:pPr>
    <w:rPr>
      <w:szCs w:val="21"/>
    </w:rPr>
  </w:style>
  <w:style w:type="paragraph" w:styleId="33">
    <w:name w:val="toc 6"/>
    <w:basedOn w:val="1"/>
    <w:next w:val="1"/>
    <w:unhideWhenUsed/>
    <w:qFormat/>
    <w:uiPriority w:val="39"/>
    <w:pPr>
      <w:topLinePunct w:val="0"/>
      <w:autoSpaceDE/>
      <w:spacing w:line="240" w:lineRule="auto"/>
      <w:ind w:left="2100" w:leftChars="1000" w:firstLine="0" w:firstLineChars="0"/>
    </w:pPr>
    <w:rPr>
      <w:rFonts w:asciiTheme="minorHAnsi" w:hAnsiTheme="minorHAnsi" w:eastAsiaTheme="minorEastAsia" w:cstheme="minorBidi"/>
      <w:sz w:val="21"/>
    </w:rPr>
  </w:style>
  <w:style w:type="paragraph" w:styleId="34">
    <w:name w:val="toc 2"/>
    <w:basedOn w:val="1"/>
    <w:next w:val="1"/>
    <w:unhideWhenUsed/>
    <w:qFormat/>
    <w:uiPriority w:val="39"/>
    <w:pPr>
      <w:ind w:left="420" w:leftChars="200"/>
    </w:pPr>
  </w:style>
  <w:style w:type="paragraph" w:styleId="35">
    <w:name w:val="toc 9"/>
    <w:basedOn w:val="1"/>
    <w:next w:val="1"/>
    <w:unhideWhenUsed/>
    <w:qFormat/>
    <w:uiPriority w:val="39"/>
    <w:pPr>
      <w:topLinePunct w:val="0"/>
      <w:autoSpaceDE/>
      <w:spacing w:line="240" w:lineRule="auto"/>
      <w:ind w:left="3360" w:leftChars="1600" w:firstLine="0" w:firstLineChars="0"/>
    </w:pPr>
    <w:rPr>
      <w:rFonts w:asciiTheme="minorHAnsi" w:hAnsiTheme="minorHAnsi" w:eastAsiaTheme="minorEastAsia" w:cstheme="minorBidi"/>
      <w:sz w:val="21"/>
    </w:rPr>
  </w:style>
  <w:style w:type="paragraph" w:styleId="36">
    <w:name w:val="Title"/>
    <w:basedOn w:val="1"/>
    <w:next w:val="1"/>
    <w:link w:val="104"/>
    <w:qFormat/>
    <w:uiPriority w:val="10"/>
    <w:pPr>
      <w:topLinePunct w:val="0"/>
      <w:autoSpaceDE/>
      <w:spacing w:before="240" w:after="60" w:line="240" w:lineRule="auto"/>
      <w:ind w:firstLine="0" w:firstLineChars="0"/>
      <w:jc w:val="center"/>
      <w:outlineLvl w:val="0"/>
    </w:pPr>
    <w:rPr>
      <w:rFonts w:ascii="Cambria" w:hAnsi="Cambria" w:eastAsiaTheme="minorEastAsia"/>
      <w:b/>
      <w:bCs/>
      <w:kern w:val="0"/>
      <w:sz w:val="32"/>
      <w:szCs w:val="32"/>
    </w:rPr>
  </w:style>
  <w:style w:type="paragraph" w:styleId="37">
    <w:name w:val="annotation subject"/>
    <w:basedOn w:val="1"/>
    <w:next w:val="1"/>
    <w:link w:val="118"/>
    <w:semiHidden/>
    <w:unhideWhenUsed/>
    <w:qFormat/>
    <w:uiPriority w:val="99"/>
    <w:rPr>
      <w:b/>
      <w:bCs/>
    </w:rPr>
  </w:style>
  <w:style w:type="paragraph" w:styleId="38">
    <w:name w:val="Body Text First Indent"/>
    <w:basedOn w:val="18"/>
    <w:next w:val="1"/>
    <w:link w:val="101"/>
    <w:semiHidden/>
    <w:unhideWhenUsed/>
    <w:qFormat/>
    <w:uiPriority w:val="99"/>
    <w:pPr>
      <w:spacing w:after="120"/>
      <w:ind w:firstLine="420" w:firstLineChars="100"/>
    </w:pPr>
    <w:rPr>
      <w:rFonts w:cs="Calibri" w:asciiTheme="minorHAnsi" w:hAnsiTheme="minorHAnsi" w:eastAsiaTheme="minorEastAsia"/>
      <w:kern w:val="0"/>
      <w:sz w:val="20"/>
      <w:szCs w:val="20"/>
    </w:rPr>
  </w:style>
  <w:style w:type="table" w:styleId="40">
    <w:name w:val="Table Grid"/>
    <w:basedOn w:val="39"/>
    <w:qFormat/>
    <w:uiPriority w:val="0"/>
    <w:pPr>
      <w:widowControl w:val="0"/>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42">
    <w:name w:val="page number"/>
    <w:qFormat/>
    <w:uiPriority w:val="0"/>
    <w:rPr>
      <w:rFonts w:cs="Times New Roman"/>
    </w:rPr>
  </w:style>
  <w:style w:type="character" w:styleId="43">
    <w:name w:val="FollowedHyperlink"/>
    <w:basedOn w:val="41"/>
    <w:semiHidden/>
    <w:unhideWhenUsed/>
    <w:qFormat/>
    <w:uiPriority w:val="99"/>
    <w:rPr>
      <w:color w:val="800080"/>
      <w:u w:val="single"/>
    </w:rPr>
  </w:style>
  <w:style w:type="character" w:styleId="44">
    <w:name w:val="Hyperlink"/>
    <w:basedOn w:val="41"/>
    <w:unhideWhenUsed/>
    <w:qFormat/>
    <w:uiPriority w:val="99"/>
    <w:rPr>
      <w:color w:val="0000FF" w:themeColor="hyperlink"/>
      <w:u w:val="single"/>
      <w14:textFill>
        <w14:solidFill>
          <w14:schemeClr w14:val="hlink"/>
        </w14:solidFill>
      </w14:textFill>
    </w:rPr>
  </w:style>
  <w:style w:type="character" w:styleId="45">
    <w:name w:val="annotation reference"/>
    <w:basedOn w:val="41"/>
    <w:semiHidden/>
    <w:unhideWhenUsed/>
    <w:qFormat/>
    <w:uiPriority w:val="99"/>
    <w:rPr>
      <w:sz w:val="21"/>
      <w:szCs w:val="21"/>
    </w:rPr>
  </w:style>
  <w:style w:type="paragraph" w:customStyle="1" w:styleId="46">
    <w:name w:val="样式 正文缩进正文缩进2正文缩进 Char Char正文缩进 Char Char Char Char正文缩进 Char ..."/>
    <w:basedOn w:val="14"/>
    <w:qFormat/>
    <w:uiPriority w:val="0"/>
    <w:pPr>
      <w:tabs>
        <w:tab w:val="left" w:pos="0"/>
      </w:tabs>
      <w:spacing w:line="360" w:lineRule="auto"/>
      <w:ind w:firstLine="200"/>
    </w:pPr>
    <w:rPr>
      <w:rFonts w:cs="宋体"/>
      <w:sz w:val="24"/>
    </w:rPr>
  </w:style>
  <w:style w:type="paragraph" w:customStyle="1" w:styleId="47">
    <w:name w:val="0正文"/>
    <w:qFormat/>
    <w:uiPriority w:val="0"/>
    <w:pPr>
      <w:widowControl w:val="0"/>
      <w:spacing w:line="360" w:lineRule="auto"/>
      <w:ind w:firstLine="720" w:firstLineChars="200"/>
    </w:pPr>
    <w:rPr>
      <w:rFonts w:ascii="Times New Roman" w:hAnsi="Times New Roman" w:eastAsia="宋体" w:cs="Times New Roman"/>
      <w:sz w:val="24"/>
      <w:szCs w:val="22"/>
      <w:lang w:val="en-US" w:eastAsia="zh-CN" w:bidi="ar-SA"/>
    </w:rPr>
  </w:style>
  <w:style w:type="character" w:customStyle="1" w:styleId="48">
    <w:name w:val="标题 1 Char"/>
    <w:basedOn w:val="41"/>
    <w:link w:val="4"/>
    <w:qFormat/>
    <w:uiPriority w:val="9"/>
    <w:rPr>
      <w:rFonts w:ascii="Times New Roman" w:hAnsi="Times New Roman" w:eastAsiaTheme="majorEastAsia"/>
      <w:b/>
      <w:bCs/>
      <w:kern w:val="44"/>
      <w:sz w:val="30"/>
      <w:szCs w:val="44"/>
    </w:rPr>
  </w:style>
  <w:style w:type="character" w:customStyle="1" w:styleId="49">
    <w:name w:val="标题 2 Char1"/>
    <w:basedOn w:val="41"/>
    <w:link w:val="5"/>
    <w:qFormat/>
    <w:uiPriority w:val="0"/>
    <w:rPr>
      <w:rFonts w:ascii="Times New Roman" w:hAnsi="Times New Roman" w:eastAsia="宋体" w:cstheme="majorBidi"/>
      <w:b/>
      <w:bCs/>
      <w:sz w:val="28"/>
      <w:szCs w:val="32"/>
    </w:rPr>
  </w:style>
  <w:style w:type="character" w:customStyle="1" w:styleId="50">
    <w:name w:val="标题 3 Char1"/>
    <w:basedOn w:val="41"/>
    <w:link w:val="6"/>
    <w:qFormat/>
    <w:uiPriority w:val="9"/>
    <w:rPr>
      <w:rFonts w:ascii="Times New Roman" w:hAnsi="Times New Roman" w:eastAsia="宋体" w:cs="Times New Roman"/>
      <w:b/>
      <w:bCs/>
      <w:sz w:val="24"/>
      <w:szCs w:val="32"/>
    </w:rPr>
  </w:style>
  <w:style w:type="character" w:customStyle="1" w:styleId="51">
    <w:name w:val="标题 4 Char"/>
    <w:basedOn w:val="41"/>
    <w:link w:val="7"/>
    <w:qFormat/>
    <w:uiPriority w:val="99"/>
    <w:rPr>
      <w:rFonts w:ascii="Times New Roman" w:hAnsi="Times New Roman" w:eastAsia="宋体" w:cstheme="majorBidi"/>
      <w:b/>
      <w:bCs/>
      <w:sz w:val="24"/>
      <w:szCs w:val="28"/>
    </w:rPr>
  </w:style>
  <w:style w:type="character" w:customStyle="1" w:styleId="52">
    <w:name w:val="标题 5 Char"/>
    <w:basedOn w:val="41"/>
    <w:link w:val="8"/>
    <w:qFormat/>
    <w:uiPriority w:val="0"/>
    <w:rPr>
      <w:rFonts w:ascii="Times New Roman" w:hAnsi="Times New Roman" w:eastAsia="宋体" w:cs="Times New Roman"/>
      <w:b/>
      <w:bCs/>
      <w:kern w:val="2"/>
      <w:sz w:val="24"/>
      <w:szCs w:val="28"/>
    </w:rPr>
  </w:style>
  <w:style w:type="character" w:customStyle="1" w:styleId="53">
    <w:name w:val="标题 6 Char1"/>
    <w:basedOn w:val="41"/>
    <w:link w:val="9"/>
    <w:qFormat/>
    <w:uiPriority w:val="0"/>
    <w:rPr>
      <w:rFonts w:asciiTheme="majorHAnsi" w:hAnsiTheme="majorHAnsi" w:eastAsiaTheme="majorEastAsia" w:cstheme="majorBidi"/>
      <w:b/>
      <w:bCs/>
      <w:sz w:val="24"/>
      <w:szCs w:val="24"/>
    </w:rPr>
  </w:style>
  <w:style w:type="character" w:customStyle="1" w:styleId="54">
    <w:name w:val="标题 7 Char1"/>
    <w:basedOn w:val="41"/>
    <w:link w:val="10"/>
    <w:qFormat/>
    <w:uiPriority w:val="9"/>
    <w:rPr>
      <w:b/>
      <w:bCs/>
      <w:sz w:val="24"/>
      <w:szCs w:val="24"/>
    </w:rPr>
  </w:style>
  <w:style w:type="character" w:customStyle="1" w:styleId="55">
    <w:name w:val="标题 8 Char"/>
    <w:basedOn w:val="41"/>
    <w:link w:val="11"/>
    <w:qFormat/>
    <w:uiPriority w:val="0"/>
    <w:rPr>
      <w:rFonts w:asciiTheme="majorHAnsi" w:hAnsiTheme="majorHAnsi" w:eastAsiaTheme="majorEastAsia" w:cstheme="majorBidi"/>
      <w:sz w:val="24"/>
      <w:szCs w:val="24"/>
    </w:rPr>
  </w:style>
  <w:style w:type="character" w:customStyle="1" w:styleId="56">
    <w:name w:val="标题 9 Char"/>
    <w:basedOn w:val="41"/>
    <w:link w:val="12"/>
    <w:qFormat/>
    <w:uiPriority w:val="0"/>
    <w:rPr>
      <w:rFonts w:asciiTheme="majorHAnsi" w:hAnsiTheme="majorHAnsi" w:eastAsiaTheme="majorEastAsia" w:cstheme="majorBidi"/>
    </w:rPr>
  </w:style>
  <w:style w:type="character" w:customStyle="1" w:styleId="57">
    <w:name w:val="文档结构图 Char1"/>
    <w:basedOn w:val="41"/>
    <w:link w:val="16"/>
    <w:semiHidden/>
    <w:qFormat/>
    <w:uiPriority w:val="0"/>
    <w:rPr>
      <w:rFonts w:ascii="宋体" w:eastAsia="宋体"/>
      <w:sz w:val="18"/>
      <w:szCs w:val="18"/>
    </w:rPr>
  </w:style>
  <w:style w:type="character" w:customStyle="1" w:styleId="58">
    <w:name w:val="日期 Char1"/>
    <w:basedOn w:val="41"/>
    <w:link w:val="24"/>
    <w:semiHidden/>
    <w:qFormat/>
    <w:uiPriority w:val="0"/>
  </w:style>
  <w:style w:type="character" w:customStyle="1" w:styleId="59">
    <w:name w:val="页脚 Char1"/>
    <w:basedOn w:val="41"/>
    <w:link w:val="27"/>
    <w:qFormat/>
    <w:uiPriority w:val="99"/>
    <w:rPr>
      <w:rFonts w:eastAsiaTheme="minorHAnsi"/>
      <w:kern w:val="0"/>
    </w:rPr>
  </w:style>
  <w:style w:type="character" w:customStyle="1" w:styleId="60">
    <w:name w:val="页眉 Char1"/>
    <w:basedOn w:val="41"/>
    <w:link w:val="29"/>
    <w:qFormat/>
    <w:uiPriority w:val="0"/>
    <w:rPr>
      <w:rFonts w:ascii="Times New Roman" w:hAnsi="Times New Roman" w:eastAsia="宋体" w:cs="Times New Roman"/>
      <w:sz w:val="18"/>
      <w:szCs w:val="18"/>
    </w:rPr>
  </w:style>
  <w:style w:type="paragraph" w:customStyle="1" w:styleId="61">
    <w:name w:val="Char Char2 Char Char"/>
    <w:basedOn w:val="1"/>
    <w:semiHidden/>
    <w:qFormat/>
    <w:uiPriority w:val="0"/>
    <w:pPr>
      <w:spacing w:after="160" w:line="240" w:lineRule="exact"/>
      <w:jc w:val="left"/>
    </w:pPr>
    <w:rPr>
      <w:rFonts w:ascii="Verdana" w:hAnsi="Verdana"/>
      <w:kern w:val="0"/>
      <w:sz w:val="20"/>
      <w:szCs w:val="20"/>
      <w:lang w:eastAsia="en-US"/>
    </w:rPr>
  </w:style>
  <w:style w:type="character" w:customStyle="1" w:styleId="62">
    <w:name w:val="HTML 预设格式 Char1"/>
    <w:basedOn w:val="41"/>
    <w:semiHidden/>
    <w:qFormat/>
    <w:uiPriority w:val="99"/>
    <w:rPr>
      <w:rFonts w:ascii="Courier New" w:hAnsi="Courier New" w:eastAsia="宋体" w:cs="Courier New"/>
      <w:sz w:val="20"/>
      <w:szCs w:val="20"/>
    </w:rPr>
  </w:style>
  <w:style w:type="paragraph" w:customStyle="1" w:styleId="63">
    <w:name w:val="TIE-表格内容"/>
    <w:basedOn w:val="1"/>
    <w:qFormat/>
    <w:uiPriority w:val="0"/>
    <w:pPr>
      <w:spacing w:line="360" w:lineRule="exact"/>
      <w:ind w:firstLine="0" w:firstLineChars="0"/>
      <w:jc w:val="center"/>
      <w:textAlignment w:val="center"/>
    </w:pPr>
    <w:rPr>
      <w:sz w:val="21"/>
    </w:rPr>
  </w:style>
  <w:style w:type="paragraph" w:customStyle="1" w:styleId="64">
    <w:name w:val="TOC 标题1"/>
    <w:basedOn w:val="4"/>
    <w:next w:val="1"/>
    <w:unhideWhenUsed/>
    <w:qFormat/>
    <w:uiPriority w:val="39"/>
    <w:pPr>
      <w:outlineLvl w:val="9"/>
    </w:pPr>
  </w:style>
  <w:style w:type="table" w:customStyle="1" w:styleId="65">
    <w:name w:val="wenya"/>
    <w:basedOn w:val="39"/>
    <w:qFormat/>
    <w:uiPriority w:val="0"/>
    <w:rPr>
      <w:rFonts w:ascii="Times New Roman" w:hAnsi="Times New Roman" w:eastAsia="宋体" w:cs="Times New Roman"/>
    </w:rPr>
    <w:tblPr>
      <w:tblBorders>
        <w:top w:val="thinThickSmallGap" w:color="auto" w:sz="12" w:space="0"/>
        <w:bottom w:val="thinThickSmallGap" w:color="auto" w:sz="12" w:space="0"/>
        <w:insideH w:val="single" w:color="auto" w:sz="4" w:space="0"/>
        <w:insideV w:val="single" w:color="auto" w:sz="4" w:space="0"/>
      </w:tblBorders>
      <w:tblCellMar>
        <w:top w:w="0" w:type="dxa"/>
        <w:left w:w="28" w:type="dxa"/>
        <w:bottom w:w="0" w:type="dxa"/>
        <w:right w:w="28" w:type="dxa"/>
      </w:tblCellMar>
    </w:tblPr>
    <w:tcPr>
      <w:shd w:val="clear" w:color="auto" w:fill="auto"/>
      <w:vAlign w:val="center"/>
    </w:tcPr>
  </w:style>
  <w:style w:type="table" w:customStyle="1" w:styleId="66">
    <w:name w:val="wenya1"/>
    <w:basedOn w:val="39"/>
    <w:qFormat/>
    <w:uiPriority w:val="0"/>
    <w:rPr>
      <w:rFonts w:ascii="Times New Roman" w:hAnsi="Times New Roman" w:eastAsia="宋体" w:cs="Times New Roman"/>
    </w:rPr>
    <w:tblPr>
      <w:tblBorders>
        <w:top w:val="thinThickSmallGap" w:color="auto" w:sz="12" w:space="0"/>
        <w:bottom w:val="thinThickSmallGap" w:color="auto" w:sz="12" w:space="0"/>
        <w:insideH w:val="single" w:color="auto" w:sz="4" w:space="0"/>
        <w:insideV w:val="single" w:color="auto" w:sz="4" w:space="0"/>
      </w:tblBorders>
      <w:tblCellMar>
        <w:top w:w="0" w:type="dxa"/>
        <w:left w:w="28" w:type="dxa"/>
        <w:bottom w:w="0" w:type="dxa"/>
        <w:right w:w="28" w:type="dxa"/>
      </w:tblCellMar>
    </w:tblPr>
    <w:tcPr>
      <w:shd w:val="clear" w:color="auto" w:fill="auto"/>
      <w:vAlign w:val="center"/>
    </w:tcPr>
  </w:style>
  <w:style w:type="table" w:customStyle="1" w:styleId="67">
    <w:name w:val="表格类型2"/>
    <w:basedOn w:val="39"/>
    <w:qFormat/>
    <w:uiPriority w:val="0"/>
    <w:pPr>
      <w:widowControl w:val="0"/>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68">
    <w:name w:val="表格类型3"/>
    <w:basedOn w:val="39"/>
    <w:qFormat/>
    <w:uiPriority w:val="0"/>
    <w:pPr>
      <w:widowControl w:val="0"/>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69">
    <w:name w:val="表格类型4"/>
    <w:basedOn w:val="39"/>
    <w:qFormat/>
    <w:uiPriority w:val="0"/>
    <w:pPr>
      <w:widowControl w:val="0"/>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70">
    <w:name w:val="网格型4"/>
    <w:basedOn w:val="39"/>
    <w:qFormat/>
    <w:uiPriority w:val="0"/>
    <w:pPr>
      <w:widowControl w:val="0"/>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71">
    <w:name w:val="网格型1"/>
    <w:basedOn w:val="39"/>
    <w:qFormat/>
    <w:uiPriority w:val="0"/>
    <w:pPr>
      <w:widowControl w:val="0"/>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72">
    <w:name w:val="样式3"/>
    <w:basedOn w:val="39"/>
    <w:qFormat/>
    <w:uiPriority w:val="99"/>
    <w:rPr>
      <w:rFonts w:ascii="Times New Roman" w:hAnsi="Times New Roman" w:eastAsia="宋体" w:cs="Times New Roman"/>
    </w:rPr>
    <w:tblPr>
      <w:tblBorders>
        <w:top w:val="single" w:color="000000" w:sz="12" w:space="0"/>
        <w:bottom w:val="single" w:color="000000" w:sz="12" w:space="0"/>
        <w:insideH w:val="single" w:color="000000" w:sz="4" w:space="0"/>
        <w:insideV w:val="single" w:color="000000" w:sz="4" w:space="0"/>
      </w:tblBorders>
      <w:tblCellMar>
        <w:top w:w="0" w:type="dxa"/>
        <w:left w:w="108" w:type="dxa"/>
        <w:bottom w:w="0" w:type="dxa"/>
        <w:right w:w="108" w:type="dxa"/>
      </w:tblCellMar>
    </w:tblPr>
  </w:style>
  <w:style w:type="character" w:styleId="73">
    <w:name w:val="Placeholder Text"/>
    <w:semiHidden/>
    <w:qFormat/>
    <w:uiPriority w:val="99"/>
    <w:rPr>
      <w:color w:val="808080"/>
    </w:rPr>
  </w:style>
  <w:style w:type="character" w:customStyle="1" w:styleId="74">
    <w:name w:val="正文文本 2 Char1"/>
    <w:basedOn w:val="41"/>
    <w:semiHidden/>
    <w:qFormat/>
    <w:uiPriority w:val="99"/>
    <w:rPr>
      <w:rFonts w:ascii="Times New Roman" w:hAnsi="Times New Roman" w:eastAsia="宋体" w:cs="Times New Roman"/>
      <w:sz w:val="24"/>
    </w:rPr>
  </w:style>
  <w:style w:type="character" w:customStyle="1" w:styleId="75">
    <w:name w:val="正文文本缩进 3 Char1"/>
    <w:basedOn w:val="41"/>
    <w:semiHidden/>
    <w:qFormat/>
    <w:uiPriority w:val="99"/>
    <w:rPr>
      <w:rFonts w:ascii="Times New Roman" w:hAnsi="Times New Roman" w:eastAsia="宋体" w:cs="Times New Roman"/>
      <w:sz w:val="16"/>
      <w:szCs w:val="16"/>
    </w:rPr>
  </w:style>
  <w:style w:type="character" w:customStyle="1" w:styleId="76">
    <w:name w:val="正文文本缩进 Char"/>
    <w:basedOn w:val="41"/>
    <w:semiHidden/>
    <w:qFormat/>
    <w:uiPriority w:val="99"/>
    <w:rPr>
      <w:rFonts w:ascii="Times New Roman" w:hAnsi="Times New Roman" w:eastAsia="宋体" w:cs="Times New Roman"/>
      <w:sz w:val="24"/>
    </w:rPr>
  </w:style>
  <w:style w:type="character" w:customStyle="1" w:styleId="77">
    <w:name w:val="正文文本 Char1"/>
    <w:semiHidden/>
    <w:qFormat/>
    <w:uiPriority w:val="0"/>
    <w:rPr>
      <w:kern w:val="2"/>
      <w:sz w:val="24"/>
      <w:szCs w:val="22"/>
    </w:rPr>
  </w:style>
  <w:style w:type="table" w:customStyle="1" w:styleId="78">
    <w:name w:val="网格型2"/>
    <w:basedOn w:val="39"/>
    <w:qFormat/>
    <w:uiPriority w:val="0"/>
    <w:pPr>
      <w:widowControl w:val="0"/>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79">
    <w:name w:val="网格型3"/>
    <w:basedOn w:val="39"/>
    <w:qFormat/>
    <w:uiPriority w:val="0"/>
    <w:pPr>
      <w:widowControl w:val="0"/>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80">
    <w:name w:val="网格型5"/>
    <w:basedOn w:val="39"/>
    <w:qFormat/>
    <w:uiPriority w:val="99"/>
    <w:rPr>
      <w:rFonts w:ascii="Times New Roman" w:hAnsi="Times New Roman" w:eastAsia="宋体"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customStyle="1" w:styleId="81">
    <w:name w:val="网格型6"/>
    <w:basedOn w:val="39"/>
    <w:qFormat/>
    <w:uiPriority w:val="0"/>
    <w:pPr>
      <w:widowControl w:val="0"/>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82">
    <w:name w:val="网格型7"/>
    <w:basedOn w:val="39"/>
    <w:qFormat/>
    <w:uiPriority w:val="0"/>
    <w:pPr>
      <w:widowControl w:val="0"/>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83">
    <w:name w:val="网格型8"/>
    <w:basedOn w:val="39"/>
    <w:qFormat/>
    <w:uiPriority w:val="59"/>
    <w:rPr>
      <w:rFonts w:ascii="Times New Roman" w:hAnsi="Times New Roman" w:eastAsia="宋体"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customStyle="1" w:styleId="84">
    <w:name w:val="Table Normal"/>
    <w:semiHidden/>
    <w:qFormat/>
    <w:uiPriority w:val="2"/>
    <w:pPr>
      <w:widowControl w:val="0"/>
      <w:autoSpaceDE w:val="0"/>
      <w:autoSpaceDN w:val="0"/>
    </w:pPr>
    <w:rPr>
      <w:rFonts w:eastAsia="Times New Roman"/>
      <w:sz w:val="22"/>
      <w:szCs w:val="22"/>
      <w:lang w:eastAsia="en-US"/>
    </w:rPr>
    <w:tblPr>
      <w:tblCellMar>
        <w:top w:w="0" w:type="dxa"/>
        <w:left w:w="0" w:type="dxa"/>
        <w:bottom w:w="0" w:type="dxa"/>
        <w:right w:w="0" w:type="dxa"/>
      </w:tblCellMar>
    </w:tblPr>
  </w:style>
  <w:style w:type="table" w:customStyle="1" w:styleId="85">
    <w:name w:val="网格型9"/>
    <w:basedOn w:val="39"/>
    <w:qFormat/>
    <w:uiPriority w:val="0"/>
    <w:pPr>
      <w:widowControl w:val="0"/>
      <w:jc w:val="both"/>
    </w:pPr>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86">
    <w:name w:val="xpp"/>
    <w:basedOn w:val="39"/>
    <w:qFormat/>
    <w:uiPriority w:val="0"/>
    <w:rPr>
      <w:rFonts w:ascii="Times New Roman" w:hAnsi="Times New Roman" w:eastAsia="宋体" w:cs="Times New Roman"/>
    </w:rPr>
    <w:tblPr>
      <w:tblBorders>
        <w:top w:val="single" w:color="auto" w:sz="12" w:space="0"/>
        <w:bottom w:val="single" w:color="auto" w:sz="12" w:space="0"/>
        <w:insideH w:val="single" w:color="auto" w:sz="4" w:space="0"/>
        <w:insideV w:val="single" w:color="auto" w:sz="4" w:space="0"/>
      </w:tblBorders>
      <w:tblCellMar>
        <w:top w:w="0" w:type="dxa"/>
        <w:left w:w="108" w:type="dxa"/>
        <w:bottom w:w="0" w:type="dxa"/>
        <w:right w:w="108" w:type="dxa"/>
      </w:tblCellMar>
    </w:tblPr>
  </w:style>
  <w:style w:type="table" w:customStyle="1" w:styleId="87">
    <w:name w:val="灰度表格1"/>
    <w:basedOn w:val="39"/>
    <w:qFormat/>
    <w:uiPriority w:val="0"/>
    <w:rPr>
      <w:rFonts w:ascii="Calibri" w:hAnsi="Calibri" w:eastAsia="宋体" w:cs="Times New Roman"/>
    </w:rPr>
    <w:tblP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
  </w:style>
  <w:style w:type="character" w:customStyle="1" w:styleId="88">
    <w:name w:val="正文首行缩进 2 Char"/>
    <w:link w:val="2"/>
    <w:qFormat/>
    <w:locked/>
    <w:uiPriority w:val="99"/>
    <w:rPr>
      <w:rFonts w:ascii="宋体" w:eastAsia="宋体" w:cs="宋体"/>
      <w:sz w:val="24"/>
      <w:szCs w:val="24"/>
    </w:rPr>
  </w:style>
  <w:style w:type="character" w:customStyle="1" w:styleId="89">
    <w:name w:val="注释标题 Char"/>
    <w:basedOn w:val="41"/>
    <w:semiHidden/>
    <w:qFormat/>
    <w:uiPriority w:val="99"/>
    <w:rPr>
      <w:rFonts w:ascii="Times New Roman" w:hAnsi="Times New Roman" w:eastAsia="宋体" w:cs="Times New Roman"/>
      <w:kern w:val="2"/>
      <w:sz w:val="24"/>
      <w:szCs w:val="22"/>
    </w:rPr>
  </w:style>
  <w:style w:type="table" w:customStyle="1" w:styleId="90">
    <w:name w:val="灰度表格2"/>
    <w:basedOn w:val="39"/>
    <w:qFormat/>
    <w:uiPriority w:val="0"/>
    <w:rPr>
      <w:rFonts w:ascii="Calibri" w:hAnsi="Calibri" w:eastAsia="宋体" w:cs="Times New Roman"/>
    </w:rPr>
    <w:tblP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
  </w:style>
  <w:style w:type="paragraph" w:customStyle="1" w:styleId="91">
    <w:name w:val="_Style 63"/>
    <w:basedOn w:val="1"/>
    <w:next w:val="2"/>
    <w:qFormat/>
    <w:uiPriority w:val="99"/>
    <w:pPr>
      <w:topLinePunct w:val="0"/>
      <w:autoSpaceDE/>
      <w:adjustRightInd w:val="0"/>
      <w:snapToGrid w:val="0"/>
      <w:spacing w:line="360" w:lineRule="auto"/>
      <w:ind w:firstLine="420"/>
    </w:pPr>
    <w:rPr>
      <w:rFonts w:ascii="Calibri" w:hAnsi="Calibri"/>
      <w:kern w:val="0"/>
      <w:sz w:val="20"/>
      <w:szCs w:val="21"/>
      <w:lang w:val="zh-CN" w:eastAsia="zh-CN"/>
    </w:rPr>
  </w:style>
  <w:style w:type="character" w:customStyle="1" w:styleId="92">
    <w:name w:val="正文文本首行缩进 2 字符"/>
    <w:basedOn w:val="41"/>
    <w:semiHidden/>
    <w:qFormat/>
    <w:uiPriority w:val="99"/>
    <w:rPr>
      <w:rFonts w:ascii="Times New Roman" w:hAnsi="Times New Roman" w:eastAsia="宋体" w:cs="Times New Roman"/>
      <w:kern w:val="2"/>
      <w:sz w:val="24"/>
      <w:szCs w:val="22"/>
    </w:rPr>
  </w:style>
  <w:style w:type="character" w:customStyle="1" w:styleId="93">
    <w:name w:val="页眉 Char"/>
    <w:qFormat/>
    <w:uiPriority w:val="99"/>
    <w:rPr>
      <w:rFonts w:cs="Calibri"/>
      <w:sz w:val="18"/>
      <w:szCs w:val="18"/>
    </w:rPr>
  </w:style>
  <w:style w:type="character" w:customStyle="1" w:styleId="94">
    <w:name w:val="正文首行缩进 2 Char1"/>
    <w:link w:val="95"/>
    <w:qFormat/>
    <w:locked/>
    <w:uiPriority w:val="99"/>
    <w:rPr>
      <w:rFonts w:ascii="宋体" w:eastAsia="宋体" w:cs="宋体"/>
      <w:sz w:val="24"/>
      <w:szCs w:val="24"/>
    </w:rPr>
  </w:style>
  <w:style w:type="paragraph" w:customStyle="1" w:styleId="95">
    <w:name w:val="_Style 67"/>
    <w:basedOn w:val="1"/>
    <w:next w:val="1"/>
    <w:link w:val="94"/>
    <w:qFormat/>
    <w:uiPriority w:val="99"/>
    <w:pPr>
      <w:topLinePunct w:val="0"/>
      <w:autoSpaceDN w:val="0"/>
      <w:spacing w:line="240" w:lineRule="auto"/>
      <w:ind w:left="1319" w:hanging="601" w:firstLineChars="0"/>
      <w:jc w:val="left"/>
    </w:pPr>
    <w:rPr>
      <w:rFonts w:ascii="宋体" w:cs="宋体" w:hAnsiTheme="minorHAnsi"/>
      <w:kern w:val="0"/>
      <w:szCs w:val="24"/>
    </w:rPr>
  </w:style>
  <w:style w:type="character" w:customStyle="1" w:styleId="96">
    <w:name w:val="Heading 4 Char"/>
    <w:semiHidden/>
    <w:qFormat/>
    <w:uiPriority w:val="9"/>
    <w:rPr>
      <w:rFonts w:ascii="Cambria" w:hAnsi="Cambria" w:eastAsia="宋体" w:cs="Times New Roman"/>
      <w:b/>
      <w:bCs/>
      <w:sz w:val="28"/>
      <w:szCs w:val="28"/>
    </w:rPr>
  </w:style>
  <w:style w:type="character" w:customStyle="1" w:styleId="97">
    <w:name w:val="Body Text Char"/>
    <w:semiHidden/>
    <w:qFormat/>
    <w:uiPriority w:val="99"/>
    <w:rPr>
      <w:rFonts w:cs="Calibri"/>
      <w:szCs w:val="21"/>
    </w:rPr>
  </w:style>
  <w:style w:type="character" w:customStyle="1" w:styleId="98">
    <w:name w:val="Balloon Text Char"/>
    <w:semiHidden/>
    <w:qFormat/>
    <w:uiPriority w:val="99"/>
    <w:rPr>
      <w:rFonts w:cs="Calibri"/>
      <w:sz w:val="16"/>
      <w:szCs w:val="0"/>
    </w:rPr>
  </w:style>
  <w:style w:type="character" w:customStyle="1" w:styleId="99">
    <w:name w:val="标题 6 Char"/>
    <w:semiHidden/>
    <w:qFormat/>
    <w:uiPriority w:val="9"/>
    <w:rPr>
      <w:rFonts w:ascii="Cambria" w:hAnsi="Cambria" w:eastAsia="宋体" w:cs="Times New Roman"/>
      <w:b/>
      <w:bCs/>
      <w:sz w:val="24"/>
      <w:szCs w:val="24"/>
    </w:rPr>
  </w:style>
  <w:style w:type="character" w:customStyle="1" w:styleId="100">
    <w:name w:val="Comment Text Char"/>
    <w:semiHidden/>
    <w:qFormat/>
    <w:uiPriority w:val="99"/>
    <w:rPr>
      <w:rFonts w:cs="Calibri"/>
      <w:szCs w:val="21"/>
    </w:rPr>
  </w:style>
  <w:style w:type="character" w:customStyle="1" w:styleId="101">
    <w:name w:val="正文首行缩进 Char"/>
    <w:link w:val="38"/>
    <w:semiHidden/>
    <w:qFormat/>
    <w:uiPriority w:val="99"/>
    <w:rPr>
      <w:rFonts w:cs="Calibri"/>
      <w:szCs w:val="21"/>
    </w:rPr>
  </w:style>
  <w:style w:type="character" w:customStyle="1" w:styleId="102">
    <w:name w:val="页脚 Char"/>
    <w:semiHidden/>
    <w:qFormat/>
    <w:uiPriority w:val="99"/>
    <w:rPr>
      <w:rFonts w:cs="Calibri"/>
      <w:sz w:val="18"/>
      <w:szCs w:val="18"/>
    </w:rPr>
  </w:style>
  <w:style w:type="character" w:customStyle="1" w:styleId="103">
    <w:name w:val="文档结构图 Char"/>
    <w:semiHidden/>
    <w:qFormat/>
    <w:uiPriority w:val="99"/>
    <w:rPr>
      <w:rFonts w:ascii="Times New Roman" w:hAnsi="Times New Roman" w:cs="Calibri"/>
      <w:sz w:val="16"/>
      <w:szCs w:val="0"/>
    </w:rPr>
  </w:style>
  <w:style w:type="character" w:customStyle="1" w:styleId="104">
    <w:name w:val="标题 Char"/>
    <w:link w:val="36"/>
    <w:qFormat/>
    <w:uiPriority w:val="10"/>
    <w:rPr>
      <w:rFonts w:ascii="Cambria" w:hAnsi="Cambria" w:cs="Times New Roman"/>
      <w:b/>
      <w:bCs/>
      <w:sz w:val="32"/>
      <w:szCs w:val="32"/>
    </w:rPr>
  </w:style>
  <w:style w:type="paragraph" w:styleId="105">
    <w:name w:val="List Paragraph"/>
    <w:basedOn w:val="1"/>
    <w:qFormat/>
    <w:uiPriority w:val="34"/>
    <w:pPr>
      <w:topLinePunct w:val="0"/>
      <w:autoSpaceDE/>
      <w:ind w:firstLine="420"/>
    </w:pPr>
    <w:rPr>
      <w:szCs w:val="24"/>
    </w:rPr>
  </w:style>
  <w:style w:type="character" w:customStyle="1" w:styleId="106">
    <w:name w:val="标题 7 Char"/>
    <w:semiHidden/>
    <w:qFormat/>
    <w:uiPriority w:val="9"/>
    <w:rPr>
      <w:rFonts w:cs="Calibri"/>
      <w:b/>
      <w:bCs/>
      <w:sz w:val="24"/>
      <w:szCs w:val="24"/>
    </w:rPr>
  </w:style>
  <w:style w:type="character" w:customStyle="1" w:styleId="107">
    <w:name w:val="Body Text First Indent 2 Char"/>
    <w:basedOn w:val="76"/>
    <w:semiHidden/>
    <w:qFormat/>
    <w:uiPriority w:val="99"/>
    <w:rPr>
      <w:rFonts w:ascii="Times New Roman" w:hAnsi="Times New Roman" w:eastAsia="宋体" w:cs="Calibri"/>
      <w:sz w:val="24"/>
      <w:szCs w:val="21"/>
    </w:rPr>
  </w:style>
  <w:style w:type="table" w:customStyle="1" w:styleId="108">
    <w:name w:val="网格型10"/>
    <w:basedOn w:val="39"/>
    <w:unhideWhenUsed/>
    <w:qFormat/>
    <w:uiPriority w:val="99"/>
    <w:rPr>
      <w:rFonts w:ascii="Calibri" w:hAnsi="Calibri" w:eastAsia="宋体"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customStyle="1" w:styleId="109">
    <w:name w:val="批注主题 Char"/>
    <w:semiHidden/>
    <w:qFormat/>
    <w:uiPriority w:val="99"/>
    <w:rPr>
      <w:rFonts w:cs="Calibri"/>
      <w:b/>
      <w:bCs/>
      <w:szCs w:val="21"/>
    </w:rPr>
  </w:style>
  <w:style w:type="character" w:customStyle="1" w:styleId="110">
    <w:name w:val="标题 2 Char"/>
    <w:semiHidden/>
    <w:qFormat/>
    <w:uiPriority w:val="9"/>
    <w:rPr>
      <w:rFonts w:ascii="Cambria" w:hAnsi="Cambria" w:eastAsia="宋体" w:cs="Times New Roman"/>
      <w:b/>
      <w:bCs/>
      <w:sz w:val="32"/>
      <w:szCs w:val="32"/>
    </w:rPr>
  </w:style>
  <w:style w:type="character" w:customStyle="1" w:styleId="111">
    <w:name w:val="标题 3 Char"/>
    <w:semiHidden/>
    <w:qFormat/>
    <w:uiPriority w:val="9"/>
    <w:rPr>
      <w:rFonts w:cs="Calibri"/>
      <w:b/>
      <w:bCs/>
      <w:sz w:val="32"/>
      <w:szCs w:val="32"/>
    </w:rPr>
  </w:style>
  <w:style w:type="character" w:customStyle="1" w:styleId="112">
    <w:name w:val="日期 Char"/>
    <w:semiHidden/>
    <w:qFormat/>
    <w:uiPriority w:val="99"/>
    <w:rPr>
      <w:rFonts w:cs="Calibri"/>
      <w:szCs w:val="21"/>
    </w:rPr>
  </w:style>
  <w:style w:type="paragraph" w:customStyle="1" w:styleId="113">
    <w:name w:val="二级标题 Char Char Char"/>
    <w:basedOn w:val="1"/>
    <w:next w:val="1"/>
    <w:semiHidden/>
    <w:qFormat/>
    <w:uiPriority w:val="99"/>
    <w:pPr>
      <w:topLinePunct w:val="0"/>
      <w:autoSpaceDE/>
      <w:spacing w:line="529" w:lineRule="exact"/>
    </w:pPr>
    <w:rPr>
      <w:rFonts w:ascii="宋体" w:hAnsi="宋体" w:cs="宋体"/>
      <w:szCs w:val="24"/>
    </w:rPr>
  </w:style>
  <w:style w:type="character" w:customStyle="1" w:styleId="114">
    <w:name w:val="正文文本 字符"/>
    <w:basedOn w:val="41"/>
    <w:semiHidden/>
    <w:qFormat/>
    <w:uiPriority w:val="1"/>
    <w:rPr>
      <w:rFonts w:ascii="Times New Roman" w:hAnsi="Times New Roman" w:eastAsia="宋体" w:cs="Times New Roman"/>
      <w:kern w:val="2"/>
      <w:sz w:val="24"/>
      <w:szCs w:val="22"/>
    </w:rPr>
  </w:style>
  <w:style w:type="character" w:customStyle="1" w:styleId="115">
    <w:name w:val="正文文本缩进 2 字符"/>
    <w:basedOn w:val="41"/>
    <w:semiHidden/>
    <w:qFormat/>
    <w:uiPriority w:val="99"/>
    <w:rPr>
      <w:rFonts w:ascii="Times New Roman" w:hAnsi="Times New Roman" w:eastAsia="宋体" w:cs="Times New Roman"/>
      <w:kern w:val="2"/>
      <w:sz w:val="24"/>
      <w:szCs w:val="22"/>
    </w:rPr>
  </w:style>
  <w:style w:type="character" w:customStyle="1" w:styleId="116">
    <w:name w:val="纯文本 字符"/>
    <w:basedOn w:val="41"/>
    <w:semiHidden/>
    <w:qFormat/>
    <w:uiPriority w:val="99"/>
    <w:rPr>
      <w:rFonts w:hAnsi="Courier New" w:cs="Courier New" w:asciiTheme="minorEastAsia"/>
      <w:kern w:val="2"/>
      <w:sz w:val="24"/>
      <w:szCs w:val="22"/>
    </w:rPr>
  </w:style>
  <w:style w:type="character" w:customStyle="1" w:styleId="117">
    <w:name w:val="正文文本首行缩进 字符"/>
    <w:basedOn w:val="114"/>
    <w:semiHidden/>
    <w:qFormat/>
    <w:uiPriority w:val="99"/>
    <w:rPr>
      <w:rFonts w:ascii="Times New Roman" w:hAnsi="Times New Roman" w:eastAsia="宋体" w:cs="Times New Roman"/>
      <w:kern w:val="2"/>
      <w:sz w:val="24"/>
      <w:szCs w:val="22"/>
    </w:rPr>
  </w:style>
  <w:style w:type="character" w:customStyle="1" w:styleId="118">
    <w:name w:val="批注主题 Char1"/>
    <w:basedOn w:val="41"/>
    <w:link w:val="37"/>
    <w:semiHidden/>
    <w:qFormat/>
    <w:uiPriority w:val="99"/>
    <w:rPr>
      <w:rFonts w:ascii="Times New Roman" w:hAnsi="Times New Roman" w:eastAsia="宋体" w:cs="Times New Roman"/>
      <w:b/>
      <w:bCs/>
      <w:kern w:val="2"/>
      <w:sz w:val="24"/>
      <w:szCs w:val="22"/>
    </w:rPr>
  </w:style>
  <w:style w:type="table" w:customStyle="1" w:styleId="119">
    <w:name w:val="灰度表格3"/>
    <w:basedOn w:val="39"/>
    <w:qFormat/>
    <w:uiPriority w:val="0"/>
    <w:rPr>
      <w:rFonts w:ascii="Times New Roman" w:hAnsi="Times New Roman" w:eastAsia="宋体"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customStyle="1" w:styleId="120">
    <w:name w:val="正文文本缩进 Char1"/>
    <w:basedOn w:val="41"/>
    <w:link w:val="3"/>
    <w:semiHidden/>
    <w:qFormat/>
    <w:uiPriority w:val="99"/>
    <w:rPr>
      <w:rFonts w:ascii="Times New Roman" w:hAnsi="Times New Roman" w:eastAsia="宋体" w:cs="Times New Roman"/>
      <w:kern w:val="2"/>
      <w:sz w:val="24"/>
      <w:szCs w:val="22"/>
    </w:rPr>
  </w:style>
  <w:style w:type="character" w:customStyle="1" w:styleId="121">
    <w:name w:val="正文文本缩进 2 Char"/>
    <w:basedOn w:val="41"/>
    <w:link w:val="25"/>
    <w:qFormat/>
    <w:uiPriority w:val="99"/>
    <w:rPr>
      <w:rFonts w:ascii="Times New Roman" w:hAnsi="Times New Roman" w:eastAsia="宋体" w:cs="Times New Roman"/>
      <w:kern w:val="2"/>
      <w:sz w:val="24"/>
      <w:szCs w:val="22"/>
    </w:rPr>
  </w:style>
  <w:style w:type="character" w:customStyle="1" w:styleId="122">
    <w:name w:val="正文文本 Char"/>
    <w:basedOn w:val="41"/>
    <w:link w:val="18"/>
    <w:semiHidden/>
    <w:qFormat/>
    <w:uiPriority w:val="99"/>
    <w:rPr>
      <w:rFonts w:ascii="Times New Roman" w:hAnsi="Times New Roman" w:eastAsia="宋体" w:cs="Times New Roman"/>
      <w:kern w:val="2"/>
      <w:sz w:val="24"/>
      <w:szCs w:val="22"/>
    </w:rPr>
  </w:style>
  <w:style w:type="character" w:customStyle="1" w:styleId="123">
    <w:name w:val="批注框文本 Char"/>
    <w:basedOn w:val="41"/>
    <w:link w:val="26"/>
    <w:qFormat/>
    <w:uiPriority w:val="99"/>
    <w:rPr>
      <w:rFonts w:ascii="Times New Roman" w:hAnsi="Times New Roman" w:eastAsia="宋体" w:cs="Times New Roman"/>
      <w:kern w:val="2"/>
      <w:sz w:val="18"/>
      <w:szCs w:val="18"/>
    </w:rPr>
  </w:style>
  <w:style w:type="character" w:customStyle="1" w:styleId="124">
    <w:name w:val="页脚 Char2"/>
    <w:semiHidden/>
    <w:qFormat/>
    <w:uiPriority w:val="99"/>
    <w:rPr>
      <w:rFonts w:ascii="Times New Roman" w:hAnsi="Times New Roman" w:eastAsia="宋体" w:cs="Times New Roman"/>
      <w:sz w:val="18"/>
      <w:szCs w:val="18"/>
    </w:rPr>
  </w:style>
  <w:style w:type="character" w:customStyle="1" w:styleId="125">
    <w:name w:val="纯文本 Char5"/>
    <w:semiHidden/>
    <w:qFormat/>
    <w:uiPriority w:val="0"/>
    <w:rPr>
      <w:rFonts w:ascii="宋体" w:hAnsi="Courier New" w:cs="Courier New"/>
      <w:kern w:val="2"/>
      <w:sz w:val="21"/>
      <w:szCs w:val="21"/>
    </w:rPr>
  </w:style>
  <w:style w:type="character" w:customStyle="1" w:styleId="126">
    <w:name w:val="正文首行缩进 2 Char2"/>
    <w:link w:val="127"/>
    <w:semiHidden/>
    <w:qFormat/>
    <w:uiPriority w:val="99"/>
    <w:rPr>
      <w:rFonts w:ascii="Times New Roman" w:hAnsi="Times New Roman" w:eastAsia="宋体" w:cs="Times New Roman"/>
      <w:sz w:val="32"/>
      <w:szCs w:val="20"/>
    </w:rPr>
  </w:style>
  <w:style w:type="paragraph" w:customStyle="1" w:styleId="127">
    <w:name w:val="_Style 111"/>
    <w:basedOn w:val="3"/>
    <w:next w:val="1"/>
    <w:link w:val="126"/>
    <w:qFormat/>
    <w:uiPriority w:val="99"/>
    <w:pPr>
      <w:topLinePunct w:val="0"/>
      <w:autoSpaceDE/>
      <w:spacing w:line="240" w:lineRule="auto"/>
      <w:ind w:firstLine="420"/>
    </w:pPr>
    <w:rPr>
      <w:kern w:val="0"/>
      <w:sz w:val="32"/>
      <w:szCs w:val="20"/>
    </w:rPr>
  </w:style>
  <w:style w:type="character" w:customStyle="1" w:styleId="128">
    <w:name w:val="纯文本 字符1"/>
    <w:basedOn w:val="41"/>
    <w:semiHidden/>
    <w:qFormat/>
    <w:uiPriority w:val="0"/>
    <w:rPr>
      <w:rFonts w:hAnsi="Courier New" w:cs="Courier New" w:asciiTheme="minorEastAsia"/>
      <w:kern w:val="2"/>
      <w:sz w:val="24"/>
      <w:szCs w:val="22"/>
    </w:rPr>
  </w:style>
  <w:style w:type="character" w:customStyle="1" w:styleId="129">
    <w:name w:val="批注文字 Char"/>
    <w:basedOn w:val="41"/>
    <w:link w:val="17"/>
    <w:semiHidden/>
    <w:qFormat/>
    <w:uiPriority w:val="0"/>
    <w:rPr>
      <w:rFonts w:ascii="Times New Roman" w:hAnsi="Times New Roman" w:eastAsia="宋体" w:cs="Times New Roman"/>
      <w:kern w:val="2"/>
      <w:sz w:val="24"/>
      <w:szCs w:val="22"/>
    </w:rPr>
  </w:style>
  <w:style w:type="paragraph" w:customStyle="1" w:styleId="130">
    <w:name w:val="表格内容"/>
    <w:basedOn w:val="1"/>
    <w:qFormat/>
    <w:uiPriority w:val="0"/>
    <w:pPr>
      <w:topLinePunct w:val="0"/>
      <w:autoSpaceDE/>
      <w:adjustRightInd w:val="0"/>
      <w:spacing w:line="240" w:lineRule="auto"/>
      <w:ind w:firstLine="0" w:firstLineChars="0"/>
      <w:jc w:val="center"/>
      <w:textAlignment w:val="baseline"/>
    </w:pPr>
    <w:rPr>
      <w:sz w:val="21"/>
    </w:rPr>
  </w:style>
  <w:style w:type="character" w:customStyle="1" w:styleId="131">
    <w:name w:val="表头—高 Char"/>
    <w:link w:val="132"/>
    <w:qFormat/>
    <w:uiPriority w:val="0"/>
    <w:rPr>
      <w:rFonts w:ascii="Times New Roman" w:hAnsi="Times New Roman" w:eastAsia="宋体"/>
      <w:b/>
      <w:sz w:val="24"/>
    </w:rPr>
  </w:style>
  <w:style w:type="paragraph" w:customStyle="1" w:styleId="132">
    <w:name w:val="表头—高"/>
    <w:basedOn w:val="1"/>
    <w:link w:val="131"/>
    <w:qFormat/>
    <w:uiPriority w:val="0"/>
    <w:pPr>
      <w:topLinePunct w:val="0"/>
      <w:autoSpaceDE/>
      <w:adjustRightInd w:val="0"/>
      <w:snapToGrid w:val="0"/>
      <w:spacing w:before="120" w:after="40" w:line="360" w:lineRule="auto"/>
      <w:ind w:firstLine="0" w:firstLineChars="0"/>
      <w:jc w:val="center"/>
    </w:pPr>
    <w:rPr>
      <w:rFonts w:cstheme="minorBidi"/>
      <w:b/>
      <w:kern w:val="0"/>
      <w:szCs w:val="20"/>
    </w:rPr>
  </w:style>
  <w:style w:type="character" w:customStyle="1" w:styleId="133">
    <w:name w:val="表格内容--高 Char"/>
    <w:link w:val="134"/>
    <w:qFormat/>
    <w:uiPriority w:val="0"/>
    <w:rPr>
      <w:rFonts w:ascii="Times New Roman" w:hAnsi="Times New Roman" w:eastAsia="宋体" w:cs="宋体"/>
      <w:szCs w:val="21"/>
    </w:rPr>
  </w:style>
  <w:style w:type="paragraph" w:customStyle="1" w:styleId="134">
    <w:name w:val="表格内容--高"/>
    <w:basedOn w:val="1"/>
    <w:link w:val="133"/>
    <w:qFormat/>
    <w:uiPriority w:val="0"/>
    <w:pPr>
      <w:topLinePunct w:val="0"/>
      <w:autoSpaceDE/>
      <w:spacing w:line="240" w:lineRule="auto"/>
      <w:ind w:firstLine="0" w:firstLineChars="0"/>
      <w:jc w:val="center"/>
    </w:pPr>
    <w:rPr>
      <w:rFonts w:cs="宋体"/>
      <w:kern w:val="0"/>
      <w:sz w:val="20"/>
      <w:szCs w:val="21"/>
    </w:rPr>
  </w:style>
  <w:style w:type="character" w:customStyle="1" w:styleId="135">
    <w:name w:val="高-正文 Char"/>
    <w:link w:val="136"/>
    <w:qFormat/>
    <w:uiPriority w:val="0"/>
    <w:rPr>
      <w:rFonts w:ascii="Times New Roman" w:hAnsi="Times New Roman" w:eastAsia="宋体"/>
      <w:snapToGrid w:val="0"/>
      <w:sz w:val="24"/>
    </w:rPr>
  </w:style>
  <w:style w:type="paragraph" w:customStyle="1" w:styleId="136">
    <w:name w:val="高-正文"/>
    <w:basedOn w:val="1"/>
    <w:link w:val="135"/>
    <w:qFormat/>
    <w:uiPriority w:val="0"/>
    <w:pPr>
      <w:autoSpaceDE/>
      <w:adjustRightInd w:val="0"/>
      <w:snapToGrid w:val="0"/>
      <w:spacing w:line="360" w:lineRule="auto"/>
      <w:ind w:firstLine="600"/>
      <w:jc w:val="left"/>
    </w:pPr>
    <w:rPr>
      <w:rFonts w:cstheme="minorBidi"/>
      <w:snapToGrid w:val="0"/>
      <w:kern w:val="0"/>
      <w:szCs w:val="20"/>
    </w:rPr>
  </w:style>
  <w:style w:type="character" w:customStyle="1" w:styleId="137">
    <w:name w:val="正文样式 Char"/>
    <w:link w:val="138"/>
    <w:qFormat/>
    <w:uiPriority w:val="0"/>
    <w:rPr>
      <w:rFonts w:ascii="宋体" w:hAnsi="宋体" w:eastAsia="宋体"/>
      <w:kern w:val="2"/>
      <w:sz w:val="24"/>
      <w:szCs w:val="24"/>
    </w:rPr>
  </w:style>
  <w:style w:type="paragraph" w:customStyle="1" w:styleId="138">
    <w:name w:val="正文样式"/>
    <w:basedOn w:val="1"/>
    <w:link w:val="137"/>
    <w:qFormat/>
    <w:uiPriority w:val="0"/>
    <w:pPr>
      <w:topLinePunct w:val="0"/>
      <w:autoSpaceDE/>
      <w:adjustRightInd w:val="0"/>
      <w:snapToGrid w:val="0"/>
      <w:spacing w:line="360" w:lineRule="auto"/>
      <w:ind w:firstLine="480"/>
    </w:pPr>
    <w:rPr>
      <w:rFonts w:ascii="宋体" w:hAnsi="宋体" w:cstheme="minorBidi"/>
      <w:szCs w:val="24"/>
    </w:rPr>
  </w:style>
  <w:style w:type="paragraph" w:customStyle="1" w:styleId="139">
    <w:name w:val="默认段落字体 Para Char"/>
    <w:basedOn w:val="1"/>
    <w:next w:val="1"/>
    <w:qFormat/>
    <w:uiPriority w:val="0"/>
    <w:pPr>
      <w:topLinePunct w:val="0"/>
      <w:autoSpaceDE/>
      <w:adjustRightInd w:val="0"/>
      <w:snapToGrid w:val="0"/>
      <w:spacing w:line="360" w:lineRule="auto"/>
    </w:pPr>
    <w:rPr>
      <w:rFonts w:ascii="宋体" w:hAnsi="宋体" w:cs="宋体"/>
      <w:szCs w:val="24"/>
    </w:rPr>
  </w:style>
  <w:style w:type="character" w:customStyle="1" w:styleId="140">
    <w:name w:val="【表中文字】 Char"/>
    <w:link w:val="141"/>
    <w:qFormat/>
    <w:uiPriority w:val="0"/>
    <w:rPr>
      <w:kern w:val="2"/>
      <w:sz w:val="21"/>
    </w:rPr>
  </w:style>
  <w:style w:type="paragraph" w:customStyle="1" w:styleId="141">
    <w:name w:val="【表中文字】"/>
    <w:basedOn w:val="1"/>
    <w:link w:val="140"/>
    <w:qFormat/>
    <w:uiPriority w:val="0"/>
    <w:pPr>
      <w:topLinePunct w:val="0"/>
      <w:autoSpaceDE/>
      <w:spacing w:line="240" w:lineRule="auto"/>
      <w:ind w:firstLine="0" w:firstLineChars="0"/>
      <w:jc w:val="center"/>
    </w:pPr>
    <w:rPr>
      <w:rFonts w:asciiTheme="minorHAnsi" w:hAnsiTheme="minorHAnsi" w:eastAsiaTheme="minorEastAsia" w:cstheme="minorBidi"/>
      <w:sz w:val="21"/>
      <w:szCs w:val="20"/>
    </w:rPr>
  </w:style>
  <w:style w:type="paragraph" w:customStyle="1" w:styleId="142">
    <w:name w:val="表格文字"/>
    <w:basedOn w:val="1"/>
    <w:qFormat/>
    <w:uiPriority w:val="0"/>
    <w:pPr>
      <w:spacing w:line="400" w:lineRule="exact"/>
      <w:ind w:firstLine="0" w:firstLineChars="0"/>
      <w:jc w:val="center"/>
    </w:pPr>
    <w:rPr>
      <w:sz w:val="21"/>
    </w:rPr>
  </w:style>
  <w:style w:type="table" w:customStyle="1" w:styleId="143">
    <w:name w:val="标准表格"/>
    <w:basedOn w:val="39"/>
    <w:qFormat/>
    <w:uiPriority w:val="99"/>
    <w:pPr>
      <w:spacing w:before="74"/>
      <w:jc w:val="center"/>
    </w:pPr>
    <w:rPr>
      <w:sz w:val="18"/>
    </w:rPr>
    <w:tblPr>
      <w:tblBorders>
        <w:top w:val="single" w:color="000000" w:themeColor="text1" w:sz="12" w:space="0"/>
        <w:left w:val="single" w:color="000000" w:themeColor="text1" w:sz="12" w:space="0"/>
        <w:bottom w:val="single" w:color="000000" w:themeColor="text1" w:sz="12" w:space="0"/>
        <w:right w:val="single" w:color="000000" w:themeColor="text1" w:sz="12" w:space="0"/>
        <w:insideH w:val="single" w:color="000000" w:themeColor="text1" w:sz="6" w:space="0"/>
        <w:insideV w:val="single" w:color="000000" w:themeColor="text1" w:sz="6" w:space="0"/>
      </w:tblBorders>
      <w:tblCellMar>
        <w:top w:w="0" w:type="dxa"/>
        <w:left w:w="108" w:type="dxa"/>
        <w:bottom w:w="0" w:type="dxa"/>
        <w:right w:w="108" w:type="dxa"/>
      </w:tblCellMar>
    </w:tblPr>
    <w:tcPr>
      <w:shd w:val="clear" w:color="auto" w:fill="FFFFFF" w:themeFill="background1"/>
      <w:vAlign w:val="center"/>
    </w:tcPr>
    <w:tblStylePr w:type="firstRow">
      <w:pPr>
        <w:wordWrap/>
        <w:spacing w:beforeLines="0" w:beforeAutospacing="1" w:afterLines="0" w:afterAutospacing="1" w:line="240" w:lineRule="auto"/>
        <w:ind w:left="0" w:leftChars="0" w:right="0" w:rightChars="0" w:firstLine="0" w:firstLineChars="0"/>
        <w:jc w:val="center"/>
      </w:pPr>
      <w:rPr>
        <w:rFonts w:hint="default" w:ascii="Times New Roman" w:hAnsi="Times New Roman" w:eastAsia="宋体" w:cs="Times New Roman"/>
        <w:sz w:val="18"/>
        <w:szCs w:val="18"/>
      </w:rPr>
    </w:tblStylePr>
    <w:tblStylePr w:type="firstCol">
      <w:pPr>
        <w:jc w:val="center"/>
      </w:pPr>
    </w:tblStylePr>
  </w:style>
  <w:style w:type="paragraph" w:customStyle="1" w:styleId="144">
    <w:name w:val="样式5"/>
    <w:basedOn w:val="1"/>
    <w:qFormat/>
    <w:uiPriority w:val="0"/>
    <w:pPr>
      <w:snapToGrid w:val="0"/>
      <w:spacing w:line="360" w:lineRule="auto"/>
      <w:ind w:firstLine="510"/>
    </w:pPr>
    <w:rPr>
      <w:sz w:val="24"/>
    </w:rPr>
  </w:style>
  <w:style w:type="table" w:customStyle="1" w:styleId="145">
    <w:name w:val="Table Normal3"/>
    <w:semiHidden/>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paragraph" w:customStyle="1" w:styleId="146">
    <w:name w:val="Table Paragraph"/>
    <w:basedOn w:val="1"/>
    <w:qFormat/>
    <w:uiPriority w:val="1"/>
  </w:style>
  <w:style w:type="table" w:customStyle="1" w:styleId="147">
    <w:name w:val="Table Normal4"/>
    <w:semiHidden/>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table" w:customStyle="1" w:styleId="148">
    <w:name w:val="Table Normal5"/>
    <w:semiHidden/>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table" w:customStyle="1" w:styleId="149">
    <w:name w:val="Table Normal7"/>
    <w:semiHidden/>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table" w:customStyle="1" w:styleId="150">
    <w:name w:val="Table Normal8"/>
    <w:semiHidden/>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paragraph" w:customStyle="1" w:styleId="151">
    <w:name w:val="表头"/>
    <w:basedOn w:val="32"/>
    <w:next w:val="1"/>
    <w:qFormat/>
    <w:uiPriority w:val="0"/>
    <w:pPr>
      <w:spacing w:before="50" w:beforeLines="50" w:line="360" w:lineRule="auto"/>
      <w:ind w:left="0" w:firstLine="0" w:firstLineChars="0"/>
      <w:jc w:val="center"/>
    </w:pPr>
    <w:rPr>
      <w:rFonts w:ascii="Times New Roman" w:hAnsi="Times New Roman" w:cs="宋体"/>
      <w:b/>
      <w:szCs w:val="24"/>
    </w:rPr>
  </w:style>
  <w:style w:type="paragraph" w:customStyle="1" w:styleId="152">
    <w:name w:val="本文正文"/>
    <w:basedOn w:val="18"/>
    <w:qFormat/>
    <w:uiPriority w:val="1"/>
    <w:pPr>
      <w:snapToGrid w:val="0"/>
      <w:spacing w:before="0" w:line="360" w:lineRule="auto"/>
      <w:ind w:left="0" w:firstLine="200" w:firstLineChars="200"/>
      <w:jc w:val="both"/>
    </w:pPr>
    <w:rPr>
      <w:rFonts w:ascii="Times New Roman" w:hAnsi="Times New Roman"/>
      <w:spacing w:val="4"/>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7" Type="http://schemas.openxmlformats.org/officeDocument/2006/relationships/fontTable" Target="fontTable.xml"/><Relationship Id="rId76" Type="http://schemas.openxmlformats.org/officeDocument/2006/relationships/customXml" Target="../customXml/item2.xml"/><Relationship Id="rId75" Type="http://schemas.openxmlformats.org/officeDocument/2006/relationships/numbering" Target="numbering.xml"/><Relationship Id="rId74" Type="http://schemas.openxmlformats.org/officeDocument/2006/relationships/customXml" Target="../customXml/item1.xml"/><Relationship Id="rId73" Type="http://schemas.openxmlformats.org/officeDocument/2006/relationships/image" Target="media/image46.png"/><Relationship Id="rId72" Type="http://schemas.openxmlformats.org/officeDocument/2006/relationships/image" Target="media/image45.jpeg"/><Relationship Id="rId71" Type="http://schemas.openxmlformats.org/officeDocument/2006/relationships/image" Target="media/image44.jpeg"/><Relationship Id="rId70" Type="http://schemas.openxmlformats.org/officeDocument/2006/relationships/image" Target="media/image43.png"/><Relationship Id="rId7" Type="http://schemas.openxmlformats.org/officeDocument/2006/relationships/footer" Target="footer1.xml"/><Relationship Id="rId69" Type="http://schemas.openxmlformats.org/officeDocument/2006/relationships/image" Target="media/image42.png"/><Relationship Id="rId68" Type="http://schemas.openxmlformats.org/officeDocument/2006/relationships/image" Target="media/image41.png"/><Relationship Id="rId67" Type="http://schemas.openxmlformats.org/officeDocument/2006/relationships/oleObject" Target="embeddings/oleObject16.bin"/><Relationship Id="rId66" Type="http://schemas.openxmlformats.org/officeDocument/2006/relationships/oleObject" Target="embeddings/oleObject15.bin"/><Relationship Id="rId65" Type="http://schemas.openxmlformats.org/officeDocument/2006/relationships/image" Target="media/image40.wmf"/><Relationship Id="rId64" Type="http://schemas.openxmlformats.org/officeDocument/2006/relationships/image" Target="media/image39.wmf"/><Relationship Id="rId63" Type="http://schemas.openxmlformats.org/officeDocument/2006/relationships/oleObject" Target="embeddings/oleObject14.bin"/><Relationship Id="rId62" Type="http://schemas.openxmlformats.org/officeDocument/2006/relationships/image" Target="media/image38.wmf"/><Relationship Id="rId61" Type="http://schemas.openxmlformats.org/officeDocument/2006/relationships/oleObject" Target="embeddings/oleObject13.bin"/><Relationship Id="rId60" Type="http://schemas.openxmlformats.org/officeDocument/2006/relationships/image" Target="media/image37.wmf"/><Relationship Id="rId6" Type="http://schemas.openxmlformats.org/officeDocument/2006/relationships/header" Target="header2.xml"/><Relationship Id="rId59" Type="http://schemas.openxmlformats.org/officeDocument/2006/relationships/oleObject" Target="embeddings/oleObject12.bin"/><Relationship Id="rId58" Type="http://schemas.openxmlformats.org/officeDocument/2006/relationships/image" Target="media/image36.wmf"/><Relationship Id="rId57" Type="http://schemas.openxmlformats.org/officeDocument/2006/relationships/oleObject" Target="embeddings/oleObject11.bin"/><Relationship Id="rId56" Type="http://schemas.openxmlformats.org/officeDocument/2006/relationships/image" Target="media/image35.wmf"/><Relationship Id="rId55" Type="http://schemas.openxmlformats.org/officeDocument/2006/relationships/oleObject" Target="embeddings/oleObject10.bin"/><Relationship Id="rId54" Type="http://schemas.openxmlformats.org/officeDocument/2006/relationships/image" Target="media/image34.wmf"/><Relationship Id="rId53" Type="http://schemas.openxmlformats.org/officeDocument/2006/relationships/oleObject" Target="embeddings/oleObject9.bin"/><Relationship Id="rId52" Type="http://schemas.openxmlformats.org/officeDocument/2006/relationships/image" Target="media/image33.wmf"/><Relationship Id="rId51" Type="http://schemas.openxmlformats.org/officeDocument/2006/relationships/oleObject" Target="embeddings/oleObject8.bin"/><Relationship Id="rId50" Type="http://schemas.openxmlformats.org/officeDocument/2006/relationships/image" Target="media/image32.wmf"/><Relationship Id="rId5" Type="http://schemas.openxmlformats.org/officeDocument/2006/relationships/header" Target="header1.xml"/><Relationship Id="rId49" Type="http://schemas.openxmlformats.org/officeDocument/2006/relationships/oleObject" Target="embeddings/oleObject7.bin"/><Relationship Id="rId48" Type="http://schemas.openxmlformats.org/officeDocument/2006/relationships/image" Target="media/image31.png"/><Relationship Id="rId47" Type="http://schemas.openxmlformats.org/officeDocument/2006/relationships/image" Target="media/image30.emf"/><Relationship Id="rId46" Type="http://schemas.openxmlformats.org/officeDocument/2006/relationships/image" Target="media/image29.emf"/><Relationship Id="rId45" Type="http://schemas.openxmlformats.org/officeDocument/2006/relationships/image" Target="media/image28.emf"/><Relationship Id="rId44" Type="http://schemas.openxmlformats.org/officeDocument/2006/relationships/image" Target="media/image27.emf"/><Relationship Id="rId43" Type="http://schemas.openxmlformats.org/officeDocument/2006/relationships/image" Target="media/image26.emf"/><Relationship Id="rId42" Type="http://schemas.openxmlformats.org/officeDocument/2006/relationships/image" Target="media/image25.emf"/><Relationship Id="rId41" Type="http://schemas.openxmlformats.org/officeDocument/2006/relationships/image" Target="media/image24.emf"/><Relationship Id="rId40" Type="http://schemas.openxmlformats.org/officeDocument/2006/relationships/image" Target="media/image23.emf"/><Relationship Id="rId4" Type="http://schemas.openxmlformats.org/officeDocument/2006/relationships/endnotes" Target="endnotes.xml"/><Relationship Id="rId39" Type="http://schemas.openxmlformats.org/officeDocument/2006/relationships/image" Target="media/image22.emf"/><Relationship Id="rId38" Type="http://schemas.openxmlformats.org/officeDocument/2006/relationships/image" Target="media/image21.emf"/><Relationship Id="rId37" Type="http://schemas.openxmlformats.org/officeDocument/2006/relationships/image" Target="media/image20.emf"/><Relationship Id="rId36" Type="http://schemas.openxmlformats.org/officeDocument/2006/relationships/image" Target="media/image19.emf"/><Relationship Id="rId35" Type="http://schemas.openxmlformats.org/officeDocument/2006/relationships/image" Target="media/image18.png"/><Relationship Id="rId34" Type="http://schemas.openxmlformats.org/officeDocument/2006/relationships/image" Target="media/image17.png"/><Relationship Id="rId33" Type="http://schemas.openxmlformats.org/officeDocument/2006/relationships/image" Target="media/image16.wmf"/><Relationship Id="rId32" Type="http://schemas.openxmlformats.org/officeDocument/2006/relationships/oleObject" Target="embeddings/oleObject6.bin"/><Relationship Id="rId31" Type="http://schemas.openxmlformats.org/officeDocument/2006/relationships/image" Target="media/image15.png"/><Relationship Id="rId30" Type="http://schemas.openxmlformats.org/officeDocument/2006/relationships/image" Target="media/image14.jpeg"/><Relationship Id="rId3" Type="http://schemas.openxmlformats.org/officeDocument/2006/relationships/footnotes" Target="footnotes.xml"/><Relationship Id="rId29" Type="http://schemas.openxmlformats.org/officeDocument/2006/relationships/image" Target="media/image13.png"/><Relationship Id="rId28" Type="http://schemas.openxmlformats.org/officeDocument/2006/relationships/image" Target="media/image12.emf"/><Relationship Id="rId27" Type="http://schemas.openxmlformats.org/officeDocument/2006/relationships/oleObject" Target="embeddings/oleObject5.bin"/><Relationship Id="rId26" Type="http://schemas.openxmlformats.org/officeDocument/2006/relationships/image" Target="media/image11.png"/><Relationship Id="rId25" Type="http://schemas.openxmlformats.org/officeDocument/2006/relationships/image" Target="media/image10.emf"/><Relationship Id="rId24" Type="http://schemas.openxmlformats.org/officeDocument/2006/relationships/oleObject" Target="embeddings/oleObject4.bin"/><Relationship Id="rId23" Type="http://schemas.openxmlformats.org/officeDocument/2006/relationships/image" Target="media/image9.emf"/><Relationship Id="rId22" Type="http://schemas.openxmlformats.org/officeDocument/2006/relationships/oleObject" Target="embeddings/oleObject3.bin"/><Relationship Id="rId21" Type="http://schemas.openxmlformats.org/officeDocument/2006/relationships/image" Target="media/image8.emf"/><Relationship Id="rId20" Type="http://schemas.openxmlformats.org/officeDocument/2006/relationships/oleObject" Target="embeddings/oleObject2.bin"/><Relationship Id="rId2" Type="http://schemas.openxmlformats.org/officeDocument/2006/relationships/settings" Target="settings.xml"/><Relationship Id="rId19" Type="http://schemas.openxmlformats.org/officeDocument/2006/relationships/image" Target="media/image7.jpeg"/><Relationship Id="rId18" Type="http://schemas.openxmlformats.org/officeDocument/2006/relationships/image" Target="media/image6.jpeg"/><Relationship Id="rId17" Type="http://schemas.openxmlformats.org/officeDocument/2006/relationships/image" Target="media/image5.png"/><Relationship Id="rId16" Type="http://schemas.openxmlformats.org/officeDocument/2006/relationships/image" Target="media/image4.jpeg"/><Relationship Id="rId15" Type="http://schemas.openxmlformats.org/officeDocument/2006/relationships/image" Target="media/image3.png"/><Relationship Id="rId14" Type="http://schemas.openxmlformats.org/officeDocument/2006/relationships/image" Target="media/image2.wmf"/><Relationship Id="rId13" Type="http://schemas.openxmlformats.org/officeDocument/2006/relationships/oleObject" Target="embeddings/oleObject1.bin"/><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Info spid="_x0000_s1027"/>
    <customShpInfo spid="_x0000_s1028"/>
    <customShpInfo spid="_x0000_s1029"/>
    <customShpInfo spid="_x0000_s1030"/>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4759F18-44CD-45F3-AFB8-4645B9FFDB67}">
  <ds:schemaRefs/>
</ds:datastoreItem>
</file>

<file path=docProps/app.xml><?xml version="1.0" encoding="utf-8"?>
<Properties xmlns="http://schemas.openxmlformats.org/officeDocument/2006/extended-properties" xmlns:vt="http://schemas.openxmlformats.org/officeDocument/2006/docPropsVTypes">
  <Template>Normal.dotm</Template>
  <Company>Www.SangSan.Cn</Company>
  <Pages>231</Pages>
  <Words>27555</Words>
  <Characters>157064</Characters>
  <Lines>1308</Lines>
  <Paragraphs>368</Paragraphs>
  <TotalTime>3</TotalTime>
  <ScaleCrop>false</ScaleCrop>
  <LinksUpToDate>false</LinksUpToDate>
  <CharactersWithSpaces>184251</CharactersWithSpaces>
  <Application>WPS Office_11.1.0.11405_F1E327BC-269C-435d-A152-05C5408002CA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2019-02-21T01:54:00Z</dcterms:created>
  <dc:creator>tie</dc:creator>
  <cp:lastModifiedBy>旭昶</cp:lastModifiedBy>
  <dcterms:modified xsi:type="dcterms:W3CDTF">2022-02-26T11:56:14Z</dcterms:modified>
  <cp:revision>1078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2052-11.1.0.11405</vt:lpwstr>
  </property>
  <property fmtid="{D5CDD505-2E9C-101B-9397-08002B2CF9AE}" pid="3" name="ICV">
    <vt:lpwstr>21C1104DF1F842468E13AC8D63008606</vt:lpwstr>
  </property>
</Properties>
</file>