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outlineLvl w:val="0"/>
        <w:rPr>
          <w:rFonts w:eastAsia="方正小标宋_GBK"/>
          <w:bCs/>
          <w:color w:val="auto"/>
          <w:sz w:val="72"/>
          <w:szCs w:val="72"/>
        </w:rPr>
      </w:pPr>
      <w:r>
        <w:rPr>
          <w:rFonts w:eastAsia="方正小标宋_GBK"/>
          <w:bCs/>
          <w:color w:val="auto"/>
          <w:sz w:val="72"/>
          <w:szCs w:val="72"/>
        </w:rPr>
        <w:t>建设项目环境影响报告表</w:t>
      </w:r>
    </w:p>
    <w:p>
      <w:pPr>
        <w:adjustRightInd w:val="0"/>
        <w:snapToGrid w:val="0"/>
        <w:spacing w:before="192" w:beforeLines="80"/>
        <w:jc w:val="center"/>
        <w:rPr>
          <w:rFonts w:eastAsia="楷体_GB2312"/>
          <w:bCs/>
          <w:color w:val="auto"/>
          <w:sz w:val="48"/>
          <w:szCs w:val="48"/>
        </w:rPr>
      </w:pPr>
      <w:r>
        <w:rPr>
          <w:rFonts w:eastAsia="楷体_GB2312"/>
          <w:bCs/>
          <w:color w:val="auto"/>
          <w:sz w:val="48"/>
          <w:szCs w:val="48"/>
        </w:rPr>
        <w:t>（污染影响类）</w:t>
      </w:r>
    </w:p>
    <w:p>
      <w:pPr>
        <w:adjustRightInd w:val="0"/>
        <w:snapToGrid w:val="0"/>
        <w:spacing w:line="288" w:lineRule="auto"/>
        <w:jc w:val="center"/>
        <w:rPr>
          <w:rFonts w:eastAsia="华文仿宋"/>
          <w:color w:val="auto"/>
          <w:kern w:val="44"/>
          <w:sz w:val="44"/>
          <w:szCs w:val="44"/>
        </w:rPr>
      </w:pPr>
    </w:p>
    <w:p>
      <w:pPr>
        <w:jc w:val="center"/>
        <w:rPr>
          <w:rFonts w:eastAsia="仿宋"/>
          <w:color w:val="auto"/>
          <w:sz w:val="52"/>
          <w:szCs w:val="52"/>
        </w:rPr>
      </w:pPr>
    </w:p>
    <w:p>
      <w:pPr>
        <w:ind w:firstLine="1040"/>
        <w:rPr>
          <w:rFonts w:eastAsia="仿宋"/>
          <w:color w:val="auto"/>
          <w:sz w:val="44"/>
          <w:szCs w:val="44"/>
        </w:rPr>
      </w:pPr>
    </w:p>
    <w:p>
      <w:pPr>
        <w:ind w:firstLine="1040"/>
        <w:rPr>
          <w:rFonts w:eastAsia="仿宋"/>
          <w:color w:val="auto"/>
          <w:sz w:val="44"/>
          <w:szCs w:val="44"/>
        </w:rPr>
      </w:pPr>
    </w:p>
    <w:p>
      <w:pPr>
        <w:ind w:firstLine="1040"/>
        <w:rPr>
          <w:rFonts w:eastAsia="仿宋"/>
          <w:color w:val="auto"/>
          <w:sz w:val="44"/>
          <w:szCs w:val="44"/>
        </w:rPr>
      </w:pPr>
    </w:p>
    <w:p>
      <w:pPr>
        <w:ind w:firstLine="1040"/>
        <w:rPr>
          <w:rFonts w:eastAsia="仿宋"/>
          <w:color w:val="auto"/>
          <w:sz w:val="44"/>
          <w:szCs w:val="44"/>
        </w:rPr>
      </w:pPr>
    </w:p>
    <w:p>
      <w:pPr>
        <w:autoSpaceDE w:val="0"/>
        <w:autoSpaceDN w:val="0"/>
        <w:adjustRightInd w:val="0"/>
        <w:jc w:val="left"/>
        <w:outlineLvl w:val="2"/>
        <w:rPr>
          <w:rFonts w:hint="default" w:eastAsia="宋体"/>
          <w:color w:val="auto"/>
          <w:sz w:val="36"/>
          <w:szCs w:val="36"/>
          <w:u w:val="single"/>
          <w:lang w:val="en-US" w:eastAsia="zh-CN"/>
        </w:rPr>
      </w:pPr>
      <w:r>
        <w:rPr>
          <w:rFonts w:eastAsia="仿宋_GB2312"/>
          <w:color w:val="auto"/>
          <w:sz w:val="36"/>
          <w:szCs w:val="36"/>
        </w:rPr>
        <w:t>项目名称：</w:t>
      </w:r>
      <w:r>
        <w:rPr>
          <w:rFonts w:hint="default" w:ascii="Times New Roman" w:hAnsi="Times New Roman" w:eastAsia="仿宋_GB2312" w:cs="Times New Roman"/>
          <w:color w:val="auto"/>
          <w:sz w:val="36"/>
          <w:szCs w:val="36"/>
          <w:u w:val="single"/>
          <w:lang w:val="en-US" w:eastAsia="zh-CN"/>
        </w:rPr>
        <w:t>内蒙古蒙源兴禾种养殖一体化综合利用循环经济项目（年产有机肥30万吨）</w:t>
      </w:r>
      <w:r>
        <w:rPr>
          <w:rFonts w:hint="eastAsia" w:ascii="Times New Roman" w:hAnsi="Times New Roman" w:eastAsia="仿宋_GB2312" w:cs="Times New Roman"/>
          <w:color w:val="auto"/>
          <w:sz w:val="36"/>
          <w:szCs w:val="36"/>
          <w:u w:val="single"/>
          <w:lang w:val="en-US" w:eastAsia="zh-CN"/>
        </w:rPr>
        <w:t>改扩建项目</w:t>
      </w:r>
    </w:p>
    <w:p>
      <w:pPr>
        <w:adjustRightInd w:val="0"/>
        <w:snapToGrid w:val="0"/>
        <w:spacing w:line="288" w:lineRule="auto"/>
        <w:jc w:val="left"/>
        <w:rPr>
          <w:rFonts w:eastAsia="仿宋_GB2312"/>
          <w:color w:val="auto"/>
          <w:sz w:val="36"/>
          <w:szCs w:val="36"/>
          <w:u w:val="single"/>
        </w:rPr>
      </w:pPr>
      <w:r>
        <w:rPr>
          <w:rFonts w:eastAsia="仿宋_GB2312"/>
          <w:color w:val="auto"/>
          <w:sz w:val="36"/>
          <w:szCs w:val="36"/>
        </w:rPr>
        <w:t>建设单位（盖章）：</w:t>
      </w:r>
      <w:r>
        <w:rPr>
          <w:rFonts w:eastAsia="仿宋_GB2312"/>
          <w:color w:val="auto"/>
          <w:sz w:val="36"/>
          <w:szCs w:val="36"/>
          <w:u w:val="single"/>
        </w:rPr>
        <w:t xml:space="preserve"> </w:t>
      </w:r>
      <w:r>
        <w:rPr>
          <w:rFonts w:hint="eastAsia" w:eastAsia="仿宋_GB2312"/>
          <w:color w:val="auto"/>
          <w:sz w:val="36"/>
          <w:szCs w:val="36"/>
          <w:u w:val="single"/>
        </w:rPr>
        <w:t>内蒙古蒙源兴禾生物科技有限公司五原分公司</w:t>
      </w:r>
    </w:p>
    <w:p>
      <w:pPr>
        <w:adjustRightInd w:val="0"/>
        <w:snapToGrid w:val="0"/>
        <w:spacing w:line="288" w:lineRule="auto"/>
        <w:jc w:val="center"/>
        <w:rPr>
          <w:rFonts w:eastAsia="仿宋_GB2312"/>
          <w:color w:val="auto"/>
          <w:sz w:val="36"/>
          <w:szCs w:val="36"/>
        </w:rPr>
      </w:pPr>
    </w:p>
    <w:p>
      <w:pPr>
        <w:adjustRightInd w:val="0"/>
        <w:snapToGrid w:val="0"/>
        <w:spacing w:line="288" w:lineRule="auto"/>
        <w:jc w:val="center"/>
        <w:rPr>
          <w:rFonts w:eastAsia="仿宋_GB2312"/>
          <w:color w:val="auto"/>
          <w:sz w:val="36"/>
          <w:szCs w:val="36"/>
        </w:rPr>
      </w:pPr>
    </w:p>
    <w:p>
      <w:pPr>
        <w:adjustRightInd w:val="0"/>
        <w:snapToGrid w:val="0"/>
        <w:spacing w:line="288" w:lineRule="auto"/>
        <w:jc w:val="center"/>
        <w:rPr>
          <w:rFonts w:eastAsia="仿宋_GB2312"/>
          <w:color w:val="auto"/>
          <w:sz w:val="36"/>
          <w:szCs w:val="36"/>
          <w:u w:val="single"/>
        </w:rPr>
      </w:pPr>
      <w:r>
        <w:rPr>
          <w:rFonts w:eastAsia="仿宋_GB2312"/>
          <w:color w:val="auto"/>
          <w:sz w:val="36"/>
          <w:szCs w:val="36"/>
        </w:rPr>
        <w:t>编制日期：</w:t>
      </w:r>
      <w:r>
        <w:rPr>
          <w:rFonts w:eastAsia="仿宋_GB2312"/>
          <w:color w:val="auto"/>
          <w:sz w:val="36"/>
          <w:szCs w:val="36"/>
          <w:u w:val="single"/>
        </w:rPr>
        <w:t xml:space="preserve"> 2021年</w:t>
      </w:r>
      <w:r>
        <w:rPr>
          <w:rFonts w:hint="eastAsia" w:eastAsia="仿宋_GB2312"/>
          <w:color w:val="auto"/>
          <w:sz w:val="36"/>
          <w:szCs w:val="36"/>
          <w:u w:val="single"/>
          <w:lang w:val="en-US" w:eastAsia="zh-CN"/>
        </w:rPr>
        <w:t>6</w:t>
      </w:r>
      <w:r>
        <w:rPr>
          <w:rFonts w:eastAsia="仿宋_GB2312"/>
          <w:color w:val="auto"/>
          <w:sz w:val="36"/>
          <w:szCs w:val="36"/>
          <w:u w:val="single"/>
        </w:rPr>
        <w:t>月</w:t>
      </w:r>
    </w:p>
    <w:p>
      <w:pPr>
        <w:adjustRightInd w:val="0"/>
        <w:snapToGrid w:val="0"/>
        <w:spacing w:line="288" w:lineRule="auto"/>
        <w:ind w:firstLine="1040"/>
        <w:rPr>
          <w:rFonts w:eastAsia="仿宋_GB2312"/>
          <w:color w:val="auto"/>
          <w:sz w:val="36"/>
          <w:szCs w:val="36"/>
        </w:rPr>
      </w:pPr>
      <w:bookmarkStart w:id="0" w:name="_Hlk57884087"/>
    </w:p>
    <w:bookmarkEnd w:id="0"/>
    <w:p>
      <w:pPr>
        <w:adjustRightInd w:val="0"/>
        <w:snapToGrid w:val="0"/>
        <w:spacing w:line="288" w:lineRule="auto"/>
        <w:jc w:val="center"/>
        <w:rPr>
          <w:rFonts w:eastAsia="楷体_GB2312"/>
          <w:color w:val="auto"/>
          <w:sz w:val="36"/>
          <w:szCs w:val="36"/>
        </w:rPr>
      </w:pPr>
    </w:p>
    <w:p>
      <w:pPr>
        <w:adjustRightInd w:val="0"/>
        <w:snapToGrid w:val="0"/>
        <w:spacing w:line="288" w:lineRule="auto"/>
        <w:jc w:val="center"/>
        <w:rPr>
          <w:rFonts w:eastAsia="楷体_GB2312"/>
          <w:color w:val="auto"/>
          <w:sz w:val="36"/>
          <w:szCs w:val="36"/>
        </w:rPr>
      </w:pPr>
      <w:r>
        <w:rPr>
          <w:rFonts w:eastAsia="楷体_GB2312"/>
          <w:color w:val="auto"/>
          <w:sz w:val="36"/>
          <w:szCs w:val="36"/>
        </w:rPr>
        <w:t>中华人民共和国生态环境部制</w:t>
      </w:r>
    </w:p>
    <w:p>
      <w:pPr>
        <w:adjustRightInd w:val="0"/>
        <w:snapToGrid w:val="0"/>
        <w:spacing w:line="288" w:lineRule="auto"/>
        <w:ind w:firstLine="1040"/>
        <w:rPr>
          <w:rFonts w:eastAsia="仿宋_GB2312"/>
          <w:color w:val="auto"/>
          <w:sz w:val="36"/>
          <w:szCs w:val="36"/>
        </w:rPr>
        <w:sectPr>
          <w:footerReference r:id="rId5" w:type="default"/>
          <w:footerReference r:id="rId6" w:type="even"/>
          <w:pgSz w:w="11906" w:h="16838"/>
          <w:pgMar w:top="1440" w:right="1800" w:bottom="1440" w:left="1800" w:header="851" w:footer="1077" w:gutter="0"/>
          <w:pgBorders>
            <w:top w:val="none" w:sz="0" w:space="0"/>
            <w:left w:val="none" w:sz="0" w:space="0"/>
            <w:bottom w:val="none" w:sz="0" w:space="0"/>
            <w:right w:val="none" w:sz="0" w:space="0"/>
          </w:pgBorders>
          <w:pgNumType w:start="3"/>
          <w:cols w:space="720" w:num="1"/>
          <w:docGrid w:linePitch="312" w:charSpace="0"/>
        </w:sectPr>
      </w:pPr>
    </w:p>
    <w:p>
      <w:pPr>
        <w:bidi w:val="0"/>
        <w:jc w:val="center"/>
        <w:rPr>
          <w:rFonts w:hint="eastAsia" w:ascii="黑体" w:hAnsi="黑体" w:eastAsia="黑体" w:cs="黑体"/>
          <w:color w:val="auto"/>
          <w:sz w:val="30"/>
          <w:szCs w:val="30"/>
        </w:rPr>
      </w:pPr>
      <w:r>
        <w:rPr>
          <w:rFonts w:hint="eastAsia" w:ascii="黑体" w:hAnsi="黑体" w:eastAsia="黑体" w:cs="黑体"/>
          <w:color w:val="auto"/>
          <w:sz w:val="30"/>
          <w:szCs w:val="30"/>
        </w:rPr>
        <w:t>一、建设项目基本情况</w:t>
      </w:r>
    </w:p>
    <w:tbl>
      <w:tblPr>
        <w:tblStyle w:val="19"/>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236"/>
        <w:gridCol w:w="1536"/>
        <w:gridCol w:w="2076"/>
        <w:gridCol w:w="248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2" w:type="pct"/>
            <w:noWrap w:val="0"/>
            <w:tcMar>
              <w:top w:w="16" w:type="dxa"/>
              <w:left w:w="16" w:type="dxa"/>
              <w:right w:w="16" w:type="dxa"/>
            </w:tcMar>
            <w:vAlign w:val="center"/>
          </w:tcPr>
          <w:p>
            <w:pPr>
              <w:bidi w:val="0"/>
              <w:jc w:val="center"/>
              <w:rPr>
                <w:color w:val="auto"/>
              </w:rPr>
            </w:pPr>
            <w:r>
              <w:rPr>
                <w:color w:val="auto"/>
              </w:rPr>
              <w:t>建设项目名称</w:t>
            </w:r>
          </w:p>
        </w:tc>
        <w:tc>
          <w:tcPr>
            <w:tcW w:w="3657" w:type="pct"/>
            <w:gridSpan w:val="3"/>
            <w:noWrap w:val="0"/>
            <w:vAlign w:val="center"/>
          </w:tcPr>
          <w:p>
            <w:pPr>
              <w:bidi w:val="0"/>
              <w:jc w:val="center"/>
              <w:rPr>
                <w:color w:val="auto"/>
              </w:rPr>
            </w:pPr>
            <w:r>
              <w:rPr>
                <w:rFonts w:hint="eastAsia"/>
                <w:color w:val="auto"/>
              </w:rPr>
              <w:t>内蒙古蒙源兴禾种养殖一体化综合利用循环经济项目（年产有机肥30万吨）改扩建项目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2" w:type="pct"/>
            <w:noWrap w:val="0"/>
            <w:tcMar>
              <w:top w:w="16" w:type="dxa"/>
              <w:left w:w="16" w:type="dxa"/>
              <w:right w:w="16" w:type="dxa"/>
            </w:tcMar>
            <w:vAlign w:val="center"/>
          </w:tcPr>
          <w:p>
            <w:pPr>
              <w:bidi w:val="0"/>
              <w:jc w:val="center"/>
              <w:rPr>
                <w:color w:val="auto"/>
              </w:rPr>
            </w:pPr>
            <w:r>
              <w:rPr>
                <w:color w:val="auto"/>
              </w:rPr>
              <w:t>项目代码</w:t>
            </w:r>
          </w:p>
        </w:tc>
        <w:tc>
          <w:tcPr>
            <w:tcW w:w="3657" w:type="pct"/>
            <w:gridSpan w:val="3"/>
            <w:noWrap w:val="0"/>
            <w:vAlign w:val="center"/>
          </w:tcPr>
          <w:p>
            <w:pPr>
              <w:bidi w:val="0"/>
              <w:jc w:val="center"/>
              <w:rPr>
                <w:rFonts w:hint="default"/>
                <w:color w:val="auto"/>
                <w:lang w:val="en-US" w:eastAsia="zh-CN"/>
              </w:rPr>
            </w:pPr>
            <w:r>
              <w:rPr>
                <w:rFonts w:hint="eastAsia"/>
                <w:color w:val="auto"/>
                <w:lang w:val="en-US" w:eastAsia="zh-CN"/>
              </w:rPr>
              <w:t>2019-150821-01-03-035179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2" w:type="pct"/>
            <w:noWrap w:val="0"/>
            <w:tcMar>
              <w:top w:w="16" w:type="dxa"/>
              <w:left w:w="16" w:type="dxa"/>
              <w:right w:w="16" w:type="dxa"/>
            </w:tcMar>
            <w:vAlign w:val="center"/>
          </w:tcPr>
          <w:p>
            <w:pPr>
              <w:bidi w:val="0"/>
              <w:jc w:val="center"/>
              <w:rPr>
                <w:color w:val="auto"/>
              </w:rPr>
            </w:pPr>
            <w:r>
              <w:rPr>
                <w:color w:val="auto"/>
              </w:rPr>
              <w:t>建设单位联系人</w:t>
            </w:r>
          </w:p>
        </w:tc>
        <w:tc>
          <w:tcPr>
            <w:tcW w:w="922" w:type="pct"/>
            <w:noWrap w:val="0"/>
            <w:vAlign w:val="center"/>
          </w:tcPr>
          <w:p>
            <w:pPr>
              <w:bidi w:val="0"/>
              <w:jc w:val="center"/>
              <w:rPr>
                <w:rFonts w:hint="default"/>
                <w:color w:val="auto"/>
                <w:lang w:val="en-US" w:eastAsia="zh-CN"/>
              </w:rPr>
            </w:pPr>
            <w:r>
              <w:rPr>
                <w:rFonts w:hint="eastAsia"/>
                <w:color w:val="auto"/>
                <w:lang w:val="en-US" w:eastAsia="zh-CN"/>
              </w:rPr>
              <w:t>万毅</w:t>
            </w:r>
          </w:p>
        </w:tc>
        <w:tc>
          <w:tcPr>
            <w:tcW w:w="1246" w:type="pct"/>
            <w:noWrap w:val="0"/>
            <w:vAlign w:val="center"/>
          </w:tcPr>
          <w:p>
            <w:pPr>
              <w:bidi w:val="0"/>
              <w:jc w:val="center"/>
              <w:rPr>
                <w:color w:val="auto"/>
              </w:rPr>
            </w:pPr>
            <w:r>
              <w:rPr>
                <w:color w:val="auto"/>
              </w:rPr>
              <w:t>联系方式</w:t>
            </w:r>
          </w:p>
        </w:tc>
        <w:tc>
          <w:tcPr>
            <w:tcW w:w="1487" w:type="pct"/>
            <w:noWrap w:val="0"/>
            <w:vAlign w:val="center"/>
          </w:tcPr>
          <w:p>
            <w:pPr>
              <w:bidi w:val="0"/>
              <w:jc w:val="center"/>
              <w:rPr>
                <w:rFonts w:hint="default"/>
                <w:color w:val="auto"/>
                <w:lang w:val="en-US" w:eastAsia="zh-CN"/>
              </w:rPr>
            </w:pPr>
            <w:r>
              <w:rPr>
                <w:rFonts w:hint="default"/>
                <w:color w:val="auto"/>
                <w:lang w:val="en-US" w:eastAsia="zh-CN"/>
              </w:rPr>
              <w:t>15104778119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2" w:type="pct"/>
            <w:noWrap w:val="0"/>
            <w:tcMar>
              <w:top w:w="16" w:type="dxa"/>
              <w:left w:w="16" w:type="dxa"/>
              <w:right w:w="16" w:type="dxa"/>
            </w:tcMar>
            <w:vAlign w:val="center"/>
          </w:tcPr>
          <w:p>
            <w:pPr>
              <w:bidi w:val="0"/>
              <w:jc w:val="center"/>
              <w:rPr>
                <w:color w:val="auto"/>
              </w:rPr>
            </w:pPr>
            <w:r>
              <w:rPr>
                <w:color w:val="auto"/>
              </w:rPr>
              <w:t>建设地点</w:t>
            </w:r>
          </w:p>
        </w:tc>
        <w:tc>
          <w:tcPr>
            <w:tcW w:w="3657" w:type="pct"/>
            <w:gridSpan w:val="3"/>
            <w:noWrap w:val="0"/>
            <w:vAlign w:val="center"/>
          </w:tcPr>
          <w:p>
            <w:pPr>
              <w:bidi w:val="0"/>
              <w:jc w:val="center"/>
              <w:rPr>
                <w:color w:val="auto"/>
              </w:rPr>
            </w:pPr>
            <w:r>
              <w:rPr>
                <w:rFonts w:hint="default" w:ascii="Times New Roman" w:hAnsi="Times New Roman" w:eastAsia="宋体" w:cs="Times New Roman"/>
                <w:color w:val="auto"/>
                <w:lang w:eastAsia="zh-CN"/>
              </w:rPr>
              <w:t>内蒙古自治区巴彦淖尔市五原县天吉泰复丰村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2" w:type="pct"/>
            <w:noWrap w:val="0"/>
            <w:tcMar>
              <w:top w:w="16" w:type="dxa"/>
              <w:left w:w="16" w:type="dxa"/>
              <w:right w:w="16" w:type="dxa"/>
            </w:tcMar>
            <w:vAlign w:val="center"/>
          </w:tcPr>
          <w:p>
            <w:pPr>
              <w:bidi w:val="0"/>
              <w:jc w:val="center"/>
              <w:rPr>
                <w:color w:val="auto"/>
              </w:rPr>
            </w:pPr>
            <w:r>
              <w:rPr>
                <w:color w:val="auto"/>
              </w:rPr>
              <w:t>地理坐标</w:t>
            </w:r>
          </w:p>
        </w:tc>
        <w:tc>
          <w:tcPr>
            <w:tcW w:w="3657" w:type="pct"/>
            <w:gridSpan w:val="3"/>
            <w:noWrap w:val="0"/>
            <w:vAlign w:val="center"/>
          </w:tcPr>
          <w:p>
            <w:pPr>
              <w:bidi w:val="0"/>
              <w:jc w:val="center"/>
              <w:rPr>
                <w:color w:val="auto"/>
              </w:rPr>
            </w:pPr>
            <w:r>
              <w:rPr>
                <w:color w:val="auto"/>
              </w:rPr>
              <w:t>东经</w:t>
            </w:r>
            <w:r>
              <w:rPr>
                <w:rFonts w:hint="default" w:ascii="Times New Roman" w:hAnsi="Times New Roman" w:eastAsia="宋体" w:cs="Times New Roman"/>
                <w:color w:val="auto"/>
              </w:rPr>
              <w:t>10</w:t>
            </w:r>
            <w:r>
              <w:rPr>
                <w:rFonts w:hint="default" w:ascii="Times New Roman" w:hAnsi="Times New Roman" w:eastAsia="宋体" w:cs="Times New Roman"/>
                <w:color w:val="auto"/>
                <w:lang w:val="en-US" w:eastAsia="zh-CN"/>
              </w:rPr>
              <w:t>7</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4</w:t>
            </w:r>
            <w:r>
              <w:rPr>
                <w:rFonts w:hint="default" w:ascii="Times New Roman" w:hAnsi="Times New Roman" w:eastAsia="宋体" w:cs="Times New Roman"/>
                <w:color w:val="auto"/>
              </w:rPr>
              <w:t>0'</w:t>
            </w:r>
            <w:r>
              <w:rPr>
                <w:rFonts w:hint="default" w:ascii="Times New Roman" w:hAnsi="Times New Roman" w:eastAsia="宋体" w:cs="Times New Roman"/>
                <w:color w:val="auto"/>
                <w:lang w:val="en-US" w:eastAsia="zh-CN"/>
              </w:rPr>
              <w:t>3</w:t>
            </w:r>
            <w:r>
              <w:rPr>
                <w:rFonts w:hint="eastAsia" w:cs="Times New Roman"/>
                <w:color w:val="auto"/>
                <w:lang w:val="en-US" w:eastAsia="zh-CN"/>
              </w:rPr>
              <w:t>3</w:t>
            </w:r>
            <w:r>
              <w:rPr>
                <w:rFonts w:hint="default" w:ascii="Times New Roman" w:hAnsi="Times New Roman" w:eastAsia="宋体" w:cs="Times New Roman"/>
                <w:color w:val="auto"/>
              </w:rPr>
              <w:t>"</w:t>
            </w:r>
            <w:r>
              <w:rPr>
                <w:color w:val="auto"/>
              </w:rPr>
              <w:t>，北纬</w:t>
            </w:r>
            <w:r>
              <w:rPr>
                <w:rFonts w:hint="default" w:ascii="Times New Roman" w:hAnsi="Times New Roman" w:eastAsia="宋体" w:cs="Times New Roman"/>
                <w:color w:val="auto"/>
              </w:rPr>
              <w:t>4</w:t>
            </w:r>
            <w:r>
              <w:rPr>
                <w:rFonts w:hint="default" w:ascii="Times New Roman" w:hAnsi="Times New Roman" w:eastAsia="宋体" w:cs="Times New Roman"/>
                <w:color w:val="auto"/>
                <w:lang w:val="en-US" w:eastAsia="zh-CN"/>
              </w:rPr>
              <w:t>0</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49</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59</w:t>
            </w:r>
            <w:r>
              <w:rPr>
                <w:rFonts w:hint="default" w:ascii="Times New Roman" w:hAnsi="Times New Roman" w:eastAsia="宋体" w:cs="Times New Roman"/>
                <w:color w:val="auto"/>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342" w:type="pct"/>
            <w:noWrap w:val="0"/>
            <w:tcMar>
              <w:top w:w="16" w:type="dxa"/>
              <w:left w:w="16" w:type="dxa"/>
              <w:right w:w="16" w:type="dxa"/>
            </w:tcMar>
            <w:vAlign w:val="center"/>
          </w:tcPr>
          <w:p>
            <w:pPr>
              <w:bidi w:val="0"/>
              <w:spacing w:line="240" w:lineRule="auto"/>
              <w:jc w:val="center"/>
              <w:rPr>
                <w:color w:val="auto"/>
              </w:rPr>
            </w:pPr>
            <w:r>
              <w:rPr>
                <w:color w:val="auto"/>
              </w:rPr>
              <w:t>国民经济</w:t>
            </w:r>
          </w:p>
          <w:p>
            <w:pPr>
              <w:bidi w:val="0"/>
              <w:spacing w:line="240" w:lineRule="auto"/>
              <w:jc w:val="center"/>
              <w:rPr>
                <w:color w:val="auto"/>
              </w:rPr>
            </w:pPr>
            <w:r>
              <w:rPr>
                <w:color w:val="auto"/>
              </w:rPr>
              <w:t>行业类别</w:t>
            </w:r>
          </w:p>
        </w:tc>
        <w:tc>
          <w:tcPr>
            <w:tcW w:w="922" w:type="pct"/>
            <w:noWrap w:val="0"/>
            <w:vAlign w:val="center"/>
          </w:tcPr>
          <w:p>
            <w:pPr>
              <w:bidi w:val="0"/>
              <w:spacing w:line="240" w:lineRule="auto"/>
              <w:rPr>
                <w:rFonts w:hint="default"/>
                <w:color w:val="auto"/>
                <w:lang w:val="en-US" w:eastAsia="zh-CN"/>
              </w:rPr>
            </w:pPr>
            <w:r>
              <w:rPr>
                <w:rFonts w:hint="eastAsia"/>
                <w:color w:val="auto"/>
                <w:lang w:val="en-US" w:eastAsia="zh-CN"/>
              </w:rPr>
              <w:t>C2625 有机肥料及微生物肥料制造</w:t>
            </w:r>
          </w:p>
        </w:tc>
        <w:tc>
          <w:tcPr>
            <w:tcW w:w="1246" w:type="pct"/>
            <w:noWrap w:val="0"/>
            <w:vAlign w:val="center"/>
          </w:tcPr>
          <w:p>
            <w:pPr>
              <w:bidi w:val="0"/>
              <w:spacing w:line="240" w:lineRule="auto"/>
              <w:jc w:val="center"/>
              <w:rPr>
                <w:color w:val="auto"/>
              </w:rPr>
            </w:pPr>
            <w:bookmarkStart w:id="1" w:name="_Hlk49843745"/>
            <w:r>
              <w:rPr>
                <w:color w:val="auto"/>
              </w:rPr>
              <w:t>建设项目</w:t>
            </w:r>
          </w:p>
          <w:p>
            <w:pPr>
              <w:bidi w:val="0"/>
              <w:spacing w:line="240" w:lineRule="auto"/>
              <w:jc w:val="center"/>
              <w:rPr>
                <w:color w:val="auto"/>
              </w:rPr>
            </w:pPr>
            <w:r>
              <w:rPr>
                <w:color w:val="auto"/>
              </w:rPr>
              <w:t>行业类别</w:t>
            </w:r>
            <w:bookmarkEnd w:id="1"/>
          </w:p>
        </w:tc>
        <w:tc>
          <w:tcPr>
            <w:tcW w:w="1487" w:type="pct"/>
            <w:noWrap w:val="0"/>
            <w:vAlign w:val="center"/>
          </w:tcPr>
          <w:p>
            <w:pPr>
              <w:bidi w:val="0"/>
              <w:spacing w:line="240" w:lineRule="auto"/>
              <w:rPr>
                <w:rFonts w:hint="default" w:eastAsia="宋体"/>
                <w:color w:val="auto"/>
                <w:lang w:val="en-US" w:eastAsia="zh-CN"/>
              </w:rPr>
            </w:pPr>
            <w:r>
              <w:rPr>
                <w:rFonts w:hint="eastAsia"/>
                <w:color w:val="auto"/>
                <w:lang w:val="en-US" w:eastAsia="zh-CN"/>
              </w:rPr>
              <w:t>二十三、化学原料和化学品制造业 45 肥料制造 其他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342" w:type="pct"/>
            <w:noWrap w:val="0"/>
            <w:tcMar>
              <w:top w:w="16" w:type="dxa"/>
              <w:left w:w="16" w:type="dxa"/>
              <w:right w:w="16" w:type="dxa"/>
            </w:tcMar>
            <w:vAlign w:val="center"/>
          </w:tcPr>
          <w:p>
            <w:pPr>
              <w:bidi w:val="0"/>
              <w:jc w:val="center"/>
              <w:rPr>
                <w:color w:val="auto"/>
              </w:rPr>
            </w:pPr>
            <w:r>
              <w:rPr>
                <w:color w:val="auto"/>
              </w:rPr>
              <w:t>建设性质</w:t>
            </w:r>
          </w:p>
        </w:tc>
        <w:tc>
          <w:tcPr>
            <w:tcW w:w="922" w:type="pct"/>
            <w:noWrap w:val="0"/>
            <w:vAlign w:val="center"/>
          </w:tcPr>
          <w:p>
            <w:pPr>
              <w:bidi w:val="0"/>
              <w:spacing w:line="240" w:lineRule="auto"/>
              <w:jc w:val="left"/>
              <w:rPr>
                <w:color w:val="auto"/>
              </w:rPr>
            </w:pPr>
            <w:r>
              <w:rPr>
                <w:color w:val="auto"/>
              </w:rPr>
              <w:sym w:font="Wingdings 2" w:char="00A3"/>
            </w:r>
            <w:r>
              <w:rPr>
                <w:color w:val="auto"/>
              </w:rPr>
              <w:t>新建（迁建）</w:t>
            </w:r>
          </w:p>
          <w:p>
            <w:pPr>
              <w:bidi w:val="0"/>
              <w:spacing w:line="240" w:lineRule="auto"/>
              <w:jc w:val="left"/>
              <w:rPr>
                <w:color w:val="auto"/>
              </w:rPr>
            </w:pPr>
            <w:r>
              <w:rPr>
                <w:color w:val="auto"/>
              </w:rPr>
              <w:sym w:font="Wingdings 2" w:char="00A3"/>
            </w:r>
            <w:r>
              <w:rPr>
                <w:color w:val="auto"/>
              </w:rPr>
              <w:t>改建</w:t>
            </w:r>
          </w:p>
          <w:p>
            <w:pPr>
              <w:bidi w:val="0"/>
              <w:spacing w:line="240" w:lineRule="auto"/>
              <w:jc w:val="left"/>
              <w:rPr>
                <w:color w:val="auto"/>
              </w:rPr>
            </w:pPr>
            <w:r>
              <w:rPr>
                <w:color w:val="auto"/>
              </w:rPr>
              <w:sym w:font="Wingdings 2" w:char="0052"/>
            </w:r>
            <w:r>
              <w:rPr>
                <w:color w:val="auto"/>
              </w:rPr>
              <w:t>扩建</w:t>
            </w:r>
          </w:p>
          <w:p>
            <w:pPr>
              <w:bidi w:val="0"/>
              <w:spacing w:line="240" w:lineRule="auto"/>
              <w:jc w:val="left"/>
              <w:rPr>
                <w:color w:val="auto"/>
              </w:rPr>
            </w:pPr>
            <w:r>
              <w:rPr>
                <w:color w:val="auto"/>
              </w:rPr>
              <w:sym w:font="Wingdings 2" w:char="00A3"/>
            </w:r>
            <w:r>
              <w:rPr>
                <w:color w:val="auto"/>
              </w:rPr>
              <w:t>技术改造</w:t>
            </w:r>
          </w:p>
        </w:tc>
        <w:tc>
          <w:tcPr>
            <w:tcW w:w="1246" w:type="pct"/>
            <w:noWrap w:val="0"/>
            <w:vAlign w:val="center"/>
          </w:tcPr>
          <w:p>
            <w:pPr>
              <w:bidi w:val="0"/>
              <w:spacing w:line="240" w:lineRule="auto"/>
              <w:jc w:val="center"/>
              <w:rPr>
                <w:color w:val="auto"/>
              </w:rPr>
            </w:pPr>
            <w:r>
              <w:rPr>
                <w:color w:val="auto"/>
              </w:rPr>
              <w:t>建设项目</w:t>
            </w:r>
          </w:p>
          <w:p>
            <w:pPr>
              <w:bidi w:val="0"/>
              <w:spacing w:line="240" w:lineRule="auto"/>
              <w:jc w:val="center"/>
              <w:rPr>
                <w:color w:val="auto"/>
              </w:rPr>
            </w:pPr>
            <w:r>
              <w:rPr>
                <w:color w:val="auto"/>
              </w:rPr>
              <w:t>申报情形</w:t>
            </w:r>
          </w:p>
        </w:tc>
        <w:tc>
          <w:tcPr>
            <w:tcW w:w="1487" w:type="pct"/>
            <w:noWrap w:val="0"/>
            <w:vAlign w:val="center"/>
          </w:tcPr>
          <w:p>
            <w:pPr>
              <w:bidi w:val="0"/>
              <w:spacing w:line="240" w:lineRule="auto"/>
              <w:jc w:val="left"/>
              <w:rPr>
                <w:color w:val="auto"/>
              </w:rPr>
            </w:pPr>
            <w:r>
              <w:rPr>
                <w:color w:val="auto"/>
              </w:rPr>
              <w:sym w:font="Wingdings 2" w:char="F052"/>
            </w:r>
            <w:r>
              <w:rPr>
                <w:color w:val="auto"/>
              </w:rPr>
              <w:t>首次申报项目</w:t>
            </w:r>
          </w:p>
          <w:p>
            <w:pPr>
              <w:bidi w:val="0"/>
              <w:spacing w:line="240" w:lineRule="auto"/>
              <w:jc w:val="left"/>
              <w:rPr>
                <w:color w:val="auto"/>
              </w:rPr>
            </w:pPr>
            <w:r>
              <w:rPr>
                <w:color w:val="auto"/>
              </w:rPr>
              <w:sym w:font="Wingdings 2" w:char="00A3"/>
            </w:r>
            <w:r>
              <w:rPr>
                <w:color w:val="auto"/>
              </w:rPr>
              <w:t>不予批准后再次申报项目</w:t>
            </w:r>
          </w:p>
          <w:p>
            <w:pPr>
              <w:bidi w:val="0"/>
              <w:spacing w:line="240" w:lineRule="auto"/>
              <w:jc w:val="left"/>
              <w:rPr>
                <w:color w:val="auto"/>
              </w:rPr>
            </w:pPr>
            <w:r>
              <w:rPr>
                <w:color w:val="auto"/>
              </w:rPr>
              <w:sym w:font="Wingdings 2" w:char="00A3"/>
            </w:r>
            <w:r>
              <w:rPr>
                <w:color w:val="auto"/>
              </w:rPr>
              <w:t>超五年重新审核项目</w:t>
            </w:r>
          </w:p>
          <w:p>
            <w:pPr>
              <w:bidi w:val="0"/>
              <w:spacing w:line="240" w:lineRule="auto"/>
              <w:jc w:val="left"/>
              <w:rPr>
                <w:color w:val="auto"/>
              </w:rPr>
            </w:pPr>
            <w:r>
              <w:rPr>
                <w:color w:val="auto"/>
              </w:rPr>
              <w:sym w:font="Wingdings 2" w:char="00A3"/>
            </w:r>
            <w:r>
              <w:rPr>
                <w:color w:val="auto"/>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42" w:type="pct"/>
            <w:noWrap w:val="0"/>
            <w:tcMar>
              <w:top w:w="16" w:type="dxa"/>
              <w:left w:w="16" w:type="dxa"/>
              <w:right w:w="16" w:type="dxa"/>
            </w:tcMar>
            <w:vAlign w:val="center"/>
          </w:tcPr>
          <w:p>
            <w:pPr>
              <w:bidi w:val="0"/>
              <w:spacing w:line="240" w:lineRule="auto"/>
              <w:jc w:val="center"/>
              <w:rPr>
                <w:color w:val="auto"/>
              </w:rPr>
            </w:pPr>
            <w:r>
              <w:rPr>
                <w:color w:val="auto"/>
              </w:rPr>
              <w:t>项目审批（核准/</w:t>
            </w:r>
          </w:p>
          <w:p>
            <w:pPr>
              <w:bidi w:val="0"/>
              <w:spacing w:line="240" w:lineRule="auto"/>
              <w:jc w:val="center"/>
              <w:rPr>
                <w:color w:val="auto"/>
              </w:rPr>
            </w:pPr>
            <w:r>
              <w:rPr>
                <w:color w:val="auto"/>
              </w:rPr>
              <w:t>备案）部门（选填）</w:t>
            </w:r>
          </w:p>
        </w:tc>
        <w:tc>
          <w:tcPr>
            <w:tcW w:w="922" w:type="pct"/>
            <w:noWrap w:val="0"/>
            <w:vAlign w:val="center"/>
          </w:tcPr>
          <w:p>
            <w:pPr>
              <w:bidi w:val="0"/>
              <w:spacing w:line="240" w:lineRule="auto"/>
              <w:rPr>
                <w:rFonts w:hint="default"/>
                <w:color w:val="auto"/>
                <w:lang w:val="en-US" w:eastAsia="zh-CN"/>
              </w:rPr>
            </w:pPr>
            <w:r>
              <w:rPr>
                <w:rFonts w:hint="eastAsia"/>
                <w:color w:val="auto"/>
                <w:lang w:val="en-US" w:eastAsia="zh-CN"/>
              </w:rPr>
              <w:t>五原县改革和发展委员会</w:t>
            </w:r>
          </w:p>
        </w:tc>
        <w:tc>
          <w:tcPr>
            <w:tcW w:w="1246" w:type="pct"/>
            <w:noWrap w:val="0"/>
            <w:vAlign w:val="center"/>
          </w:tcPr>
          <w:p>
            <w:pPr>
              <w:bidi w:val="0"/>
              <w:spacing w:line="240" w:lineRule="auto"/>
              <w:jc w:val="center"/>
              <w:rPr>
                <w:color w:val="auto"/>
              </w:rPr>
            </w:pPr>
            <w:r>
              <w:rPr>
                <w:color w:val="auto"/>
              </w:rPr>
              <w:t>项目审批（核准/</w:t>
            </w:r>
          </w:p>
          <w:p>
            <w:pPr>
              <w:bidi w:val="0"/>
              <w:spacing w:line="240" w:lineRule="auto"/>
              <w:jc w:val="center"/>
              <w:rPr>
                <w:color w:val="auto"/>
              </w:rPr>
            </w:pPr>
            <w:r>
              <w:rPr>
                <w:color w:val="auto"/>
              </w:rPr>
              <w:t>备案）文号（选填）</w:t>
            </w:r>
          </w:p>
        </w:tc>
        <w:tc>
          <w:tcPr>
            <w:tcW w:w="1487" w:type="pct"/>
            <w:noWrap w:val="0"/>
            <w:vAlign w:val="center"/>
          </w:tcPr>
          <w:p>
            <w:pPr>
              <w:bidi w:val="0"/>
              <w:jc w:val="center"/>
              <w:rPr>
                <w:rFonts w:hint="default"/>
                <w:color w:val="auto"/>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2" w:type="pct"/>
            <w:noWrap w:val="0"/>
            <w:tcMar>
              <w:top w:w="16" w:type="dxa"/>
              <w:left w:w="16" w:type="dxa"/>
              <w:right w:w="16" w:type="dxa"/>
            </w:tcMar>
            <w:vAlign w:val="center"/>
          </w:tcPr>
          <w:p>
            <w:pPr>
              <w:bidi w:val="0"/>
              <w:jc w:val="center"/>
              <w:rPr>
                <w:color w:val="auto"/>
              </w:rPr>
            </w:pPr>
            <w:r>
              <w:rPr>
                <w:color w:val="auto"/>
              </w:rPr>
              <w:t>总投资（万元）</w:t>
            </w:r>
          </w:p>
        </w:tc>
        <w:tc>
          <w:tcPr>
            <w:tcW w:w="922" w:type="pct"/>
            <w:noWrap w:val="0"/>
            <w:vAlign w:val="center"/>
          </w:tcPr>
          <w:p>
            <w:pPr>
              <w:bidi w:val="0"/>
              <w:jc w:val="center"/>
              <w:rPr>
                <w:rFonts w:hint="default" w:eastAsia="宋体"/>
                <w:color w:val="auto"/>
                <w:lang w:val="en-US" w:eastAsia="zh-CN"/>
              </w:rPr>
            </w:pPr>
            <w:r>
              <w:rPr>
                <w:rFonts w:hint="eastAsia"/>
                <w:color w:val="auto"/>
                <w:lang w:val="en-US" w:eastAsia="zh-CN"/>
              </w:rPr>
              <w:t>800</w:t>
            </w:r>
          </w:p>
        </w:tc>
        <w:tc>
          <w:tcPr>
            <w:tcW w:w="1246" w:type="pct"/>
            <w:noWrap w:val="0"/>
            <w:tcMar>
              <w:top w:w="16" w:type="dxa"/>
              <w:left w:w="16" w:type="dxa"/>
              <w:right w:w="16" w:type="dxa"/>
            </w:tcMar>
            <w:vAlign w:val="center"/>
          </w:tcPr>
          <w:p>
            <w:pPr>
              <w:bidi w:val="0"/>
              <w:jc w:val="center"/>
              <w:rPr>
                <w:color w:val="auto"/>
              </w:rPr>
            </w:pPr>
            <w:r>
              <w:rPr>
                <w:color w:val="auto"/>
              </w:rPr>
              <w:t>环保投资（万元）</w:t>
            </w:r>
          </w:p>
        </w:tc>
        <w:tc>
          <w:tcPr>
            <w:tcW w:w="1487" w:type="pct"/>
            <w:noWrap w:val="0"/>
            <w:vAlign w:val="center"/>
          </w:tcPr>
          <w:p>
            <w:pPr>
              <w:bidi w:val="0"/>
              <w:jc w:val="center"/>
              <w:rPr>
                <w:rFonts w:hint="default"/>
                <w:color w:val="auto"/>
                <w:lang w:val="en-US" w:eastAsia="zh-CN"/>
              </w:rPr>
            </w:pPr>
            <w:r>
              <w:rPr>
                <w:rFonts w:hint="eastAsia"/>
                <w:color w:val="auto"/>
                <w:lang w:val="en-US" w:eastAsia="zh-CN"/>
              </w:rPr>
              <w:t>29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2" w:type="pct"/>
            <w:noWrap w:val="0"/>
            <w:tcMar>
              <w:top w:w="16" w:type="dxa"/>
              <w:left w:w="16" w:type="dxa"/>
              <w:right w:w="16" w:type="dxa"/>
            </w:tcMar>
            <w:vAlign w:val="center"/>
          </w:tcPr>
          <w:p>
            <w:pPr>
              <w:bidi w:val="0"/>
              <w:jc w:val="center"/>
              <w:rPr>
                <w:color w:val="auto"/>
              </w:rPr>
            </w:pPr>
            <w:r>
              <w:rPr>
                <w:color w:val="auto"/>
              </w:rPr>
              <w:t>环保投资占比（%）</w:t>
            </w:r>
          </w:p>
        </w:tc>
        <w:tc>
          <w:tcPr>
            <w:tcW w:w="922" w:type="pct"/>
            <w:noWrap w:val="0"/>
            <w:vAlign w:val="center"/>
          </w:tcPr>
          <w:p>
            <w:pPr>
              <w:bidi w:val="0"/>
              <w:jc w:val="center"/>
              <w:rPr>
                <w:rFonts w:hint="default" w:eastAsia="宋体"/>
                <w:color w:val="auto"/>
                <w:lang w:val="en-US" w:eastAsia="zh-CN"/>
              </w:rPr>
            </w:pPr>
            <w:r>
              <w:rPr>
                <w:rFonts w:hint="eastAsia"/>
                <w:color w:val="auto"/>
                <w:lang w:val="en-US" w:eastAsia="zh-CN"/>
              </w:rPr>
              <w:t>3.63%</w:t>
            </w:r>
          </w:p>
        </w:tc>
        <w:tc>
          <w:tcPr>
            <w:tcW w:w="1246" w:type="pct"/>
            <w:noWrap w:val="0"/>
            <w:tcMar>
              <w:top w:w="16" w:type="dxa"/>
              <w:left w:w="16" w:type="dxa"/>
              <w:right w:w="16" w:type="dxa"/>
            </w:tcMar>
            <w:vAlign w:val="center"/>
          </w:tcPr>
          <w:p>
            <w:pPr>
              <w:bidi w:val="0"/>
              <w:jc w:val="center"/>
              <w:rPr>
                <w:color w:val="auto"/>
              </w:rPr>
            </w:pPr>
            <w:r>
              <w:rPr>
                <w:color w:val="auto"/>
              </w:rPr>
              <w:t>施工工期</w:t>
            </w:r>
          </w:p>
        </w:tc>
        <w:tc>
          <w:tcPr>
            <w:tcW w:w="1487" w:type="pct"/>
            <w:noWrap w:val="0"/>
            <w:vAlign w:val="center"/>
          </w:tcPr>
          <w:p>
            <w:pPr>
              <w:bidi w:val="0"/>
              <w:jc w:val="center"/>
              <w:rPr>
                <w:rFonts w:hint="default" w:eastAsia="宋体"/>
                <w:color w:val="auto"/>
                <w:lang w:val="en-US" w:eastAsia="zh-CN"/>
              </w:rPr>
            </w:pPr>
            <w:r>
              <w:rPr>
                <w:rFonts w:hint="eastAsia"/>
                <w:color w:val="auto"/>
                <w:lang w:val="en-US" w:eastAsia="zh-CN"/>
              </w:rPr>
              <w:t>2个月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2" w:type="pct"/>
            <w:noWrap w:val="0"/>
            <w:tcMar>
              <w:top w:w="16" w:type="dxa"/>
              <w:left w:w="16" w:type="dxa"/>
              <w:right w:w="16" w:type="dxa"/>
            </w:tcMar>
            <w:vAlign w:val="center"/>
          </w:tcPr>
          <w:p>
            <w:pPr>
              <w:bidi w:val="0"/>
              <w:jc w:val="center"/>
              <w:rPr>
                <w:color w:val="auto"/>
              </w:rPr>
            </w:pPr>
            <w:r>
              <w:rPr>
                <w:color w:val="auto"/>
              </w:rPr>
              <w:t>是否开工建设</w:t>
            </w:r>
          </w:p>
        </w:tc>
        <w:tc>
          <w:tcPr>
            <w:tcW w:w="922" w:type="pct"/>
            <w:noWrap w:val="0"/>
            <w:vAlign w:val="center"/>
          </w:tcPr>
          <w:p>
            <w:pPr>
              <w:bidi w:val="0"/>
              <w:spacing w:line="240" w:lineRule="auto"/>
              <w:jc w:val="left"/>
              <w:rPr>
                <w:color w:val="auto"/>
              </w:rPr>
            </w:pPr>
            <w:r>
              <w:rPr>
                <w:color w:val="auto"/>
              </w:rPr>
              <w:sym w:font="Wingdings 2" w:char="0052"/>
            </w:r>
            <w:r>
              <w:rPr>
                <w:color w:val="auto"/>
              </w:rPr>
              <w:t>否</w:t>
            </w:r>
          </w:p>
          <w:p>
            <w:pPr>
              <w:bidi w:val="0"/>
              <w:spacing w:line="240" w:lineRule="auto"/>
              <w:jc w:val="left"/>
              <w:rPr>
                <w:color w:val="auto"/>
              </w:rPr>
            </w:pPr>
            <w:r>
              <w:rPr>
                <w:color w:val="auto"/>
              </w:rPr>
              <w:sym w:font="Wingdings 2" w:char="00A3"/>
            </w:r>
            <w:r>
              <w:rPr>
                <w:color w:val="auto"/>
              </w:rPr>
              <w:t>是：</w:t>
            </w:r>
          </w:p>
        </w:tc>
        <w:tc>
          <w:tcPr>
            <w:tcW w:w="1246" w:type="pct"/>
            <w:noWrap w:val="0"/>
            <w:tcMar>
              <w:top w:w="16" w:type="dxa"/>
              <w:left w:w="16" w:type="dxa"/>
              <w:right w:w="16" w:type="dxa"/>
            </w:tcMar>
            <w:vAlign w:val="center"/>
          </w:tcPr>
          <w:p>
            <w:pPr>
              <w:bidi w:val="0"/>
              <w:spacing w:line="240" w:lineRule="auto"/>
              <w:jc w:val="center"/>
              <w:rPr>
                <w:color w:val="auto"/>
              </w:rPr>
            </w:pPr>
            <w:r>
              <w:rPr>
                <w:color w:val="auto"/>
              </w:rPr>
              <w:t>用地（用海）</w:t>
            </w:r>
          </w:p>
          <w:p>
            <w:pPr>
              <w:bidi w:val="0"/>
              <w:spacing w:line="240" w:lineRule="auto"/>
              <w:jc w:val="center"/>
              <w:rPr>
                <w:color w:val="auto"/>
              </w:rPr>
            </w:pPr>
            <w:r>
              <w:rPr>
                <w:color w:val="auto"/>
              </w:rPr>
              <w:t>面积（m</w:t>
            </w:r>
            <w:r>
              <w:rPr>
                <w:color w:val="auto"/>
                <w:vertAlign w:val="superscript"/>
              </w:rPr>
              <w:t>2</w:t>
            </w:r>
            <w:r>
              <w:rPr>
                <w:color w:val="auto"/>
              </w:rPr>
              <w:t>）</w:t>
            </w:r>
          </w:p>
        </w:tc>
        <w:tc>
          <w:tcPr>
            <w:tcW w:w="1487" w:type="pct"/>
            <w:noWrap w:val="0"/>
            <w:vAlign w:val="center"/>
          </w:tcPr>
          <w:p>
            <w:pPr>
              <w:bidi w:val="0"/>
              <w:jc w:val="center"/>
              <w:rPr>
                <w:rFonts w:hint="default"/>
                <w:color w:val="auto"/>
                <w:lang w:val="en-US" w:eastAsia="zh-CN"/>
              </w:rPr>
            </w:pPr>
            <w:r>
              <w:rPr>
                <w:rFonts w:hint="default" w:ascii="Times New Roman" w:hAnsi="Times New Roman" w:eastAsia="宋体" w:cs="Times New Roman"/>
                <w:color w:val="auto"/>
                <w:highlight w:val="none"/>
                <w:lang w:val="en-US" w:eastAsia="zh-CN"/>
              </w:rPr>
              <w:t>16666.75</w:t>
            </w:r>
            <w:r>
              <w:rPr>
                <w:color w:val="auto"/>
                <w:sz w:val="21"/>
                <w:szCs w:val="21"/>
              </w:rPr>
              <w:t>m</w:t>
            </w:r>
            <w:r>
              <w:rPr>
                <w:color w:val="auto"/>
                <w:sz w:val="21"/>
                <w:szCs w:val="21"/>
                <w:vertAlign w:val="superscript"/>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342" w:type="pct"/>
            <w:noWrap w:val="0"/>
            <w:vAlign w:val="center"/>
          </w:tcPr>
          <w:p>
            <w:pPr>
              <w:bidi w:val="0"/>
              <w:jc w:val="center"/>
              <w:rPr>
                <w:color w:val="auto"/>
              </w:rPr>
            </w:pPr>
            <w:r>
              <w:rPr>
                <w:color w:val="auto"/>
              </w:rPr>
              <w:t>专项评价设置情况</w:t>
            </w:r>
          </w:p>
        </w:tc>
        <w:tc>
          <w:tcPr>
            <w:tcW w:w="3657" w:type="pct"/>
            <w:gridSpan w:val="3"/>
            <w:noWrap w:val="0"/>
            <w:vAlign w:val="center"/>
          </w:tcPr>
          <w:p>
            <w:pPr>
              <w:bidi w:val="0"/>
              <w:jc w:val="center"/>
              <w:rPr>
                <w:color w:val="auto"/>
              </w:rPr>
            </w:pPr>
            <w:r>
              <w:rPr>
                <w:color w:val="auto"/>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342" w:type="pct"/>
            <w:noWrap w:val="0"/>
            <w:vAlign w:val="center"/>
          </w:tcPr>
          <w:p>
            <w:pPr>
              <w:bidi w:val="0"/>
              <w:jc w:val="center"/>
              <w:rPr>
                <w:color w:val="auto"/>
              </w:rPr>
            </w:pPr>
            <w:r>
              <w:rPr>
                <w:color w:val="auto"/>
              </w:rPr>
              <w:t>规划情况</w:t>
            </w:r>
          </w:p>
        </w:tc>
        <w:tc>
          <w:tcPr>
            <w:tcW w:w="3657" w:type="pct"/>
            <w:gridSpan w:val="3"/>
            <w:noWrap w:val="0"/>
            <w:vAlign w:val="center"/>
          </w:tcPr>
          <w:p>
            <w:pPr>
              <w:bidi w:val="0"/>
              <w:jc w:val="both"/>
              <w:rPr>
                <w:rFonts w:hint="default" w:eastAsia="宋体"/>
                <w:color w:val="auto"/>
                <w:lang w:val="en-US" w:eastAsia="zh-CN"/>
              </w:rPr>
            </w:pPr>
            <w:r>
              <w:rPr>
                <w:rFonts w:hint="eastAsia"/>
                <w:color w:val="auto"/>
                <w:lang w:val="en-US" w:eastAsia="zh-CN"/>
              </w:rPr>
              <w:t>项目于2019年11月8日取得中华人民共和国乡村建设规划许可证，乡字第152822201900004号。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342" w:type="pct"/>
            <w:noWrap w:val="0"/>
            <w:vAlign w:val="center"/>
          </w:tcPr>
          <w:p>
            <w:pPr>
              <w:bidi w:val="0"/>
              <w:spacing w:line="240" w:lineRule="auto"/>
              <w:jc w:val="center"/>
              <w:rPr>
                <w:color w:val="auto"/>
              </w:rPr>
            </w:pPr>
            <w:r>
              <w:rPr>
                <w:color w:val="auto"/>
              </w:rPr>
              <w:t>规划环境影响</w:t>
            </w:r>
          </w:p>
          <w:p>
            <w:pPr>
              <w:bidi w:val="0"/>
              <w:spacing w:line="240" w:lineRule="auto"/>
              <w:jc w:val="center"/>
              <w:rPr>
                <w:color w:val="auto"/>
              </w:rPr>
            </w:pPr>
            <w:r>
              <w:rPr>
                <w:color w:val="auto"/>
              </w:rPr>
              <w:t>评价情况</w:t>
            </w:r>
          </w:p>
        </w:tc>
        <w:tc>
          <w:tcPr>
            <w:tcW w:w="3657" w:type="pct"/>
            <w:gridSpan w:val="3"/>
            <w:noWrap w:val="0"/>
            <w:vAlign w:val="center"/>
          </w:tcPr>
          <w:p>
            <w:pPr>
              <w:bidi w:val="0"/>
              <w:spacing w:line="360" w:lineRule="auto"/>
              <w:ind w:firstLine="2940" w:firstLineChars="1400"/>
              <w:jc w:val="both"/>
              <w:rPr>
                <w:rFonts w:hint="default" w:eastAsia="宋体"/>
                <w:color w:val="auto"/>
                <w:lang w:val="en-US" w:eastAsia="zh-CN"/>
              </w:rPr>
            </w:pPr>
            <w:r>
              <w:rPr>
                <w:rFonts w:hint="eastAsia"/>
                <w:color w:val="auto"/>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342" w:type="pct"/>
            <w:noWrap w:val="0"/>
            <w:vAlign w:val="center"/>
          </w:tcPr>
          <w:p>
            <w:pPr>
              <w:bidi w:val="0"/>
              <w:spacing w:line="240" w:lineRule="auto"/>
              <w:jc w:val="center"/>
              <w:rPr>
                <w:color w:val="auto"/>
              </w:rPr>
            </w:pPr>
            <w:r>
              <w:rPr>
                <w:color w:val="auto"/>
              </w:rPr>
              <w:t>规划及规划环境</w:t>
            </w:r>
          </w:p>
          <w:p>
            <w:pPr>
              <w:bidi w:val="0"/>
              <w:spacing w:line="240" w:lineRule="auto"/>
              <w:jc w:val="center"/>
              <w:rPr>
                <w:color w:val="auto"/>
              </w:rPr>
            </w:pPr>
            <w:r>
              <w:rPr>
                <w:color w:val="auto"/>
              </w:rPr>
              <w:t>影响评价符合性分析</w:t>
            </w:r>
          </w:p>
        </w:tc>
        <w:tc>
          <w:tcPr>
            <w:tcW w:w="3657" w:type="pct"/>
            <w:gridSpan w:val="3"/>
            <w:noWrap w:val="0"/>
            <w:vAlign w:val="center"/>
          </w:tcPr>
          <w:p>
            <w:pPr>
              <w:bidi w:val="0"/>
              <w:spacing w:line="360" w:lineRule="auto"/>
              <w:ind w:firstLine="2940" w:firstLineChars="1400"/>
              <w:rPr>
                <w:rFonts w:hint="eastAsia" w:eastAsia="宋体"/>
                <w:color w:val="auto"/>
                <w:lang w:val="en-US" w:eastAsia="zh-CN"/>
              </w:rPr>
            </w:pPr>
            <w:r>
              <w:rPr>
                <w:rFonts w:hint="eastAsia"/>
                <w:color w:val="auto"/>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342" w:type="pct"/>
            <w:noWrap w:val="0"/>
            <w:vAlign w:val="center"/>
          </w:tcPr>
          <w:p>
            <w:pPr>
              <w:bidi w:val="0"/>
              <w:rPr>
                <w:color w:val="auto"/>
              </w:rPr>
            </w:pPr>
            <w:r>
              <w:rPr>
                <w:color w:val="auto"/>
              </w:rPr>
              <w:t>其他符合性分析</w:t>
            </w:r>
          </w:p>
        </w:tc>
        <w:tc>
          <w:tcPr>
            <w:tcW w:w="3657" w:type="pct"/>
            <w:gridSpan w:val="3"/>
            <w:noWrap w:val="0"/>
            <w:vAlign w:val="center"/>
          </w:tcPr>
          <w:p>
            <w:pPr>
              <w:bidi w:val="0"/>
              <w:rPr>
                <w:rFonts w:ascii="Times New Roman" w:hAnsi="Times New Roman" w:eastAsia="宋体" w:cs="Times New Roman"/>
                <w:b/>
                <w:bCs/>
                <w:color w:val="auto"/>
              </w:rPr>
            </w:pPr>
            <w:r>
              <w:rPr>
                <w:rFonts w:ascii="Times New Roman" w:hAnsi="Times New Roman" w:eastAsia="宋体" w:cs="Times New Roman"/>
                <w:b/>
                <w:bCs/>
                <w:color w:val="auto"/>
              </w:rPr>
              <w:t>1、产业政策符合性</w:t>
            </w:r>
          </w:p>
          <w:p>
            <w:pPr>
              <w:bidi w:val="0"/>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根据《产业结构调整指导目录（201</w:t>
            </w:r>
            <w:r>
              <w:rPr>
                <w:rFonts w:hint="default" w:ascii="Times New Roman" w:hAnsi="Times New Roman" w:eastAsia="宋体" w:cs="Times New Roman"/>
                <w:color w:val="auto"/>
                <w:lang w:val="en-US" w:eastAsia="zh-CN"/>
              </w:rPr>
              <w:t>9</w:t>
            </w:r>
            <w:r>
              <w:rPr>
                <w:rFonts w:hint="default" w:ascii="Times New Roman" w:hAnsi="Times New Roman" w:eastAsia="宋体" w:cs="Times New Roman"/>
                <w:color w:val="auto"/>
              </w:rPr>
              <w:t>年本）》，本项目属于“鼓励类”中“</w:t>
            </w:r>
            <w:r>
              <w:rPr>
                <w:rFonts w:hint="default" w:ascii="Times New Roman" w:hAnsi="Times New Roman" w:eastAsia="宋体" w:cs="Times New Roman"/>
                <w:color w:val="auto"/>
                <w:lang w:val="en-US" w:eastAsia="zh-CN"/>
              </w:rPr>
              <w:t>24</w:t>
            </w:r>
            <w:r>
              <w:rPr>
                <w:rFonts w:hint="default" w:ascii="Times New Roman" w:hAnsi="Times New Roman" w:eastAsia="宋体" w:cs="Times New Roman"/>
                <w:color w:val="auto"/>
              </w:rPr>
              <w:t>、有机废弃物无害化处理及有机肥料产业化技术开发与应用”。本项目属于有机肥料产业化技术开发与应用，符合国家产业政策。</w:t>
            </w:r>
          </w:p>
          <w:p>
            <w:pPr>
              <w:bidi w:val="0"/>
              <w:rPr>
                <w:b/>
                <w:bCs/>
                <w:color w:val="auto"/>
              </w:rPr>
            </w:pPr>
            <w:r>
              <w:rPr>
                <w:b/>
                <w:bCs/>
                <w:color w:val="auto"/>
              </w:rPr>
              <w:t>2、“三线一单”符合性分析</w:t>
            </w:r>
          </w:p>
          <w:p>
            <w:pPr>
              <w:bidi w:val="0"/>
              <w:rPr>
                <w:b/>
                <w:bCs/>
                <w:color w:val="auto"/>
              </w:rPr>
            </w:pPr>
            <w:r>
              <w:rPr>
                <w:rFonts w:hint="eastAsia"/>
                <w:b/>
                <w:bCs/>
                <w:color w:val="auto"/>
                <w:lang w:eastAsia="zh-CN"/>
              </w:rPr>
              <w:t>（</w:t>
            </w:r>
            <w:r>
              <w:rPr>
                <w:rFonts w:hint="eastAsia"/>
                <w:b/>
                <w:bCs/>
                <w:color w:val="auto"/>
                <w:lang w:val="en-US" w:eastAsia="zh-CN"/>
              </w:rPr>
              <w:t>1</w:t>
            </w:r>
            <w:r>
              <w:rPr>
                <w:rFonts w:hint="eastAsia"/>
                <w:b/>
                <w:bCs/>
                <w:color w:val="auto"/>
                <w:lang w:eastAsia="zh-CN"/>
              </w:rPr>
              <w:t>）</w:t>
            </w:r>
            <w:r>
              <w:rPr>
                <w:b/>
                <w:bCs/>
                <w:color w:val="auto"/>
              </w:rPr>
              <w:t>生态保护红线符合性分析</w:t>
            </w:r>
          </w:p>
          <w:p>
            <w:pPr>
              <w:ind w:firstLine="420" w:firstLineChars="200"/>
              <w:rPr>
                <w:rFonts w:hint="default"/>
                <w:color w:val="auto"/>
              </w:rPr>
            </w:pPr>
            <w:r>
              <w:rPr>
                <w:rFonts w:hint="default"/>
                <w:color w:val="auto"/>
              </w:rPr>
              <w:t>本项目位于</w:t>
            </w:r>
            <w:r>
              <w:rPr>
                <w:rFonts w:hint="default"/>
                <w:color w:val="auto"/>
                <w:lang w:eastAsia="zh-CN"/>
              </w:rPr>
              <w:t>巴彦淖尔市五原县天吉泰复丰村</w:t>
            </w:r>
            <w:r>
              <w:rPr>
                <w:rFonts w:hint="default"/>
                <w:color w:val="auto"/>
              </w:rPr>
              <w:t>，其具体地理位置中心点坐标为</w:t>
            </w:r>
            <w:r>
              <w:rPr>
                <w:rFonts w:hint="default" w:ascii="Times New Roman" w:hAnsi="Times New Roman" w:eastAsia="宋体" w:cs="Times New Roman"/>
                <w:color w:val="auto"/>
              </w:rPr>
              <w:t>10</w:t>
            </w:r>
            <w:r>
              <w:rPr>
                <w:rFonts w:hint="default" w:ascii="Times New Roman" w:hAnsi="Times New Roman" w:eastAsia="宋体" w:cs="Times New Roman"/>
                <w:color w:val="auto"/>
                <w:lang w:val="en-US" w:eastAsia="zh-CN"/>
              </w:rPr>
              <w:t>7</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4</w:t>
            </w:r>
            <w:r>
              <w:rPr>
                <w:rFonts w:hint="default" w:ascii="Times New Roman" w:hAnsi="Times New Roman" w:eastAsia="宋体" w:cs="Times New Roman"/>
                <w:color w:val="auto"/>
              </w:rPr>
              <w:t>0'</w:t>
            </w:r>
            <w:r>
              <w:rPr>
                <w:rFonts w:hint="default" w:ascii="Times New Roman" w:hAnsi="Times New Roman" w:eastAsia="宋体" w:cs="Times New Roman"/>
                <w:color w:val="auto"/>
                <w:lang w:val="en-US" w:eastAsia="zh-CN"/>
              </w:rPr>
              <w:t>3</w:t>
            </w:r>
            <w:r>
              <w:rPr>
                <w:rFonts w:hint="eastAsia" w:cs="Times New Roman"/>
                <w:color w:val="auto"/>
                <w:lang w:val="en-US" w:eastAsia="zh-CN"/>
              </w:rPr>
              <w:t>3</w:t>
            </w:r>
            <w:r>
              <w:rPr>
                <w:rFonts w:hint="default" w:ascii="Times New Roman" w:hAnsi="Times New Roman" w:eastAsia="宋体" w:cs="Times New Roman"/>
                <w:color w:val="auto"/>
              </w:rPr>
              <w:t>"E，4</w:t>
            </w:r>
            <w:r>
              <w:rPr>
                <w:rFonts w:hint="default" w:ascii="Times New Roman" w:hAnsi="Times New Roman" w:eastAsia="宋体" w:cs="Times New Roman"/>
                <w:color w:val="auto"/>
                <w:lang w:val="en-US" w:eastAsia="zh-CN"/>
              </w:rPr>
              <w:t>0</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49</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59</w:t>
            </w:r>
            <w:r>
              <w:rPr>
                <w:rFonts w:hint="default" w:ascii="Times New Roman" w:hAnsi="Times New Roman" w:eastAsia="宋体" w:cs="Times New Roman"/>
                <w:color w:val="auto"/>
              </w:rPr>
              <w:t>" N</w:t>
            </w:r>
            <w:r>
              <w:rPr>
                <w:rFonts w:hint="default"/>
                <w:color w:val="auto"/>
              </w:rPr>
              <w:t>，该项目不在水源地保护区范围内，厂址周围无风景名胜区、自然保护区、文物保护区等敏感区。</w:t>
            </w:r>
            <w:r>
              <w:rPr>
                <w:rFonts w:hint="eastAsia"/>
                <w:color w:val="auto"/>
                <w:lang w:val="en-US" w:eastAsia="zh-CN"/>
              </w:rPr>
              <w:t>项目不在</w:t>
            </w:r>
            <w:r>
              <w:rPr>
                <w:rFonts w:hint="default"/>
                <w:color w:val="auto"/>
              </w:rPr>
              <w:t>生态保护红线内，项目周边无特殊、重要生态敏感区。</w:t>
            </w:r>
          </w:p>
          <w:p>
            <w:pPr>
              <w:bidi w:val="0"/>
              <w:rPr>
                <w:b/>
                <w:bCs/>
                <w:color w:val="auto"/>
              </w:rPr>
            </w:pPr>
            <w:r>
              <w:rPr>
                <w:rFonts w:hint="eastAsia"/>
                <w:b/>
                <w:bCs/>
                <w:color w:val="auto"/>
                <w:lang w:eastAsia="zh-CN"/>
              </w:rPr>
              <w:t>（</w:t>
            </w:r>
            <w:r>
              <w:rPr>
                <w:rFonts w:hint="eastAsia"/>
                <w:b/>
                <w:bCs/>
                <w:color w:val="auto"/>
                <w:lang w:val="en-US" w:eastAsia="zh-CN"/>
              </w:rPr>
              <w:t>2</w:t>
            </w:r>
            <w:r>
              <w:rPr>
                <w:rFonts w:hint="eastAsia"/>
                <w:b/>
                <w:bCs/>
                <w:color w:val="auto"/>
                <w:lang w:eastAsia="zh-CN"/>
              </w:rPr>
              <w:t>）</w:t>
            </w:r>
            <w:r>
              <w:rPr>
                <w:b/>
                <w:bCs/>
                <w:color w:val="auto"/>
              </w:rPr>
              <w:t>资源利用上线符合性分析</w:t>
            </w:r>
          </w:p>
          <w:p>
            <w:pPr>
              <w:pStyle w:val="7"/>
              <w:spacing w:line="360" w:lineRule="auto"/>
              <w:ind w:firstLine="420" w:firstLineChars="200"/>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kern w:val="2"/>
                <w:sz w:val="21"/>
                <w:szCs w:val="21"/>
                <w:highlight w:val="none"/>
                <w:lang w:val="en-US" w:eastAsia="zh-CN" w:bidi="ar-SA"/>
              </w:rPr>
              <w:t>本项目用水量为</w:t>
            </w:r>
            <w:r>
              <w:rPr>
                <w:rFonts w:hint="eastAsia" w:ascii="Times New Roman" w:hAnsi="Times New Roman" w:eastAsia="宋体" w:cs="Times New Roman"/>
                <w:color w:val="0000FF"/>
                <w:kern w:val="2"/>
                <w:sz w:val="21"/>
                <w:szCs w:val="21"/>
                <w:highlight w:val="none"/>
                <w:lang w:val="en-US" w:eastAsia="zh-CN" w:bidi="ar-SA"/>
              </w:rPr>
              <w:t>21957.63</w:t>
            </w:r>
            <w:r>
              <w:rPr>
                <w:rFonts w:hint="default" w:ascii="Times New Roman" w:hAnsi="Times New Roman" w:eastAsia="宋体" w:cs="Times New Roman"/>
                <w:color w:val="0000FF"/>
                <w:kern w:val="2"/>
                <w:sz w:val="21"/>
                <w:szCs w:val="21"/>
                <w:highlight w:val="none"/>
                <w:lang w:val="en-US" w:eastAsia="zh-CN" w:bidi="ar-SA"/>
              </w:rPr>
              <w:t>m</w:t>
            </w:r>
            <w:r>
              <w:rPr>
                <w:rFonts w:hint="default" w:ascii="Times New Roman" w:hAnsi="Times New Roman" w:eastAsia="宋体" w:cs="Times New Roman"/>
                <w:color w:val="0000FF"/>
                <w:kern w:val="2"/>
                <w:sz w:val="21"/>
                <w:szCs w:val="21"/>
                <w:highlight w:val="none"/>
                <w:vertAlign w:val="superscript"/>
                <w:lang w:val="en-US" w:eastAsia="zh-CN" w:bidi="ar-SA"/>
              </w:rPr>
              <w:t>3</w:t>
            </w:r>
            <w:r>
              <w:rPr>
                <w:rFonts w:hint="default" w:ascii="Times New Roman" w:hAnsi="Times New Roman" w:eastAsia="宋体" w:cs="Times New Roman"/>
                <w:color w:val="0000FF"/>
                <w:kern w:val="2"/>
                <w:sz w:val="21"/>
                <w:szCs w:val="21"/>
                <w:highlight w:val="none"/>
                <w:lang w:val="en-US" w:eastAsia="zh-CN" w:bidi="ar-SA"/>
              </w:rPr>
              <w:t>/a，用电量为</w:t>
            </w:r>
            <w:r>
              <w:rPr>
                <w:rFonts w:hint="eastAsia" w:ascii="Times New Roman" w:hAnsi="Times New Roman" w:eastAsia="宋体" w:cs="Times New Roman"/>
                <w:color w:val="0000FF"/>
                <w:kern w:val="2"/>
                <w:sz w:val="21"/>
                <w:szCs w:val="21"/>
                <w:highlight w:val="none"/>
                <w:lang w:val="en-US" w:eastAsia="zh-CN" w:bidi="ar-SA"/>
              </w:rPr>
              <w:t>18</w:t>
            </w:r>
            <w:r>
              <w:rPr>
                <w:rFonts w:hint="default" w:ascii="Times New Roman" w:hAnsi="Times New Roman" w:eastAsia="宋体" w:cs="Times New Roman"/>
                <w:color w:val="0000FF"/>
                <w:kern w:val="2"/>
                <w:sz w:val="21"/>
                <w:szCs w:val="21"/>
                <w:highlight w:val="none"/>
                <w:lang w:val="en-US" w:eastAsia="zh-CN" w:bidi="ar-SA"/>
              </w:rPr>
              <w:t>万kW·h/a，项目能源消耗较低，且本项目肥料加工，本项目不会突破当地资源利用上线。</w:t>
            </w:r>
            <w:r>
              <w:rPr>
                <w:rFonts w:hint="eastAsia" w:ascii="Times New Roman" w:hAnsi="Times New Roman" w:eastAsia="宋体" w:cs="Times New Roman"/>
                <w:color w:val="0000FF"/>
                <w:kern w:val="2"/>
                <w:sz w:val="21"/>
                <w:szCs w:val="21"/>
                <w:highlight w:val="none"/>
                <w:lang w:val="en-US" w:eastAsia="zh-CN" w:bidi="ar-SA"/>
              </w:rPr>
              <w:t>企业在生产中采取节水措施，将设备清洗水回用于配方肥生产用水。</w:t>
            </w:r>
          </w:p>
          <w:p>
            <w:pPr>
              <w:bidi w:val="0"/>
              <w:rPr>
                <w:b/>
                <w:bCs/>
                <w:color w:val="auto"/>
              </w:rPr>
            </w:pPr>
            <w:r>
              <w:rPr>
                <w:rFonts w:hint="eastAsia"/>
                <w:b/>
                <w:bCs/>
                <w:color w:val="auto"/>
                <w:lang w:eastAsia="zh-CN"/>
              </w:rPr>
              <w:t>（</w:t>
            </w:r>
            <w:r>
              <w:rPr>
                <w:rFonts w:hint="eastAsia"/>
                <w:b/>
                <w:bCs/>
                <w:color w:val="auto"/>
                <w:lang w:val="en-US" w:eastAsia="zh-CN"/>
              </w:rPr>
              <w:t>3</w:t>
            </w:r>
            <w:r>
              <w:rPr>
                <w:rFonts w:hint="eastAsia"/>
                <w:b/>
                <w:bCs/>
                <w:color w:val="auto"/>
                <w:lang w:eastAsia="zh-CN"/>
              </w:rPr>
              <w:t>）</w:t>
            </w:r>
            <w:r>
              <w:rPr>
                <w:b/>
                <w:bCs/>
                <w:color w:val="auto"/>
              </w:rPr>
              <w:t>环境质量底线符合性分析</w:t>
            </w:r>
          </w:p>
          <w:p>
            <w:pPr>
              <w:bidi w:val="0"/>
              <w:ind w:firstLine="420" w:firstLineChars="200"/>
              <w:rPr>
                <w:color w:val="auto"/>
              </w:rPr>
            </w:pPr>
            <w:r>
              <w:rPr>
                <w:rFonts w:hint="eastAsia" w:ascii="Times New Roman" w:hAnsi="Times New Roman" w:eastAsia="宋体" w:cs="Times New Roman"/>
                <w:color w:val="auto"/>
                <w:szCs w:val="24"/>
                <w:lang w:val="en-US" w:eastAsia="zh-CN"/>
              </w:rPr>
              <w:t>根据</w:t>
            </w:r>
            <w:r>
              <w:rPr>
                <w:rFonts w:hint="default" w:ascii="Times New Roman" w:hAnsi="Times New Roman" w:eastAsia="宋体" w:cs="Times New Roman"/>
                <w:color w:val="auto"/>
                <w:szCs w:val="24"/>
              </w:rPr>
              <w:t>20</w:t>
            </w:r>
            <w:r>
              <w:rPr>
                <w:rFonts w:hint="eastAsia" w:ascii="Times New Roman" w:hAnsi="Times New Roman" w:eastAsia="宋体" w:cs="Times New Roman"/>
                <w:color w:val="auto"/>
                <w:szCs w:val="24"/>
                <w:lang w:val="en-US" w:eastAsia="zh-CN"/>
              </w:rPr>
              <w:t>20</w:t>
            </w:r>
            <w:r>
              <w:rPr>
                <w:rFonts w:hint="default" w:ascii="Times New Roman" w:hAnsi="Times New Roman" w:eastAsia="宋体" w:cs="Times New Roman"/>
                <w:color w:val="auto"/>
                <w:szCs w:val="24"/>
              </w:rPr>
              <w:t>年</w:t>
            </w:r>
            <w:r>
              <w:rPr>
                <w:rFonts w:hint="default" w:ascii="Times New Roman" w:hAnsi="Times New Roman" w:eastAsia="宋体" w:cs="Times New Roman"/>
                <w:color w:val="auto"/>
                <w:szCs w:val="24"/>
                <w:lang w:eastAsia="zh-CN"/>
              </w:rPr>
              <w:t>巴彦淖尔市</w:t>
            </w:r>
            <w:r>
              <w:rPr>
                <w:rFonts w:hint="eastAsia" w:ascii="Times New Roman" w:hAnsi="Times New Roman" w:cs="Times New Roman"/>
                <w:color w:val="auto"/>
                <w:szCs w:val="24"/>
                <w:lang w:eastAsia="zh-CN"/>
              </w:rPr>
              <w:t>五原县</w:t>
            </w:r>
            <w:r>
              <w:rPr>
                <w:rFonts w:hint="eastAsia" w:ascii="Times New Roman" w:hAnsi="Times New Roman" w:eastAsia="宋体" w:cs="Times New Roman"/>
                <w:color w:val="auto"/>
                <w:szCs w:val="24"/>
                <w:lang w:val="en-US" w:eastAsia="zh-CN"/>
              </w:rPr>
              <w:t>环境空气质量报告</w:t>
            </w:r>
            <w:r>
              <w:rPr>
                <w:rFonts w:hint="default" w:ascii="Times New Roman" w:hAnsi="Times New Roman" w:eastAsia="宋体" w:cs="Times New Roman"/>
                <w:color w:val="auto"/>
                <w:szCs w:val="24"/>
              </w:rPr>
              <w:t>监测数据平均值</w:t>
            </w:r>
            <w:r>
              <w:rPr>
                <w:rFonts w:hint="eastAsia" w:ascii="Times New Roman" w:hAnsi="Times New Roman" w:eastAsia="宋体" w:cs="Times New Roman"/>
                <w:color w:val="auto"/>
                <w:szCs w:val="24"/>
                <w:lang w:val="en-US" w:eastAsia="zh-CN"/>
              </w:rPr>
              <w:t>，项目选址区域为达标区，本项目烘干冷却过程中产生的粉尘与热风炉烟气合并后采用1套多管旋风除尘器+碱法脱硫除尘设施处理后经15m排气筒排放，满足《大气污染物综合排放标准》（GB16297-1996）及《工业炉窑大气污染物排放标准》（GB9078-1996）；本项目实施后，污染物排放符合国家排放标准和总量控制要求，不会降低区域环境功能级别，符合环境质量底线要求。</w:t>
            </w:r>
            <w:r>
              <w:rPr>
                <w:rFonts w:hint="eastAsia" w:ascii="Times New Roman" w:hAnsi="Times New Roman" w:eastAsia="宋体" w:cs="Times New Roman"/>
                <w:color w:val="auto"/>
                <w:lang w:val="en-US" w:eastAsia="zh-CN"/>
              </w:rPr>
              <w:t>高端有机肥生产用蒸汽由6t/h生物质锅炉供给。</w:t>
            </w:r>
            <w:r>
              <w:rPr>
                <w:rFonts w:hint="eastAsia" w:ascii="Times New Roman" w:hAnsi="Times New Roman" w:cs="Times New Roman"/>
                <w:color w:val="0000FF"/>
                <w:highlight w:val="none"/>
                <w:lang w:val="en-US" w:eastAsia="zh-CN"/>
              </w:rPr>
              <w:t>生物质锅炉烟气经布袋除尘器处理（除尘效率为90%）+水浴除尘（除尘效率为80%）后经35m排气筒排放，</w:t>
            </w:r>
            <w:r>
              <w:rPr>
                <w:rFonts w:hint="eastAsia" w:ascii="Times New Roman" w:hAnsi="Times New Roman" w:eastAsia="宋体" w:cs="Times New Roman"/>
                <w:color w:val="auto"/>
                <w:highlight w:val="none"/>
                <w:lang w:val="en-US" w:eastAsia="zh-CN"/>
              </w:rPr>
              <w:t>满足《锅炉大气污染物排放标准》（GB13271-2014）表 2 新建燃煤锅炉大气污染物排放浓度限值。</w:t>
            </w:r>
            <w:r>
              <w:rPr>
                <w:color w:val="auto"/>
              </w:rPr>
              <w:t>项目废气排放对周围大气环境影响较小。</w:t>
            </w:r>
          </w:p>
          <w:p>
            <w:pPr>
              <w:bidi w:val="0"/>
              <w:ind w:firstLine="420" w:firstLineChars="200"/>
              <w:rPr>
                <w:color w:val="auto"/>
              </w:rPr>
            </w:pPr>
            <w:r>
              <w:rPr>
                <w:color w:val="auto"/>
              </w:rPr>
              <w:t>本项目生活污水</w:t>
            </w:r>
            <w:r>
              <w:rPr>
                <w:rFonts w:hint="eastAsia"/>
                <w:color w:val="auto"/>
                <w:lang w:val="en-US" w:eastAsia="zh-CN"/>
              </w:rPr>
              <w:t>排入企业原有化粪池，</w:t>
            </w:r>
            <w:r>
              <w:rPr>
                <w:color w:val="auto"/>
              </w:rPr>
              <w:t>对周围环境无影响。</w:t>
            </w:r>
          </w:p>
          <w:p>
            <w:pPr>
              <w:bidi w:val="0"/>
              <w:ind w:firstLine="420" w:firstLineChars="200"/>
              <w:rPr>
                <w:color w:val="auto"/>
              </w:rPr>
            </w:pPr>
            <w:r>
              <w:rPr>
                <w:color w:val="auto"/>
              </w:rPr>
              <w:t>本项目所在区域为</w:t>
            </w:r>
            <w:r>
              <w:rPr>
                <w:rFonts w:hint="eastAsia"/>
                <w:color w:val="auto"/>
                <w:lang w:val="en-US" w:eastAsia="zh-CN"/>
              </w:rPr>
              <w:t>2</w:t>
            </w:r>
            <w:r>
              <w:rPr>
                <w:color w:val="auto"/>
              </w:rPr>
              <w:t>类声环境功能区，本项目建成运营后对所在区域的声环境影响很小，因此项目建设声环境质量是符合要求的。</w:t>
            </w:r>
          </w:p>
          <w:p>
            <w:pPr>
              <w:bidi w:val="0"/>
              <w:ind w:firstLine="420" w:firstLineChars="200"/>
              <w:rPr>
                <w:color w:val="auto"/>
              </w:rPr>
            </w:pPr>
            <w:r>
              <w:rPr>
                <w:color w:val="auto"/>
              </w:rPr>
              <w:t>综上，本项目建设符合环境质量底线要求。</w:t>
            </w:r>
          </w:p>
          <w:p>
            <w:pPr>
              <w:bidi w:val="0"/>
              <w:rPr>
                <w:b/>
                <w:bCs/>
                <w:color w:val="auto"/>
              </w:rPr>
            </w:pPr>
            <w:r>
              <w:rPr>
                <w:rFonts w:hint="eastAsia"/>
                <w:b/>
                <w:bCs/>
                <w:color w:val="auto"/>
                <w:lang w:eastAsia="zh-CN"/>
              </w:rPr>
              <w:t>（</w:t>
            </w:r>
            <w:r>
              <w:rPr>
                <w:rFonts w:hint="eastAsia"/>
                <w:b/>
                <w:bCs/>
                <w:color w:val="auto"/>
                <w:lang w:val="en-US" w:eastAsia="zh-CN"/>
              </w:rPr>
              <w:t>4</w:t>
            </w:r>
            <w:r>
              <w:rPr>
                <w:rFonts w:hint="eastAsia"/>
                <w:b/>
                <w:bCs/>
                <w:color w:val="auto"/>
                <w:lang w:eastAsia="zh-CN"/>
              </w:rPr>
              <w:t>）</w:t>
            </w:r>
            <w:r>
              <w:rPr>
                <w:b/>
                <w:bCs/>
                <w:color w:val="auto"/>
              </w:rPr>
              <w:t>负面清单符合性分析</w:t>
            </w:r>
          </w:p>
          <w:p>
            <w:pPr>
              <w:bidi w:val="0"/>
              <w:ind w:firstLine="420" w:firstLineChars="200"/>
              <w:rPr>
                <w:rFonts w:hint="default"/>
                <w:color w:val="auto"/>
              </w:rPr>
            </w:pPr>
            <w:r>
              <w:rPr>
                <w:rFonts w:hint="default"/>
                <w:color w:val="auto"/>
              </w:rPr>
              <w:t>根据《内蒙古自治区主体功能区划》本项目未在限制开发区域（重点生态功能区）中，同时本项目未在《内蒙古自治区人民政府关于印发自治区国家重点生态功能区产业准入负面清单（施行）的通知》（内政发[2018]11号）的准入负面清单内。因此本项目建设符合环境准入负面清单要求。</w:t>
            </w:r>
          </w:p>
          <w:p>
            <w:pPr>
              <w:bidi w:val="0"/>
              <w:ind w:firstLine="420" w:firstLineChars="200"/>
              <w:rPr>
                <w:rFonts w:hint="default"/>
                <w:color w:val="auto"/>
                <w:lang w:val="en-US" w:eastAsia="zh-CN"/>
              </w:rPr>
            </w:pPr>
            <w:r>
              <w:rPr>
                <w:color w:val="auto"/>
              </w:rPr>
              <w:t>综上所述，从</w:t>
            </w:r>
            <w:r>
              <w:rPr>
                <w:rFonts w:hint="eastAsia"/>
                <w:color w:val="auto"/>
              </w:rPr>
              <w:t>产业政策符合性、选址合理性以及“</w:t>
            </w:r>
            <w:r>
              <w:rPr>
                <w:color w:val="auto"/>
              </w:rPr>
              <w:t>三线一单</w:t>
            </w:r>
            <w:r>
              <w:rPr>
                <w:rFonts w:hint="eastAsia"/>
                <w:color w:val="auto"/>
              </w:rPr>
              <w:t>”</w:t>
            </w:r>
            <w:r>
              <w:rPr>
                <w:color w:val="auto"/>
              </w:rPr>
              <w:t>要求等方面考虑，本项目合理可行。</w:t>
            </w:r>
          </w:p>
          <w:p>
            <w:pPr>
              <w:bidi w:val="0"/>
              <w:rPr>
                <w:color w:val="auto"/>
              </w:rPr>
            </w:pPr>
          </w:p>
        </w:tc>
      </w:tr>
    </w:tbl>
    <w:p>
      <w:pPr>
        <w:spacing w:line="360" w:lineRule="auto"/>
        <w:outlineLvl w:val="0"/>
        <w:rPr>
          <w:rFonts w:eastAsia="黑体"/>
          <w:color w:val="auto"/>
          <w:sz w:val="30"/>
        </w:rPr>
        <w:sectPr>
          <w:footerReference r:id="rId7" w:type="default"/>
          <w:pgSz w:w="11906" w:h="16838"/>
          <w:pgMar w:top="1440" w:right="1800" w:bottom="1440" w:left="1800" w:header="851" w:footer="1077" w:gutter="0"/>
          <w:pgBorders>
            <w:top w:val="none" w:sz="0" w:space="0"/>
            <w:left w:val="none" w:sz="0" w:space="0"/>
            <w:bottom w:val="none" w:sz="0" w:space="0"/>
            <w:right w:val="none" w:sz="0" w:space="0"/>
          </w:pgBorders>
          <w:pgNumType w:fmt="numberInDash" w:start="1"/>
          <w:cols w:space="720" w:num="1"/>
          <w:docGrid w:linePitch="312" w:charSpace="0"/>
        </w:sectPr>
      </w:pPr>
    </w:p>
    <w:p>
      <w:pPr>
        <w:bidi w:val="0"/>
        <w:jc w:val="center"/>
        <w:rPr>
          <w:rFonts w:hint="eastAsia" w:ascii="黑体" w:hAnsi="黑体" w:eastAsia="黑体" w:cs="黑体"/>
          <w:color w:val="auto"/>
          <w:sz w:val="30"/>
          <w:szCs w:val="30"/>
        </w:rPr>
      </w:pPr>
      <w:r>
        <w:rPr>
          <w:rFonts w:hint="eastAsia" w:ascii="黑体" w:hAnsi="黑体" w:eastAsia="黑体" w:cs="黑体"/>
          <w:color w:val="auto"/>
          <w:sz w:val="30"/>
          <w:szCs w:val="30"/>
        </w:rPr>
        <w:t>二、建设项目工程分析</w:t>
      </w:r>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16"/>
        <w:gridCol w:w="810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6" w:hRule="atLeast"/>
          <w:jc w:val="center"/>
        </w:trPr>
        <w:tc>
          <w:tcPr>
            <w:tcW w:w="823" w:type="dxa"/>
            <w:noWrap w:val="0"/>
            <w:vAlign w:val="center"/>
          </w:tcPr>
          <w:p>
            <w:pPr>
              <w:pStyle w:val="1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建设内容</w:t>
            </w:r>
          </w:p>
        </w:tc>
        <w:tc>
          <w:tcPr>
            <w:tcW w:w="8161" w:type="dxa"/>
            <w:noWrap w:val="0"/>
            <w:vAlign w:val="top"/>
          </w:tcPr>
          <w:p>
            <w:pPr>
              <w:spacing w:before="120" w:beforeLines="50" w:line="360" w:lineRule="auto"/>
              <w:rPr>
                <w:b/>
                <w:bCs/>
                <w:color w:val="auto"/>
                <w:szCs w:val="21"/>
              </w:rPr>
            </w:pPr>
            <w:r>
              <w:rPr>
                <w:b/>
                <w:bCs/>
                <w:color w:val="auto"/>
                <w:szCs w:val="21"/>
              </w:rPr>
              <w:t>1、建设项目基本情况</w:t>
            </w:r>
          </w:p>
          <w:p>
            <w:pPr>
              <w:ind w:firstLine="420" w:firstLineChars="200"/>
              <w:rPr>
                <w:color w:val="auto"/>
                <w:sz w:val="21"/>
                <w:szCs w:val="21"/>
              </w:rPr>
            </w:pPr>
            <w:r>
              <w:rPr>
                <w:rFonts w:hint="eastAsia"/>
                <w:color w:val="auto"/>
                <w:sz w:val="21"/>
                <w:szCs w:val="21"/>
              </w:rPr>
              <w:t>内蒙古蒙源兴禾种养殖一体化综合利用循环经济项目（年产有机肥30万吨）</w:t>
            </w:r>
            <w:r>
              <w:rPr>
                <w:color w:val="auto"/>
                <w:sz w:val="21"/>
                <w:szCs w:val="21"/>
              </w:rPr>
              <w:t>位于</w:t>
            </w:r>
            <w:r>
              <w:rPr>
                <w:rFonts w:hint="eastAsia"/>
                <w:color w:val="auto"/>
                <w:sz w:val="21"/>
                <w:szCs w:val="21"/>
              </w:rPr>
              <w:t>内蒙古自治区巴彦淖尔市五原县天吉泰复丰村</w:t>
            </w:r>
            <w:r>
              <w:rPr>
                <w:color w:val="auto"/>
                <w:sz w:val="21"/>
                <w:szCs w:val="21"/>
              </w:rPr>
              <w:t>，于20</w:t>
            </w:r>
            <w:r>
              <w:rPr>
                <w:rFonts w:hint="eastAsia"/>
                <w:color w:val="auto"/>
                <w:sz w:val="21"/>
                <w:szCs w:val="21"/>
                <w:lang w:val="en-US" w:eastAsia="zh-CN"/>
              </w:rPr>
              <w:t>20</w:t>
            </w:r>
            <w:r>
              <w:rPr>
                <w:color w:val="auto"/>
                <w:sz w:val="21"/>
                <w:szCs w:val="21"/>
              </w:rPr>
              <w:t>年</w:t>
            </w:r>
            <w:r>
              <w:rPr>
                <w:rFonts w:hint="eastAsia"/>
                <w:color w:val="auto"/>
                <w:sz w:val="21"/>
                <w:szCs w:val="21"/>
                <w:lang w:val="en-US" w:eastAsia="zh-CN"/>
              </w:rPr>
              <w:t>8</w:t>
            </w:r>
            <w:r>
              <w:rPr>
                <w:color w:val="auto"/>
                <w:sz w:val="21"/>
                <w:szCs w:val="21"/>
              </w:rPr>
              <w:t>月委托</w:t>
            </w:r>
            <w:r>
              <w:rPr>
                <w:rFonts w:hint="eastAsia"/>
                <w:color w:val="auto"/>
                <w:sz w:val="21"/>
                <w:szCs w:val="21"/>
                <w:lang w:val="en-US" w:eastAsia="zh-CN"/>
              </w:rPr>
              <w:t>北京中企环能科技有限公司</w:t>
            </w:r>
            <w:r>
              <w:rPr>
                <w:color w:val="auto"/>
                <w:sz w:val="21"/>
                <w:szCs w:val="21"/>
              </w:rPr>
              <w:t>编制完成《</w:t>
            </w:r>
            <w:r>
              <w:rPr>
                <w:rFonts w:hint="eastAsia"/>
                <w:color w:val="auto"/>
                <w:sz w:val="21"/>
                <w:szCs w:val="21"/>
              </w:rPr>
              <w:t>内蒙古蒙源兴禾种养殖一体化综合利用循环经济项目（年产有机肥30万吨）</w:t>
            </w:r>
            <w:r>
              <w:rPr>
                <w:color w:val="auto"/>
                <w:sz w:val="21"/>
                <w:szCs w:val="21"/>
              </w:rPr>
              <w:t>建设项目环境影响报告表》，并获取</w:t>
            </w:r>
            <w:r>
              <w:rPr>
                <w:rFonts w:hint="eastAsia"/>
                <w:color w:val="auto"/>
                <w:sz w:val="21"/>
                <w:szCs w:val="21"/>
                <w:lang w:val="en-US" w:eastAsia="zh-CN"/>
              </w:rPr>
              <w:t>五原县</w:t>
            </w:r>
            <w:r>
              <w:rPr>
                <w:color w:val="auto"/>
                <w:sz w:val="21"/>
                <w:szCs w:val="21"/>
              </w:rPr>
              <w:t>环境保护局对该报告表的批复文件，批复文号为</w:t>
            </w:r>
            <w:r>
              <w:rPr>
                <w:rFonts w:hint="eastAsia"/>
                <w:color w:val="auto"/>
                <w:sz w:val="21"/>
                <w:szCs w:val="21"/>
                <w:lang w:val="en-US" w:eastAsia="zh-CN"/>
              </w:rPr>
              <w:t>五</w:t>
            </w:r>
            <w:r>
              <w:rPr>
                <w:color w:val="auto"/>
                <w:sz w:val="21"/>
                <w:szCs w:val="21"/>
              </w:rPr>
              <w:t>环审</w:t>
            </w:r>
            <w:r>
              <w:rPr>
                <w:rFonts w:hint="eastAsia"/>
                <w:color w:val="auto"/>
                <w:sz w:val="21"/>
                <w:szCs w:val="21"/>
                <w:lang w:val="en-US" w:eastAsia="zh-CN"/>
              </w:rPr>
              <w:t>表</w:t>
            </w:r>
            <w:r>
              <w:rPr>
                <w:color w:val="auto"/>
                <w:sz w:val="21"/>
                <w:szCs w:val="21"/>
              </w:rPr>
              <w:t>【20</w:t>
            </w:r>
            <w:r>
              <w:rPr>
                <w:rFonts w:hint="eastAsia"/>
                <w:color w:val="auto"/>
                <w:sz w:val="21"/>
                <w:szCs w:val="21"/>
                <w:lang w:val="en-US" w:eastAsia="zh-CN"/>
              </w:rPr>
              <w:t>20</w:t>
            </w:r>
            <w:r>
              <w:rPr>
                <w:color w:val="auto"/>
                <w:sz w:val="21"/>
                <w:szCs w:val="21"/>
              </w:rPr>
              <w:t>】</w:t>
            </w:r>
            <w:r>
              <w:rPr>
                <w:rFonts w:hint="eastAsia"/>
                <w:color w:val="auto"/>
                <w:sz w:val="21"/>
                <w:szCs w:val="21"/>
                <w:lang w:val="en-US" w:eastAsia="zh-CN"/>
              </w:rPr>
              <w:t>28</w:t>
            </w:r>
            <w:r>
              <w:rPr>
                <w:color w:val="auto"/>
                <w:sz w:val="21"/>
                <w:szCs w:val="21"/>
              </w:rPr>
              <w:t>号（批复意见见附件</w:t>
            </w:r>
            <w:r>
              <w:rPr>
                <w:rFonts w:hint="eastAsia"/>
                <w:color w:val="auto"/>
                <w:sz w:val="21"/>
                <w:szCs w:val="21"/>
                <w:lang w:val="en-US" w:eastAsia="zh-CN"/>
              </w:rPr>
              <w:t>3</w:t>
            </w:r>
            <w:r>
              <w:rPr>
                <w:color w:val="auto"/>
                <w:sz w:val="21"/>
                <w:szCs w:val="21"/>
              </w:rPr>
              <w:t>）。</w:t>
            </w:r>
            <w:r>
              <w:rPr>
                <w:rFonts w:hint="default" w:ascii="Times New Roman" w:hAnsi="Times New Roman" w:eastAsia="宋体" w:cs="Times New Roman"/>
                <w:color w:val="auto"/>
              </w:rPr>
              <w:t>建成后年生产有机肥</w:t>
            </w:r>
            <w:r>
              <w:rPr>
                <w:rFonts w:hint="default" w:ascii="Times New Roman" w:hAnsi="Times New Roman" w:eastAsia="宋体" w:cs="Times New Roman"/>
                <w:color w:val="auto"/>
                <w:lang w:val="en-US" w:eastAsia="zh-CN"/>
              </w:rPr>
              <w:t>30</w:t>
            </w:r>
            <w:r>
              <w:rPr>
                <w:rFonts w:hint="default" w:ascii="Times New Roman" w:hAnsi="Times New Roman" w:eastAsia="宋体" w:cs="Times New Roman"/>
                <w:color w:val="auto"/>
              </w:rPr>
              <w:t>万吨</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可有效改良土壤结构，提高土壤肥力，可激化土壤中的微生物活性，既可以满足当地市场需求，又增加了当地群众就业，具有良好的社会效益和经济效益。</w:t>
            </w:r>
          </w:p>
          <w:p>
            <w:pPr>
              <w:bidi w:val="0"/>
              <w:ind w:firstLine="420" w:firstLineChars="200"/>
              <w:rPr>
                <w:rFonts w:hint="default" w:ascii="Times New Roman" w:hAnsi="Times New Roman" w:cs="Times New Roman"/>
                <w:color w:val="0000FF"/>
                <w:highlight w:val="none"/>
                <w:lang w:val="en-US" w:eastAsia="zh-CN"/>
              </w:rPr>
            </w:pPr>
            <w:r>
              <w:rPr>
                <w:rFonts w:hint="eastAsia"/>
                <w:color w:val="0000FF"/>
                <w:highlight w:val="none"/>
                <w:lang w:val="en-US" w:eastAsia="zh-CN"/>
              </w:rPr>
              <w:t>原项目以羊粪为原料，以复合微生物菌发酵剂、微量元素、腐殖酸、硫铵为添加剂，年产30万吨有机肥。原项目为粉状有机肥生产线，为了扩充产品类型，使得产品多元化，增加销售额，本次扩建项目为新建配方肥生产线，年生产液态配方肥5000吨，固态配方肥8000吨；新建高端有机肥生产线，年生产高端有机肥50000吨；新建颗粒有机肥生产线，年生产颗粒有机肥50000吨。</w:t>
            </w:r>
            <w:r>
              <w:rPr>
                <w:rFonts w:hint="eastAsia" w:ascii="Times New Roman" w:hAnsi="Times New Roman" w:cs="Times New Roman"/>
                <w:color w:val="0000FF"/>
                <w:highlight w:val="none"/>
                <w:lang w:val="en-US" w:eastAsia="zh-CN"/>
              </w:rPr>
              <w:t>（原30万吨粉状肥部分用于造粒，部分生产高端有机肥，部分作为粉状肥直接外售。）</w:t>
            </w:r>
          </w:p>
          <w:p>
            <w:pPr>
              <w:keepNext w:val="0"/>
              <w:keepLines w:val="0"/>
              <w:pageBreakBefore w:val="0"/>
              <w:widowControl w:val="0"/>
              <w:kinsoku/>
              <w:wordWrap/>
              <w:overflowPunct/>
              <w:topLinePunct w:val="0"/>
              <w:autoSpaceDE/>
              <w:autoSpaceDN/>
              <w:bidi w:val="0"/>
              <w:adjustRightInd/>
              <w:snapToGrid/>
              <w:spacing w:line="240" w:lineRule="auto"/>
              <w:ind w:firstLine="413" w:firstLineChars="196"/>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表1</w:t>
            </w:r>
            <w:r>
              <w:rPr>
                <w:rFonts w:hint="eastAsia" w:ascii="宋体" w:hAnsi="宋体" w:cs="宋体"/>
                <w:b/>
                <w:bCs/>
                <w:color w:val="auto"/>
                <w:sz w:val="21"/>
                <w:szCs w:val="21"/>
                <w:lang w:val="en-US" w:eastAsia="zh-CN"/>
              </w:rPr>
              <w:t xml:space="preserve"> </w:t>
            </w:r>
            <w:r>
              <w:rPr>
                <w:rFonts w:hint="eastAsia" w:ascii="宋体" w:hAnsi="宋体" w:eastAsia="宋体" w:cs="宋体"/>
                <w:b/>
                <w:bCs/>
                <w:color w:val="auto"/>
                <w:sz w:val="21"/>
                <w:szCs w:val="21"/>
                <w:lang w:val="en-US" w:eastAsia="zh-CN"/>
              </w:rPr>
              <w:t>原有建设项目概况一览表</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03"/>
              <w:gridCol w:w="6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b/>
                      <w:bCs/>
                      <w:color w:val="auto"/>
                      <w:sz w:val="21"/>
                      <w:szCs w:val="21"/>
                    </w:rPr>
                  </w:pPr>
                  <w:r>
                    <w:rPr>
                      <w:b/>
                      <w:bCs/>
                      <w:color w:val="auto"/>
                      <w:sz w:val="21"/>
                      <w:szCs w:val="21"/>
                    </w:rPr>
                    <w:t>名称</w:t>
                  </w:r>
                </w:p>
              </w:tc>
              <w:tc>
                <w:tcPr>
                  <w:tcW w:w="4172" w:type="pct"/>
                  <w:tcBorders>
                    <w:tl2br w:val="nil"/>
                    <w:tr2bl w:val="nil"/>
                  </w:tcBorders>
                  <w:noWrap w:val="0"/>
                  <w:vAlign w:val="center"/>
                </w:tcPr>
                <w:p>
                  <w:pPr>
                    <w:spacing w:line="0" w:lineRule="atLeast"/>
                    <w:jc w:val="center"/>
                    <w:rPr>
                      <w:b/>
                      <w:bCs/>
                      <w:color w:val="auto"/>
                      <w:sz w:val="21"/>
                      <w:szCs w:val="21"/>
                    </w:rPr>
                  </w:pPr>
                  <w:r>
                    <w:rPr>
                      <w:b/>
                      <w:bCs/>
                      <w:color w:val="auto"/>
                      <w:sz w:val="21"/>
                      <w:szCs w:val="21"/>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项目名称</w:t>
                  </w:r>
                </w:p>
              </w:tc>
              <w:tc>
                <w:tcPr>
                  <w:tcW w:w="4172" w:type="pct"/>
                  <w:tcBorders>
                    <w:tl2br w:val="nil"/>
                    <w:tr2bl w:val="nil"/>
                  </w:tcBorders>
                  <w:noWrap w:val="0"/>
                  <w:vAlign w:val="center"/>
                </w:tcPr>
                <w:p>
                  <w:pPr>
                    <w:spacing w:line="0" w:lineRule="atLeast"/>
                    <w:jc w:val="center"/>
                    <w:rPr>
                      <w:color w:val="auto"/>
                      <w:sz w:val="21"/>
                      <w:szCs w:val="21"/>
                    </w:rPr>
                  </w:pPr>
                  <w:r>
                    <w:rPr>
                      <w:rFonts w:hint="eastAsia" w:ascii="Times New Roman" w:hAnsi="Times New Roman" w:eastAsia="宋体" w:cs="Times New Roman"/>
                      <w:color w:val="auto"/>
                      <w:sz w:val="21"/>
                      <w:szCs w:val="21"/>
                      <w:lang w:val="en-US" w:eastAsia="zh-CN"/>
                    </w:rPr>
                    <w:t>内蒙古蒙源兴禾种养殖一体化综合利用循环经济项目（年产有机肥30万吨）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建设单位</w:t>
                  </w:r>
                </w:p>
              </w:tc>
              <w:tc>
                <w:tcPr>
                  <w:tcW w:w="4172" w:type="pct"/>
                  <w:tcBorders>
                    <w:tl2br w:val="nil"/>
                    <w:tr2bl w:val="nil"/>
                  </w:tcBorders>
                  <w:noWrap w:val="0"/>
                  <w:vAlign w:val="center"/>
                </w:tcPr>
                <w:p>
                  <w:pPr>
                    <w:spacing w:line="0" w:lineRule="atLeast"/>
                    <w:jc w:val="center"/>
                    <w:rPr>
                      <w:color w:val="auto"/>
                      <w:sz w:val="21"/>
                      <w:szCs w:val="21"/>
                    </w:rPr>
                  </w:pPr>
                  <w:r>
                    <w:rPr>
                      <w:rFonts w:hint="eastAsia"/>
                      <w:color w:val="auto"/>
                      <w:sz w:val="21"/>
                      <w:szCs w:val="21"/>
                    </w:rPr>
                    <w:t>内蒙古蒙源兴禾生物科技有限公司五原分公司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建设地点</w:t>
                  </w:r>
                </w:p>
              </w:tc>
              <w:tc>
                <w:tcPr>
                  <w:tcW w:w="4172" w:type="pct"/>
                  <w:tcBorders>
                    <w:tl2br w:val="nil"/>
                    <w:tr2bl w:val="nil"/>
                  </w:tcBorders>
                  <w:noWrap w:val="0"/>
                  <w:vAlign w:val="center"/>
                </w:tcPr>
                <w:p>
                  <w:pPr>
                    <w:spacing w:line="0" w:lineRule="atLeast"/>
                    <w:jc w:val="center"/>
                    <w:rPr>
                      <w:color w:val="auto"/>
                      <w:sz w:val="21"/>
                      <w:szCs w:val="21"/>
                    </w:rPr>
                  </w:pPr>
                  <w:r>
                    <w:rPr>
                      <w:rFonts w:hint="eastAsia"/>
                      <w:color w:val="auto"/>
                      <w:sz w:val="21"/>
                      <w:szCs w:val="21"/>
                    </w:rPr>
                    <w:t>内蒙古自治区巴彦淖尔市五原县天吉泰复丰村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建设性质</w:t>
                  </w:r>
                </w:p>
              </w:tc>
              <w:tc>
                <w:tcPr>
                  <w:tcW w:w="4172" w:type="pct"/>
                  <w:tcBorders>
                    <w:tl2br w:val="nil"/>
                    <w:tr2bl w:val="nil"/>
                  </w:tcBorders>
                  <w:noWrap w:val="0"/>
                  <w:vAlign w:val="center"/>
                </w:tcPr>
                <w:p>
                  <w:pPr>
                    <w:spacing w:line="0" w:lineRule="atLeast"/>
                    <w:jc w:val="center"/>
                    <w:rPr>
                      <w:color w:val="auto"/>
                      <w:sz w:val="21"/>
                      <w:szCs w:val="21"/>
                    </w:rPr>
                  </w:pPr>
                  <w:r>
                    <w:rPr>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建设规模</w:t>
                  </w:r>
                </w:p>
              </w:tc>
              <w:tc>
                <w:tcPr>
                  <w:tcW w:w="4172" w:type="pct"/>
                  <w:tcBorders>
                    <w:tl2br w:val="nil"/>
                    <w:tr2bl w:val="nil"/>
                  </w:tcBorders>
                  <w:noWrap w:val="0"/>
                  <w:vAlign w:val="center"/>
                </w:tcPr>
                <w:p>
                  <w:pPr>
                    <w:spacing w:line="0" w:lineRule="atLeast"/>
                    <w:jc w:val="center"/>
                    <w:rPr>
                      <w:rFonts w:hint="default" w:eastAsia="宋体"/>
                      <w:color w:val="auto"/>
                      <w:sz w:val="21"/>
                      <w:szCs w:val="21"/>
                      <w:lang w:val="en-US" w:eastAsia="zh-CN"/>
                    </w:rPr>
                  </w:pPr>
                  <w:r>
                    <w:rPr>
                      <w:color w:val="auto"/>
                      <w:sz w:val="21"/>
                      <w:szCs w:val="21"/>
                    </w:rPr>
                    <w:t>占地面积</w:t>
                  </w:r>
                  <w:r>
                    <w:rPr>
                      <w:rFonts w:hint="default" w:ascii="Times New Roman" w:hAnsi="Times New Roman" w:eastAsia="宋体" w:cs="Times New Roman"/>
                      <w:color w:val="auto"/>
                      <w:highlight w:val="none"/>
                      <w:lang w:val="en-US" w:eastAsia="zh-CN"/>
                    </w:rPr>
                    <w:t>16666.75</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color w:val="auto"/>
                      <w:sz w:val="21"/>
                      <w:szCs w:val="21"/>
                    </w:rPr>
                    <w:t>，新建</w:t>
                  </w:r>
                  <w:r>
                    <w:rPr>
                      <w:rFonts w:hint="eastAsia"/>
                      <w:color w:val="auto"/>
                      <w:sz w:val="21"/>
                      <w:szCs w:val="21"/>
                      <w:lang w:val="en-US" w:eastAsia="zh-CN"/>
                    </w:rPr>
                    <w:t>年产有机肥30万吨生产线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投资总额</w:t>
                  </w:r>
                </w:p>
              </w:tc>
              <w:tc>
                <w:tcPr>
                  <w:tcW w:w="4172" w:type="pct"/>
                  <w:tcBorders>
                    <w:tl2br w:val="nil"/>
                    <w:tr2bl w:val="nil"/>
                  </w:tcBorders>
                  <w:noWrap w:val="0"/>
                  <w:vAlign w:val="center"/>
                </w:tcPr>
                <w:p>
                  <w:pPr>
                    <w:spacing w:line="0" w:lineRule="atLeast"/>
                    <w:jc w:val="center"/>
                    <w:rPr>
                      <w:color w:val="auto"/>
                      <w:sz w:val="21"/>
                      <w:szCs w:val="21"/>
                    </w:rPr>
                  </w:pPr>
                  <w:r>
                    <w:rPr>
                      <w:color w:val="auto"/>
                      <w:sz w:val="21"/>
                      <w:szCs w:val="21"/>
                    </w:rPr>
                    <w:t>总投资</w:t>
                  </w:r>
                  <w:r>
                    <w:rPr>
                      <w:rFonts w:hint="eastAsia"/>
                      <w:color w:val="auto"/>
                      <w:sz w:val="21"/>
                      <w:szCs w:val="21"/>
                      <w:lang w:val="en-US" w:eastAsia="zh-CN"/>
                    </w:rPr>
                    <w:t>300</w:t>
                  </w:r>
                  <w:r>
                    <w:rPr>
                      <w:color w:val="auto"/>
                      <w:sz w:val="21"/>
                      <w:szCs w:val="21"/>
                    </w:rPr>
                    <w:t>万元，其中环保投资</w:t>
                  </w:r>
                  <w:r>
                    <w:rPr>
                      <w:rFonts w:hint="eastAsia"/>
                      <w:color w:val="auto"/>
                      <w:sz w:val="21"/>
                      <w:szCs w:val="21"/>
                      <w:lang w:val="en-US" w:eastAsia="zh-CN"/>
                    </w:rPr>
                    <w:t>39</w:t>
                  </w:r>
                  <w:r>
                    <w:rPr>
                      <w:color w:val="auto"/>
                      <w:sz w:val="21"/>
                      <w:szCs w:val="21"/>
                    </w:rPr>
                    <w:t>万元，占总投资比例为</w:t>
                  </w:r>
                  <w:r>
                    <w:rPr>
                      <w:rFonts w:hint="eastAsia"/>
                      <w:color w:val="auto"/>
                      <w:sz w:val="21"/>
                      <w:szCs w:val="21"/>
                      <w:lang w:val="en-US" w:eastAsia="zh-CN"/>
                    </w:rPr>
                    <w:t>13</w:t>
                  </w: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建设周期</w:t>
                  </w:r>
                </w:p>
              </w:tc>
              <w:tc>
                <w:tcPr>
                  <w:tcW w:w="4172" w:type="pct"/>
                  <w:tcBorders>
                    <w:tl2br w:val="nil"/>
                    <w:tr2bl w:val="nil"/>
                  </w:tcBorders>
                  <w:noWrap w:val="0"/>
                  <w:vAlign w:val="center"/>
                </w:tcPr>
                <w:p>
                  <w:pPr>
                    <w:spacing w:line="0" w:lineRule="atLeast"/>
                    <w:jc w:val="center"/>
                    <w:rPr>
                      <w:color w:val="auto"/>
                      <w:sz w:val="21"/>
                      <w:szCs w:val="21"/>
                    </w:rPr>
                  </w:pPr>
                  <w:r>
                    <w:rPr>
                      <w:rFonts w:hint="eastAsia"/>
                      <w:color w:val="auto"/>
                      <w:sz w:val="21"/>
                      <w:szCs w:val="21"/>
                      <w:highlight w:val="none"/>
                      <w:lang w:val="en-US" w:eastAsia="zh-CN"/>
                    </w:rPr>
                    <w:t>项目已建成</w:t>
                  </w:r>
                  <w:r>
                    <w:rPr>
                      <w:color w:val="auto"/>
                      <w:sz w:val="21"/>
                      <w:szCs w:val="21"/>
                      <w:highlight w:val="none"/>
                    </w:rPr>
                    <w:t>，建设期3个月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平面布置</w:t>
                  </w:r>
                </w:p>
              </w:tc>
              <w:tc>
                <w:tcPr>
                  <w:tcW w:w="4172" w:type="pct"/>
                  <w:tcBorders>
                    <w:tl2br w:val="nil"/>
                    <w:tr2bl w:val="nil"/>
                  </w:tcBorders>
                  <w:noWrap w:val="0"/>
                  <w:vAlign w:val="center"/>
                </w:tcPr>
                <w:p>
                  <w:pPr>
                    <w:ind w:firstLine="420" w:firstLineChars="200"/>
                    <w:rPr>
                      <w:color w:val="auto"/>
                      <w:sz w:val="21"/>
                      <w:szCs w:val="21"/>
                    </w:rPr>
                  </w:pPr>
                  <w:r>
                    <w:rPr>
                      <w:rFonts w:hint="default" w:ascii="Times New Roman" w:hAnsi="Times New Roman" w:eastAsia="宋体" w:cs="Times New Roman"/>
                      <w:color w:val="auto"/>
                      <w:szCs w:val="24"/>
                    </w:rPr>
                    <w:t>原料场和发酵场布置在厂区西</w:t>
                  </w:r>
                  <w:r>
                    <w:rPr>
                      <w:rFonts w:hint="default" w:ascii="Times New Roman" w:hAnsi="Times New Roman" w:eastAsia="宋体" w:cs="Times New Roman"/>
                      <w:color w:val="auto"/>
                      <w:szCs w:val="24"/>
                      <w:lang w:eastAsia="zh-CN"/>
                    </w:rPr>
                    <w:t>南</w:t>
                  </w:r>
                  <w:r>
                    <w:rPr>
                      <w:rFonts w:hint="default" w:ascii="Times New Roman" w:hAnsi="Times New Roman" w:eastAsia="宋体" w:cs="Times New Roman"/>
                      <w:color w:val="auto"/>
                      <w:szCs w:val="24"/>
                    </w:rPr>
                    <w:t>侧，其中自西向东分别为</w:t>
                  </w:r>
                  <w:r>
                    <w:rPr>
                      <w:rFonts w:hint="default" w:ascii="Times New Roman" w:hAnsi="Times New Roman" w:eastAsia="宋体" w:cs="Times New Roman"/>
                      <w:color w:val="auto"/>
                      <w:szCs w:val="24"/>
                      <w:lang w:eastAsia="zh-CN"/>
                    </w:rPr>
                    <w:t>发酵场</w:t>
                  </w:r>
                  <w:r>
                    <w:rPr>
                      <w:rFonts w:hint="default" w:ascii="Times New Roman" w:hAnsi="Times New Roman" w:eastAsia="宋体" w:cs="Times New Roman"/>
                      <w:color w:val="auto"/>
                      <w:szCs w:val="24"/>
                    </w:rPr>
                    <w:t>、</w:t>
                  </w:r>
                  <w:r>
                    <w:rPr>
                      <w:rFonts w:hint="default" w:ascii="Times New Roman" w:hAnsi="Times New Roman" w:eastAsia="宋体" w:cs="Times New Roman"/>
                      <w:color w:val="auto"/>
                      <w:szCs w:val="24"/>
                      <w:lang w:eastAsia="zh-CN"/>
                    </w:rPr>
                    <w:t>粉状</w:t>
                  </w:r>
                  <w:r>
                    <w:rPr>
                      <w:rFonts w:hint="default" w:ascii="Times New Roman" w:hAnsi="Times New Roman" w:eastAsia="宋体" w:cs="Times New Roman"/>
                      <w:color w:val="auto"/>
                      <w:szCs w:val="24"/>
                    </w:rPr>
                    <w:t>车间</w:t>
                  </w:r>
                  <w:r>
                    <w:rPr>
                      <w:rFonts w:hint="default" w:ascii="Times New Roman" w:hAnsi="Times New Roman" w:eastAsia="宋体" w:cs="Times New Roman"/>
                      <w:color w:val="auto"/>
                      <w:szCs w:val="24"/>
                      <w:lang w:eastAsia="zh-CN"/>
                    </w:rPr>
                    <w:t>、成品库房、原料堆场</w:t>
                  </w:r>
                  <w:r>
                    <w:rPr>
                      <w:rFonts w:hint="default" w:ascii="Times New Roman" w:hAnsi="Times New Roman" w:eastAsia="宋体" w:cs="Times New Roman"/>
                      <w:color w:val="auto"/>
                      <w:szCs w:val="24"/>
                    </w:rPr>
                    <w:t>；办公室位于厂区北侧。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劳动定员</w:t>
                  </w:r>
                </w:p>
              </w:tc>
              <w:tc>
                <w:tcPr>
                  <w:tcW w:w="4172" w:type="pct"/>
                  <w:tcBorders>
                    <w:tl2br w:val="nil"/>
                    <w:tr2bl w:val="nil"/>
                  </w:tcBorders>
                  <w:noWrap w:val="0"/>
                  <w:vAlign w:val="center"/>
                </w:tcPr>
                <w:p>
                  <w:pPr>
                    <w:spacing w:line="0" w:lineRule="atLeast"/>
                    <w:jc w:val="center"/>
                    <w:rPr>
                      <w:color w:val="auto"/>
                      <w:sz w:val="21"/>
                      <w:szCs w:val="21"/>
                    </w:rPr>
                  </w:pPr>
                  <w:r>
                    <w:rPr>
                      <w:color w:val="auto"/>
                      <w:sz w:val="21"/>
                      <w:szCs w:val="21"/>
                    </w:rPr>
                    <w:t>本项目劳动定员</w:t>
                  </w:r>
                  <w:r>
                    <w:rPr>
                      <w:rFonts w:hint="eastAsia"/>
                      <w:color w:val="auto"/>
                      <w:sz w:val="21"/>
                      <w:szCs w:val="21"/>
                      <w:lang w:val="en-US" w:eastAsia="zh-CN"/>
                    </w:rPr>
                    <w:t>15</w:t>
                  </w:r>
                  <w:r>
                    <w:rPr>
                      <w:color w:val="auto"/>
                      <w:sz w:val="21"/>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工作制度</w:t>
                  </w:r>
                </w:p>
              </w:tc>
              <w:tc>
                <w:tcPr>
                  <w:tcW w:w="4172" w:type="pct"/>
                  <w:tcBorders>
                    <w:tl2br w:val="nil"/>
                    <w:tr2bl w:val="nil"/>
                  </w:tcBorders>
                  <w:noWrap w:val="0"/>
                  <w:vAlign w:val="center"/>
                </w:tcPr>
                <w:p>
                  <w:pPr>
                    <w:ind w:firstLine="420" w:firstLineChars="200"/>
                    <w:rPr>
                      <w:color w:val="auto"/>
                      <w:sz w:val="21"/>
                      <w:szCs w:val="21"/>
                    </w:rPr>
                  </w:pPr>
                  <w:r>
                    <w:rPr>
                      <w:rFonts w:hint="default" w:ascii="Times New Roman" w:hAnsi="Times New Roman" w:eastAsia="宋体" w:cs="Times New Roman"/>
                      <w:color w:val="auto"/>
                    </w:rPr>
                    <w:t>项目劳动定员为1</w:t>
                  </w:r>
                  <w:r>
                    <w:rPr>
                      <w:rFonts w:hint="default" w:ascii="Times New Roman" w:hAnsi="Times New Roman" w:eastAsia="宋体" w:cs="Times New Roman"/>
                      <w:color w:val="auto"/>
                      <w:lang w:val="en-US" w:eastAsia="zh-CN"/>
                    </w:rPr>
                    <w:t>5</w:t>
                  </w:r>
                  <w:r>
                    <w:rPr>
                      <w:rFonts w:hint="default" w:ascii="Times New Roman" w:hAnsi="Times New Roman" w:eastAsia="宋体" w:cs="Times New Roman"/>
                      <w:color w:val="auto"/>
                    </w:rPr>
                    <w:t>名，工作时间为300天，日工作</w:t>
                  </w:r>
                  <w:r>
                    <w:rPr>
                      <w:rFonts w:hint="default" w:ascii="Times New Roman" w:hAnsi="Times New Roman" w:eastAsia="宋体" w:cs="Times New Roman"/>
                      <w:color w:val="auto"/>
                      <w:lang w:val="en-US" w:eastAsia="zh-CN"/>
                    </w:rPr>
                    <w:t>16</w:t>
                  </w:r>
                  <w:r>
                    <w:rPr>
                      <w:rFonts w:hint="default" w:ascii="Times New Roman" w:hAnsi="Times New Roman" w:eastAsia="宋体" w:cs="Times New Roman"/>
                      <w:color w:val="auto"/>
                    </w:rPr>
                    <w:t>小时。</w:t>
                  </w:r>
                </w:p>
              </w:tc>
            </w:tr>
          </w:tbl>
          <w:p>
            <w:pPr>
              <w:spacing w:line="360" w:lineRule="auto"/>
              <w:ind w:firstLine="420" w:firstLineChars="200"/>
              <w:rPr>
                <w:color w:val="auto"/>
                <w:szCs w:val="21"/>
              </w:rPr>
            </w:pPr>
            <w:r>
              <w:rPr>
                <w:rFonts w:hint="eastAsia"/>
                <w:color w:val="auto"/>
                <w:szCs w:val="21"/>
                <w:lang w:val="en-US" w:eastAsia="zh-CN"/>
              </w:rPr>
              <w:t>改扩</w:t>
            </w:r>
            <w:r>
              <w:rPr>
                <w:color w:val="auto"/>
                <w:szCs w:val="21"/>
              </w:rPr>
              <w:t>建项目基本概况见表</w:t>
            </w:r>
            <w:r>
              <w:rPr>
                <w:rFonts w:hint="eastAsia"/>
                <w:color w:val="auto"/>
                <w:szCs w:val="21"/>
                <w:lang w:val="en-US" w:eastAsia="zh-CN"/>
              </w:rPr>
              <w:t>2</w:t>
            </w:r>
            <w:r>
              <w:rPr>
                <w:color w:val="auto"/>
                <w:szCs w:val="21"/>
              </w:rPr>
              <w:t>。</w:t>
            </w:r>
          </w:p>
          <w:p>
            <w:pPr>
              <w:keepNext w:val="0"/>
              <w:keepLines w:val="0"/>
              <w:pageBreakBefore w:val="0"/>
              <w:widowControl w:val="0"/>
              <w:kinsoku/>
              <w:wordWrap/>
              <w:overflowPunct/>
              <w:topLinePunct w:val="0"/>
              <w:autoSpaceDE/>
              <w:autoSpaceDN/>
              <w:bidi w:val="0"/>
              <w:adjustRightInd/>
              <w:snapToGrid/>
              <w:spacing w:line="240" w:lineRule="auto"/>
              <w:ind w:firstLine="413" w:firstLineChars="196"/>
              <w:jc w:val="center"/>
              <w:textAlignment w:val="auto"/>
              <w:rPr>
                <w:rFonts w:eastAsia="黑体"/>
                <w:b/>
                <w:bCs/>
                <w:color w:val="auto"/>
                <w:sz w:val="21"/>
                <w:szCs w:val="21"/>
              </w:rPr>
            </w:pPr>
            <w:r>
              <w:rPr>
                <w:rFonts w:hint="eastAsia" w:ascii="宋体" w:hAnsi="宋体" w:eastAsia="宋体" w:cs="宋体"/>
                <w:b/>
                <w:bCs/>
                <w:color w:val="auto"/>
                <w:sz w:val="21"/>
                <w:szCs w:val="21"/>
              </w:rPr>
              <w:t>表</w:t>
            </w:r>
            <w:r>
              <w:rPr>
                <w:rFonts w:hint="eastAsia" w:eastAsia="黑体"/>
                <w:b/>
                <w:bCs/>
                <w:color w:val="auto"/>
                <w:sz w:val="21"/>
                <w:szCs w:val="21"/>
                <w:lang w:val="en-US" w:eastAsia="zh-CN"/>
              </w:rPr>
              <w:t xml:space="preserve">2 </w:t>
            </w:r>
            <w:r>
              <w:rPr>
                <w:rFonts w:hint="eastAsia" w:ascii="宋体" w:hAnsi="宋体" w:eastAsia="宋体" w:cs="宋体"/>
                <w:b/>
                <w:bCs/>
                <w:color w:val="auto"/>
                <w:sz w:val="21"/>
                <w:szCs w:val="21"/>
              </w:rPr>
              <w:t>建设项目概况一览表</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03"/>
              <w:gridCol w:w="6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b/>
                      <w:bCs/>
                      <w:color w:val="auto"/>
                      <w:sz w:val="21"/>
                      <w:szCs w:val="21"/>
                    </w:rPr>
                  </w:pPr>
                  <w:r>
                    <w:rPr>
                      <w:b/>
                      <w:bCs/>
                      <w:color w:val="auto"/>
                      <w:sz w:val="21"/>
                      <w:szCs w:val="21"/>
                    </w:rPr>
                    <w:t>名称</w:t>
                  </w:r>
                </w:p>
              </w:tc>
              <w:tc>
                <w:tcPr>
                  <w:tcW w:w="4172" w:type="pct"/>
                  <w:tcBorders>
                    <w:tl2br w:val="nil"/>
                    <w:tr2bl w:val="nil"/>
                  </w:tcBorders>
                  <w:noWrap w:val="0"/>
                  <w:vAlign w:val="center"/>
                </w:tcPr>
                <w:p>
                  <w:pPr>
                    <w:spacing w:line="0" w:lineRule="atLeast"/>
                    <w:jc w:val="center"/>
                    <w:rPr>
                      <w:b/>
                      <w:bCs/>
                      <w:color w:val="auto"/>
                      <w:sz w:val="21"/>
                      <w:szCs w:val="21"/>
                    </w:rPr>
                  </w:pPr>
                  <w:r>
                    <w:rPr>
                      <w:b/>
                      <w:bCs/>
                      <w:color w:val="auto"/>
                      <w:sz w:val="21"/>
                      <w:szCs w:val="21"/>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项目名称</w:t>
                  </w:r>
                </w:p>
              </w:tc>
              <w:tc>
                <w:tcPr>
                  <w:tcW w:w="4172" w:type="pct"/>
                  <w:tcBorders>
                    <w:tl2br w:val="nil"/>
                    <w:tr2bl w:val="nil"/>
                  </w:tcBorders>
                  <w:noWrap w:val="0"/>
                  <w:vAlign w:val="center"/>
                </w:tcPr>
                <w:p>
                  <w:pPr>
                    <w:spacing w:line="0" w:lineRule="atLeast"/>
                    <w:jc w:val="center"/>
                    <w:rPr>
                      <w:rFonts w:hint="default"/>
                      <w:color w:val="auto"/>
                      <w:sz w:val="21"/>
                      <w:szCs w:val="21"/>
                      <w:lang w:val="en-US"/>
                    </w:rPr>
                  </w:pPr>
                  <w:r>
                    <w:rPr>
                      <w:rFonts w:hint="eastAsia" w:ascii="Times New Roman" w:hAnsi="Times New Roman" w:eastAsia="宋体" w:cs="Times New Roman"/>
                      <w:color w:val="auto"/>
                      <w:sz w:val="21"/>
                      <w:szCs w:val="21"/>
                      <w:lang w:val="en-US" w:eastAsia="zh-CN"/>
                    </w:rPr>
                    <w:t>内蒙古蒙源兴禾种养殖一体化综合利用循环经济项目（年产有机肥30万吨）改扩建项目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建设单位</w:t>
                  </w:r>
                </w:p>
              </w:tc>
              <w:tc>
                <w:tcPr>
                  <w:tcW w:w="4172" w:type="pct"/>
                  <w:tcBorders>
                    <w:tl2br w:val="nil"/>
                    <w:tr2bl w:val="nil"/>
                  </w:tcBorders>
                  <w:noWrap w:val="0"/>
                  <w:vAlign w:val="center"/>
                </w:tcPr>
                <w:p>
                  <w:pPr>
                    <w:spacing w:line="0" w:lineRule="atLeast"/>
                    <w:jc w:val="center"/>
                    <w:rPr>
                      <w:color w:val="auto"/>
                      <w:sz w:val="21"/>
                      <w:szCs w:val="21"/>
                    </w:rPr>
                  </w:pPr>
                  <w:r>
                    <w:rPr>
                      <w:rFonts w:hint="eastAsia"/>
                      <w:color w:val="auto"/>
                      <w:sz w:val="21"/>
                      <w:szCs w:val="21"/>
                    </w:rPr>
                    <w:t>内蒙古蒙源兴禾生物科技有限公司五原分公司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建设地点</w:t>
                  </w:r>
                </w:p>
              </w:tc>
              <w:tc>
                <w:tcPr>
                  <w:tcW w:w="4172" w:type="pct"/>
                  <w:tcBorders>
                    <w:tl2br w:val="nil"/>
                    <w:tr2bl w:val="nil"/>
                  </w:tcBorders>
                  <w:noWrap w:val="0"/>
                  <w:vAlign w:val="center"/>
                </w:tcPr>
                <w:p>
                  <w:pPr>
                    <w:spacing w:line="0" w:lineRule="atLeast"/>
                    <w:jc w:val="center"/>
                    <w:rPr>
                      <w:color w:val="auto"/>
                      <w:sz w:val="21"/>
                      <w:szCs w:val="21"/>
                    </w:rPr>
                  </w:pPr>
                  <w:r>
                    <w:rPr>
                      <w:rFonts w:hint="eastAsia"/>
                      <w:color w:val="auto"/>
                      <w:sz w:val="21"/>
                      <w:szCs w:val="21"/>
                    </w:rPr>
                    <w:t>内蒙古自治区巴彦淖尔市五原县天吉泰复丰村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建设性质</w:t>
                  </w:r>
                </w:p>
              </w:tc>
              <w:tc>
                <w:tcPr>
                  <w:tcW w:w="4172" w:type="pct"/>
                  <w:tcBorders>
                    <w:tl2br w:val="nil"/>
                    <w:tr2bl w:val="nil"/>
                  </w:tcBorders>
                  <w:noWrap w:val="0"/>
                  <w:vAlign w:val="center"/>
                </w:tcPr>
                <w:p>
                  <w:pPr>
                    <w:spacing w:line="0" w:lineRule="atLeast"/>
                    <w:jc w:val="center"/>
                    <w:rPr>
                      <w:rFonts w:hint="eastAsia" w:eastAsia="宋体"/>
                      <w:color w:val="auto"/>
                      <w:sz w:val="21"/>
                      <w:szCs w:val="21"/>
                      <w:lang w:eastAsia="zh-CN"/>
                    </w:rPr>
                  </w:pPr>
                  <w:r>
                    <w:rPr>
                      <w:rFonts w:hint="eastAsia"/>
                      <w:color w:val="auto"/>
                      <w:sz w:val="21"/>
                      <w:szCs w:val="21"/>
                      <w:lang w:val="en-US" w:eastAsia="zh-CN"/>
                    </w:rPr>
                    <w:t>改扩建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建设规模</w:t>
                  </w:r>
                </w:p>
              </w:tc>
              <w:tc>
                <w:tcPr>
                  <w:tcW w:w="4172" w:type="pct"/>
                  <w:tcBorders>
                    <w:tl2br w:val="nil"/>
                    <w:tr2bl w:val="nil"/>
                  </w:tcBorders>
                  <w:noWrap w:val="0"/>
                  <w:vAlign w:val="center"/>
                </w:tcPr>
                <w:p>
                  <w:pPr>
                    <w:spacing w:line="0" w:lineRule="atLeast"/>
                    <w:jc w:val="center"/>
                    <w:rPr>
                      <w:rFonts w:hint="default" w:eastAsia="宋体"/>
                      <w:color w:val="auto"/>
                      <w:sz w:val="21"/>
                      <w:szCs w:val="21"/>
                      <w:lang w:val="en-US" w:eastAsia="zh-CN"/>
                    </w:rPr>
                  </w:pPr>
                  <w:r>
                    <w:rPr>
                      <w:color w:val="auto"/>
                      <w:sz w:val="21"/>
                      <w:szCs w:val="21"/>
                    </w:rPr>
                    <w:t>占地面积</w:t>
                  </w:r>
                  <w:r>
                    <w:rPr>
                      <w:rFonts w:hint="default" w:ascii="Times New Roman" w:hAnsi="Times New Roman" w:eastAsia="宋体" w:cs="Times New Roman"/>
                      <w:color w:val="auto"/>
                      <w:highlight w:val="none"/>
                      <w:lang w:val="en-US" w:eastAsia="zh-CN"/>
                    </w:rPr>
                    <w:t>16666.75</w:t>
                  </w:r>
                  <w:r>
                    <w:rPr>
                      <w:color w:val="auto"/>
                      <w:sz w:val="21"/>
                      <w:szCs w:val="21"/>
                    </w:rPr>
                    <w:t>m</w:t>
                  </w:r>
                  <w:r>
                    <w:rPr>
                      <w:color w:val="auto"/>
                      <w:sz w:val="21"/>
                      <w:szCs w:val="21"/>
                      <w:vertAlign w:val="superscript"/>
                    </w:rPr>
                    <w:t>2</w:t>
                  </w:r>
                  <w:r>
                    <w:rPr>
                      <w:color w:val="auto"/>
                      <w:sz w:val="21"/>
                      <w:szCs w:val="21"/>
                    </w:rPr>
                    <w:t>，新建</w:t>
                  </w:r>
                  <w:r>
                    <w:rPr>
                      <w:rFonts w:hint="eastAsia"/>
                      <w:color w:val="auto"/>
                      <w:sz w:val="21"/>
                      <w:szCs w:val="21"/>
                      <w:lang w:val="en-US" w:eastAsia="zh-CN"/>
                    </w:rPr>
                    <w:t>配方肥</w:t>
                  </w:r>
                  <w:r>
                    <w:rPr>
                      <w:color w:val="auto"/>
                      <w:sz w:val="21"/>
                      <w:szCs w:val="21"/>
                    </w:rPr>
                    <w:t>生产线，年</w:t>
                  </w:r>
                  <w:r>
                    <w:rPr>
                      <w:rFonts w:hint="eastAsia"/>
                      <w:color w:val="auto"/>
                      <w:sz w:val="21"/>
                      <w:szCs w:val="21"/>
                      <w:lang w:val="en-US" w:eastAsia="zh-CN"/>
                    </w:rPr>
                    <w:t>生产液态配方肥5000吨，固态配方肥8000吨；新建高端有机肥生产线，年生产高端有机肥50000吨；新建颗粒有机肥生产线，年生产颗粒有机肥50000吨。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投资总额</w:t>
                  </w:r>
                </w:p>
              </w:tc>
              <w:tc>
                <w:tcPr>
                  <w:tcW w:w="4172" w:type="pct"/>
                  <w:tcBorders>
                    <w:tl2br w:val="nil"/>
                    <w:tr2bl w:val="nil"/>
                  </w:tcBorders>
                  <w:noWrap w:val="0"/>
                  <w:vAlign w:val="center"/>
                </w:tcPr>
                <w:p>
                  <w:pPr>
                    <w:spacing w:line="0" w:lineRule="atLeast"/>
                    <w:jc w:val="center"/>
                    <w:rPr>
                      <w:color w:val="auto"/>
                      <w:sz w:val="21"/>
                      <w:szCs w:val="21"/>
                    </w:rPr>
                  </w:pPr>
                  <w:r>
                    <w:rPr>
                      <w:color w:val="auto"/>
                      <w:sz w:val="21"/>
                      <w:szCs w:val="21"/>
                    </w:rPr>
                    <w:t>总投资</w:t>
                  </w:r>
                  <w:r>
                    <w:rPr>
                      <w:rFonts w:hint="eastAsia"/>
                      <w:color w:val="auto"/>
                      <w:sz w:val="21"/>
                      <w:szCs w:val="21"/>
                      <w:lang w:val="en-US" w:eastAsia="zh-CN"/>
                    </w:rPr>
                    <w:t>800</w:t>
                  </w:r>
                  <w:r>
                    <w:rPr>
                      <w:color w:val="auto"/>
                      <w:sz w:val="21"/>
                      <w:szCs w:val="21"/>
                    </w:rPr>
                    <w:t>万元，其中环保投资</w:t>
                  </w:r>
                  <w:r>
                    <w:rPr>
                      <w:rFonts w:hint="eastAsia"/>
                      <w:color w:val="auto"/>
                      <w:sz w:val="21"/>
                      <w:szCs w:val="21"/>
                      <w:lang w:val="en-US" w:eastAsia="zh-CN"/>
                    </w:rPr>
                    <w:t>29</w:t>
                  </w:r>
                  <w:r>
                    <w:rPr>
                      <w:color w:val="auto"/>
                      <w:sz w:val="21"/>
                      <w:szCs w:val="21"/>
                    </w:rPr>
                    <w:t>万元，占总投资比例为</w:t>
                  </w:r>
                  <w:r>
                    <w:rPr>
                      <w:rFonts w:hint="eastAsia"/>
                      <w:color w:val="auto"/>
                      <w:sz w:val="21"/>
                      <w:szCs w:val="21"/>
                      <w:lang w:val="en-US" w:eastAsia="zh-CN"/>
                    </w:rPr>
                    <w:t>3.63</w:t>
                  </w: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建设周期</w:t>
                  </w:r>
                </w:p>
              </w:tc>
              <w:tc>
                <w:tcPr>
                  <w:tcW w:w="4172" w:type="pct"/>
                  <w:tcBorders>
                    <w:tl2br w:val="nil"/>
                    <w:tr2bl w:val="nil"/>
                  </w:tcBorders>
                  <w:noWrap w:val="0"/>
                  <w:vAlign w:val="center"/>
                </w:tcPr>
                <w:p>
                  <w:pPr>
                    <w:spacing w:line="0" w:lineRule="atLeast"/>
                    <w:jc w:val="center"/>
                    <w:rPr>
                      <w:color w:val="auto"/>
                      <w:sz w:val="21"/>
                      <w:szCs w:val="21"/>
                    </w:rPr>
                  </w:pPr>
                  <w:r>
                    <w:rPr>
                      <w:color w:val="auto"/>
                      <w:sz w:val="21"/>
                      <w:szCs w:val="21"/>
                      <w:highlight w:val="none"/>
                    </w:rPr>
                    <w:t>建设期</w:t>
                  </w:r>
                  <w:r>
                    <w:rPr>
                      <w:rFonts w:hint="eastAsia"/>
                      <w:color w:val="auto"/>
                      <w:sz w:val="21"/>
                      <w:szCs w:val="21"/>
                      <w:highlight w:val="none"/>
                      <w:lang w:val="en-US" w:eastAsia="zh-CN"/>
                    </w:rPr>
                    <w:t>2</w:t>
                  </w:r>
                  <w:r>
                    <w:rPr>
                      <w:color w:val="auto"/>
                      <w:sz w:val="21"/>
                      <w:szCs w:val="21"/>
                      <w:highlight w:val="none"/>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平面布置</w:t>
                  </w:r>
                </w:p>
              </w:tc>
              <w:tc>
                <w:tcPr>
                  <w:tcW w:w="4172" w:type="pct"/>
                  <w:tcBorders>
                    <w:tl2br w:val="nil"/>
                    <w:tr2bl w:val="nil"/>
                  </w:tcBorders>
                  <w:noWrap w:val="0"/>
                  <w:vAlign w:val="center"/>
                </w:tcPr>
                <w:p>
                  <w:pPr>
                    <w:spacing w:line="240" w:lineRule="auto"/>
                    <w:jc w:val="both"/>
                    <w:rPr>
                      <w:rFonts w:hint="default" w:eastAsia="宋体"/>
                      <w:color w:val="auto"/>
                      <w:sz w:val="21"/>
                      <w:szCs w:val="21"/>
                      <w:lang w:val="en-US" w:eastAsia="zh-CN"/>
                    </w:rPr>
                  </w:pPr>
                  <w:r>
                    <w:rPr>
                      <w:color w:val="auto"/>
                      <w:sz w:val="21"/>
                      <w:szCs w:val="21"/>
                    </w:rPr>
                    <w:t>本项目</w:t>
                  </w:r>
                  <w:r>
                    <w:rPr>
                      <w:rFonts w:hint="eastAsia"/>
                      <w:color w:val="auto"/>
                      <w:sz w:val="21"/>
                      <w:szCs w:val="21"/>
                      <w:lang w:val="en-US" w:eastAsia="zh-CN"/>
                    </w:rPr>
                    <w:t>配方肥生产车间、高端有机肥生产车间、锅炉房、颗粒有机肥生产线位于原粉状有机肥生产车间，由北向南依次为锅炉房、配方肥生产车间、颗粒有机肥生产车间，高端有机肥生产车间位于配方肥南侧。</w:t>
                  </w:r>
                </w:p>
                <w:p>
                  <w:pPr>
                    <w:spacing w:line="240" w:lineRule="auto"/>
                    <w:jc w:val="both"/>
                    <w:rPr>
                      <w:color w:val="auto"/>
                      <w:sz w:val="21"/>
                      <w:szCs w:val="21"/>
                    </w:rPr>
                  </w:pPr>
                  <w:r>
                    <w:rPr>
                      <w:color w:val="auto"/>
                      <w:sz w:val="21"/>
                      <w:szCs w:val="21"/>
                    </w:rPr>
                    <w:t>厂区平面布置见附图2。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劳动定员</w:t>
                  </w:r>
                </w:p>
              </w:tc>
              <w:tc>
                <w:tcPr>
                  <w:tcW w:w="4172" w:type="pct"/>
                  <w:tcBorders>
                    <w:tl2br w:val="nil"/>
                    <w:tr2bl w:val="nil"/>
                  </w:tcBorders>
                  <w:noWrap w:val="0"/>
                  <w:vAlign w:val="center"/>
                </w:tcPr>
                <w:p>
                  <w:pPr>
                    <w:spacing w:line="0" w:lineRule="atLeast"/>
                    <w:jc w:val="center"/>
                    <w:rPr>
                      <w:color w:val="auto"/>
                      <w:sz w:val="21"/>
                      <w:szCs w:val="21"/>
                    </w:rPr>
                  </w:pPr>
                  <w:r>
                    <w:rPr>
                      <w:color w:val="auto"/>
                      <w:sz w:val="21"/>
                      <w:szCs w:val="21"/>
                    </w:rPr>
                    <w:t>本项目</w:t>
                  </w:r>
                  <w:r>
                    <w:rPr>
                      <w:rFonts w:hint="eastAsia"/>
                      <w:color w:val="auto"/>
                      <w:sz w:val="21"/>
                      <w:szCs w:val="21"/>
                      <w:lang w:val="en-US" w:eastAsia="zh-CN"/>
                    </w:rPr>
                    <w:t>新增</w:t>
                  </w:r>
                  <w:r>
                    <w:rPr>
                      <w:color w:val="auto"/>
                      <w:sz w:val="21"/>
                      <w:szCs w:val="21"/>
                    </w:rPr>
                    <w:t>劳动定员</w:t>
                  </w:r>
                  <w:r>
                    <w:rPr>
                      <w:rFonts w:hint="eastAsia"/>
                      <w:color w:val="auto"/>
                      <w:sz w:val="21"/>
                      <w:szCs w:val="21"/>
                      <w:lang w:val="en-US" w:eastAsia="zh-CN"/>
                    </w:rPr>
                    <w:t>20</w:t>
                  </w:r>
                  <w:r>
                    <w:rPr>
                      <w:color w:val="auto"/>
                      <w:sz w:val="21"/>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27" w:type="pct"/>
                  <w:tcBorders>
                    <w:tl2br w:val="nil"/>
                    <w:tr2bl w:val="nil"/>
                  </w:tcBorders>
                  <w:noWrap w:val="0"/>
                  <w:vAlign w:val="center"/>
                </w:tcPr>
                <w:p>
                  <w:pPr>
                    <w:spacing w:line="0" w:lineRule="atLeast"/>
                    <w:jc w:val="center"/>
                    <w:rPr>
                      <w:color w:val="auto"/>
                      <w:sz w:val="21"/>
                      <w:szCs w:val="21"/>
                    </w:rPr>
                  </w:pPr>
                  <w:r>
                    <w:rPr>
                      <w:color w:val="auto"/>
                      <w:sz w:val="21"/>
                      <w:szCs w:val="21"/>
                    </w:rPr>
                    <w:t>工作制度</w:t>
                  </w:r>
                </w:p>
              </w:tc>
              <w:tc>
                <w:tcPr>
                  <w:tcW w:w="4172" w:type="pct"/>
                  <w:tcBorders>
                    <w:tl2br w:val="nil"/>
                    <w:tr2bl w:val="nil"/>
                  </w:tcBorders>
                  <w:noWrap w:val="0"/>
                  <w:vAlign w:val="center"/>
                </w:tcPr>
                <w:p>
                  <w:pPr>
                    <w:spacing w:line="0" w:lineRule="atLeast"/>
                    <w:jc w:val="center"/>
                    <w:rPr>
                      <w:color w:val="auto"/>
                      <w:sz w:val="21"/>
                      <w:szCs w:val="21"/>
                    </w:rPr>
                  </w:pPr>
                  <w:r>
                    <w:rPr>
                      <w:rFonts w:hint="default" w:ascii="Times New Roman" w:hAnsi="Times New Roman" w:eastAsia="宋体" w:cs="Times New Roman"/>
                      <w:color w:val="auto"/>
                    </w:rPr>
                    <w:t>项目劳动定员为</w:t>
                  </w:r>
                  <w:r>
                    <w:rPr>
                      <w:rFonts w:hint="eastAsia" w:ascii="Times New Roman" w:hAnsi="Times New Roman" w:eastAsia="宋体" w:cs="Times New Roman"/>
                      <w:color w:val="auto"/>
                      <w:lang w:val="en-US" w:eastAsia="zh-CN"/>
                    </w:rPr>
                    <w:t>20</w:t>
                  </w:r>
                  <w:r>
                    <w:rPr>
                      <w:rFonts w:hint="default" w:ascii="Times New Roman" w:hAnsi="Times New Roman" w:eastAsia="宋体" w:cs="Times New Roman"/>
                      <w:color w:val="auto"/>
                    </w:rPr>
                    <w:t>名，工作时间为</w:t>
                  </w:r>
                  <w:r>
                    <w:rPr>
                      <w:rFonts w:hint="eastAsia" w:ascii="Times New Roman" w:hAnsi="Times New Roman" w:eastAsia="宋体" w:cs="Times New Roman"/>
                      <w:color w:val="auto"/>
                      <w:lang w:val="en-US" w:eastAsia="zh-CN"/>
                    </w:rPr>
                    <w:t>260</w:t>
                  </w:r>
                  <w:r>
                    <w:rPr>
                      <w:rFonts w:hint="default" w:ascii="Times New Roman" w:hAnsi="Times New Roman" w:eastAsia="宋体" w:cs="Times New Roman"/>
                      <w:color w:val="auto"/>
                    </w:rPr>
                    <w:t>天，日工作</w:t>
                  </w:r>
                  <w:r>
                    <w:rPr>
                      <w:rFonts w:hint="default" w:ascii="Times New Roman" w:hAnsi="Times New Roman" w:eastAsia="宋体" w:cs="Times New Roman"/>
                      <w:color w:val="auto"/>
                      <w:lang w:val="en-US" w:eastAsia="zh-CN"/>
                    </w:rPr>
                    <w:t>16</w:t>
                  </w:r>
                  <w:r>
                    <w:rPr>
                      <w:rFonts w:hint="default" w:ascii="Times New Roman" w:hAnsi="Times New Roman" w:eastAsia="宋体" w:cs="Times New Roman"/>
                      <w:color w:val="auto"/>
                    </w:rPr>
                    <w:t>小时。</w:t>
                  </w:r>
                </w:p>
              </w:tc>
            </w:tr>
          </w:tbl>
          <w:p>
            <w:pPr>
              <w:spacing w:before="120" w:beforeLines="50" w:line="360" w:lineRule="auto"/>
              <w:rPr>
                <w:b/>
                <w:bCs/>
                <w:color w:val="auto"/>
                <w:szCs w:val="21"/>
              </w:rPr>
            </w:pPr>
            <w:r>
              <w:rPr>
                <w:b/>
                <w:bCs/>
                <w:color w:val="auto"/>
                <w:szCs w:val="21"/>
              </w:rPr>
              <w:t>2、项目组成</w:t>
            </w:r>
          </w:p>
          <w:p>
            <w:pPr>
              <w:spacing w:line="360" w:lineRule="auto"/>
              <w:ind w:firstLine="420" w:firstLineChars="200"/>
              <w:rPr>
                <w:rFonts w:hint="default" w:eastAsia="宋体"/>
                <w:color w:val="auto"/>
                <w:szCs w:val="21"/>
                <w:lang w:val="en-US" w:eastAsia="zh-CN"/>
              </w:rPr>
            </w:pPr>
            <w:r>
              <w:rPr>
                <w:rFonts w:hint="eastAsia"/>
                <w:color w:val="auto"/>
                <w:szCs w:val="21"/>
                <w:lang w:val="en-US" w:eastAsia="zh-CN"/>
              </w:rPr>
              <w:t>新建项目在</w:t>
            </w:r>
            <w:r>
              <w:rPr>
                <w:rFonts w:hint="eastAsia"/>
                <w:color w:val="auto"/>
                <w:sz w:val="21"/>
                <w:szCs w:val="21"/>
              </w:rPr>
              <w:t>内蒙古蒙源兴禾生物科技有限公司五原分公司</w:t>
            </w:r>
            <w:r>
              <w:rPr>
                <w:rFonts w:hint="eastAsia"/>
                <w:color w:val="auto"/>
                <w:sz w:val="21"/>
                <w:szCs w:val="21"/>
                <w:lang w:val="en-US" w:eastAsia="zh-CN"/>
              </w:rPr>
              <w:t>厂区内，不新增占地</w:t>
            </w:r>
            <w:r>
              <w:rPr>
                <w:color w:val="auto"/>
              </w:rPr>
              <w:t>。</w:t>
            </w:r>
          </w:p>
          <w:p>
            <w:pPr>
              <w:keepNext w:val="0"/>
              <w:keepLines w:val="0"/>
              <w:pageBreakBefore w:val="0"/>
              <w:widowControl w:val="0"/>
              <w:kinsoku/>
              <w:wordWrap/>
              <w:overflowPunct/>
              <w:topLinePunct w:val="0"/>
              <w:autoSpaceDE/>
              <w:autoSpaceDN/>
              <w:bidi w:val="0"/>
              <w:adjustRightInd/>
              <w:snapToGrid/>
              <w:spacing w:line="240" w:lineRule="auto"/>
              <w:ind w:firstLine="413" w:firstLineChars="196"/>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表</w:t>
            </w:r>
            <w:r>
              <w:rPr>
                <w:rFonts w:hint="eastAsia" w:ascii="宋体" w:hAnsi="宋体" w:eastAsia="宋体" w:cs="宋体"/>
                <w:b/>
                <w:bCs/>
                <w:color w:val="auto"/>
                <w:sz w:val="21"/>
                <w:szCs w:val="21"/>
                <w:lang w:val="en-US" w:eastAsia="zh-CN"/>
              </w:rPr>
              <w:t>3</w:t>
            </w:r>
            <w:r>
              <w:rPr>
                <w:rFonts w:hint="eastAsia" w:ascii="宋体" w:hAnsi="宋体" w:cs="宋体"/>
                <w:b/>
                <w:bCs/>
                <w:color w:val="auto"/>
                <w:sz w:val="21"/>
                <w:szCs w:val="21"/>
                <w:lang w:val="en-US" w:eastAsia="zh-CN"/>
              </w:rPr>
              <w:t xml:space="preserve"> </w:t>
            </w:r>
            <w:r>
              <w:rPr>
                <w:rFonts w:hint="eastAsia" w:ascii="宋体" w:hAnsi="宋体" w:eastAsia="宋体" w:cs="宋体"/>
                <w:b/>
                <w:bCs/>
                <w:color w:val="auto"/>
                <w:sz w:val="21"/>
                <w:szCs w:val="21"/>
              </w:rPr>
              <w:t>改扩建后项目组成一览表</w:t>
            </w:r>
          </w:p>
          <w:tbl>
            <w:tblPr>
              <w:tblStyle w:val="19"/>
              <w:tblW w:w="793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78"/>
              <w:gridCol w:w="1468"/>
              <w:gridCol w:w="4917"/>
              <w:gridCol w:w="86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67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类别</w:t>
                  </w: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工程名称</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工程建设内容及作用</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jc w:val="center"/>
              </w:trPr>
              <w:tc>
                <w:tcPr>
                  <w:tcW w:w="678" w:type="dxa"/>
                  <w:vMerge w:val="restart"/>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主体</w:t>
                  </w:r>
                </w:p>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发酵场</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面积为</w:t>
                  </w:r>
                  <w:r>
                    <w:rPr>
                      <w:rFonts w:hint="eastAsia" w:cs="Times New Roman"/>
                      <w:color w:val="auto"/>
                      <w:sz w:val="21"/>
                      <w:szCs w:val="21"/>
                      <w:lang w:val="en-US" w:eastAsia="zh-CN"/>
                    </w:rPr>
                    <w:t>450</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30</w:t>
                  </w: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15</w:t>
                  </w:r>
                  <w:r>
                    <w:rPr>
                      <w:rFonts w:hint="default" w:ascii="Times New Roman" w:hAnsi="Times New Roman" w:eastAsia="宋体" w:cs="Times New Roman"/>
                      <w:color w:val="auto"/>
                      <w:sz w:val="21"/>
                      <w:szCs w:val="21"/>
                    </w:rPr>
                    <w:t>m），地面</w:t>
                  </w:r>
                  <w:r>
                    <w:rPr>
                      <w:rFonts w:hint="eastAsia" w:cs="Times New Roman"/>
                      <w:color w:val="auto"/>
                      <w:sz w:val="21"/>
                      <w:szCs w:val="21"/>
                      <w:lang w:eastAsia="zh-CN"/>
                    </w:rPr>
                    <w:t>硬化，达到一般</w:t>
                  </w:r>
                  <w:r>
                    <w:rPr>
                      <w:rFonts w:hint="default" w:ascii="Times New Roman" w:hAnsi="Times New Roman" w:eastAsia="宋体" w:cs="Times New Roman"/>
                      <w:color w:val="auto"/>
                      <w:sz w:val="21"/>
                      <w:szCs w:val="21"/>
                    </w:rPr>
                    <w:t>防渗</w:t>
                  </w:r>
                  <w:r>
                    <w:rPr>
                      <w:rFonts w:hint="eastAsia" w:cs="Times New Roman"/>
                      <w:color w:val="auto"/>
                      <w:sz w:val="21"/>
                      <w:szCs w:val="21"/>
                      <w:lang w:eastAsia="zh-CN"/>
                    </w:rPr>
                    <w:t>要求，渗透系数小于</w:t>
                  </w:r>
                  <w:r>
                    <w:rPr>
                      <w:rFonts w:hint="eastAsia" w:cs="Times New Roman"/>
                      <w:color w:val="auto"/>
                      <w:sz w:val="21"/>
                      <w:szCs w:val="21"/>
                      <w:lang w:val="en-US" w:eastAsia="zh-CN"/>
                    </w:rPr>
                    <w:t>10</w:t>
                  </w: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10</w:t>
                  </w:r>
                  <w:r>
                    <w:rPr>
                      <w:rFonts w:hint="eastAsia" w:cs="Times New Roman"/>
                      <w:color w:val="auto"/>
                      <w:sz w:val="21"/>
                      <w:szCs w:val="21"/>
                      <w:vertAlign w:val="superscript"/>
                      <w:lang w:val="en-US" w:eastAsia="zh-CN"/>
                    </w:rPr>
                    <w:t>-7</w:t>
                  </w:r>
                  <w:r>
                    <w:rPr>
                      <w:rFonts w:hint="eastAsia" w:cs="Times New Roman"/>
                      <w:color w:val="auto"/>
                      <w:sz w:val="21"/>
                      <w:szCs w:val="21"/>
                      <w:vertAlign w:val="baseline"/>
                      <w:lang w:val="en-US" w:eastAsia="zh-CN"/>
                    </w:rPr>
                    <w:t>cm/s</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rPr>
                    <w:t>建设</w:t>
                  </w:r>
                  <w:r>
                    <w:rPr>
                      <w:rFonts w:hint="eastAsia" w:cs="Times New Roman"/>
                      <w:color w:val="auto"/>
                      <w:lang w:eastAsia="zh-CN"/>
                    </w:rPr>
                    <w:t>半封闭彩钢棚、</w:t>
                  </w:r>
                  <w:r>
                    <w:rPr>
                      <w:rFonts w:hint="default" w:ascii="Times New Roman" w:hAnsi="Times New Roman" w:eastAsia="宋体" w:cs="Times New Roman"/>
                      <w:color w:val="auto"/>
                    </w:rPr>
                    <w:t>围堰（防止雨天粪污外泄）</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原有</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1"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原料堆场</w:t>
                  </w:r>
                </w:p>
              </w:tc>
              <w:tc>
                <w:tcPr>
                  <w:tcW w:w="4917"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面积为</w:t>
                  </w:r>
                  <w:r>
                    <w:rPr>
                      <w:rFonts w:hint="eastAsia" w:cs="Times New Roman"/>
                      <w:color w:val="auto"/>
                      <w:sz w:val="21"/>
                      <w:szCs w:val="21"/>
                      <w:lang w:val="en-US" w:eastAsia="zh-CN"/>
                    </w:rPr>
                    <w:t>15</w:t>
                  </w:r>
                  <w:r>
                    <w:rPr>
                      <w:rFonts w:hint="default" w:ascii="Times New Roman" w:hAnsi="Times New Roman" w:eastAsia="宋体" w:cs="Times New Roman"/>
                      <w:color w:val="auto"/>
                      <w:sz w:val="21"/>
                      <w:szCs w:val="21"/>
                      <w:lang w:val="en-US" w:eastAsia="zh-CN"/>
                    </w:rPr>
                    <w:t>00</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75</w:t>
                  </w: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m），地面</w:t>
                  </w:r>
                  <w:r>
                    <w:rPr>
                      <w:rFonts w:hint="eastAsia" w:cs="Times New Roman"/>
                      <w:color w:val="auto"/>
                      <w:sz w:val="21"/>
                      <w:szCs w:val="21"/>
                      <w:lang w:eastAsia="zh-CN"/>
                    </w:rPr>
                    <w:t>硬化</w:t>
                  </w:r>
                  <w:r>
                    <w:rPr>
                      <w:rFonts w:hint="default" w:ascii="Times New Roman" w:hAnsi="Times New Roman" w:eastAsia="宋体" w:cs="Times New Roman"/>
                      <w:color w:val="auto"/>
                      <w:sz w:val="21"/>
                      <w:szCs w:val="21"/>
                    </w:rPr>
                    <w:t>防渗</w:t>
                  </w:r>
                  <w:r>
                    <w:rPr>
                      <w:rFonts w:hint="default" w:ascii="Times New Roman" w:hAnsi="Times New Roman" w:eastAsia="宋体" w:cs="Times New Roman"/>
                      <w:color w:val="auto"/>
                      <w:sz w:val="21"/>
                      <w:szCs w:val="21"/>
                      <w:lang w:eastAsia="zh-CN"/>
                    </w:rPr>
                    <w:t>，</w:t>
                  </w:r>
                  <w:r>
                    <w:rPr>
                      <w:rFonts w:hint="eastAsia" w:cs="Times New Roman"/>
                      <w:color w:val="auto"/>
                      <w:sz w:val="21"/>
                      <w:szCs w:val="21"/>
                      <w:lang w:eastAsia="zh-CN"/>
                    </w:rPr>
                    <w:t>渗透系数小于</w:t>
                  </w:r>
                  <w:r>
                    <w:rPr>
                      <w:rFonts w:hint="eastAsia" w:cs="Times New Roman"/>
                      <w:color w:val="auto"/>
                      <w:sz w:val="21"/>
                      <w:szCs w:val="21"/>
                      <w:lang w:val="en-US" w:eastAsia="zh-CN"/>
                    </w:rPr>
                    <w:t>10</w:t>
                  </w: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10</w:t>
                  </w:r>
                  <w:r>
                    <w:rPr>
                      <w:rFonts w:hint="eastAsia" w:cs="Times New Roman"/>
                      <w:color w:val="auto"/>
                      <w:sz w:val="21"/>
                      <w:szCs w:val="21"/>
                      <w:vertAlign w:val="superscript"/>
                      <w:lang w:val="en-US" w:eastAsia="zh-CN"/>
                    </w:rPr>
                    <w:t>-7</w:t>
                  </w:r>
                  <w:r>
                    <w:rPr>
                      <w:rFonts w:hint="eastAsia" w:cs="Times New Roman"/>
                      <w:color w:val="auto"/>
                      <w:sz w:val="21"/>
                      <w:szCs w:val="21"/>
                      <w:vertAlign w:val="baseline"/>
                      <w:lang w:val="en-US" w:eastAsia="zh-CN"/>
                    </w:rPr>
                    <w:t>cm/s</w:t>
                  </w:r>
                  <w:r>
                    <w:rPr>
                      <w:rFonts w:hint="default" w:ascii="Times New Roman" w:hAnsi="Times New Roman" w:eastAsia="宋体" w:cs="Times New Roman"/>
                      <w:color w:val="auto"/>
                      <w:sz w:val="21"/>
                      <w:szCs w:val="21"/>
                      <w:lang w:eastAsia="zh-CN"/>
                    </w:rPr>
                    <w:t>，</w:t>
                  </w:r>
                  <w:r>
                    <w:rPr>
                      <w:rFonts w:hint="eastAsia" w:cs="Times New Roman"/>
                      <w:color w:val="auto"/>
                      <w:lang w:eastAsia="zh-CN"/>
                    </w:rPr>
                    <w:t>全封闭彩钢棚</w:t>
                  </w:r>
                </w:p>
              </w:tc>
              <w:tc>
                <w:tcPr>
                  <w:tcW w:w="869"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原有</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9"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粉状车间</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面积为</w:t>
                  </w:r>
                  <w:r>
                    <w:rPr>
                      <w:rFonts w:hint="default" w:ascii="Times New Roman" w:hAnsi="Times New Roman" w:eastAsia="宋体" w:cs="Times New Roman"/>
                      <w:color w:val="auto"/>
                      <w:sz w:val="21"/>
                      <w:szCs w:val="21"/>
                      <w:lang w:val="en-US" w:eastAsia="zh-CN"/>
                    </w:rPr>
                    <w:t>1750</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（7</w:t>
                  </w:r>
                  <w:r>
                    <w:rPr>
                      <w:rFonts w:hint="default"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25</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lang w:eastAsia="zh-CN"/>
                    </w:rPr>
                    <w:t>，内设置两条生产线</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rPr>
                    <w:t>车间为封闭彩钢棚</w:t>
                  </w:r>
                  <w:r>
                    <w:rPr>
                      <w:rFonts w:hint="default" w:ascii="Times New Roman" w:hAnsi="Times New Roman" w:eastAsia="宋体" w:cs="Times New Roman"/>
                      <w:color w:val="auto"/>
                      <w:sz w:val="21"/>
                      <w:szCs w:val="21"/>
                    </w:rPr>
                    <w:t>，地面进行抗渗混凝土防渗</w:t>
                  </w:r>
                  <w:r>
                    <w:rPr>
                      <w:rFonts w:hint="eastAsia" w:cs="Times New Roman"/>
                      <w:color w:val="auto"/>
                      <w:sz w:val="21"/>
                      <w:szCs w:val="21"/>
                      <w:lang w:eastAsia="zh-CN"/>
                    </w:rPr>
                    <w:t>，渗透系数小于</w:t>
                  </w:r>
                  <w:r>
                    <w:rPr>
                      <w:rFonts w:hint="eastAsia" w:cs="Times New Roman"/>
                      <w:color w:val="auto"/>
                      <w:sz w:val="21"/>
                      <w:szCs w:val="21"/>
                      <w:lang w:val="en-US" w:eastAsia="zh-CN"/>
                    </w:rPr>
                    <w:t>10</w:t>
                  </w: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10</w:t>
                  </w:r>
                  <w:r>
                    <w:rPr>
                      <w:rFonts w:hint="eastAsia" w:cs="Times New Roman"/>
                      <w:color w:val="auto"/>
                      <w:sz w:val="21"/>
                      <w:szCs w:val="21"/>
                      <w:vertAlign w:val="superscript"/>
                      <w:lang w:val="en-US" w:eastAsia="zh-CN"/>
                    </w:rPr>
                    <w:t>-7</w:t>
                  </w:r>
                  <w:r>
                    <w:rPr>
                      <w:rFonts w:hint="eastAsia" w:cs="Times New Roman"/>
                      <w:color w:val="auto"/>
                      <w:sz w:val="21"/>
                      <w:szCs w:val="21"/>
                      <w:vertAlign w:val="baseline"/>
                      <w:lang w:val="en-US" w:eastAsia="zh-CN"/>
                    </w:rPr>
                    <w:t>cm/s</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在此车间内新建一条造粒生产线。</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改建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96"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配方肥生产</w:t>
                  </w:r>
                </w:p>
              </w:tc>
              <w:tc>
                <w:tcPr>
                  <w:tcW w:w="4917" w:type="dxa"/>
                  <w:tcBorders>
                    <w:tl2br w:val="nil"/>
                    <w:tr2bl w:val="nil"/>
                  </w:tcBorders>
                  <w:noWrap w:val="0"/>
                  <w:vAlign w:val="center"/>
                </w:tcPr>
                <w:p>
                  <w:pPr>
                    <w:spacing w:line="240" w:lineRule="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面积为1000</w:t>
                  </w:r>
                  <w:r>
                    <w:rPr>
                      <w:rFonts w:hint="default" w:ascii="Times New Roman" w:hAnsi="Times New Roman" w:eastAsia="宋体" w:cs="Times New Roman"/>
                      <w:color w:val="auto"/>
                      <w:kern w:val="2"/>
                      <w:sz w:val="21"/>
                      <w:szCs w:val="21"/>
                      <w:lang w:val="en-US" w:eastAsia="zh-CN" w:bidi="ar-SA"/>
                    </w:rPr>
                    <w:t>m</w:t>
                  </w:r>
                  <w:r>
                    <w:rPr>
                      <w:rFonts w:hint="default" w:ascii="Times New Roman" w:hAnsi="Times New Roman" w:eastAsia="宋体" w:cs="Times New Roman"/>
                      <w:color w:val="auto"/>
                      <w:kern w:val="2"/>
                      <w:sz w:val="21"/>
                      <w:szCs w:val="21"/>
                      <w:vertAlign w:val="superscript"/>
                      <w:lang w:val="en-US" w:eastAsia="zh-CN" w:bidi="ar-SA"/>
                    </w:rPr>
                    <w:t>2</w:t>
                  </w:r>
                  <w:r>
                    <w:rPr>
                      <w:rFonts w:hint="default"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50</w:t>
                  </w:r>
                  <w:r>
                    <w:rPr>
                      <w:rFonts w:hint="default"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20</w:t>
                  </w:r>
                  <w:r>
                    <w:rPr>
                      <w:rFonts w:hint="default" w:ascii="Times New Roman" w:hAnsi="Times New Roman" w:eastAsia="宋体" w:cs="Times New Roman"/>
                      <w:color w:val="auto"/>
                      <w:kern w:val="2"/>
                      <w:sz w:val="21"/>
                      <w:szCs w:val="21"/>
                      <w:lang w:val="en-US" w:eastAsia="zh-CN" w:bidi="ar-SA"/>
                    </w:rPr>
                    <w:t>m），为配料</w:t>
                  </w:r>
                  <w:r>
                    <w:rPr>
                      <w:rFonts w:hint="eastAsia" w:ascii="Times New Roman" w:hAnsi="Times New Roman" w:eastAsia="宋体"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搅拌混合</w:t>
                  </w:r>
                  <w:r>
                    <w:rPr>
                      <w:rFonts w:hint="eastAsia" w:ascii="Times New Roman" w:hAnsi="Times New Roman" w:eastAsia="宋体"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灌装</w:t>
                  </w:r>
                  <w:r>
                    <w:rPr>
                      <w:rFonts w:hint="eastAsia" w:ascii="Times New Roman" w:hAnsi="Times New Roman" w:eastAsia="宋体" w:cs="Times New Roman"/>
                      <w:color w:val="auto"/>
                      <w:kern w:val="2"/>
                      <w:sz w:val="21"/>
                      <w:szCs w:val="21"/>
                      <w:lang w:val="en-US" w:eastAsia="zh-CN" w:bidi="ar-SA"/>
                    </w:rPr>
                    <w:t>及包装</w:t>
                  </w:r>
                  <w:r>
                    <w:rPr>
                      <w:rFonts w:hint="default" w:ascii="Times New Roman" w:hAnsi="Times New Roman" w:eastAsia="宋体" w:cs="Times New Roman"/>
                      <w:color w:val="auto"/>
                      <w:kern w:val="2"/>
                      <w:sz w:val="21"/>
                      <w:szCs w:val="21"/>
                      <w:lang w:val="en-US" w:eastAsia="zh-CN" w:bidi="ar-SA"/>
                    </w:rPr>
                    <w:t>等生产活动的进行场所</w:t>
                  </w:r>
                  <w:r>
                    <w:rPr>
                      <w:rFonts w:hint="eastAsia" w:ascii="Times New Roman" w:hAnsi="Times New Roman" w:eastAsia="宋体" w:cs="Times New Roman"/>
                      <w:color w:val="auto"/>
                      <w:kern w:val="2"/>
                      <w:sz w:val="21"/>
                      <w:szCs w:val="21"/>
                      <w:lang w:val="en-US" w:eastAsia="zh-CN" w:bidi="ar-SA"/>
                    </w:rPr>
                    <w:t>；</w:t>
                  </w:r>
                </w:p>
                <w:p>
                  <w:pPr>
                    <w:pStyle w:val="54"/>
                    <w:spacing w:line="240" w:lineRule="auto"/>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2"/>
                      <w:sz w:val="21"/>
                      <w:szCs w:val="21"/>
                      <w:lang w:val="en-US" w:eastAsia="zh-CN" w:bidi="ar-SA"/>
                    </w:rPr>
                    <w:t>主要设备：3</w:t>
                  </w:r>
                  <w:r>
                    <w:rPr>
                      <w:rFonts w:hint="default" w:ascii="Times New Roman" w:hAnsi="Times New Roman" w:eastAsia="宋体" w:cs="Times New Roman"/>
                      <w:color w:val="auto"/>
                      <w:kern w:val="2"/>
                      <w:sz w:val="21"/>
                      <w:szCs w:val="21"/>
                      <w:lang w:val="en-US" w:eastAsia="zh-CN" w:bidi="ar-SA"/>
                    </w:rPr>
                    <w:t>套全自动液体灌装设备、2台4000L物料称重计量罐</w:t>
                  </w:r>
                  <w:r>
                    <w:rPr>
                      <w:rFonts w:hint="eastAsia" w:ascii="Times New Roman" w:hAnsi="Times New Roman" w:eastAsia="宋体" w:cs="Times New Roman"/>
                      <w:color w:val="auto"/>
                      <w:kern w:val="2"/>
                      <w:sz w:val="21"/>
                      <w:szCs w:val="21"/>
                      <w:lang w:val="en-US" w:eastAsia="zh-CN" w:bidi="ar-SA"/>
                    </w:rPr>
                    <w:t>、6</w:t>
                  </w:r>
                  <w:r>
                    <w:rPr>
                      <w:rFonts w:hint="default" w:ascii="Times New Roman" w:hAnsi="Times New Roman" w:eastAsia="宋体" w:cs="Times New Roman"/>
                      <w:color w:val="auto"/>
                      <w:kern w:val="2"/>
                      <w:sz w:val="21"/>
                      <w:szCs w:val="21"/>
                      <w:lang w:val="en-US" w:eastAsia="zh-CN" w:bidi="ar-SA"/>
                    </w:rPr>
                    <w:t>台4000L混合罐、1</w:t>
                  </w:r>
                  <w:r>
                    <w:rPr>
                      <w:rFonts w:hint="eastAsia" w:ascii="Times New Roman" w:hAnsi="Times New Roman" w:eastAsia="宋体" w:cs="Times New Roman"/>
                      <w:color w:val="auto"/>
                      <w:kern w:val="2"/>
                      <w:sz w:val="21"/>
                      <w:szCs w:val="21"/>
                      <w:lang w:val="en-US" w:eastAsia="zh-CN" w:bidi="ar-SA"/>
                    </w:rPr>
                    <w:t>套电脑</w:t>
                  </w:r>
                  <w:r>
                    <w:rPr>
                      <w:rFonts w:hint="default" w:ascii="Times New Roman" w:hAnsi="Times New Roman" w:eastAsia="宋体" w:cs="Times New Roman"/>
                      <w:color w:val="auto"/>
                      <w:kern w:val="2"/>
                      <w:sz w:val="21"/>
                      <w:szCs w:val="21"/>
                      <w:lang w:val="en-US" w:eastAsia="zh-CN" w:bidi="ar-SA"/>
                    </w:rPr>
                    <w:t>配料系统</w:t>
                  </w:r>
                  <w:r>
                    <w:rPr>
                      <w:rFonts w:hint="eastAsia" w:ascii="Times New Roman" w:hAnsi="Times New Roman" w:eastAsia="宋体" w:cs="Times New Roman"/>
                      <w:color w:val="auto"/>
                      <w:kern w:val="2"/>
                      <w:sz w:val="21"/>
                      <w:szCs w:val="21"/>
                      <w:lang w:val="en-US" w:eastAsia="zh-CN" w:bidi="ar-SA"/>
                    </w:rPr>
                    <w:t>、1套压板过滤装置、1套自动混料装置和2台研磨机等；</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1"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高端有机肥车间</w:t>
                  </w:r>
                </w:p>
              </w:tc>
              <w:tc>
                <w:tcPr>
                  <w:tcW w:w="4917"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面积为2000</w:t>
                  </w:r>
                  <w:r>
                    <w:rPr>
                      <w:rFonts w:hint="default" w:ascii="Times New Roman" w:hAnsi="Times New Roman" w:eastAsia="宋体" w:cs="Times New Roman"/>
                      <w:color w:val="auto"/>
                      <w:kern w:val="2"/>
                      <w:sz w:val="21"/>
                      <w:szCs w:val="21"/>
                      <w:lang w:val="en-US" w:eastAsia="zh-CN" w:bidi="ar-SA"/>
                    </w:rPr>
                    <w:t>m</w:t>
                  </w:r>
                  <w:r>
                    <w:rPr>
                      <w:rFonts w:hint="default" w:ascii="Times New Roman" w:hAnsi="Times New Roman" w:eastAsia="宋体" w:cs="Times New Roman"/>
                      <w:color w:val="auto"/>
                      <w:kern w:val="2"/>
                      <w:sz w:val="21"/>
                      <w:szCs w:val="21"/>
                      <w:vertAlign w:val="superscript"/>
                      <w:lang w:val="en-US" w:eastAsia="zh-CN" w:bidi="ar-SA"/>
                    </w:rPr>
                    <w:t>2</w:t>
                  </w:r>
                  <w:r>
                    <w:rPr>
                      <w:rFonts w:hint="default"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50</w:t>
                  </w:r>
                  <w:r>
                    <w:rPr>
                      <w:rFonts w:hint="default"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40</w:t>
                  </w:r>
                  <w:r>
                    <w:rPr>
                      <w:rFonts w:hint="default" w:ascii="Times New Roman" w:hAnsi="Times New Roman" w:eastAsia="宋体" w:cs="Times New Roman"/>
                      <w:color w:val="auto"/>
                      <w:kern w:val="2"/>
                      <w:sz w:val="21"/>
                      <w:szCs w:val="21"/>
                      <w:lang w:val="en-US" w:eastAsia="zh-CN" w:bidi="ar-SA"/>
                    </w:rPr>
                    <w:t>m），</w:t>
                  </w:r>
                  <w:r>
                    <w:rPr>
                      <w:rFonts w:hint="eastAsia" w:ascii="Times New Roman" w:hAnsi="Times New Roman" w:eastAsia="宋体" w:cs="Times New Roman"/>
                      <w:color w:val="auto"/>
                      <w:kern w:val="2"/>
                      <w:sz w:val="21"/>
                      <w:szCs w:val="21"/>
                      <w:lang w:val="en-US" w:eastAsia="zh-CN" w:bidi="ar-SA"/>
                    </w:rPr>
                    <w:t>包括高端有机肥生产及包装；</w:t>
                  </w:r>
                </w:p>
                <w:p>
                  <w:pPr>
                    <w:pStyle w:val="54"/>
                    <w:spacing w:line="240" w:lineRule="auto"/>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2"/>
                      <w:sz w:val="21"/>
                      <w:szCs w:val="21"/>
                      <w:lang w:val="en-US" w:eastAsia="zh-CN" w:bidi="ar-SA"/>
                    </w:rPr>
                    <w:t>主要设备：4台搅拌罐、2台发酵罐、2台卧式离心机等；</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07" w:hRule="atLeast"/>
                <w:jc w:val="center"/>
              </w:trPr>
              <w:tc>
                <w:tcPr>
                  <w:tcW w:w="678" w:type="dxa"/>
                  <w:vMerge w:val="restart"/>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贮运</w:t>
                  </w:r>
                </w:p>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成品库</w:t>
                  </w:r>
                  <w:r>
                    <w:rPr>
                      <w:rFonts w:hint="default" w:ascii="Times New Roman" w:hAnsi="Times New Roman" w:eastAsia="宋体" w:cs="Times New Roman"/>
                      <w:color w:val="auto"/>
                      <w:sz w:val="21"/>
                      <w:szCs w:val="21"/>
                      <w:lang w:eastAsia="zh-CN"/>
                    </w:rPr>
                    <w:t>房</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面积为</w:t>
                  </w:r>
                  <w:r>
                    <w:rPr>
                      <w:rFonts w:hint="default" w:ascii="Times New Roman" w:hAnsi="Times New Roman" w:eastAsia="宋体" w:cs="Times New Roman"/>
                      <w:color w:val="auto"/>
                      <w:sz w:val="21"/>
                      <w:szCs w:val="21"/>
                      <w:lang w:val="en-US" w:eastAsia="zh-CN"/>
                    </w:rPr>
                    <w:t>750</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30</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25</w:t>
                  </w:r>
                  <w:r>
                    <w:rPr>
                      <w:rFonts w:hint="default" w:ascii="Times New Roman" w:hAnsi="Times New Roman" w:eastAsia="宋体" w:cs="Times New Roman"/>
                      <w:color w:val="auto"/>
                      <w:sz w:val="21"/>
                      <w:szCs w:val="21"/>
                    </w:rPr>
                    <w:t>m），地面进行硬化处理，</w:t>
                  </w:r>
                  <w:r>
                    <w:rPr>
                      <w:rFonts w:hint="default" w:ascii="Times New Roman" w:hAnsi="Times New Roman" w:eastAsia="宋体" w:cs="Times New Roman"/>
                      <w:color w:val="auto"/>
                    </w:rPr>
                    <w:t>车间为封闭彩钢棚，</w:t>
                  </w:r>
                  <w:r>
                    <w:rPr>
                      <w:rFonts w:hint="default" w:ascii="Times New Roman" w:hAnsi="Times New Roman" w:eastAsia="宋体" w:cs="Times New Roman"/>
                      <w:color w:val="auto"/>
                      <w:lang w:eastAsia="zh-CN"/>
                    </w:rPr>
                    <w:t>用于</w:t>
                  </w:r>
                  <w:r>
                    <w:rPr>
                      <w:rFonts w:hint="default" w:ascii="Times New Roman" w:hAnsi="Times New Roman" w:eastAsia="宋体" w:cs="Times New Roman"/>
                      <w:color w:val="auto"/>
                    </w:rPr>
                    <w:t>存储</w:t>
                  </w:r>
                  <w:r>
                    <w:rPr>
                      <w:rFonts w:hint="eastAsia" w:cs="Times New Roman"/>
                      <w:color w:val="auto"/>
                      <w:lang w:eastAsia="zh-CN"/>
                    </w:rPr>
                    <w:t>成品</w:t>
                  </w:r>
                  <w:r>
                    <w:rPr>
                      <w:rFonts w:hint="default" w:ascii="Times New Roman" w:hAnsi="Times New Roman" w:eastAsia="宋体" w:cs="Times New Roman"/>
                      <w:color w:val="auto"/>
                      <w:lang w:eastAsia="zh-CN"/>
                    </w:rPr>
                    <w:t>粉状</w:t>
                  </w:r>
                  <w:r>
                    <w:rPr>
                      <w:rFonts w:hint="default" w:ascii="Times New Roman" w:hAnsi="Times New Roman" w:eastAsia="宋体" w:cs="Times New Roman"/>
                      <w:color w:val="auto"/>
                    </w:rPr>
                    <w:t>肥</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原有</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3"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仓库</w:t>
                  </w:r>
                </w:p>
              </w:tc>
              <w:tc>
                <w:tcPr>
                  <w:tcW w:w="4917"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面积为700m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（35×20m），地面进行硬化处理，主要存储</w:t>
                  </w:r>
                  <w:r>
                    <w:rPr>
                      <w:rFonts w:hint="eastAsia" w:cs="Times New Roman"/>
                      <w:color w:val="auto"/>
                      <w:sz w:val="21"/>
                      <w:szCs w:val="21"/>
                      <w:lang w:eastAsia="zh-CN"/>
                    </w:rPr>
                    <w:t>添加剂（微量元素、硫铵等）</w:t>
                  </w:r>
                </w:p>
              </w:tc>
              <w:tc>
                <w:tcPr>
                  <w:tcW w:w="869"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原有</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3"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0000FF"/>
                      <w:sz w:val="21"/>
                      <w:szCs w:val="21"/>
                      <w:lang w:val="en-US" w:eastAsia="zh-CN"/>
                    </w:rPr>
                  </w:pPr>
                  <w:r>
                    <w:rPr>
                      <w:rFonts w:hint="eastAsia" w:cs="Times New Roman"/>
                      <w:color w:val="0000FF"/>
                      <w:sz w:val="21"/>
                      <w:szCs w:val="21"/>
                      <w:lang w:val="en-US" w:eastAsia="zh-CN"/>
                    </w:rPr>
                    <w:t>煤库、渣库</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0000FF"/>
                      <w:sz w:val="21"/>
                      <w:szCs w:val="21"/>
                      <w:lang w:val="en-US" w:eastAsia="zh-CN"/>
                    </w:rPr>
                  </w:pPr>
                  <w:r>
                    <w:rPr>
                      <w:rFonts w:hint="eastAsia" w:cs="Times New Roman"/>
                      <w:color w:val="0000FF"/>
                      <w:sz w:val="21"/>
                      <w:szCs w:val="21"/>
                      <w:lang w:val="en-US" w:eastAsia="zh-CN"/>
                    </w:rPr>
                    <w:t>煤库面积为50</w:t>
                  </w:r>
                  <w:r>
                    <w:rPr>
                      <w:rFonts w:hint="default" w:ascii="Times New Roman" w:hAnsi="Times New Roman" w:eastAsia="宋体" w:cs="Times New Roman"/>
                      <w:color w:val="0000FF"/>
                      <w:sz w:val="21"/>
                      <w:szCs w:val="21"/>
                    </w:rPr>
                    <w:t>m</w:t>
                  </w:r>
                  <w:r>
                    <w:rPr>
                      <w:rFonts w:hint="default" w:ascii="Times New Roman" w:hAnsi="Times New Roman" w:eastAsia="宋体" w:cs="Times New Roman"/>
                      <w:color w:val="0000FF"/>
                      <w:sz w:val="21"/>
                      <w:szCs w:val="21"/>
                      <w:vertAlign w:val="superscript"/>
                    </w:rPr>
                    <w:t>2</w:t>
                  </w:r>
                  <w:r>
                    <w:rPr>
                      <w:rFonts w:hint="default" w:ascii="Times New Roman" w:hAnsi="Times New Roman" w:eastAsia="宋体" w:cs="Times New Roman"/>
                      <w:color w:val="0000FF"/>
                      <w:sz w:val="21"/>
                      <w:szCs w:val="21"/>
                    </w:rPr>
                    <w:t>（</w:t>
                  </w:r>
                  <w:r>
                    <w:rPr>
                      <w:rFonts w:hint="eastAsia" w:cs="Times New Roman"/>
                      <w:color w:val="0000FF"/>
                      <w:sz w:val="21"/>
                      <w:szCs w:val="21"/>
                      <w:lang w:val="en-US" w:eastAsia="zh-CN"/>
                    </w:rPr>
                    <w:t>10</w:t>
                  </w:r>
                  <w:r>
                    <w:rPr>
                      <w:rFonts w:hint="default" w:ascii="Times New Roman" w:hAnsi="Times New Roman" w:eastAsia="宋体" w:cs="Times New Roman"/>
                      <w:color w:val="0000FF"/>
                      <w:sz w:val="21"/>
                      <w:szCs w:val="21"/>
                    </w:rPr>
                    <w:t>×</w:t>
                  </w:r>
                  <w:r>
                    <w:rPr>
                      <w:rFonts w:hint="eastAsia" w:cs="Times New Roman"/>
                      <w:color w:val="0000FF"/>
                      <w:sz w:val="21"/>
                      <w:szCs w:val="21"/>
                      <w:lang w:val="en-US" w:eastAsia="zh-CN"/>
                    </w:rPr>
                    <w:t>5</w:t>
                  </w:r>
                  <w:r>
                    <w:rPr>
                      <w:rFonts w:hint="default" w:ascii="Times New Roman" w:hAnsi="Times New Roman" w:eastAsia="宋体" w:cs="Times New Roman"/>
                      <w:color w:val="0000FF"/>
                      <w:sz w:val="21"/>
                      <w:szCs w:val="21"/>
                    </w:rPr>
                    <w:t>m）</w:t>
                  </w:r>
                  <w:r>
                    <w:rPr>
                      <w:rFonts w:hint="eastAsia" w:cs="Times New Roman"/>
                      <w:color w:val="0000FF"/>
                      <w:sz w:val="21"/>
                      <w:szCs w:val="21"/>
                      <w:lang w:eastAsia="zh-CN"/>
                    </w:rPr>
                    <w:t>，</w:t>
                  </w:r>
                  <w:r>
                    <w:rPr>
                      <w:rFonts w:hint="eastAsia" w:cs="Times New Roman"/>
                      <w:color w:val="0000FF"/>
                      <w:sz w:val="21"/>
                      <w:szCs w:val="21"/>
                      <w:lang w:val="en-US" w:eastAsia="zh-CN"/>
                    </w:rPr>
                    <w:t>渣库面积为50</w:t>
                  </w:r>
                  <w:r>
                    <w:rPr>
                      <w:rFonts w:hint="default" w:ascii="Times New Roman" w:hAnsi="Times New Roman" w:eastAsia="宋体" w:cs="Times New Roman"/>
                      <w:color w:val="0000FF"/>
                      <w:sz w:val="21"/>
                      <w:szCs w:val="21"/>
                    </w:rPr>
                    <w:t>m</w:t>
                  </w:r>
                  <w:r>
                    <w:rPr>
                      <w:rFonts w:hint="default" w:ascii="Times New Roman" w:hAnsi="Times New Roman" w:eastAsia="宋体" w:cs="Times New Roman"/>
                      <w:color w:val="0000FF"/>
                      <w:sz w:val="21"/>
                      <w:szCs w:val="21"/>
                      <w:vertAlign w:val="superscript"/>
                    </w:rPr>
                    <w:t>2</w:t>
                  </w:r>
                  <w:r>
                    <w:rPr>
                      <w:rFonts w:hint="default" w:ascii="Times New Roman" w:hAnsi="Times New Roman" w:eastAsia="宋体" w:cs="Times New Roman"/>
                      <w:color w:val="0000FF"/>
                      <w:sz w:val="21"/>
                      <w:szCs w:val="21"/>
                    </w:rPr>
                    <w:t>（</w:t>
                  </w:r>
                  <w:r>
                    <w:rPr>
                      <w:rFonts w:hint="eastAsia" w:cs="Times New Roman"/>
                      <w:color w:val="0000FF"/>
                      <w:sz w:val="21"/>
                      <w:szCs w:val="21"/>
                      <w:lang w:val="en-US" w:eastAsia="zh-CN"/>
                    </w:rPr>
                    <w:t>10</w:t>
                  </w:r>
                  <w:r>
                    <w:rPr>
                      <w:rFonts w:hint="default" w:ascii="Times New Roman" w:hAnsi="Times New Roman" w:eastAsia="宋体" w:cs="Times New Roman"/>
                      <w:color w:val="0000FF"/>
                      <w:sz w:val="21"/>
                      <w:szCs w:val="21"/>
                    </w:rPr>
                    <w:t>×</w:t>
                  </w:r>
                  <w:r>
                    <w:rPr>
                      <w:rFonts w:hint="eastAsia" w:cs="Times New Roman"/>
                      <w:color w:val="0000FF"/>
                      <w:sz w:val="21"/>
                      <w:szCs w:val="21"/>
                      <w:lang w:val="en-US" w:eastAsia="zh-CN"/>
                    </w:rPr>
                    <w:t>5</w:t>
                  </w:r>
                  <w:r>
                    <w:rPr>
                      <w:rFonts w:hint="default" w:ascii="Times New Roman" w:hAnsi="Times New Roman" w:eastAsia="宋体" w:cs="Times New Roman"/>
                      <w:color w:val="0000FF"/>
                      <w:sz w:val="21"/>
                      <w:szCs w:val="21"/>
                    </w:rPr>
                    <w:t>m）</w:t>
                  </w:r>
                  <w:r>
                    <w:rPr>
                      <w:rFonts w:hint="eastAsia" w:cs="Times New Roman"/>
                      <w:color w:val="0000FF"/>
                      <w:sz w:val="21"/>
                      <w:szCs w:val="21"/>
                      <w:lang w:eastAsia="zh-CN"/>
                    </w:rPr>
                    <w:t>，</w:t>
                  </w:r>
                  <w:r>
                    <w:rPr>
                      <w:rFonts w:hint="eastAsia" w:cs="Times New Roman"/>
                      <w:color w:val="0000FF"/>
                      <w:sz w:val="21"/>
                      <w:szCs w:val="21"/>
                      <w:lang w:val="en-US" w:eastAsia="zh-CN"/>
                    </w:rPr>
                    <w:t>地面进行硬化处理，位于造粒车间内西北侧</w:t>
                  </w:r>
                  <w:bookmarkStart w:id="13" w:name="_GoBack"/>
                  <w:bookmarkEnd w:id="13"/>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0000FF"/>
                      <w:sz w:val="21"/>
                      <w:szCs w:val="21"/>
                      <w:lang w:val="en-US" w:eastAsia="zh-CN"/>
                    </w:rPr>
                  </w:pPr>
                  <w:r>
                    <w:rPr>
                      <w:rFonts w:hint="eastAsia" w:cs="Times New Roman"/>
                      <w:color w:val="0000FF"/>
                      <w:sz w:val="21"/>
                      <w:szCs w:val="21"/>
                      <w:lang w:val="en-US" w:eastAsia="zh-CN"/>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678" w:type="dxa"/>
                  <w:vMerge w:val="restart"/>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辅助</w:t>
                  </w:r>
                </w:p>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办公室</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位于厂区北侧，面积为</w:t>
                  </w: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00m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0×1</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m），供职工办公所用（不提供食宿）</w:t>
                  </w:r>
                </w:p>
              </w:tc>
              <w:tc>
                <w:tcPr>
                  <w:tcW w:w="869"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原有</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Cs w:val="21"/>
                    </w:rPr>
                    <w:t>反渗透水净化装置</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eastAsia" w:ascii="Times New Roman" w:hAnsi="Times New Roman" w:cs="Times New Roman"/>
                      <w:color w:val="auto"/>
                      <w:szCs w:val="21"/>
                    </w:rPr>
                    <w:t>生产能力为20t/h，</w:t>
                  </w:r>
                  <w:r>
                    <w:rPr>
                      <w:rFonts w:hint="eastAsia" w:cs="Times New Roman"/>
                      <w:color w:val="0000FF"/>
                      <w:szCs w:val="21"/>
                      <w:lang w:val="en-US" w:eastAsia="zh-CN"/>
                    </w:rPr>
                    <w:t>处理</w:t>
                  </w:r>
                  <w:r>
                    <w:rPr>
                      <w:rFonts w:hint="eastAsia" w:ascii="Times New Roman" w:hAnsi="Times New Roman" w:eastAsia="宋体" w:cs="Times New Roman"/>
                      <w:color w:val="auto"/>
                      <w:szCs w:val="21"/>
                    </w:rPr>
                    <w:t>效率为70%</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szCs w:val="21"/>
                      <w:lang w:val="en-US" w:eastAsia="zh-CN"/>
                    </w:rPr>
                  </w:pPr>
                  <w:r>
                    <w:rPr>
                      <w:rFonts w:hint="eastAsia" w:cs="Times New Roman"/>
                      <w:color w:val="auto"/>
                      <w:szCs w:val="21"/>
                      <w:lang w:val="en-US" w:eastAsia="zh-CN"/>
                    </w:rPr>
                    <w:t>实验室</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实验室占地面积50</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包括危险废物暂存间10</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eastAsia" w:ascii="Times New Roman" w:hAnsi="Times New Roman" w:eastAsia="宋体" w:cs="Times New Roman"/>
                      <w:color w:val="auto"/>
                      <w:sz w:val="21"/>
                      <w:szCs w:val="21"/>
                      <w:lang w:val="en-US" w:eastAsia="zh-CN"/>
                    </w:rPr>
                    <w:t>。</w:t>
                  </w:r>
                </w:p>
              </w:tc>
              <w:tc>
                <w:tcPr>
                  <w:tcW w:w="869"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678" w:type="dxa"/>
                  <w:vMerge w:val="restart"/>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公用</w:t>
                  </w:r>
                </w:p>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锅炉房</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面积为375</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×1</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m），</w:t>
                  </w:r>
                  <w:r>
                    <w:rPr>
                      <w:rFonts w:hint="eastAsia" w:ascii="Times New Roman" w:hAnsi="Times New Roman" w:eastAsia="宋体" w:cs="Times New Roman"/>
                      <w:color w:val="auto"/>
                      <w:sz w:val="21"/>
                      <w:szCs w:val="21"/>
                      <w:lang w:val="en-US" w:eastAsia="zh-CN"/>
                    </w:rPr>
                    <w:t>内置一台型号为DZL6-1.25的生物质锅炉。</w:t>
                  </w:r>
                </w:p>
              </w:tc>
              <w:tc>
                <w:tcPr>
                  <w:tcW w:w="869"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给水</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本项目生活用水以及生产用水（发酵用水）由</w:t>
                  </w:r>
                  <w:r>
                    <w:rPr>
                      <w:rFonts w:hint="eastAsia" w:cs="Times New Roman"/>
                      <w:color w:val="auto"/>
                      <w:sz w:val="21"/>
                      <w:szCs w:val="21"/>
                      <w:lang w:eastAsia="zh-CN"/>
                    </w:rPr>
                    <w:t>天吉泰复丰村</w:t>
                  </w:r>
                  <w:r>
                    <w:rPr>
                      <w:rFonts w:hint="default" w:ascii="Times New Roman" w:hAnsi="Times New Roman" w:eastAsia="宋体" w:cs="Times New Roman"/>
                      <w:color w:val="auto"/>
                      <w:sz w:val="21"/>
                      <w:szCs w:val="21"/>
                    </w:rPr>
                    <w:t>管网供给</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排水</w:t>
                  </w:r>
                </w:p>
              </w:tc>
              <w:tc>
                <w:tcPr>
                  <w:tcW w:w="4917"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本项目生活污水统一收集后排入</w:t>
                  </w:r>
                  <w:r>
                    <w:rPr>
                      <w:rFonts w:hint="default" w:ascii="Times New Roman" w:hAnsi="Times New Roman" w:eastAsia="宋体" w:cs="Times New Roman"/>
                      <w:color w:val="auto"/>
                      <w:sz w:val="21"/>
                      <w:szCs w:val="21"/>
                      <w:lang w:eastAsia="zh-CN"/>
                    </w:rPr>
                    <w:t>化粪池</w:t>
                  </w:r>
                  <w:r>
                    <w:rPr>
                      <w:rFonts w:hint="default" w:ascii="Times New Roman" w:hAnsi="Times New Roman" w:eastAsia="宋体" w:cs="Times New Roman"/>
                      <w:color w:val="auto"/>
                      <w:sz w:val="21"/>
                      <w:szCs w:val="21"/>
                    </w:rPr>
                    <w:t>，</w:t>
                  </w:r>
                  <w:r>
                    <w:rPr>
                      <w:rFonts w:hint="eastAsia" w:cs="Times New Roman"/>
                      <w:color w:val="auto"/>
                      <w:sz w:val="21"/>
                      <w:szCs w:val="21"/>
                      <w:lang w:eastAsia="zh-CN"/>
                    </w:rPr>
                    <w:t>环卫部门定期清掏</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1"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供暖</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员工取暖由电暖气供给</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供电</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本项目由</w:t>
                  </w:r>
                  <w:r>
                    <w:rPr>
                      <w:rFonts w:hint="eastAsia" w:cs="Times New Roman"/>
                      <w:color w:val="auto"/>
                      <w:sz w:val="21"/>
                      <w:szCs w:val="21"/>
                      <w:lang w:eastAsia="zh-CN"/>
                    </w:rPr>
                    <w:t>天吉泰复丰村</w:t>
                  </w:r>
                  <w:r>
                    <w:rPr>
                      <w:rFonts w:hint="default" w:ascii="Times New Roman" w:hAnsi="Times New Roman" w:eastAsia="宋体" w:cs="Times New Roman"/>
                      <w:color w:val="auto"/>
                      <w:sz w:val="21"/>
                      <w:szCs w:val="21"/>
                    </w:rPr>
                    <w:t>供电，年用电量</w:t>
                  </w:r>
                  <w:r>
                    <w:rPr>
                      <w:rFonts w:hint="eastAsia" w:ascii="Times New Roman" w:hAnsi="Times New Roman" w:eastAsia="宋体" w:cs="Times New Roman"/>
                      <w:color w:val="auto"/>
                      <w:sz w:val="21"/>
                      <w:szCs w:val="21"/>
                      <w:lang w:val="en-US" w:eastAsia="zh-CN"/>
                    </w:rPr>
                    <w:t>18</w:t>
                  </w:r>
                  <w:r>
                    <w:rPr>
                      <w:rFonts w:hint="default" w:ascii="Times New Roman" w:hAnsi="Times New Roman" w:eastAsia="宋体" w:cs="Times New Roman"/>
                      <w:color w:val="auto"/>
                      <w:sz w:val="21"/>
                      <w:szCs w:val="21"/>
                      <w:lang w:val="en-US" w:eastAsia="zh-CN"/>
                    </w:rPr>
                    <w:t>万</w:t>
                  </w:r>
                  <w:r>
                    <w:rPr>
                      <w:rFonts w:hint="default" w:ascii="Times New Roman" w:hAnsi="Times New Roman" w:eastAsia="宋体" w:cs="Times New Roman"/>
                      <w:color w:val="auto"/>
                      <w:sz w:val="21"/>
                      <w:szCs w:val="21"/>
                    </w:rPr>
                    <w:t>kW.h</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15" w:hRule="atLeast"/>
                <w:jc w:val="center"/>
              </w:trPr>
              <w:tc>
                <w:tcPr>
                  <w:tcW w:w="678" w:type="dxa"/>
                  <w:vMerge w:val="restart"/>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p>
                  <w:pPr>
                    <w:pStyle w:val="54"/>
                    <w:spacing w:line="240" w:lineRule="auto"/>
                    <w:jc w:val="center"/>
                    <w:rPr>
                      <w:rFonts w:hint="default" w:ascii="Times New Roman" w:hAnsi="Times New Roman" w:eastAsia="宋体" w:cs="Times New Roman"/>
                      <w:color w:val="auto"/>
                      <w:sz w:val="21"/>
                      <w:szCs w:val="21"/>
                    </w:rPr>
                  </w:pPr>
                </w:p>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环保</w:t>
                  </w:r>
                </w:p>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废气处理</w:t>
                  </w:r>
                </w:p>
              </w:tc>
              <w:tc>
                <w:tcPr>
                  <w:tcW w:w="4917"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颗粒有机肥烘干冷却过程中产生的粉尘与热风炉烟气合并后采用1套</w:t>
                  </w:r>
                  <w:r>
                    <w:rPr>
                      <w:rFonts w:hint="eastAsia" w:ascii="Times New Roman" w:hAnsi="Times New Roman" w:eastAsia="宋体" w:cs="Times New Roman"/>
                      <w:color w:val="0000FF"/>
                      <w:kern w:val="2"/>
                      <w:sz w:val="21"/>
                      <w:szCs w:val="21"/>
                      <w:highlight w:val="none"/>
                      <w:lang w:val="en-US" w:eastAsia="zh-CN" w:bidi="ar-SA"/>
                    </w:rPr>
                    <w:t>多管旋风除尘器+湿式碱法水浴脱硫（单碱法）处理后经15m排气筒排放</w:t>
                  </w:r>
                  <w:r>
                    <w:rPr>
                      <w:rFonts w:hint="eastAsia" w:ascii="Times New Roman" w:hAnsi="Times New Roman" w:eastAsia="宋体" w:cs="Times New Roman"/>
                      <w:color w:val="auto"/>
                      <w:lang w:eastAsia="zh-CN"/>
                    </w:rPr>
                    <w:t>，满足《大气污染物综合排放标准》（GB16297-1996）及《工业炉窑大气污染物排放标准》（GB9078-1996）。</w:t>
                  </w:r>
                </w:p>
                <w:p>
                  <w:pPr>
                    <w:pStyle w:val="54"/>
                    <w:spacing w:line="240" w:lineRule="auto"/>
                    <w:jc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无组织排放的粉尘执行《大气污染物综合排放标准》（GB16297-1996）中无组织排放监控浓度限值。无组织排放的氨气执行《恶臭污染物排放标准》（GB14554-93）中恶臭污染物厂界标准值二级标准。</w:t>
                  </w:r>
                </w:p>
                <w:p>
                  <w:pPr>
                    <w:pStyle w:val="54"/>
                    <w:spacing w:line="240" w:lineRule="auto"/>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lang w:eastAsia="zh-CN"/>
                    </w:rPr>
                    <w:t>生物质锅炉烟气经</w:t>
                  </w:r>
                  <w:r>
                    <w:rPr>
                      <w:rFonts w:hint="eastAsia" w:ascii="Times New Roman" w:hAnsi="Times New Roman" w:eastAsia="宋体" w:cs="Times New Roman"/>
                      <w:color w:val="0000FF"/>
                      <w:kern w:val="2"/>
                      <w:sz w:val="21"/>
                      <w:szCs w:val="21"/>
                      <w:highlight w:val="none"/>
                      <w:lang w:val="en-US" w:eastAsia="zh-CN" w:bidi="ar-SA"/>
                    </w:rPr>
                    <w:t>布袋除尘器处理（除尘效率为90%）+水浴除尘（除尘效率为80%）+3</w:t>
                  </w:r>
                  <w:r>
                    <w:rPr>
                      <w:rFonts w:hint="default" w:ascii="Times New Roman" w:hAnsi="Times New Roman" w:eastAsia="宋体" w:cs="Times New Roman"/>
                      <w:color w:val="0000FF"/>
                      <w:kern w:val="2"/>
                      <w:sz w:val="21"/>
                      <w:szCs w:val="21"/>
                      <w:highlight w:val="none"/>
                      <w:lang w:val="en-US" w:eastAsia="zh-CN" w:bidi="ar-SA"/>
                    </w:rPr>
                    <w:t>5</w:t>
                  </w:r>
                  <w:r>
                    <w:rPr>
                      <w:rFonts w:hint="eastAsia" w:ascii="Times New Roman" w:hAnsi="Times New Roman" w:eastAsia="宋体" w:cs="Times New Roman"/>
                      <w:color w:val="0000FF"/>
                      <w:kern w:val="2"/>
                      <w:sz w:val="21"/>
                      <w:szCs w:val="21"/>
                      <w:highlight w:val="none"/>
                      <w:lang w:val="en-US" w:eastAsia="zh-CN" w:bidi="ar-SA"/>
                    </w:rPr>
                    <w:t>米高烟囱排放</w:t>
                  </w:r>
                  <w:r>
                    <w:rPr>
                      <w:rFonts w:hint="eastAsia" w:ascii="Times New Roman" w:hAnsi="Times New Roman" w:eastAsia="宋体" w:cs="Times New Roman"/>
                      <w:color w:val="auto"/>
                      <w:lang w:eastAsia="zh-CN"/>
                    </w:rPr>
                    <w:t>，满足《锅炉大气污染物排放标准》（GB13271-2014）表 2 新建燃煤锅炉大气污染物排放浓度限值。</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废水处理</w:t>
                  </w:r>
                </w:p>
              </w:tc>
              <w:tc>
                <w:tcPr>
                  <w:tcW w:w="4917"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本项目生活污水统一收集后排入</w:t>
                  </w:r>
                  <w:r>
                    <w:rPr>
                      <w:rFonts w:hint="default" w:ascii="Times New Roman" w:hAnsi="Times New Roman" w:eastAsia="宋体" w:cs="Times New Roman"/>
                      <w:color w:val="auto"/>
                      <w:sz w:val="21"/>
                      <w:szCs w:val="21"/>
                      <w:lang w:eastAsia="zh-CN"/>
                    </w:rPr>
                    <w:t>化粪池</w:t>
                  </w:r>
                  <w:r>
                    <w:rPr>
                      <w:rFonts w:hint="eastAsia" w:cs="Times New Roman"/>
                      <w:color w:val="auto"/>
                      <w:sz w:val="21"/>
                      <w:szCs w:val="21"/>
                      <w:lang w:eastAsia="zh-CN"/>
                    </w:rPr>
                    <w:t>（防渗系数</w:t>
                  </w:r>
                  <w:r>
                    <w:rPr>
                      <w:rFonts w:hint="eastAsia" w:cs="Times New Roman"/>
                      <w:color w:val="auto"/>
                      <w:sz w:val="21"/>
                      <w:szCs w:val="21"/>
                      <w:lang w:val="en-US" w:eastAsia="zh-CN"/>
                    </w:rPr>
                    <w:t>不大于1</w:t>
                  </w:r>
                  <w:r>
                    <w:rPr>
                      <w:rFonts w:hint="default" w:ascii="Arial" w:hAnsi="Arial" w:cs="Arial"/>
                      <w:color w:val="auto"/>
                      <w:sz w:val="21"/>
                      <w:szCs w:val="21"/>
                      <w:lang w:val="en-US" w:eastAsia="zh-CN"/>
                    </w:rPr>
                    <w:t>×</w:t>
                  </w:r>
                  <w:r>
                    <w:rPr>
                      <w:rFonts w:hint="eastAsia" w:cs="Times New Roman"/>
                      <w:color w:val="auto"/>
                      <w:sz w:val="21"/>
                      <w:szCs w:val="21"/>
                      <w:lang w:val="en-US" w:eastAsia="zh-CN"/>
                    </w:rPr>
                    <w:t>10</w:t>
                  </w:r>
                  <w:r>
                    <w:rPr>
                      <w:rFonts w:hint="eastAsia" w:cs="Times New Roman"/>
                      <w:color w:val="auto"/>
                      <w:sz w:val="21"/>
                      <w:szCs w:val="21"/>
                      <w:vertAlign w:val="superscript"/>
                      <w:lang w:val="en-US" w:eastAsia="zh-CN"/>
                    </w:rPr>
                    <w:t>-7</w:t>
                  </w:r>
                  <w:r>
                    <w:rPr>
                      <w:rFonts w:hint="eastAsia" w:cs="Times New Roman"/>
                      <w:color w:val="auto"/>
                      <w:sz w:val="21"/>
                      <w:szCs w:val="21"/>
                      <w:lang w:val="en-US" w:eastAsia="zh-CN"/>
                    </w:rPr>
                    <w:t>cm/s</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w:t>
                  </w:r>
                  <w:r>
                    <w:rPr>
                      <w:rFonts w:hint="eastAsia" w:cs="Times New Roman"/>
                      <w:color w:val="auto"/>
                      <w:sz w:val="21"/>
                      <w:szCs w:val="21"/>
                      <w:lang w:eastAsia="zh-CN"/>
                    </w:rPr>
                    <w:t>环卫部门定期清掏</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不外排</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噪声防治处理</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基础减震，</w:t>
                  </w:r>
                  <w:r>
                    <w:rPr>
                      <w:rFonts w:hint="eastAsia" w:cs="Times New Roman"/>
                      <w:color w:val="auto"/>
                      <w:sz w:val="21"/>
                      <w:szCs w:val="21"/>
                      <w:lang w:eastAsia="zh-CN"/>
                    </w:rPr>
                    <w:t>部分</w:t>
                  </w:r>
                  <w:r>
                    <w:rPr>
                      <w:rFonts w:hint="default" w:ascii="Times New Roman" w:hAnsi="Times New Roman" w:eastAsia="宋体" w:cs="Times New Roman"/>
                      <w:color w:val="auto"/>
                      <w:sz w:val="21"/>
                      <w:szCs w:val="21"/>
                    </w:rPr>
                    <w:t>高噪声设备置于封闭厂房内</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固废处置工程</w:t>
                  </w:r>
                </w:p>
              </w:tc>
              <w:tc>
                <w:tcPr>
                  <w:tcW w:w="4917" w:type="dxa"/>
                  <w:tcBorders>
                    <w:tl2br w:val="nil"/>
                    <w:tr2bl w:val="nil"/>
                  </w:tcBorders>
                  <w:noWrap w:val="0"/>
                  <w:vAlign w:val="center"/>
                </w:tcPr>
                <w:p>
                  <w:pPr>
                    <w:pStyle w:val="54"/>
                    <w:spacing w:line="240" w:lineRule="auto"/>
                    <w:jc w:val="center"/>
                    <w:rPr>
                      <w:rFonts w:hint="eastAsia" w:ascii="Times New Roman" w:hAnsi="Times New Roman" w:eastAsia="宋体" w:cs="Times New Roman"/>
                      <w:color w:val="auto"/>
                      <w:lang w:eastAsia="zh-CN"/>
                    </w:rPr>
                  </w:pPr>
                  <w:r>
                    <w:rPr>
                      <w:rFonts w:hint="default" w:ascii="Times New Roman" w:hAnsi="Times New Roman" w:eastAsia="宋体" w:cs="Times New Roman"/>
                      <w:color w:val="auto"/>
                      <w:lang w:eastAsia="zh-CN"/>
                    </w:rPr>
                    <w:t>本项目生活垃圾收集于垃圾桶中，</w:t>
                  </w:r>
                  <w:r>
                    <w:rPr>
                      <w:rFonts w:hint="eastAsia" w:ascii="Times New Roman" w:hAnsi="Times New Roman" w:eastAsia="宋体" w:cs="Times New Roman"/>
                      <w:color w:val="auto"/>
                      <w:lang w:eastAsia="zh-CN"/>
                    </w:rPr>
                    <w:t>环卫部门统一清运</w:t>
                  </w:r>
                  <w:r>
                    <w:rPr>
                      <w:rFonts w:hint="default"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配方肥生产产生的固体废物主要为</w:t>
                  </w:r>
                  <w:r>
                    <w:rPr>
                      <w:rFonts w:hint="eastAsia" w:ascii="Times New Roman" w:hAnsi="Times New Roman" w:eastAsia="宋体" w:cs="Times New Roman"/>
                      <w:color w:val="auto"/>
                      <w:lang w:eastAsia="zh-CN"/>
                    </w:rPr>
                    <w:t>实验室危废和废包装袋。</w:t>
                  </w:r>
                  <w:r>
                    <w:rPr>
                      <w:rFonts w:hint="eastAsia" w:ascii="Times New Roman" w:hAnsi="Times New Roman" w:eastAsia="宋体" w:cs="Times New Roman"/>
                      <w:color w:val="auto"/>
                      <w:lang w:val="en-US" w:eastAsia="zh-CN"/>
                    </w:rPr>
                    <w:t>实验室危废</w:t>
                  </w:r>
                  <w:r>
                    <w:rPr>
                      <w:rFonts w:hint="eastAsia" w:ascii="Times New Roman" w:hAnsi="Times New Roman" w:eastAsia="宋体" w:cs="Times New Roman"/>
                      <w:color w:val="auto"/>
                      <w:lang w:eastAsia="zh-CN"/>
                    </w:rPr>
                    <w:t>暂存于危废暂存间，交由有资质单位处理。废包装袋集中收集后，由环卫部门统一清运。</w:t>
                  </w:r>
                </w:p>
                <w:p>
                  <w:pPr>
                    <w:pStyle w:val="54"/>
                    <w:spacing w:line="240" w:lineRule="auto"/>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颗粒有机肥生产产生的固体废物主要为废弃包装袋、热风炉炉渣、脱硫渣及</w:t>
                  </w:r>
                  <w:r>
                    <w:rPr>
                      <w:rFonts w:hint="eastAsia" w:cs="Times New Roman"/>
                      <w:color w:val="auto"/>
                      <w:lang w:val="en-US" w:eastAsia="zh-CN"/>
                    </w:rPr>
                    <w:t>收集的粉尘</w:t>
                  </w:r>
                  <w:r>
                    <w:rPr>
                      <w:rFonts w:hint="eastAsia" w:ascii="Times New Roman" w:hAnsi="Times New Roman" w:eastAsia="宋体" w:cs="Times New Roman"/>
                      <w:color w:val="auto"/>
                      <w:lang w:val="en-US" w:eastAsia="zh-CN"/>
                    </w:rPr>
                    <w:t>。</w:t>
                  </w:r>
                </w:p>
                <w:p>
                  <w:pPr>
                    <w:pStyle w:val="54"/>
                    <w:spacing w:line="240" w:lineRule="auto"/>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auto"/>
                      <w:lang w:val="en-US" w:eastAsia="zh-CN"/>
                    </w:rPr>
                    <w:t>废包装袋集中收集后全部外售废品回收站。</w:t>
                  </w:r>
                  <w:r>
                    <w:rPr>
                      <w:rFonts w:hint="eastAsia" w:ascii="Times New Roman" w:hAnsi="Times New Roman" w:eastAsia="宋体" w:cs="Times New Roman"/>
                      <w:color w:val="0000FF"/>
                      <w:kern w:val="2"/>
                      <w:sz w:val="21"/>
                      <w:szCs w:val="21"/>
                      <w:highlight w:val="none"/>
                      <w:lang w:val="en-US" w:eastAsia="zh-CN" w:bidi="ar-SA"/>
                    </w:rPr>
                    <w:t>热风炉炉渣、脱硫渣外售至临河顺义水泥制品厂。收集的粉尘直接作为粉状成品外售。</w:t>
                  </w:r>
                </w:p>
                <w:p>
                  <w:pPr>
                    <w:pStyle w:val="54"/>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lang w:val="en-US" w:eastAsia="zh-CN"/>
                    </w:rPr>
                    <w:t>高端有机肥生产产生的固体废物主要为锅炉炉灰、锅炉除尘灰、有机肥滤渣。</w:t>
                  </w:r>
                  <w:r>
                    <w:rPr>
                      <w:rFonts w:hint="default" w:ascii="Times New Roman" w:hAnsi="Times New Roman" w:eastAsia="宋体" w:cs="Times New Roman"/>
                      <w:color w:val="0000FF"/>
                      <w:kern w:val="2"/>
                      <w:sz w:val="21"/>
                      <w:szCs w:val="21"/>
                      <w:highlight w:val="none"/>
                      <w:lang w:val="en-US" w:eastAsia="zh-CN" w:bidi="ar-SA"/>
                    </w:rPr>
                    <w:t>锅炉产生的除尘灰及炉灰</w:t>
                  </w:r>
                  <w:r>
                    <w:rPr>
                      <w:rFonts w:hint="eastAsia" w:ascii="Times New Roman" w:hAnsi="Times New Roman" w:eastAsia="宋体" w:cs="Times New Roman"/>
                      <w:color w:val="0000FF"/>
                      <w:kern w:val="2"/>
                      <w:sz w:val="21"/>
                      <w:szCs w:val="21"/>
                      <w:highlight w:val="none"/>
                      <w:lang w:val="en-US" w:eastAsia="zh-CN" w:bidi="ar-SA"/>
                    </w:rPr>
                    <w:t>拉运至有机肥发酵池，在发酵池内与羊粪拌和发酵。</w:t>
                  </w:r>
                  <w:r>
                    <w:rPr>
                      <w:rFonts w:hint="eastAsia" w:ascii="Times New Roman" w:hAnsi="Times New Roman" w:eastAsia="宋体" w:cs="Times New Roman"/>
                      <w:color w:val="auto"/>
                      <w:lang w:val="en-US" w:eastAsia="zh-CN"/>
                    </w:rPr>
                    <w:t>有机肥滤渣作为有机肥外售。</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color w:val="auto"/>
                      <w:sz w:val="21"/>
                      <w:szCs w:val="21"/>
                    </w:rPr>
                    <w:t>不外排</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678" w:type="dxa"/>
                  <w:vMerge w:val="continue"/>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p>
              </w:tc>
              <w:tc>
                <w:tcPr>
                  <w:tcW w:w="1468"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防渗工程</w:t>
                  </w:r>
                </w:p>
              </w:tc>
              <w:tc>
                <w:tcPr>
                  <w:tcW w:w="4917"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rPr>
                    <w:t>本项目原料</w:t>
                  </w:r>
                  <w:r>
                    <w:rPr>
                      <w:rFonts w:hint="default" w:ascii="Times New Roman" w:hAnsi="Times New Roman" w:eastAsia="宋体" w:cs="Times New Roman"/>
                      <w:color w:val="auto"/>
                      <w:lang w:eastAsia="zh-CN"/>
                    </w:rPr>
                    <w:t>堆场</w:t>
                  </w:r>
                  <w:r>
                    <w:rPr>
                      <w:rFonts w:hint="default" w:ascii="Times New Roman" w:hAnsi="Times New Roman" w:eastAsia="宋体" w:cs="Times New Roman"/>
                      <w:color w:val="auto"/>
                    </w:rPr>
                    <w:t>、发酵场采用</w:t>
                  </w:r>
                  <w:r>
                    <w:rPr>
                      <w:rFonts w:hint="eastAsia" w:cs="Times New Roman"/>
                      <w:color w:val="auto"/>
                      <w:lang w:eastAsia="zh-CN"/>
                    </w:rPr>
                    <w:t>硬化</w:t>
                  </w:r>
                  <w:r>
                    <w:rPr>
                      <w:rFonts w:hint="default" w:ascii="Times New Roman" w:hAnsi="Times New Roman" w:eastAsia="宋体" w:cs="Times New Roman"/>
                      <w:color w:val="auto"/>
                    </w:rPr>
                    <w:t>防渗</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sz w:val="21"/>
                      <w:szCs w:val="21"/>
                      <w:lang w:eastAsia="zh-CN"/>
                    </w:rPr>
                    <w:t>粉状车间、成品库采</w:t>
                  </w:r>
                  <w:r>
                    <w:rPr>
                      <w:rFonts w:hint="eastAsia" w:ascii="Times New Roman" w:hAnsi="Times New Roman" w:eastAsia="宋体" w:cs="Times New Roman"/>
                      <w:color w:val="auto"/>
                      <w:sz w:val="21"/>
                      <w:szCs w:val="21"/>
                      <w:lang w:val="en-US" w:eastAsia="zh-CN"/>
                    </w:rPr>
                    <w:t>用</w:t>
                  </w:r>
                  <w:r>
                    <w:rPr>
                      <w:rFonts w:hint="default" w:ascii="Times New Roman" w:hAnsi="Times New Roman" w:eastAsia="宋体" w:cs="Times New Roman"/>
                      <w:color w:val="auto"/>
                      <w:sz w:val="21"/>
                      <w:szCs w:val="21"/>
                    </w:rPr>
                    <w:t>抗渗混凝土防渗</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配方肥生产及包装车间采用抗渗混凝土防渗、高端有机肥生产车间采用抗渗混凝土防渗。</w:t>
                  </w:r>
                  <w:r>
                    <w:rPr>
                      <w:rFonts w:hint="eastAsia" w:cs="Times New Roman"/>
                      <w:color w:val="auto"/>
                      <w:sz w:val="21"/>
                      <w:szCs w:val="21"/>
                      <w:lang w:val="en-US" w:eastAsia="zh-CN"/>
                    </w:rPr>
                    <w:t>危险废物暂存间</w:t>
                  </w:r>
                  <w:r>
                    <w:rPr>
                      <w:color w:val="auto"/>
                      <w:sz w:val="21"/>
                      <w:szCs w:val="21"/>
                    </w:rPr>
                    <w:t>铺设2mm厚HDPE土工膜进行防渗，</w:t>
                  </w:r>
                  <w:r>
                    <w:rPr>
                      <w:color w:val="auto"/>
                      <w:kern w:val="0"/>
                      <w:sz w:val="21"/>
                      <w:szCs w:val="21"/>
                    </w:rPr>
                    <w:t>或可参照</w:t>
                  </w:r>
                  <w:r>
                    <w:rPr>
                      <w:color w:val="auto"/>
                      <w:sz w:val="21"/>
                      <w:szCs w:val="21"/>
                    </w:rPr>
                    <w:t>《危险废物贮存污染控制标准》（GB18597-2001）</w:t>
                  </w:r>
                  <w:r>
                    <w:rPr>
                      <w:color w:val="auto"/>
                      <w:kern w:val="0"/>
                      <w:sz w:val="21"/>
                      <w:szCs w:val="21"/>
                    </w:rPr>
                    <w:t>中的相关要求进行防渗，</w:t>
                  </w:r>
                  <w:r>
                    <w:rPr>
                      <w:color w:val="auto"/>
                      <w:sz w:val="21"/>
                      <w:szCs w:val="21"/>
                    </w:rPr>
                    <w:t>渗透系数不大于1.0×10</w:t>
                  </w:r>
                  <w:r>
                    <w:rPr>
                      <w:color w:val="auto"/>
                      <w:sz w:val="21"/>
                      <w:szCs w:val="21"/>
                      <w:vertAlign w:val="superscript"/>
                    </w:rPr>
                    <w:t>-10</w:t>
                  </w:r>
                  <w:r>
                    <w:rPr>
                      <w:color w:val="auto"/>
                      <w:sz w:val="21"/>
                      <w:szCs w:val="21"/>
                    </w:rPr>
                    <w:t>cm/s</w:t>
                  </w:r>
                </w:p>
              </w:tc>
              <w:tc>
                <w:tcPr>
                  <w:tcW w:w="869" w:type="dxa"/>
                  <w:tcBorders>
                    <w:tl2br w:val="nil"/>
                    <w:tr2bl w:val="nil"/>
                  </w:tcBorders>
                  <w:noWrap w:val="0"/>
                  <w:vAlign w:val="center"/>
                </w:tcPr>
                <w:p>
                  <w:pPr>
                    <w:pStyle w:val="54"/>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改扩</w:t>
                  </w:r>
                  <w:r>
                    <w:rPr>
                      <w:rFonts w:hint="default" w:ascii="Times New Roman" w:hAnsi="Times New Roman" w:eastAsia="宋体" w:cs="Times New Roman"/>
                      <w:color w:val="auto"/>
                      <w:sz w:val="21"/>
                      <w:szCs w:val="21"/>
                    </w:rPr>
                    <w:t>建</w:t>
                  </w:r>
                </w:p>
              </w:tc>
            </w:tr>
          </w:tbl>
          <w:p>
            <w:pPr>
              <w:numPr>
                <w:ilvl w:val="0"/>
                <w:numId w:val="1"/>
              </w:numPr>
              <w:spacing w:before="120" w:beforeLines="50" w:line="360" w:lineRule="auto"/>
              <w:rPr>
                <w:b/>
                <w:bCs/>
                <w:color w:val="auto"/>
                <w:szCs w:val="21"/>
              </w:rPr>
            </w:pPr>
            <w:r>
              <w:rPr>
                <w:b/>
                <w:bCs/>
                <w:color w:val="auto"/>
                <w:szCs w:val="21"/>
              </w:rPr>
              <w:t>原料及规模</w:t>
            </w:r>
          </w:p>
          <w:p>
            <w:pPr>
              <w:keepNext w:val="0"/>
              <w:keepLines w:val="0"/>
              <w:pageBreakBefore w:val="0"/>
              <w:widowControl w:val="0"/>
              <w:kinsoku/>
              <w:wordWrap/>
              <w:overflowPunct/>
              <w:topLinePunct w:val="0"/>
              <w:autoSpaceDE/>
              <w:autoSpaceDN/>
              <w:bidi w:val="0"/>
              <w:adjustRightInd/>
              <w:snapToGrid/>
              <w:spacing w:line="240" w:lineRule="auto"/>
              <w:ind w:firstLine="413" w:firstLineChars="196"/>
              <w:jc w:val="center"/>
              <w:textAlignment w:val="auto"/>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表4 生产方案一览表</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4"/>
              <w:gridCol w:w="860"/>
              <w:gridCol w:w="1138"/>
              <w:gridCol w:w="4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72" w:type="pct"/>
                  <w:tcBorders>
                    <w:tl2br w:val="nil"/>
                    <w:tr2bl w:val="nil"/>
                  </w:tcBorders>
                  <w:noWrap w:val="0"/>
                  <w:vAlign w:val="center"/>
                </w:tcPr>
                <w:p>
                  <w:pPr>
                    <w:pStyle w:val="61"/>
                    <w:jc w:val="center"/>
                    <w:rPr>
                      <w:color w:val="auto"/>
                      <w:szCs w:val="21"/>
                    </w:rPr>
                  </w:pPr>
                  <w:r>
                    <w:rPr>
                      <w:color w:val="auto"/>
                      <w:szCs w:val="21"/>
                    </w:rPr>
                    <w:t>产品名称</w:t>
                  </w:r>
                </w:p>
              </w:tc>
              <w:tc>
                <w:tcPr>
                  <w:tcW w:w="1268" w:type="pct"/>
                  <w:gridSpan w:val="2"/>
                  <w:tcBorders>
                    <w:tl2br w:val="nil"/>
                    <w:tr2bl w:val="nil"/>
                  </w:tcBorders>
                  <w:noWrap w:val="0"/>
                  <w:vAlign w:val="center"/>
                </w:tcPr>
                <w:p>
                  <w:pPr>
                    <w:pStyle w:val="61"/>
                    <w:jc w:val="center"/>
                    <w:rPr>
                      <w:color w:val="auto"/>
                      <w:szCs w:val="21"/>
                    </w:rPr>
                  </w:pPr>
                  <w:r>
                    <w:rPr>
                      <w:color w:val="auto"/>
                      <w:szCs w:val="21"/>
                    </w:rPr>
                    <w:t>产量</w:t>
                  </w:r>
                  <w:r>
                    <w:rPr>
                      <w:rFonts w:ascii="Times New Roman" w:hAnsi="Times New Roman"/>
                      <w:color w:val="auto"/>
                      <w:szCs w:val="21"/>
                    </w:rPr>
                    <w:t>（t/a）</w:t>
                  </w:r>
                </w:p>
              </w:tc>
              <w:tc>
                <w:tcPr>
                  <w:tcW w:w="2858" w:type="pct"/>
                  <w:tcBorders>
                    <w:tl2br w:val="nil"/>
                    <w:tr2bl w:val="nil"/>
                  </w:tcBorders>
                  <w:noWrap w:val="0"/>
                  <w:vAlign w:val="center"/>
                </w:tcPr>
                <w:p>
                  <w:pPr>
                    <w:pStyle w:val="61"/>
                    <w:jc w:val="center"/>
                    <w:rPr>
                      <w:color w:val="auto"/>
                      <w:szCs w:val="21"/>
                    </w:rPr>
                  </w:pPr>
                  <w:r>
                    <w:rPr>
                      <w:color w:val="auto"/>
                      <w:szCs w:val="21"/>
                    </w:rPr>
                    <w:t>包装方案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72" w:type="pct"/>
                  <w:vMerge w:val="restart"/>
                  <w:tcBorders>
                    <w:tl2br w:val="nil"/>
                    <w:tr2bl w:val="nil"/>
                  </w:tcBorders>
                  <w:noWrap w:val="0"/>
                  <w:vAlign w:val="center"/>
                </w:tcPr>
                <w:p>
                  <w:pPr>
                    <w:pStyle w:val="61"/>
                    <w:jc w:val="center"/>
                    <w:rPr>
                      <w:color w:val="auto"/>
                      <w:szCs w:val="21"/>
                    </w:rPr>
                  </w:pPr>
                  <w:r>
                    <w:rPr>
                      <w:rFonts w:hint="eastAsia"/>
                      <w:color w:val="auto"/>
                      <w:szCs w:val="21"/>
                    </w:rPr>
                    <w:t>配方肥</w:t>
                  </w:r>
                </w:p>
              </w:tc>
              <w:tc>
                <w:tcPr>
                  <w:tcW w:w="546" w:type="pct"/>
                  <w:tcBorders>
                    <w:tl2br w:val="nil"/>
                    <w:tr2bl w:val="nil"/>
                  </w:tcBorders>
                  <w:noWrap w:val="0"/>
                  <w:vAlign w:val="center"/>
                </w:tcPr>
                <w:p>
                  <w:pPr>
                    <w:pStyle w:val="61"/>
                    <w:jc w:val="center"/>
                    <w:rPr>
                      <w:color w:val="auto"/>
                      <w:szCs w:val="21"/>
                    </w:rPr>
                  </w:pPr>
                  <w:r>
                    <w:rPr>
                      <w:rFonts w:hint="eastAsia"/>
                      <w:color w:val="auto"/>
                      <w:szCs w:val="21"/>
                    </w:rPr>
                    <w:t>液态料</w:t>
                  </w:r>
                </w:p>
              </w:tc>
              <w:tc>
                <w:tcPr>
                  <w:tcW w:w="721" w:type="pct"/>
                  <w:tcBorders>
                    <w:tl2br w:val="nil"/>
                    <w:tr2bl w:val="nil"/>
                  </w:tcBorders>
                  <w:noWrap w:val="0"/>
                  <w:vAlign w:val="center"/>
                </w:tcPr>
                <w:p>
                  <w:pPr>
                    <w:pStyle w:val="61"/>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5000</w:t>
                  </w:r>
                </w:p>
              </w:tc>
              <w:tc>
                <w:tcPr>
                  <w:tcW w:w="2858" w:type="pct"/>
                  <w:tcBorders>
                    <w:tl2br w:val="nil"/>
                    <w:tr2bl w:val="nil"/>
                  </w:tcBorders>
                  <w:noWrap w:val="0"/>
                  <w:vAlign w:val="center"/>
                </w:tcPr>
                <w:p>
                  <w:pPr>
                    <w:pStyle w:val="61"/>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塑料桶（10L、25L、40L）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72" w:type="pct"/>
                  <w:vMerge w:val="continue"/>
                  <w:tcBorders>
                    <w:tl2br w:val="nil"/>
                    <w:tr2bl w:val="nil"/>
                  </w:tcBorders>
                  <w:noWrap w:val="0"/>
                  <w:vAlign w:val="center"/>
                </w:tcPr>
                <w:p>
                  <w:pPr>
                    <w:pStyle w:val="61"/>
                    <w:jc w:val="center"/>
                    <w:rPr>
                      <w:color w:val="auto"/>
                      <w:szCs w:val="21"/>
                    </w:rPr>
                  </w:pPr>
                </w:p>
              </w:tc>
              <w:tc>
                <w:tcPr>
                  <w:tcW w:w="546" w:type="pct"/>
                  <w:tcBorders>
                    <w:tl2br w:val="nil"/>
                    <w:tr2bl w:val="nil"/>
                  </w:tcBorders>
                  <w:noWrap w:val="0"/>
                  <w:vAlign w:val="center"/>
                </w:tcPr>
                <w:p>
                  <w:pPr>
                    <w:pStyle w:val="61"/>
                    <w:jc w:val="center"/>
                    <w:rPr>
                      <w:color w:val="auto"/>
                      <w:szCs w:val="21"/>
                    </w:rPr>
                  </w:pPr>
                  <w:r>
                    <w:rPr>
                      <w:rFonts w:hint="eastAsia"/>
                      <w:color w:val="auto"/>
                      <w:szCs w:val="21"/>
                    </w:rPr>
                    <w:t>固态料</w:t>
                  </w:r>
                </w:p>
              </w:tc>
              <w:tc>
                <w:tcPr>
                  <w:tcW w:w="721" w:type="pct"/>
                  <w:tcBorders>
                    <w:tl2br w:val="nil"/>
                    <w:tr2bl w:val="nil"/>
                  </w:tcBorders>
                  <w:noWrap w:val="0"/>
                  <w:vAlign w:val="center"/>
                </w:tcPr>
                <w:p>
                  <w:pPr>
                    <w:pStyle w:val="61"/>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8000</w:t>
                  </w:r>
                </w:p>
              </w:tc>
              <w:tc>
                <w:tcPr>
                  <w:tcW w:w="2858" w:type="pct"/>
                  <w:tcBorders>
                    <w:tl2br w:val="nil"/>
                    <w:tr2bl w:val="nil"/>
                  </w:tcBorders>
                  <w:noWrap w:val="0"/>
                  <w:vAlign w:val="center"/>
                </w:tcPr>
                <w:p>
                  <w:pPr>
                    <w:pStyle w:val="61"/>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编织袋（25公斤、40公斤）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72" w:type="pct"/>
                  <w:tcBorders>
                    <w:tl2br w:val="nil"/>
                    <w:tr2bl w:val="nil"/>
                  </w:tcBorders>
                  <w:noWrap w:val="0"/>
                  <w:vAlign w:val="center"/>
                </w:tcPr>
                <w:p>
                  <w:pPr>
                    <w:pStyle w:val="61"/>
                    <w:jc w:val="center"/>
                    <w:rPr>
                      <w:rFonts w:hint="default" w:eastAsia="宋体"/>
                      <w:color w:val="auto"/>
                      <w:szCs w:val="21"/>
                      <w:lang w:val="en-US" w:eastAsia="zh-CN"/>
                    </w:rPr>
                  </w:pPr>
                  <w:r>
                    <w:rPr>
                      <w:rFonts w:hint="eastAsia"/>
                      <w:color w:val="auto"/>
                      <w:szCs w:val="21"/>
                      <w:lang w:val="en-US" w:eastAsia="zh-CN"/>
                    </w:rPr>
                    <w:t>高端有机肥</w:t>
                  </w:r>
                </w:p>
              </w:tc>
              <w:tc>
                <w:tcPr>
                  <w:tcW w:w="1268" w:type="pct"/>
                  <w:gridSpan w:val="2"/>
                  <w:tcBorders>
                    <w:tl2br w:val="nil"/>
                    <w:tr2bl w:val="nil"/>
                  </w:tcBorders>
                  <w:noWrap w:val="0"/>
                  <w:vAlign w:val="center"/>
                </w:tcPr>
                <w:p>
                  <w:pPr>
                    <w:pStyle w:val="61"/>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50000</w:t>
                  </w:r>
                </w:p>
              </w:tc>
              <w:tc>
                <w:tcPr>
                  <w:tcW w:w="2858" w:type="pct"/>
                  <w:tcBorders>
                    <w:tl2br w:val="nil"/>
                    <w:tr2bl w:val="nil"/>
                  </w:tcBorders>
                  <w:noWrap w:val="0"/>
                  <w:vAlign w:val="center"/>
                </w:tcPr>
                <w:p>
                  <w:pPr>
                    <w:pStyle w:val="61"/>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编织袋（25公斤）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72" w:type="pct"/>
                  <w:tcBorders>
                    <w:tl2br w:val="nil"/>
                    <w:tr2bl w:val="nil"/>
                  </w:tcBorders>
                  <w:noWrap w:val="0"/>
                  <w:vAlign w:val="center"/>
                </w:tcPr>
                <w:p>
                  <w:pPr>
                    <w:pStyle w:val="61"/>
                    <w:jc w:val="center"/>
                    <w:rPr>
                      <w:rFonts w:hint="default"/>
                      <w:color w:val="auto"/>
                      <w:szCs w:val="21"/>
                      <w:lang w:val="en-US" w:eastAsia="zh-CN"/>
                    </w:rPr>
                  </w:pPr>
                  <w:r>
                    <w:rPr>
                      <w:rFonts w:hint="eastAsia"/>
                      <w:color w:val="auto"/>
                      <w:szCs w:val="21"/>
                      <w:lang w:val="en-US" w:eastAsia="zh-CN"/>
                    </w:rPr>
                    <w:t>颗粒有机肥</w:t>
                  </w:r>
                </w:p>
              </w:tc>
              <w:tc>
                <w:tcPr>
                  <w:tcW w:w="1268" w:type="pct"/>
                  <w:gridSpan w:val="2"/>
                  <w:tcBorders>
                    <w:tl2br w:val="nil"/>
                    <w:tr2bl w:val="nil"/>
                  </w:tcBorders>
                  <w:noWrap w:val="0"/>
                  <w:vAlign w:val="center"/>
                </w:tcPr>
                <w:p>
                  <w:pPr>
                    <w:pStyle w:val="61"/>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50000</w:t>
                  </w:r>
                </w:p>
              </w:tc>
              <w:tc>
                <w:tcPr>
                  <w:tcW w:w="2858" w:type="pct"/>
                  <w:tcBorders>
                    <w:tl2br w:val="nil"/>
                    <w:tr2bl w:val="nil"/>
                  </w:tcBorders>
                  <w:noWrap w:val="0"/>
                  <w:vAlign w:val="center"/>
                </w:tcPr>
                <w:p>
                  <w:pPr>
                    <w:pStyle w:val="61"/>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编织袋（40公斤）</w:t>
                  </w:r>
                </w:p>
              </w:tc>
            </w:tr>
          </w:tbl>
          <w:p>
            <w:pPr>
              <w:pStyle w:val="10"/>
              <w:spacing w:line="360" w:lineRule="auto"/>
              <w:ind w:left="-101" w:leftChars="-48" w:right="-65" w:rightChars="-31" w:firstLine="480"/>
              <w:jc w:val="left"/>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配方肥产品执行《测土配方施肥 配肥服务点技术规范》（GB/T31732-2015）中表5、表6的相应标准，见下表。</w:t>
            </w:r>
          </w:p>
          <w:p>
            <w:pPr>
              <w:keepNext w:val="0"/>
              <w:keepLines w:val="0"/>
              <w:pageBreakBefore w:val="0"/>
              <w:widowControl w:val="0"/>
              <w:kinsoku/>
              <w:wordWrap/>
              <w:overflowPunct/>
              <w:topLinePunct w:val="0"/>
              <w:autoSpaceDE/>
              <w:autoSpaceDN/>
              <w:bidi w:val="0"/>
              <w:adjustRightInd/>
              <w:snapToGrid/>
              <w:spacing w:line="240" w:lineRule="auto"/>
              <w:ind w:firstLine="413" w:firstLineChars="196"/>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表5 粒状基础肥料指标</w:t>
            </w:r>
          </w:p>
          <w:tbl>
            <w:tblPr>
              <w:tblStyle w:val="20"/>
              <w:tblW w:w="7920"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0"/>
              <w:gridCol w:w="3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70" w:type="dxa"/>
                  <w:tcBorders>
                    <w:tl2br w:val="nil"/>
                    <w:tr2bl w:val="nil"/>
                  </w:tcBorders>
                  <w:noWrap w:val="0"/>
                  <w:vAlign w:val="center"/>
                </w:tcPr>
                <w:p>
                  <w:pPr>
                    <w:pStyle w:val="39"/>
                    <w:rPr>
                      <w:rFonts w:ascii="Times New Roman" w:hAnsi="Times New Roman" w:eastAsia="宋体" w:cs="Times New Roman"/>
                      <w:color w:val="auto"/>
                      <w:szCs w:val="21"/>
                    </w:rPr>
                  </w:pPr>
                  <w:r>
                    <w:rPr>
                      <w:rFonts w:ascii="Times New Roman" w:hAnsi="Times New Roman" w:eastAsia="宋体" w:cs="Times New Roman"/>
                      <w:color w:val="auto"/>
                      <w:szCs w:val="21"/>
                    </w:rPr>
                    <w:t>项目</w:t>
                  </w:r>
                </w:p>
              </w:tc>
              <w:tc>
                <w:tcPr>
                  <w:tcW w:w="3750" w:type="dxa"/>
                  <w:tcBorders>
                    <w:tl2br w:val="nil"/>
                    <w:tr2bl w:val="nil"/>
                  </w:tcBorders>
                  <w:noWrap w:val="0"/>
                  <w:vAlign w:val="center"/>
                </w:tcPr>
                <w:p>
                  <w:pPr>
                    <w:pStyle w:val="39"/>
                    <w:rPr>
                      <w:rFonts w:ascii="Times New Roman" w:hAnsi="Times New Roman" w:eastAsia="宋体" w:cs="Times New Roman"/>
                      <w:color w:val="auto"/>
                      <w:szCs w:val="21"/>
                    </w:rPr>
                  </w:pPr>
                  <w:r>
                    <w:rPr>
                      <w:rFonts w:ascii="Times New Roman" w:hAnsi="Times New Roman" w:eastAsia="宋体" w:cs="Times New Roman"/>
                      <w:color w:val="auto"/>
                      <w:szCs w:val="21"/>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70" w:type="dxa"/>
                  <w:tcBorders>
                    <w:tl2br w:val="nil"/>
                    <w:tr2bl w:val="nil"/>
                  </w:tcBorders>
                  <w:noWrap w:val="0"/>
                  <w:vAlign w:val="center"/>
                </w:tcPr>
                <w:p>
                  <w:pPr>
                    <w:pStyle w:val="39"/>
                    <w:rPr>
                      <w:rFonts w:ascii="Times New Roman" w:hAnsi="Times New Roman" w:eastAsia="宋体" w:cs="Times New Roman"/>
                      <w:color w:val="auto"/>
                      <w:szCs w:val="21"/>
                    </w:rPr>
                  </w:pPr>
                  <w:r>
                    <w:rPr>
                      <w:rFonts w:hint="eastAsia" w:ascii="Times New Roman" w:hAnsi="Times New Roman" w:eastAsia="宋体" w:cs="Times New Roman"/>
                      <w:color w:val="auto"/>
                      <w:szCs w:val="21"/>
                    </w:rPr>
                    <w:t>平均</w:t>
                  </w:r>
                  <w:r>
                    <w:rPr>
                      <w:rFonts w:ascii="Times New Roman" w:hAnsi="Times New Roman" w:eastAsia="宋体" w:cs="Times New Roman"/>
                      <w:color w:val="auto"/>
                      <w:szCs w:val="21"/>
                    </w:rPr>
                    <w:t>主导粒径</w:t>
                  </w:r>
                  <w:r>
                    <w:rPr>
                      <w:rFonts w:hint="eastAsia" w:ascii="Times New Roman" w:hAnsi="Times New Roman" w:eastAsia="宋体" w:cs="Times New Roman"/>
                      <w:color w:val="auto"/>
                      <w:szCs w:val="21"/>
                    </w:rPr>
                    <w:t>SGN</w:t>
                  </w:r>
                </w:p>
              </w:tc>
              <w:tc>
                <w:tcPr>
                  <w:tcW w:w="3750" w:type="dxa"/>
                  <w:tcBorders>
                    <w:tl2br w:val="nil"/>
                    <w:tr2bl w:val="nil"/>
                  </w:tcBorders>
                  <w:noWrap w:val="0"/>
                  <w:vAlign w:val="center"/>
                </w:tcPr>
                <w:p>
                  <w:pPr>
                    <w:pStyle w:val="39"/>
                    <w:rPr>
                      <w:rFonts w:ascii="Times New Roman" w:hAnsi="Times New Roman" w:eastAsia="宋体" w:cs="Times New Roman"/>
                      <w:color w:val="auto"/>
                      <w:szCs w:val="21"/>
                    </w:rPr>
                  </w:pPr>
                  <w:r>
                    <w:rPr>
                      <w:rFonts w:ascii="Times New Roman" w:hAnsi="Times New Roman" w:eastAsia="宋体" w:cs="Times New Roman"/>
                      <w:color w:val="auto"/>
                      <w:szCs w:val="21"/>
                    </w:rPr>
                    <w:t>280≤</w:t>
                  </w:r>
                  <w:r>
                    <w:rPr>
                      <w:rFonts w:hint="eastAsia" w:ascii="Times New Roman" w:hAnsi="Times New Roman" w:eastAsia="宋体" w:cs="Times New Roman"/>
                      <w:color w:val="auto"/>
                      <w:szCs w:val="21"/>
                    </w:rPr>
                    <w:t>S</w:t>
                  </w:r>
                  <w:r>
                    <w:rPr>
                      <w:rFonts w:ascii="Times New Roman" w:hAnsi="Times New Roman" w:eastAsia="宋体" w:cs="Times New Roman"/>
                      <w:color w:val="auto"/>
                      <w:szCs w:val="21"/>
                    </w:rPr>
                    <w:t>GN≤340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70" w:type="dxa"/>
                  <w:tcBorders>
                    <w:tl2br w:val="nil"/>
                    <w:tr2bl w:val="nil"/>
                  </w:tcBorders>
                  <w:noWrap w:val="0"/>
                  <w:vAlign w:val="center"/>
                </w:tcPr>
                <w:p>
                  <w:pPr>
                    <w:pStyle w:val="39"/>
                    <w:rPr>
                      <w:rFonts w:ascii="Times New Roman" w:hAnsi="Times New Roman" w:eastAsia="宋体" w:cs="Times New Roman"/>
                      <w:color w:val="auto"/>
                      <w:szCs w:val="21"/>
                    </w:rPr>
                  </w:pPr>
                  <w:r>
                    <w:rPr>
                      <w:rFonts w:hint="eastAsia" w:ascii="Times New Roman" w:hAnsi="Times New Roman" w:eastAsia="宋体" w:cs="Times New Roman"/>
                      <w:color w:val="auto"/>
                      <w:szCs w:val="21"/>
                    </w:rPr>
                    <w:t>均匀度</w:t>
                  </w:r>
                  <w:r>
                    <w:rPr>
                      <w:rFonts w:ascii="Times New Roman" w:hAnsi="Times New Roman" w:eastAsia="宋体" w:cs="Times New Roman"/>
                      <w:color w:val="auto"/>
                      <w:szCs w:val="21"/>
                    </w:rPr>
                    <w:t>指数</w:t>
                  </w:r>
                  <w:r>
                    <w:rPr>
                      <w:rFonts w:hint="eastAsia" w:ascii="Times New Roman" w:hAnsi="Times New Roman" w:eastAsia="宋体" w:cs="Times New Roman"/>
                      <w:color w:val="auto"/>
                      <w:szCs w:val="21"/>
                    </w:rPr>
                    <w:t>UI</w:t>
                  </w:r>
                </w:p>
              </w:tc>
              <w:tc>
                <w:tcPr>
                  <w:tcW w:w="3750" w:type="dxa"/>
                  <w:tcBorders>
                    <w:tl2br w:val="nil"/>
                    <w:tr2bl w:val="nil"/>
                  </w:tcBorders>
                  <w:noWrap w:val="0"/>
                  <w:vAlign w:val="center"/>
                </w:tcPr>
                <w:p>
                  <w:pPr>
                    <w:pStyle w:val="39"/>
                    <w:rPr>
                      <w:rFonts w:ascii="Times New Roman" w:hAnsi="Times New Roman" w:eastAsia="宋体" w:cs="Times New Roman"/>
                      <w:color w:val="auto"/>
                      <w:szCs w:val="21"/>
                    </w:rPr>
                  </w:pPr>
                  <w:r>
                    <w:rPr>
                      <w:rFonts w:ascii="Times New Roman" w:hAnsi="Times New Roman" w:eastAsia="宋体" w:cs="Times New Roman"/>
                      <w:color w:val="auto"/>
                      <w:szCs w:val="21"/>
                    </w:rPr>
                    <w:t>45≤UI≤65</w:t>
                  </w:r>
                </w:p>
              </w:tc>
            </w:tr>
          </w:tbl>
          <w:p>
            <w:pPr>
              <w:keepNext w:val="0"/>
              <w:keepLines w:val="0"/>
              <w:pageBreakBefore w:val="0"/>
              <w:widowControl w:val="0"/>
              <w:kinsoku/>
              <w:wordWrap/>
              <w:overflowPunct/>
              <w:topLinePunct w:val="0"/>
              <w:autoSpaceDE/>
              <w:autoSpaceDN/>
              <w:bidi w:val="0"/>
              <w:adjustRightInd/>
              <w:snapToGrid/>
              <w:spacing w:line="240" w:lineRule="auto"/>
              <w:ind w:firstLine="413" w:firstLineChars="196"/>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表6 晶体状、液状基础肥料指标</w:t>
            </w:r>
          </w:p>
          <w:tbl>
            <w:tblPr>
              <w:tblStyle w:val="20"/>
              <w:tblW w:w="7950"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2"/>
              <w:gridCol w:w="3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22" w:type="dxa"/>
                  <w:tcBorders>
                    <w:tl2br w:val="nil"/>
                    <w:tr2bl w:val="nil"/>
                  </w:tcBorders>
                  <w:noWrap w:val="0"/>
                  <w:vAlign w:val="center"/>
                </w:tcPr>
                <w:p>
                  <w:pPr>
                    <w:pStyle w:val="39"/>
                    <w:rPr>
                      <w:rFonts w:ascii="Times New Roman" w:hAnsi="Times New Roman" w:eastAsia="宋体" w:cs="Times New Roman"/>
                      <w:color w:val="auto"/>
                      <w:szCs w:val="21"/>
                    </w:rPr>
                  </w:pPr>
                  <w:r>
                    <w:rPr>
                      <w:rFonts w:ascii="Times New Roman" w:hAnsi="Times New Roman" w:eastAsia="宋体" w:cs="Times New Roman"/>
                      <w:color w:val="auto"/>
                      <w:szCs w:val="21"/>
                    </w:rPr>
                    <w:t>项目</w:t>
                  </w:r>
                </w:p>
              </w:tc>
              <w:tc>
                <w:tcPr>
                  <w:tcW w:w="3228" w:type="dxa"/>
                  <w:tcBorders>
                    <w:tl2br w:val="nil"/>
                    <w:tr2bl w:val="nil"/>
                  </w:tcBorders>
                  <w:noWrap w:val="0"/>
                  <w:vAlign w:val="center"/>
                </w:tcPr>
                <w:p>
                  <w:pPr>
                    <w:pStyle w:val="39"/>
                    <w:rPr>
                      <w:rFonts w:ascii="Times New Roman" w:hAnsi="Times New Roman" w:eastAsia="宋体" w:cs="Times New Roman"/>
                      <w:color w:val="auto"/>
                      <w:szCs w:val="21"/>
                    </w:rPr>
                  </w:pPr>
                  <w:r>
                    <w:rPr>
                      <w:rFonts w:hint="eastAsia" w:ascii="Times New Roman" w:hAnsi="Times New Roman" w:eastAsia="宋体" w:cs="Times New Roman"/>
                      <w:color w:val="auto"/>
                      <w:szCs w:val="21"/>
                    </w:rPr>
                    <w:t>限量</w:t>
                  </w:r>
                  <w:r>
                    <w:rPr>
                      <w:rFonts w:ascii="Times New Roman" w:hAnsi="Times New Roman" w:eastAsia="宋体" w:cs="Times New Roman"/>
                      <w:color w:val="auto"/>
                      <w:szCs w:val="21"/>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22" w:type="dxa"/>
                  <w:tcBorders>
                    <w:tl2br w:val="nil"/>
                    <w:tr2bl w:val="nil"/>
                  </w:tcBorders>
                  <w:noWrap w:val="0"/>
                  <w:vAlign w:val="center"/>
                </w:tcPr>
                <w:p>
                  <w:pPr>
                    <w:pStyle w:val="39"/>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水不溶物的质量分数/%</w:t>
                  </w:r>
                  <w:r>
                    <w:rPr>
                      <w:rFonts w:ascii="Times New Roman" w:hAnsi="Times New Roman" w:eastAsia="宋体" w:cs="Times New Roman"/>
                      <w:color w:val="auto"/>
                      <w:szCs w:val="21"/>
                    </w:rPr>
                    <w:t xml:space="preserve">   </w:t>
                  </w:r>
                  <w:r>
                    <w:rPr>
                      <w:rFonts w:hint="eastAsia" w:ascii="Times New Roman" w:hAnsi="Times New Roman" w:eastAsia="宋体" w:cs="Times New Roman"/>
                      <w:color w:val="auto"/>
                      <w:szCs w:val="21"/>
                    </w:rPr>
                    <w:t>≤</w:t>
                  </w:r>
                </w:p>
              </w:tc>
              <w:tc>
                <w:tcPr>
                  <w:tcW w:w="3228" w:type="dxa"/>
                  <w:tcBorders>
                    <w:tl2br w:val="nil"/>
                    <w:tr2bl w:val="nil"/>
                  </w:tcBorders>
                  <w:noWrap w:val="0"/>
                  <w:vAlign w:val="center"/>
                </w:tcPr>
                <w:p>
                  <w:pPr>
                    <w:pStyle w:val="39"/>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.5</w:t>
                  </w:r>
                </w:p>
              </w:tc>
            </w:tr>
          </w:tbl>
          <w:p>
            <w:pPr>
              <w:pStyle w:val="10"/>
              <w:spacing w:line="360" w:lineRule="auto"/>
              <w:ind w:left="-101" w:leftChars="-48" w:right="-65" w:rightChars="-31" w:firstLine="480"/>
              <w:jc w:val="left"/>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高端有机肥、颗粒有机肥执行《有机肥料标准》（NY525-2012）标准，见下表。</w:t>
            </w:r>
          </w:p>
          <w:p>
            <w:pPr>
              <w:keepNext w:val="0"/>
              <w:keepLines w:val="0"/>
              <w:pageBreakBefore w:val="0"/>
              <w:widowControl w:val="0"/>
              <w:kinsoku/>
              <w:wordWrap/>
              <w:overflowPunct/>
              <w:topLinePunct w:val="0"/>
              <w:autoSpaceDE/>
              <w:autoSpaceDN/>
              <w:bidi w:val="0"/>
              <w:adjustRightInd/>
              <w:snapToGrid/>
              <w:spacing w:line="240" w:lineRule="auto"/>
              <w:ind w:firstLine="413" w:firstLineChars="196"/>
              <w:jc w:val="center"/>
              <w:textAlignment w:val="auto"/>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表7 高端有机肥指标</w:t>
            </w:r>
          </w:p>
          <w:tbl>
            <w:tblPr>
              <w:tblStyle w:val="20"/>
              <w:tblW w:w="7980" w:type="dxa"/>
              <w:tblInd w:w="-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3"/>
              <w:gridCol w:w="4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3" w:type="dxa"/>
                  <w:tcBorders>
                    <w:tl2br w:val="nil"/>
                    <w:tr2bl w:val="nil"/>
                  </w:tcBorders>
                  <w:noWrap w:val="0"/>
                  <w:vAlign w:val="center"/>
                </w:tcPr>
                <w:p>
                  <w:pPr>
                    <w:pStyle w:val="39"/>
                    <w:rPr>
                      <w:rFonts w:ascii="Times New Roman" w:hAnsi="Times New Roman" w:eastAsia="宋体" w:cs="Times New Roman"/>
                      <w:color w:val="auto"/>
                      <w:szCs w:val="21"/>
                    </w:rPr>
                  </w:pPr>
                  <w:r>
                    <w:rPr>
                      <w:rFonts w:ascii="Times New Roman" w:hAnsi="Times New Roman" w:eastAsia="宋体" w:cs="Times New Roman"/>
                      <w:color w:val="auto"/>
                      <w:szCs w:val="21"/>
                    </w:rPr>
                    <w:t>项目</w:t>
                  </w:r>
                </w:p>
              </w:tc>
              <w:tc>
                <w:tcPr>
                  <w:tcW w:w="4027" w:type="dxa"/>
                  <w:tcBorders>
                    <w:tl2br w:val="nil"/>
                    <w:tr2bl w:val="nil"/>
                  </w:tcBorders>
                  <w:noWrap w:val="0"/>
                  <w:vAlign w:val="center"/>
                </w:tcPr>
                <w:p>
                  <w:pPr>
                    <w:pStyle w:val="39"/>
                    <w:rPr>
                      <w:rFonts w:ascii="Times New Roman" w:hAnsi="Times New Roman" w:eastAsia="宋体" w:cs="Times New Roman"/>
                      <w:color w:val="auto"/>
                      <w:szCs w:val="21"/>
                    </w:rPr>
                  </w:pPr>
                  <w:r>
                    <w:rPr>
                      <w:rFonts w:ascii="Times New Roman" w:hAnsi="Times New Roman" w:eastAsia="宋体" w:cs="Times New Roman"/>
                      <w:color w:val="auto"/>
                      <w:szCs w:val="21"/>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3" w:type="dxa"/>
                  <w:tcBorders>
                    <w:tl2br w:val="nil"/>
                    <w:tr2bl w:val="nil"/>
                  </w:tcBorders>
                  <w:noWrap w:val="0"/>
                  <w:vAlign w:val="center"/>
                </w:tcPr>
                <w:p>
                  <w:pPr>
                    <w:pStyle w:val="39"/>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有机质</w:t>
                  </w:r>
                </w:p>
              </w:tc>
              <w:tc>
                <w:tcPr>
                  <w:tcW w:w="4027" w:type="dxa"/>
                  <w:tcBorders>
                    <w:tl2br w:val="nil"/>
                    <w:tr2bl w:val="nil"/>
                  </w:tcBorders>
                  <w:noWrap w:val="0"/>
                  <w:vAlign w:val="center"/>
                </w:tcPr>
                <w:p>
                  <w:pPr>
                    <w:pStyle w:val="39"/>
                    <w:rPr>
                      <w:rFonts w:hint="default" w:ascii="Times New Roman" w:hAnsi="Times New Roman" w:eastAsia="宋体" w:cs="Times New Roman"/>
                      <w:color w:val="auto"/>
                      <w:szCs w:val="21"/>
                      <w:lang w:val="en-US" w:eastAsia="zh-CN"/>
                    </w:rPr>
                  </w:pPr>
                  <w:r>
                    <w:rPr>
                      <w:rFonts w:hint="default" w:ascii="Arial" w:hAnsi="Arial" w:eastAsia="宋体" w:cs="Arial"/>
                      <w:color w:val="auto"/>
                      <w:szCs w:val="21"/>
                    </w:rPr>
                    <w:t>≥</w:t>
                  </w:r>
                  <w:r>
                    <w:rPr>
                      <w:rFonts w:hint="eastAsia" w:ascii="Times New Roman" w:hAnsi="Times New Roman" w:eastAsia="宋体" w:cs="Times New Roman"/>
                      <w:color w:val="auto"/>
                      <w:szCs w:val="21"/>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3" w:type="dxa"/>
                  <w:tcBorders>
                    <w:tl2br w:val="nil"/>
                    <w:tr2bl w:val="nil"/>
                  </w:tcBorders>
                  <w:noWrap w:val="0"/>
                  <w:vAlign w:val="center"/>
                </w:tcPr>
                <w:p>
                  <w:pPr>
                    <w:pStyle w:val="3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水分</w:t>
                  </w:r>
                </w:p>
              </w:tc>
              <w:tc>
                <w:tcPr>
                  <w:tcW w:w="4027" w:type="dxa"/>
                  <w:tcBorders>
                    <w:tl2br w:val="nil"/>
                    <w:tr2bl w:val="nil"/>
                  </w:tcBorders>
                  <w:noWrap w:val="0"/>
                  <w:vAlign w:val="center"/>
                </w:tcPr>
                <w:p>
                  <w:pPr>
                    <w:pStyle w:val="39"/>
                    <w:rPr>
                      <w:rFonts w:hint="default" w:ascii="Times New Roman" w:hAnsi="Times New Roman" w:eastAsia="宋体" w:cs="Times New Roman"/>
                      <w:color w:val="auto"/>
                      <w:szCs w:val="21"/>
                      <w:lang w:val="en-US" w:eastAsia="zh-CN"/>
                    </w:rPr>
                  </w:pPr>
                  <w:r>
                    <w:rPr>
                      <w:rFonts w:hint="default" w:ascii="Arial" w:hAnsi="Arial" w:eastAsia="宋体" w:cs="Arial"/>
                      <w:color w:val="auto"/>
                      <w:szCs w:val="21"/>
                    </w:rPr>
                    <w:t>≤</w:t>
                  </w:r>
                  <w:r>
                    <w:rPr>
                      <w:rFonts w:hint="eastAsia" w:ascii="Times New Roman" w:hAnsi="Times New Roman" w:eastAsia="宋体" w:cs="Times New Roman"/>
                      <w:color w:val="auto"/>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3" w:type="dxa"/>
                  <w:tcBorders>
                    <w:tl2br w:val="nil"/>
                    <w:tr2bl w:val="nil"/>
                  </w:tcBorders>
                  <w:noWrap w:val="0"/>
                  <w:vAlign w:val="center"/>
                </w:tcPr>
                <w:p>
                  <w:pPr>
                    <w:pStyle w:val="39"/>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NPK</w:t>
                  </w:r>
                </w:p>
              </w:tc>
              <w:tc>
                <w:tcPr>
                  <w:tcW w:w="4027" w:type="dxa"/>
                  <w:tcBorders>
                    <w:tl2br w:val="nil"/>
                    <w:tr2bl w:val="nil"/>
                  </w:tcBorders>
                  <w:noWrap w:val="0"/>
                  <w:vAlign w:val="center"/>
                </w:tcPr>
                <w:p>
                  <w:pPr>
                    <w:pStyle w:val="39"/>
                    <w:rPr>
                      <w:rFonts w:ascii="Times New Roman" w:hAnsi="Times New Roman" w:eastAsia="宋体" w:cs="Times New Roman"/>
                      <w:color w:val="auto"/>
                      <w:szCs w:val="21"/>
                    </w:rPr>
                  </w:pPr>
                  <w:r>
                    <w:rPr>
                      <w:rFonts w:hint="default" w:ascii="Arial" w:hAnsi="Arial" w:eastAsia="宋体" w:cs="Arial"/>
                      <w:color w:val="auto"/>
                      <w:szCs w:val="21"/>
                    </w:rPr>
                    <w:t>≥</w:t>
                  </w:r>
                  <w:r>
                    <w:rPr>
                      <w:rFonts w:hint="eastAsia" w:ascii="Times New Roman" w:hAnsi="Times New Roman" w:eastAsia="宋体" w:cs="Times New Roman"/>
                      <w:color w:val="auto"/>
                      <w:szCs w:val="21"/>
                      <w:lang w:val="en-US" w:eastAsia="zh-CN"/>
                    </w:rPr>
                    <w:t>10%</w:t>
                  </w:r>
                </w:p>
              </w:tc>
            </w:tr>
          </w:tbl>
          <w:p>
            <w:pPr>
              <w:keepNext w:val="0"/>
              <w:keepLines w:val="0"/>
              <w:pageBreakBefore w:val="0"/>
              <w:widowControl w:val="0"/>
              <w:kinsoku/>
              <w:wordWrap/>
              <w:overflowPunct/>
              <w:topLinePunct w:val="0"/>
              <w:autoSpaceDE/>
              <w:autoSpaceDN/>
              <w:bidi w:val="0"/>
              <w:adjustRightInd/>
              <w:snapToGrid/>
              <w:spacing w:line="240" w:lineRule="auto"/>
              <w:ind w:firstLine="413" w:firstLineChars="196"/>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表8 颗粒有机肥指标</w:t>
            </w:r>
          </w:p>
          <w:tbl>
            <w:tblPr>
              <w:tblStyle w:val="20"/>
              <w:tblW w:w="7980" w:type="dxa"/>
              <w:tblInd w:w="-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3"/>
              <w:gridCol w:w="4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3" w:type="dxa"/>
                  <w:tcBorders>
                    <w:tl2br w:val="nil"/>
                    <w:tr2bl w:val="nil"/>
                  </w:tcBorders>
                  <w:noWrap w:val="0"/>
                  <w:vAlign w:val="center"/>
                </w:tcPr>
                <w:p>
                  <w:pPr>
                    <w:pStyle w:val="39"/>
                    <w:rPr>
                      <w:rFonts w:ascii="Times New Roman" w:hAnsi="Times New Roman" w:eastAsia="宋体" w:cs="Times New Roman"/>
                      <w:color w:val="auto"/>
                      <w:szCs w:val="21"/>
                    </w:rPr>
                  </w:pPr>
                  <w:r>
                    <w:rPr>
                      <w:rFonts w:ascii="Times New Roman" w:hAnsi="Times New Roman" w:eastAsia="宋体" w:cs="Times New Roman"/>
                      <w:color w:val="auto"/>
                      <w:szCs w:val="21"/>
                    </w:rPr>
                    <w:t>项目</w:t>
                  </w:r>
                </w:p>
              </w:tc>
              <w:tc>
                <w:tcPr>
                  <w:tcW w:w="4027" w:type="dxa"/>
                  <w:tcBorders>
                    <w:tl2br w:val="nil"/>
                    <w:tr2bl w:val="nil"/>
                  </w:tcBorders>
                  <w:noWrap w:val="0"/>
                  <w:vAlign w:val="center"/>
                </w:tcPr>
                <w:p>
                  <w:pPr>
                    <w:pStyle w:val="39"/>
                    <w:rPr>
                      <w:rFonts w:ascii="Times New Roman" w:hAnsi="Times New Roman" w:eastAsia="宋体" w:cs="Times New Roman"/>
                      <w:color w:val="auto"/>
                      <w:szCs w:val="21"/>
                    </w:rPr>
                  </w:pPr>
                  <w:r>
                    <w:rPr>
                      <w:rFonts w:ascii="Times New Roman" w:hAnsi="Times New Roman" w:eastAsia="宋体" w:cs="Times New Roman"/>
                      <w:color w:val="auto"/>
                      <w:szCs w:val="21"/>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3" w:type="dxa"/>
                  <w:tcBorders>
                    <w:tl2br w:val="nil"/>
                    <w:tr2bl w:val="nil"/>
                  </w:tcBorders>
                  <w:noWrap w:val="0"/>
                  <w:vAlign w:val="center"/>
                </w:tcPr>
                <w:p>
                  <w:pPr>
                    <w:pStyle w:val="39"/>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有机质</w:t>
                  </w:r>
                </w:p>
              </w:tc>
              <w:tc>
                <w:tcPr>
                  <w:tcW w:w="4027" w:type="dxa"/>
                  <w:tcBorders>
                    <w:tl2br w:val="nil"/>
                    <w:tr2bl w:val="nil"/>
                  </w:tcBorders>
                  <w:noWrap w:val="0"/>
                  <w:vAlign w:val="center"/>
                </w:tcPr>
                <w:p>
                  <w:pPr>
                    <w:pStyle w:val="39"/>
                    <w:rPr>
                      <w:rFonts w:hint="default" w:ascii="Times New Roman" w:hAnsi="Times New Roman" w:eastAsia="宋体" w:cs="Times New Roman"/>
                      <w:color w:val="auto"/>
                      <w:szCs w:val="21"/>
                      <w:lang w:val="en-US" w:eastAsia="zh-CN"/>
                    </w:rPr>
                  </w:pPr>
                  <w:r>
                    <w:rPr>
                      <w:rFonts w:hint="default" w:ascii="Arial" w:hAnsi="Arial" w:eastAsia="宋体" w:cs="Arial"/>
                      <w:color w:val="auto"/>
                      <w:szCs w:val="21"/>
                    </w:rPr>
                    <w:t>≥</w:t>
                  </w:r>
                  <w:r>
                    <w:rPr>
                      <w:rFonts w:hint="eastAsia" w:ascii="Times New Roman" w:hAnsi="Times New Roman" w:eastAsia="宋体" w:cs="Times New Roman"/>
                      <w:color w:val="auto"/>
                      <w:szCs w:val="21"/>
                      <w:lang w:val="en-US"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3" w:type="dxa"/>
                  <w:tcBorders>
                    <w:tl2br w:val="nil"/>
                    <w:tr2bl w:val="nil"/>
                  </w:tcBorders>
                  <w:noWrap w:val="0"/>
                  <w:vAlign w:val="center"/>
                </w:tcPr>
                <w:p>
                  <w:pPr>
                    <w:pStyle w:val="39"/>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水分</w:t>
                  </w:r>
                </w:p>
              </w:tc>
              <w:tc>
                <w:tcPr>
                  <w:tcW w:w="4027" w:type="dxa"/>
                  <w:tcBorders>
                    <w:tl2br w:val="nil"/>
                    <w:tr2bl w:val="nil"/>
                  </w:tcBorders>
                  <w:noWrap w:val="0"/>
                  <w:vAlign w:val="center"/>
                </w:tcPr>
                <w:p>
                  <w:pPr>
                    <w:pStyle w:val="39"/>
                    <w:rPr>
                      <w:rFonts w:hint="default" w:ascii="Times New Roman" w:hAnsi="Times New Roman" w:eastAsia="宋体" w:cs="Times New Roman"/>
                      <w:color w:val="auto"/>
                      <w:szCs w:val="21"/>
                      <w:lang w:val="en-US" w:eastAsia="zh-CN"/>
                    </w:rPr>
                  </w:pPr>
                  <w:r>
                    <w:rPr>
                      <w:rFonts w:hint="default" w:ascii="Arial" w:hAnsi="Arial" w:eastAsia="宋体" w:cs="Arial"/>
                      <w:color w:val="auto"/>
                      <w:szCs w:val="21"/>
                    </w:rPr>
                    <w:t>≤</w:t>
                  </w:r>
                  <w:r>
                    <w:rPr>
                      <w:rFonts w:hint="eastAsia" w:ascii="Times New Roman" w:hAnsi="Times New Roman" w:eastAsia="宋体" w:cs="Times New Roman"/>
                      <w:color w:val="auto"/>
                      <w:szCs w:val="21"/>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3" w:type="dxa"/>
                  <w:tcBorders>
                    <w:tl2br w:val="nil"/>
                    <w:tr2bl w:val="nil"/>
                  </w:tcBorders>
                  <w:noWrap w:val="0"/>
                  <w:vAlign w:val="center"/>
                </w:tcPr>
                <w:p>
                  <w:pPr>
                    <w:pStyle w:val="39"/>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NPK</w:t>
                  </w:r>
                </w:p>
              </w:tc>
              <w:tc>
                <w:tcPr>
                  <w:tcW w:w="4027" w:type="dxa"/>
                  <w:tcBorders>
                    <w:tl2br w:val="nil"/>
                    <w:tr2bl w:val="nil"/>
                  </w:tcBorders>
                  <w:noWrap w:val="0"/>
                  <w:vAlign w:val="center"/>
                </w:tcPr>
                <w:p>
                  <w:pPr>
                    <w:pStyle w:val="39"/>
                    <w:rPr>
                      <w:rFonts w:ascii="Times New Roman" w:hAnsi="Times New Roman" w:eastAsia="宋体" w:cs="Times New Roman"/>
                      <w:color w:val="auto"/>
                      <w:szCs w:val="21"/>
                    </w:rPr>
                  </w:pPr>
                  <w:r>
                    <w:rPr>
                      <w:rFonts w:hint="default" w:ascii="Arial" w:hAnsi="Arial" w:eastAsia="宋体" w:cs="Arial"/>
                      <w:color w:val="auto"/>
                      <w:szCs w:val="21"/>
                    </w:rPr>
                    <w:t>≥</w:t>
                  </w:r>
                  <w:r>
                    <w:rPr>
                      <w:rFonts w:hint="eastAsia" w:ascii="Times New Roman" w:hAnsi="Times New Roman" w:eastAsia="宋体" w:cs="Times New Roman"/>
                      <w:color w:val="auto"/>
                      <w:szCs w:val="21"/>
                      <w:lang w:val="en-US" w:eastAsia="zh-CN"/>
                    </w:rPr>
                    <w:t>5%</w:t>
                  </w:r>
                </w:p>
              </w:tc>
            </w:tr>
          </w:tbl>
          <w:p>
            <w:pPr>
              <w:keepNext w:val="0"/>
              <w:keepLines w:val="0"/>
              <w:pageBreakBefore w:val="0"/>
              <w:widowControl w:val="0"/>
              <w:kinsoku/>
              <w:wordWrap/>
              <w:overflowPunct/>
              <w:topLinePunct w:val="0"/>
              <w:autoSpaceDE/>
              <w:autoSpaceDN/>
              <w:bidi w:val="0"/>
              <w:adjustRightInd/>
              <w:snapToGrid/>
              <w:spacing w:line="240" w:lineRule="auto"/>
              <w:ind w:firstLine="413" w:firstLineChars="196"/>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表</w:t>
            </w:r>
            <w:r>
              <w:rPr>
                <w:rFonts w:hint="eastAsia" w:ascii="宋体" w:hAnsi="宋体" w:eastAsia="宋体" w:cs="宋体"/>
                <w:b/>
                <w:bCs/>
                <w:color w:val="auto"/>
                <w:sz w:val="21"/>
                <w:szCs w:val="21"/>
                <w:lang w:val="en-US" w:eastAsia="zh-CN"/>
              </w:rPr>
              <w:t>9</w:t>
            </w:r>
            <w:r>
              <w:rPr>
                <w:rFonts w:hint="eastAsia" w:ascii="宋体" w:hAnsi="宋体" w:eastAsia="宋体" w:cs="宋体"/>
                <w:b/>
                <w:bCs/>
                <w:color w:val="auto"/>
                <w:sz w:val="21"/>
                <w:szCs w:val="21"/>
              </w:rPr>
              <w:t xml:space="preserve"> </w:t>
            </w:r>
            <w:r>
              <w:rPr>
                <w:rFonts w:hint="eastAsia" w:ascii="宋体" w:hAnsi="宋体" w:eastAsia="宋体" w:cs="宋体"/>
                <w:b/>
                <w:bCs/>
                <w:color w:val="auto"/>
                <w:sz w:val="21"/>
                <w:szCs w:val="21"/>
                <w:lang w:val="en-US" w:eastAsia="zh-CN"/>
              </w:rPr>
              <w:t>配方肥</w:t>
            </w:r>
            <w:r>
              <w:rPr>
                <w:rFonts w:hint="eastAsia" w:ascii="宋体" w:hAnsi="宋体" w:eastAsia="宋体" w:cs="宋体"/>
                <w:b/>
                <w:bCs/>
                <w:color w:val="auto"/>
                <w:sz w:val="21"/>
                <w:szCs w:val="21"/>
              </w:rPr>
              <w:t>主要原辅材料消耗一览表</w:t>
            </w:r>
          </w:p>
          <w:tbl>
            <w:tblPr>
              <w:tblStyle w:val="19"/>
              <w:tblW w:w="7980" w:type="dxa"/>
              <w:tblInd w:w="-5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796"/>
              <w:gridCol w:w="1994"/>
              <w:gridCol w:w="1853"/>
              <w:gridCol w:w="333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r>
                    <w:rPr>
                      <w:rFonts w:hint="eastAsia"/>
                      <w:color w:val="auto"/>
                      <w:szCs w:val="21"/>
                    </w:rPr>
                    <w:t>序号</w:t>
                  </w:r>
                </w:p>
              </w:tc>
              <w:tc>
                <w:tcPr>
                  <w:tcW w:w="1994" w:type="dxa"/>
                  <w:tcBorders>
                    <w:tl2br w:val="nil"/>
                    <w:tr2bl w:val="nil"/>
                  </w:tcBorders>
                  <w:noWrap w:val="0"/>
                  <w:vAlign w:val="center"/>
                </w:tcPr>
                <w:p>
                  <w:pPr>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名称</w:t>
                  </w:r>
                </w:p>
              </w:tc>
              <w:tc>
                <w:tcPr>
                  <w:tcW w:w="1853" w:type="dxa"/>
                  <w:tcBorders>
                    <w:tl2br w:val="nil"/>
                    <w:tr2bl w:val="nil"/>
                  </w:tcBorders>
                  <w:noWrap w:val="0"/>
                  <w:vAlign w:val="center"/>
                </w:tcPr>
                <w:p>
                  <w:pPr>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用量（t/a）</w:t>
                  </w:r>
                </w:p>
              </w:tc>
              <w:tc>
                <w:tcPr>
                  <w:tcW w:w="3337" w:type="dxa"/>
                  <w:tcBorders>
                    <w:tl2br w:val="nil"/>
                    <w:tr2bl w:val="nil"/>
                  </w:tcBorders>
                  <w:noWrap w:val="0"/>
                  <w:vAlign w:val="center"/>
                </w:tcPr>
                <w:p>
                  <w:pPr>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来源</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r>
                    <w:rPr>
                      <w:rFonts w:hint="eastAsia"/>
                      <w:color w:val="auto"/>
                      <w:szCs w:val="21"/>
                    </w:rPr>
                    <w:t>1</w:t>
                  </w:r>
                </w:p>
              </w:tc>
              <w:tc>
                <w:tcPr>
                  <w:tcW w:w="1994"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eastAsia="宋体"/>
                      <w:color w:val="auto"/>
                      <w:szCs w:val="21"/>
                      <w:lang w:val="en-US" w:eastAsia="zh-CN"/>
                    </w:rPr>
                    <w:t>尿素</w:t>
                  </w:r>
                </w:p>
              </w:tc>
              <w:tc>
                <w:tcPr>
                  <w:tcW w:w="1853"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4000</w:t>
                  </w:r>
                </w:p>
              </w:tc>
              <w:tc>
                <w:tcPr>
                  <w:tcW w:w="3337" w:type="dxa"/>
                  <w:tcBorders>
                    <w:tl2br w:val="nil"/>
                    <w:tr2bl w:val="nil"/>
                  </w:tcBorders>
                  <w:noWrap w:val="0"/>
                  <w:vAlign w:val="center"/>
                </w:tcPr>
                <w:p>
                  <w:pPr>
                    <w:spacing w:line="0" w:lineRule="atLeast"/>
                    <w:jc w:val="center"/>
                    <w:rPr>
                      <w:color w:val="auto"/>
                      <w:szCs w:val="21"/>
                    </w:rPr>
                  </w:pPr>
                  <w:r>
                    <w:rPr>
                      <w:rFonts w:hint="eastAsia"/>
                      <w:color w:val="auto"/>
                      <w:szCs w:val="21"/>
                    </w:rPr>
                    <w:t>鄂尔多斯市联合化工股份有限公司</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38"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r>
                    <w:rPr>
                      <w:rFonts w:hint="eastAsia"/>
                      <w:color w:val="auto"/>
                      <w:szCs w:val="21"/>
                    </w:rPr>
                    <w:t>2</w:t>
                  </w:r>
                </w:p>
              </w:tc>
              <w:tc>
                <w:tcPr>
                  <w:tcW w:w="1994" w:type="dxa"/>
                  <w:tcBorders>
                    <w:tl2br w:val="nil"/>
                    <w:tr2bl w:val="nil"/>
                  </w:tcBorders>
                  <w:noWrap w:val="0"/>
                  <w:vAlign w:val="center"/>
                </w:tcPr>
                <w:p>
                  <w:pPr>
                    <w:spacing w:line="0" w:lineRule="atLeast"/>
                    <w:jc w:val="center"/>
                    <w:rPr>
                      <w:color w:val="auto"/>
                      <w:szCs w:val="21"/>
                    </w:rPr>
                  </w:pPr>
                  <w:r>
                    <w:rPr>
                      <w:rFonts w:hint="eastAsia"/>
                      <w:color w:val="auto"/>
                      <w:szCs w:val="21"/>
                    </w:rPr>
                    <w:t>磷酸二氢钾</w:t>
                  </w:r>
                </w:p>
              </w:tc>
              <w:tc>
                <w:tcPr>
                  <w:tcW w:w="1853"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eastAsia="宋体"/>
                      <w:color w:val="auto"/>
                      <w:szCs w:val="21"/>
                      <w:lang w:val="en-US" w:eastAsia="zh-CN"/>
                    </w:rPr>
                    <w:t>1305.28</w:t>
                  </w:r>
                </w:p>
              </w:tc>
              <w:tc>
                <w:tcPr>
                  <w:tcW w:w="3337" w:type="dxa"/>
                  <w:tcBorders>
                    <w:tl2br w:val="nil"/>
                    <w:tr2bl w:val="nil"/>
                  </w:tcBorders>
                  <w:noWrap w:val="0"/>
                  <w:vAlign w:val="center"/>
                </w:tcPr>
                <w:p>
                  <w:pPr>
                    <w:keepNext w:val="0"/>
                    <w:keepLines w:val="0"/>
                    <w:widowControl/>
                    <w:suppressLineNumbers w:val="0"/>
                    <w:jc w:val="center"/>
                    <w:textAlignment w:val="center"/>
                    <w:rPr>
                      <w:rFonts w:ascii="Calibri" w:hAnsi="Calibri" w:eastAsia="宋体" w:cs="Calibri"/>
                      <w:i w:val="0"/>
                      <w:iCs w:val="0"/>
                      <w:color w:val="auto"/>
                      <w:kern w:val="2"/>
                      <w:sz w:val="21"/>
                      <w:szCs w:val="21"/>
                      <w:u w:val="none"/>
                      <w:lang w:val="en-US" w:eastAsia="zh-CN" w:bidi="ar-SA"/>
                    </w:rPr>
                  </w:pPr>
                  <w:r>
                    <w:rPr>
                      <w:rFonts w:hint="default" w:ascii="Times New Roman" w:hAnsi="Times New Roman" w:eastAsia="宋体" w:cs="Times New Roman"/>
                      <w:color w:val="auto"/>
                      <w:szCs w:val="21"/>
                      <w:lang w:val="en-US" w:eastAsia="zh-CN"/>
                    </w:rPr>
                    <w:fldChar w:fldCharType="begin"/>
                  </w:r>
                  <w:r>
                    <w:rPr>
                      <w:rFonts w:hint="default" w:ascii="Times New Roman" w:hAnsi="Times New Roman" w:eastAsia="宋体" w:cs="Times New Roman"/>
                      <w:color w:val="auto"/>
                      <w:szCs w:val="21"/>
                      <w:lang w:val="en-US" w:eastAsia="zh-CN"/>
                    </w:rPr>
                    <w:instrText xml:space="preserve"> HYPERLINK "http://www.baidu.com/link?url=H_SdWWxvgiPIQhBFFqg4YSD2uDjMEGaqJDcoaXPVIEq" \o "http://www.baidu.com/link?url=H_SdWWxvgiPIQhBFFqg4YSD2uDjMEGaqJDcoaXPVIEq" </w:instrText>
                  </w:r>
                  <w:r>
                    <w:rPr>
                      <w:rFonts w:hint="default" w:ascii="Times New Roman" w:hAnsi="Times New Roman" w:eastAsia="宋体" w:cs="Times New Roman"/>
                      <w:color w:val="auto"/>
                      <w:szCs w:val="21"/>
                      <w:lang w:val="en-US" w:eastAsia="zh-CN"/>
                    </w:rPr>
                    <w:fldChar w:fldCharType="separate"/>
                  </w:r>
                  <w:r>
                    <w:rPr>
                      <w:rFonts w:hint="default" w:ascii="Times New Roman" w:hAnsi="Times New Roman" w:eastAsia="宋体" w:cs="Times New Roman"/>
                      <w:color w:val="auto"/>
                      <w:szCs w:val="21"/>
                    </w:rPr>
                    <w:t>湖北祥云（集团）化工股份有限公司</w:t>
                  </w:r>
                  <w:r>
                    <w:rPr>
                      <w:rFonts w:hint="default" w:ascii="Times New Roman" w:hAnsi="Times New Roman" w:eastAsia="宋体" w:cs="Times New Roman"/>
                      <w:color w:val="auto"/>
                      <w:szCs w:val="21"/>
                      <w:lang w:val="en-US" w:eastAsia="zh-CN"/>
                    </w:rPr>
                    <w:fldChar w:fldCharType="end"/>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r>
                    <w:rPr>
                      <w:rFonts w:hint="eastAsia"/>
                      <w:color w:val="auto"/>
                      <w:szCs w:val="21"/>
                    </w:rPr>
                    <w:t>3</w:t>
                  </w:r>
                </w:p>
              </w:tc>
              <w:tc>
                <w:tcPr>
                  <w:tcW w:w="1994" w:type="dxa"/>
                  <w:tcBorders>
                    <w:tl2br w:val="nil"/>
                    <w:tr2bl w:val="nil"/>
                  </w:tcBorders>
                  <w:noWrap w:val="0"/>
                  <w:vAlign w:val="center"/>
                </w:tcPr>
                <w:p>
                  <w:pPr>
                    <w:spacing w:line="0" w:lineRule="atLeast"/>
                    <w:jc w:val="center"/>
                    <w:rPr>
                      <w:color w:val="auto"/>
                      <w:szCs w:val="21"/>
                    </w:rPr>
                  </w:pPr>
                  <w:r>
                    <w:rPr>
                      <w:rFonts w:hint="eastAsia"/>
                      <w:color w:val="auto"/>
                      <w:szCs w:val="21"/>
                    </w:rPr>
                    <w:t>磷酸二铵</w:t>
                  </w:r>
                </w:p>
              </w:tc>
              <w:tc>
                <w:tcPr>
                  <w:tcW w:w="1853"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eastAsia="宋体"/>
                      <w:color w:val="auto"/>
                      <w:szCs w:val="21"/>
                      <w:lang w:val="en-US" w:eastAsia="zh-CN"/>
                    </w:rPr>
                    <w:t>2500</w:t>
                  </w:r>
                </w:p>
              </w:tc>
              <w:tc>
                <w:tcPr>
                  <w:tcW w:w="3337" w:type="dxa"/>
                  <w:tcBorders>
                    <w:tl2br w:val="nil"/>
                    <w:tr2bl w:val="nil"/>
                  </w:tcBorders>
                  <w:noWrap w:val="0"/>
                  <w:vAlign w:val="center"/>
                </w:tcPr>
                <w:p>
                  <w:pPr>
                    <w:spacing w:line="0" w:lineRule="atLeast"/>
                    <w:jc w:val="center"/>
                    <w:rPr>
                      <w:color w:val="auto"/>
                      <w:szCs w:val="21"/>
                    </w:rPr>
                  </w:pPr>
                  <w:r>
                    <w:rPr>
                      <w:rFonts w:hint="eastAsia"/>
                      <w:color w:val="auto"/>
                      <w:szCs w:val="21"/>
                    </w:rPr>
                    <w:t>湖北三宁化工股份有限公司</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r>
                    <w:rPr>
                      <w:rFonts w:hint="eastAsia"/>
                      <w:color w:val="auto"/>
                      <w:szCs w:val="21"/>
                    </w:rPr>
                    <w:t>4</w:t>
                  </w:r>
                </w:p>
              </w:tc>
              <w:tc>
                <w:tcPr>
                  <w:tcW w:w="1994" w:type="dxa"/>
                  <w:tcBorders>
                    <w:tl2br w:val="nil"/>
                    <w:tr2bl w:val="nil"/>
                  </w:tcBorders>
                  <w:noWrap w:val="0"/>
                  <w:vAlign w:val="center"/>
                </w:tcPr>
                <w:p>
                  <w:pPr>
                    <w:spacing w:line="0" w:lineRule="atLeast"/>
                    <w:jc w:val="center"/>
                    <w:rPr>
                      <w:color w:val="auto"/>
                      <w:szCs w:val="21"/>
                    </w:rPr>
                  </w:pPr>
                  <w:r>
                    <w:rPr>
                      <w:rFonts w:hint="eastAsia"/>
                      <w:color w:val="auto"/>
                      <w:szCs w:val="21"/>
                    </w:rPr>
                    <w:t>氨基酸液</w:t>
                  </w:r>
                </w:p>
              </w:tc>
              <w:tc>
                <w:tcPr>
                  <w:tcW w:w="1853"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eastAsia="宋体"/>
                      <w:color w:val="auto"/>
                      <w:szCs w:val="21"/>
                      <w:lang w:val="en-US" w:eastAsia="zh-CN"/>
                    </w:rPr>
                    <w:t>2000</w:t>
                  </w:r>
                </w:p>
              </w:tc>
              <w:tc>
                <w:tcPr>
                  <w:tcW w:w="3337" w:type="dxa"/>
                  <w:tcBorders>
                    <w:tl2br w:val="nil"/>
                    <w:tr2bl w:val="nil"/>
                  </w:tcBorders>
                  <w:noWrap w:val="0"/>
                  <w:vAlign w:val="center"/>
                </w:tcPr>
                <w:p>
                  <w:pPr>
                    <w:spacing w:line="0" w:lineRule="atLeast"/>
                    <w:jc w:val="center"/>
                    <w:rPr>
                      <w:color w:val="auto"/>
                      <w:szCs w:val="21"/>
                    </w:rPr>
                  </w:pPr>
                  <w:r>
                    <w:rPr>
                      <w:rFonts w:hint="eastAsia"/>
                      <w:color w:val="auto"/>
                      <w:szCs w:val="21"/>
                    </w:rPr>
                    <w:t>湖北新生源生物工程股份有限公司</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r>
                    <w:rPr>
                      <w:rFonts w:hint="eastAsia"/>
                      <w:color w:val="auto"/>
                      <w:szCs w:val="21"/>
                    </w:rPr>
                    <w:t>5</w:t>
                  </w:r>
                </w:p>
              </w:tc>
              <w:tc>
                <w:tcPr>
                  <w:tcW w:w="1994"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腐殖酸液</w:t>
                  </w:r>
                </w:p>
              </w:tc>
              <w:tc>
                <w:tcPr>
                  <w:tcW w:w="1853"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2000</w:t>
                  </w:r>
                </w:p>
              </w:tc>
              <w:tc>
                <w:tcPr>
                  <w:tcW w:w="3337" w:type="dxa"/>
                  <w:tcBorders>
                    <w:tl2br w:val="nil"/>
                    <w:tr2bl w:val="nil"/>
                  </w:tcBorders>
                  <w:noWrap w:val="0"/>
                  <w:vAlign w:val="center"/>
                </w:tcPr>
                <w:p>
                  <w:pPr>
                    <w:spacing w:line="0" w:lineRule="atLeast"/>
                    <w:jc w:val="center"/>
                    <w:rPr>
                      <w:color w:val="auto"/>
                      <w:szCs w:val="21"/>
                    </w:rPr>
                  </w:pPr>
                  <w:r>
                    <w:rPr>
                      <w:rFonts w:hint="eastAsia"/>
                      <w:color w:val="auto"/>
                      <w:szCs w:val="21"/>
                    </w:rPr>
                    <w:t>山西美邦大富农科技有限公司</w:t>
                  </w:r>
                </w:p>
              </w:tc>
            </w:tr>
          </w:tbl>
          <w:p>
            <w:pPr>
              <w:spacing w:line="0" w:lineRule="atLeast"/>
              <w:jc w:val="center"/>
              <w:rPr>
                <w:rFonts w:hint="eastAsia" w:ascii="宋体" w:hAnsi="宋体" w:eastAsia="宋体" w:cs="宋体"/>
                <w:b/>
                <w:bCs/>
                <w:color w:val="0000FF"/>
                <w:kern w:val="2"/>
                <w:sz w:val="21"/>
                <w:szCs w:val="21"/>
                <w:highlight w:val="none"/>
                <w:lang w:val="en-US" w:eastAsia="zh-CN" w:bidi="ar-SA"/>
              </w:rPr>
            </w:pPr>
            <w:r>
              <w:rPr>
                <w:rFonts w:hint="eastAsia" w:ascii="宋体" w:hAnsi="宋体" w:eastAsia="宋体" w:cs="宋体"/>
                <w:b/>
                <w:bCs/>
                <w:color w:val="0000FF"/>
                <w:kern w:val="2"/>
                <w:sz w:val="21"/>
                <w:szCs w:val="21"/>
                <w:highlight w:val="none"/>
                <w:lang w:val="en-US" w:eastAsia="zh-CN" w:bidi="ar-SA"/>
              </w:rPr>
              <w:t>表10 高端有机肥主要原辅材料消耗一览表</w:t>
            </w:r>
          </w:p>
          <w:tbl>
            <w:tblPr>
              <w:tblStyle w:val="19"/>
              <w:tblW w:w="7980" w:type="dxa"/>
              <w:tblInd w:w="-5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796"/>
              <w:gridCol w:w="1994"/>
              <w:gridCol w:w="1665"/>
              <w:gridCol w:w="352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r>
                    <w:rPr>
                      <w:rFonts w:hint="eastAsia"/>
                      <w:color w:val="auto"/>
                      <w:szCs w:val="21"/>
                    </w:rPr>
                    <w:t>序号</w:t>
                  </w:r>
                </w:p>
              </w:tc>
              <w:tc>
                <w:tcPr>
                  <w:tcW w:w="1994" w:type="dxa"/>
                  <w:tcBorders>
                    <w:tl2br w:val="nil"/>
                    <w:tr2bl w:val="nil"/>
                  </w:tcBorders>
                  <w:noWrap w:val="0"/>
                  <w:vAlign w:val="center"/>
                </w:tcPr>
                <w:p>
                  <w:pPr>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名称</w:t>
                  </w:r>
                </w:p>
              </w:tc>
              <w:tc>
                <w:tcPr>
                  <w:tcW w:w="1665" w:type="dxa"/>
                  <w:tcBorders>
                    <w:tl2br w:val="nil"/>
                    <w:tr2bl w:val="nil"/>
                  </w:tcBorders>
                  <w:noWrap w:val="0"/>
                  <w:vAlign w:val="center"/>
                </w:tcPr>
                <w:p>
                  <w:pPr>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用量（t/a）</w:t>
                  </w:r>
                </w:p>
              </w:tc>
              <w:tc>
                <w:tcPr>
                  <w:tcW w:w="3525" w:type="dxa"/>
                  <w:tcBorders>
                    <w:tl2br w:val="nil"/>
                    <w:tr2bl w:val="nil"/>
                  </w:tcBorders>
                  <w:noWrap w:val="0"/>
                  <w:vAlign w:val="center"/>
                </w:tcPr>
                <w:p>
                  <w:pPr>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来源</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bookmarkStart w:id="2" w:name="_Hlk475347826"/>
                  <w:r>
                    <w:rPr>
                      <w:rFonts w:hint="eastAsia"/>
                      <w:color w:val="auto"/>
                      <w:szCs w:val="21"/>
                    </w:rPr>
                    <w:t>1</w:t>
                  </w:r>
                </w:p>
              </w:tc>
              <w:tc>
                <w:tcPr>
                  <w:tcW w:w="1994"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发酵羊粪</w:t>
                  </w:r>
                </w:p>
              </w:tc>
              <w:tc>
                <w:tcPr>
                  <w:tcW w:w="1665"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80000</w:t>
                  </w:r>
                </w:p>
              </w:tc>
              <w:tc>
                <w:tcPr>
                  <w:tcW w:w="3525" w:type="dxa"/>
                  <w:tcBorders>
                    <w:tl2br w:val="nil"/>
                    <w:tr2bl w:val="nil"/>
                  </w:tcBorders>
                  <w:noWrap w:val="0"/>
                  <w:vAlign w:val="center"/>
                </w:tcPr>
                <w:p>
                  <w:pPr>
                    <w:spacing w:line="0" w:lineRule="atLeast"/>
                    <w:jc w:val="center"/>
                    <w:rPr>
                      <w:color w:val="auto"/>
                      <w:szCs w:val="21"/>
                    </w:rPr>
                  </w:pPr>
                  <w:r>
                    <w:rPr>
                      <w:rFonts w:hint="eastAsia"/>
                      <w:color w:val="auto"/>
                      <w:szCs w:val="21"/>
                      <w:lang w:val="en-US" w:eastAsia="zh-CN"/>
                    </w:rPr>
                    <w:t>内蒙古蒙源兴禾生物科技有限公司</w:t>
                  </w:r>
                </w:p>
              </w:tc>
            </w:tr>
            <w:bookmarkEnd w:id="2"/>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r>
                    <w:rPr>
                      <w:rFonts w:hint="eastAsia"/>
                      <w:color w:val="auto"/>
                      <w:szCs w:val="21"/>
                    </w:rPr>
                    <w:t>2</w:t>
                  </w:r>
                </w:p>
              </w:tc>
              <w:tc>
                <w:tcPr>
                  <w:tcW w:w="1994"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color w:val="auto"/>
                      <w:lang w:val="en-US" w:eastAsia="zh-CN"/>
                    </w:rPr>
                    <w:t>腐植酸液</w:t>
                  </w:r>
                </w:p>
              </w:tc>
              <w:tc>
                <w:tcPr>
                  <w:tcW w:w="1665"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color w:val="auto"/>
                      <w:szCs w:val="21"/>
                      <w:lang w:val="en-US" w:eastAsia="zh-CN"/>
                    </w:rPr>
                    <w:t>5000</w:t>
                  </w:r>
                </w:p>
              </w:tc>
              <w:tc>
                <w:tcPr>
                  <w:tcW w:w="3525" w:type="dxa"/>
                  <w:tcBorders>
                    <w:tl2br w:val="nil"/>
                    <w:tr2bl w:val="nil"/>
                  </w:tcBorders>
                  <w:noWrap w:val="0"/>
                  <w:vAlign w:val="center"/>
                </w:tcPr>
                <w:p>
                  <w:pPr>
                    <w:spacing w:line="0" w:lineRule="atLeast"/>
                    <w:jc w:val="center"/>
                    <w:rPr>
                      <w:rFonts w:ascii="Times New Roman" w:hAnsi="Times New Roman" w:eastAsia="宋体"/>
                      <w:color w:val="auto"/>
                      <w:kern w:val="2"/>
                      <w:sz w:val="21"/>
                      <w:szCs w:val="21"/>
                      <w:lang w:val="en-US" w:eastAsia="zh-CN" w:bidi="ar-SA"/>
                    </w:rPr>
                  </w:pPr>
                  <w:r>
                    <w:rPr>
                      <w:rFonts w:hint="eastAsia"/>
                      <w:color w:val="auto"/>
                      <w:szCs w:val="21"/>
                    </w:rPr>
                    <w:t>山西美邦大富农科技有限公司</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r>
                    <w:rPr>
                      <w:rFonts w:hint="eastAsia"/>
                      <w:color w:val="auto"/>
                      <w:szCs w:val="21"/>
                    </w:rPr>
                    <w:t>3</w:t>
                  </w:r>
                </w:p>
              </w:tc>
              <w:tc>
                <w:tcPr>
                  <w:tcW w:w="1994" w:type="dxa"/>
                  <w:tcBorders>
                    <w:tl2br w:val="nil"/>
                    <w:tr2bl w:val="nil"/>
                  </w:tcBorders>
                  <w:noWrap w:val="0"/>
                  <w:vAlign w:val="center"/>
                </w:tcPr>
                <w:p>
                  <w:pPr>
                    <w:spacing w:line="0" w:lineRule="atLeast"/>
                    <w:jc w:val="center"/>
                    <w:rPr>
                      <w:rFonts w:hint="default"/>
                      <w:color w:val="auto"/>
                      <w:szCs w:val="21"/>
                      <w:lang w:val="en-US"/>
                    </w:rPr>
                  </w:pPr>
                  <w:r>
                    <w:rPr>
                      <w:rFonts w:hint="eastAsia"/>
                      <w:color w:val="auto"/>
                      <w:lang w:val="en-US" w:eastAsia="zh-CN"/>
                    </w:rPr>
                    <w:t>海藻提取液</w:t>
                  </w:r>
                </w:p>
              </w:tc>
              <w:tc>
                <w:tcPr>
                  <w:tcW w:w="1665"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5000</w:t>
                  </w:r>
                </w:p>
              </w:tc>
              <w:tc>
                <w:tcPr>
                  <w:tcW w:w="3525" w:type="dxa"/>
                  <w:tcBorders>
                    <w:tl2br w:val="nil"/>
                    <w:tr2bl w:val="nil"/>
                  </w:tcBorders>
                  <w:noWrap w:val="0"/>
                  <w:vAlign w:val="center"/>
                </w:tcPr>
                <w:p>
                  <w:pPr>
                    <w:spacing w:line="0" w:lineRule="atLeast"/>
                    <w:jc w:val="center"/>
                    <w:rPr>
                      <w:color w:val="auto"/>
                      <w:szCs w:val="21"/>
                    </w:rPr>
                  </w:pPr>
                  <w:r>
                    <w:rPr>
                      <w:rFonts w:hint="eastAsia"/>
                      <w:color w:val="auto"/>
                      <w:szCs w:val="21"/>
                    </w:rPr>
                    <w:t>潍坊乐多收生物工程有限公司</w:t>
                  </w:r>
                </w:p>
              </w:tc>
            </w:tr>
          </w:tbl>
          <w:p>
            <w:pPr>
              <w:spacing w:line="0" w:lineRule="atLeast"/>
              <w:jc w:val="center"/>
              <w:rPr>
                <w:rFonts w:hint="eastAsia" w:ascii="宋体" w:hAnsi="宋体" w:eastAsia="宋体" w:cs="宋体"/>
                <w:b/>
                <w:bCs/>
                <w:color w:val="0000FF"/>
                <w:kern w:val="2"/>
                <w:sz w:val="21"/>
                <w:szCs w:val="21"/>
                <w:highlight w:val="none"/>
                <w:lang w:val="en-US" w:eastAsia="zh-CN" w:bidi="ar-SA"/>
              </w:rPr>
            </w:pPr>
            <w:r>
              <w:rPr>
                <w:rFonts w:hint="eastAsia" w:ascii="宋体" w:hAnsi="宋体" w:eastAsia="宋体" w:cs="宋体"/>
                <w:b/>
                <w:bCs/>
                <w:color w:val="0000FF"/>
                <w:kern w:val="2"/>
                <w:sz w:val="21"/>
                <w:szCs w:val="21"/>
                <w:highlight w:val="none"/>
                <w:lang w:val="en-US" w:eastAsia="zh-CN" w:bidi="ar-SA"/>
              </w:rPr>
              <w:t>表11 颗粒有机肥主要原辅材料消耗一览表</w:t>
            </w:r>
          </w:p>
          <w:tbl>
            <w:tblPr>
              <w:tblStyle w:val="19"/>
              <w:tblW w:w="7980" w:type="dxa"/>
              <w:tblInd w:w="-5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796"/>
              <w:gridCol w:w="1994"/>
              <w:gridCol w:w="1665"/>
              <w:gridCol w:w="352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r>
                    <w:rPr>
                      <w:rFonts w:hint="eastAsia"/>
                      <w:color w:val="auto"/>
                      <w:szCs w:val="21"/>
                    </w:rPr>
                    <w:t>序号</w:t>
                  </w:r>
                </w:p>
              </w:tc>
              <w:tc>
                <w:tcPr>
                  <w:tcW w:w="1994" w:type="dxa"/>
                  <w:tcBorders>
                    <w:tl2br w:val="nil"/>
                    <w:tr2bl w:val="nil"/>
                  </w:tcBorders>
                  <w:noWrap w:val="0"/>
                  <w:vAlign w:val="center"/>
                </w:tcPr>
                <w:p>
                  <w:pPr>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名称</w:t>
                  </w:r>
                </w:p>
              </w:tc>
              <w:tc>
                <w:tcPr>
                  <w:tcW w:w="1665" w:type="dxa"/>
                  <w:tcBorders>
                    <w:tl2br w:val="nil"/>
                    <w:tr2bl w:val="nil"/>
                  </w:tcBorders>
                  <w:noWrap w:val="0"/>
                  <w:vAlign w:val="center"/>
                </w:tcPr>
                <w:p>
                  <w:pPr>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用量（t/a）</w:t>
                  </w:r>
                </w:p>
              </w:tc>
              <w:tc>
                <w:tcPr>
                  <w:tcW w:w="3525" w:type="dxa"/>
                  <w:tcBorders>
                    <w:tl2br w:val="nil"/>
                    <w:tr2bl w:val="nil"/>
                  </w:tcBorders>
                  <w:noWrap w:val="0"/>
                  <w:vAlign w:val="center"/>
                </w:tcPr>
                <w:p>
                  <w:pPr>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来源</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trPr>
              <w:tc>
                <w:tcPr>
                  <w:tcW w:w="796" w:type="dxa"/>
                  <w:tcBorders>
                    <w:tl2br w:val="nil"/>
                    <w:tr2bl w:val="nil"/>
                  </w:tcBorders>
                  <w:noWrap w:val="0"/>
                  <w:vAlign w:val="center"/>
                </w:tcPr>
                <w:p>
                  <w:pPr>
                    <w:spacing w:line="0" w:lineRule="atLeast"/>
                    <w:ind w:left="-105" w:leftChars="-50" w:right="-105" w:rightChars="-50"/>
                    <w:jc w:val="center"/>
                    <w:rPr>
                      <w:color w:val="auto"/>
                      <w:szCs w:val="21"/>
                    </w:rPr>
                  </w:pPr>
                  <w:r>
                    <w:rPr>
                      <w:rFonts w:hint="eastAsia"/>
                      <w:color w:val="auto"/>
                      <w:szCs w:val="21"/>
                    </w:rPr>
                    <w:t>1</w:t>
                  </w:r>
                </w:p>
              </w:tc>
              <w:tc>
                <w:tcPr>
                  <w:tcW w:w="1994"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发酵羊粪</w:t>
                  </w:r>
                </w:p>
              </w:tc>
              <w:tc>
                <w:tcPr>
                  <w:tcW w:w="1665"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49600.35</w:t>
                  </w:r>
                </w:p>
              </w:tc>
              <w:tc>
                <w:tcPr>
                  <w:tcW w:w="3525" w:type="dxa"/>
                  <w:tcBorders>
                    <w:tl2br w:val="nil"/>
                    <w:tr2bl w:val="nil"/>
                  </w:tcBorders>
                  <w:noWrap w:val="0"/>
                  <w:vAlign w:val="center"/>
                </w:tcPr>
                <w:p>
                  <w:pPr>
                    <w:spacing w:line="0" w:lineRule="atLeast"/>
                    <w:jc w:val="center"/>
                    <w:rPr>
                      <w:color w:val="auto"/>
                      <w:szCs w:val="21"/>
                    </w:rPr>
                  </w:pPr>
                  <w:r>
                    <w:rPr>
                      <w:rFonts w:hint="eastAsia"/>
                      <w:color w:val="auto"/>
                      <w:szCs w:val="21"/>
                      <w:lang w:val="en-US" w:eastAsia="zh-CN"/>
                    </w:rPr>
                    <w:t>内蒙古蒙源兴禾生物科技有限公司</w:t>
                  </w:r>
                </w:p>
              </w:tc>
            </w:tr>
          </w:tbl>
          <w:p>
            <w:pPr>
              <w:keepNext w:val="0"/>
              <w:keepLines w:val="0"/>
              <w:pageBreakBefore w:val="0"/>
              <w:widowControl w:val="0"/>
              <w:kinsoku/>
              <w:wordWrap/>
              <w:overflowPunct/>
              <w:topLinePunct w:val="0"/>
              <w:autoSpaceDE/>
              <w:autoSpaceDN/>
              <w:bidi w:val="0"/>
              <w:adjustRightInd/>
              <w:snapToGrid/>
              <w:spacing w:line="240" w:lineRule="auto"/>
              <w:ind w:firstLine="413" w:firstLineChars="196"/>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 xml:space="preserve">表12 </w:t>
            </w:r>
            <w:r>
              <w:rPr>
                <w:rFonts w:hint="eastAsia" w:ascii="宋体" w:hAnsi="宋体" w:eastAsia="宋体" w:cs="宋体"/>
                <w:b/>
                <w:bCs/>
                <w:color w:val="auto"/>
                <w:sz w:val="21"/>
                <w:szCs w:val="21"/>
              </w:rPr>
              <w:t>主要原材料理化性质</w:t>
            </w:r>
            <w:r>
              <w:rPr>
                <w:rFonts w:hint="eastAsia" w:ascii="宋体" w:hAnsi="宋体" w:eastAsia="宋体" w:cs="宋体"/>
                <w:b/>
                <w:bCs/>
                <w:color w:val="auto"/>
                <w:sz w:val="21"/>
                <w:szCs w:val="21"/>
                <w:lang w:val="en-US" w:eastAsia="zh-CN"/>
              </w:rPr>
              <w:t>表</w:t>
            </w:r>
          </w:p>
          <w:tbl>
            <w:tblPr>
              <w:tblStyle w:val="20"/>
              <w:tblW w:w="8002" w:type="dxa"/>
              <w:tblInd w:w="-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0"/>
              <w:gridCol w:w="6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Borders>
                    <w:tl2br w:val="nil"/>
                    <w:tr2bl w:val="nil"/>
                  </w:tcBorders>
                  <w:noWrap w:val="0"/>
                  <w:vAlign w:val="center"/>
                </w:tcPr>
                <w:p>
                  <w:pPr>
                    <w:pStyle w:val="57"/>
                    <w:rPr>
                      <w:rFonts w:ascii="Times New Roman" w:hAnsi="Times New Roman" w:eastAsia="宋体" w:cs="Times New Roman"/>
                      <w:color w:val="auto"/>
                    </w:rPr>
                  </w:pPr>
                  <w:r>
                    <w:rPr>
                      <w:rFonts w:ascii="Times New Roman" w:hAnsi="Times New Roman" w:eastAsia="宋体" w:cs="Times New Roman"/>
                      <w:color w:val="auto"/>
                    </w:rPr>
                    <w:t>名称</w:t>
                  </w:r>
                </w:p>
              </w:tc>
              <w:tc>
                <w:tcPr>
                  <w:tcW w:w="6892" w:type="dxa"/>
                  <w:tcBorders>
                    <w:tl2br w:val="nil"/>
                    <w:tr2bl w:val="nil"/>
                  </w:tcBorders>
                  <w:noWrap w:val="0"/>
                  <w:vAlign w:val="center"/>
                </w:tcPr>
                <w:p>
                  <w:pPr>
                    <w:pStyle w:val="57"/>
                    <w:rPr>
                      <w:rFonts w:ascii="Times New Roman" w:hAnsi="Times New Roman" w:eastAsia="宋体" w:cs="Times New Roman"/>
                      <w:color w:val="auto"/>
                    </w:rPr>
                  </w:pPr>
                  <w:r>
                    <w:rPr>
                      <w:rFonts w:ascii="Times New Roman" w:hAnsi="Times New Roman" w:eastAsia="宋体" w:cs="Times New Roman"/>
                      <w:color w:val="auto"/>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Borders>
                    <w:tl2br w:val="nil"/>
                    <w:tr2bl w:val="nil"/>
                  </w:tcBorders>
                  <w:noWrap w:val="0"/>
                  <w:vAlign w:val="center"/>
                </w:tcPr>
                <w:p>
                  <w:pPr>
                    <w:pStyle w:val="57"/>
                    <w:rPr>
                      <w:rFonts w:ascii="Times New Roman" w:hAnsi="Times New Roman" w:eastAsia="宋体" w:cs="Times New Roman"/>
                      <w:color w:val="auto"/>
                    </w:rPr>
                  </w:pPr>
                  <w:r>
                    <w:rPr>
                      <w:rFonts w:ascii="Times New Roman" w:hAnsi="Times New Roman" w:eastAsia="宋体" w:cs="Times New Roman"/>
                      <w:color w:val="auto"/>
                    </w:rPr>
                    <w:t>腐植酸液</w:t>
                  </w:r>
                </w:p>
              </w:tc>
              <w:tc>
                <w:tcPr>
                  <w:tcW w:w="6892" w:type="dxa"/>
                  <w:tcBorders>
                    <w:tl2br w:val="nil"/>
                    <w:tr2bl w:val="nil"/>
                  </w:tcBorders>
                  <w:noWrap w:val="0"/>
                  <w:vAlign w:val="center"/>
                </w:tcPr>
                <w:p>
                  <w:pPr>
                    <w:pStyle w:val="57"/>
                    <w:rPr>
                      <w:rFonts w:ascii="Times New Roman" w:hAnsi="Times New Roman" w:eastAsia="宋体" w:cs="Times New Roman"/>
                      <w:color w:val="auto"/>
                    </w:rPr>
                  </w:pPr>
                  <w:r>
                    <w:rPr>
                      <w:rFonts w:hint="eastAsia" w:ascii="Times New Roman" w:hAnsi="Times New Roman" w:eastAsia="宋体" w:cs="Times New Roman"/>
                      <w:color w:val="auto"/>
                    </w:rPr>
                    <w:t>液态，一般用含腐植酸30%以上的泥炭、褐煤、风化煤和煤矸石等磨成粉末后，与氨水混合搅拌而成。腐植酸是动植物遗骸，主要为植物的遗骸，经过微生物的分解和转化，以及地球化学的一系列过程造成和积累起来的一类有机物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Borders>
                    <w:tl2br w:val="nil"/>
                    <w:tr2bl w:val="nil"/>
                  </w:tcBorders>
                  <w:noWrap w:val="0"/>
                  <w:vAlign w:val="center"/>
                </w:tcPr>
                <w:p>
                  <w:pPr>
                    <w:pStyle w:val="57"/>
                    <w:rPr>
                      <w:rFonts w:ascii="Times New Roman" w:hAnsi="Times New Roman" w:eastAsia="宋体" w:cs="Times New Roman"/>
                      <w:color w:val="auto"/>
                    </w:rPr>
                  </w:pPr>
                  <w:r>
                    <w:rPr>
                      <w:rFonts w:ascii="Times New Roman" w:hAnsi="Times New Roman" w:eastAsia="宋体" w:cs="Times New Roman"/>
                      <w:color w:val="auto"/>
                    </w:rPr>
                    <w:t>尿素</w:t>
                  </w:r>
                </w:p>
              </w:tc>
              <w:tc>
                <w:tcPr>
                  <w:tcW w:w="6892" w:type="dxa"/>
                  <w:tcBorders>
                    <w:tl2br w:val="nil"/>
                    <w:tr2bl w:val="nil"/>
                  </w:tcBorders>
                  <w:noWrap w:val="0"/>
                  <w:vAlign w:val="center"/>
                </w:tcPr>
                <w:p>
                  <w:pPr>
                    <w:pStyle w:val="57"/>
                    <w:rPr>
                      <w:rFonts w:ascii="Times New Roman" w:hAnsi="Times New Roman" w:eastAsia="宋体" w:cs="Times New Roman"/>
                      <w:color w:val="auto"/>
                    </w:rPr>
                  </w:pPr>
                  <w:r>
                    <w:rPr>
                      <w:rFonts w:hint="eastAsia" w:ascii="Times New Roman" w:hAnsi="Times New Roman" w:eastAsia="宋体" w:cs="Times New Roman"/>
                      <w:color w:val="auto"/>
                    </w:rPr>
                    <w:t>CO（NH</w:t>
                  </w:r>
                  <w:r>
                    <w:rPr>
                      <w:rFonts w:hint="eastAsia" w:ascii="Times New Roman" w:hAnsi="Times New Roman" w:eastAsia="宋体" w:cs="Times New Roman"/>
                      <w:color w:val="auto"/>
                      <w:vertAlign w:val="subscript"/>
                    </w:rPr>
                    <w:t>2</w:t>
                  </w:r>
                  <w:r>
                    <w:rPr>
                      <w:rFonts w:hint="eastAsia" w:ascii="Times New Roman" w:hAnsi="Times New Roman" w:eastAsia="宋体" w:cs="Times New Roman"/>
                      <w:color w:val="auto"/>
                    </w:rPr>
                    <w:t>）</w:t>
                  </w:r>
                  <w:r>
                    <w:rPr>
                      <w:rFonts w:hint="eastAsia" w:ascii="Times New Roman" w:hAnsi="Times New Roman" w:eastAsia="宋体" w:cs="Times New Roman"/>
                      <w:color w:val="auto"/>
                      <w:vertAlign w:val="subscript"/>
                    </w:rPr>
                    <w:t>2</w:t>
                  </w:r>
                  <w:r>
                    <w:rPr>
                      <w:rFonts w:hint="eastAsia" w:ascii="Times New Roman" w:hAnsi="Times New Roman" w:eastAsia="宋体" w:cs="Times New Roman"/>
                      <w:color w:val="auto"/>
                    </w:rPr>
                    <w:t>，无色或白色针状或棒状结晶体，工业或农业品为白色略带微红色固体颗粒，无臭无味。含氮量约为46.67%；沸点为196.6℃；密度为1.335</w:t>
                  </w:r>
                  <w:r>
                    <w:rPr>
                      <w:rFonts w:ascii="Times New Roman" w:hAnsi="Times New Roman" w:eastAsia="宋体" w:cs="Times New Roman"/>
                      <w:color w:val="auto"/>
                    </w:rPr>
                    <w:t>g/cm</w:t>
                  </w:r>
                  <w:r>
                    <w:rPr>
                      <w:rFonts w:ascii="Times New Roman" w:hAnsi="Times New Roman" w:eastAsia="宋体" w:cs="Times New Roman"/>
                      <w:color w:val="auto"/>
                      <w:vertAlign w:val="superscript"/>
                    </w:rPr>
                    <w:t>3</w:t>
                  </w:r>
                  <w:r>
                    <w:rPr>
                      <w:rFonts w:hint="eastAsia" w:ascii="Times New Roman" w:hAnsi="Times New Roman" w:eastAsia="宋体" w:cs="Times New Roman"/>
                      <w:color w:val="auto"/>
                    </w:rPr>
                    <w:t>；熔点为132.7℃；溶于水、甲醇、甲醛、乙醇、液氨和醇；加热至160℃分解，产生氨气同时变成异氰酸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Borders>
                    <w:tl2br w:val="nil"/>
                    <w:tr2bl w:val="nil"/>
                  </w:tcBorders>
                  <w:noWrap w:val="0"/>
                  <w:vAlign w:val="center"/>
                </w:tcPr>
                <w:p>
                  <w:pPr>
                    <w:pStyle w:val="57"/>
                    <w:rPr>
                      <w:rFonts w:ascii="Times New Roman" w:hAnsi="Times New Roman" w:eastAsia="宋体" w:cs="Times New Roman"/>
                      <w:color w:val="auto"/>
                    </w:rPr>
                  </w:pPr>
                  <w:r>
                    <w:rPr>
                      <w:rFonts w:ascii="Times New Roman" w:hAnsi="Times New Roman" w:eastAsia="宋体" w:cs="Times New Roman"/>
                      <w:color w:val="auto"/>
                    </w:rPr>
                    <w:t>磷酸二氢钾</w:t>
                  </w:r>
                </w:p>
              </w:tc>
              <w:tc>
                <w:tcPr>
                  <w:tcW w:w="6892" w:type="dxa"/>
                  <w:tcBorders>
                    <w:tl2br w:val="nil"/>
                    <w:tr2bl w:val="nil"/>
                  </w:tcBorders>
                  <w:noWrap w:val="0"/>
                  <w:vAlign w:val="center"/>
                </w:tcPr>
                <w:p>
                  <w:pPr>
                    <w:pStyle w:val="57"/>
                    <w:rPr>
                      <w:rFonts w:ascii="Times New Roman" w:hAnsi="Times New Roman" w:eastAsia="宋体" w:cs="Times New Roman"/>
                      <w:color w:val="auto"/>
                    </w:rPr>
                  </w:pPr>
                  <w:r>
                    <w:rPr>
                      <w:rFonts w:ascii="Times New Roman" w:hAnsi="Times New Roman" w:eastAsia="宋体" w:cs="Times New Roman"/>
                      <w:color w:val="auto"/>
                    </w:rPr>
                    <w:t>无机化合物</w:t>
                  </w:r>
                  <w:r>
                    <w:rPr>
                      <w:rFonts w:hint="eastAsia" w:ascii="Times New Roman" w:hAnsi="Times New Roman" w:eastAsia="宋体" w:cs="Times New Roman"/>
                      <w:color w:val="auto"/>
                    </w:rPr>
                    <w:t>，</w:t>
                  </w:r>
                  <w:r>
                    <w:rPr>
                      <w:rFonts w:ascii="Times New Roman" w:hAnsi="Times New Roman" w:eastAsia="宋体" w:cs="Times New Roman"/>
                      <w:color w:val="auto"/>
                    </w:rPr>
                    <w:t>外观为白色晶体或</w:t>
                  </w:r>
                  <w:r>
                    <w:rPr>
                      <w:rFonts w:hint="eastAsia" w:ascii="Times New Roman" w:hAnsi="Times New Roman" w:eastAsia="宋体" w:cs="Times New Roman"/>
                      <w:color w:val="auto"/>
                    </w:rPr>
                    <w:t>无定</w:t>
                  </w:r>
                  <w:r>
                    <w:rPr>
                      <w:rFonts w:ascii="Times New Roman" w:hAnsi="Times New Roman" w:eastAsia="宋体" w:cs="Times New Roman"/>
                      <w:color w:val="auto"/>
                    </w:rPr>
                    <w:t>形白色粉末</w:t>
                  </w:r>
                  <w:r>
                    <w:rPr>
                      <w:rFonts w:hint="eastAsia" w:ascii="Times New Roman" w:hAnsi="Times New Roman" w:eastAsia="宋体" w:cs="Times New Roman"/>
                      <w:color w:val="auto"/>
                    </w:rPr>
                    <w:t>，</w:t>
                  </w:r>
                  <w:r>
                    <w:rPr>
                      <w:rFonts w:ascii="Times New Roman" w:hAnsi="Times New Roman" w:eastAsia="宋体" w:cs="Times New Roman"/>
                      <w:color w:val="auto"/>
                    </w:rPr>
                    <w:t>易溶于水</w:t>
                  </w:r>
                  <w:r>
                    <w:rPr>
                      <w:rFonts w:hint="eastAsia" w:ascii="Times New Roman" w:hAnsi="Times New Roman" w:eastAsia="宋体" w:cs="Times New Roman"/>
                      <w:color w:val="auto"/>
                    </w:rPr>
                    <w:t>，</w:t>
                  </w:r>
                  <w:r>
                    <w:rPr>
                      <w:rFonts w:ascii="Times New Roman" w:hAnsi="Times New Roman" w:eastAsia="宋体" w:cs="Times New Roman"/>
                      <w:color w:val="auto"/>
                    </w:rPr>
                    <w:t>水溶液呈微碱性</w:t>
                  </w:r>
                  <w:r>
                    <w:rPr>
                      <w:rFonts w:hint="eastAsia" w:ascii="Times New Roman" w:hAnsi="Times New Roman" w:eastAsia="宋体" w:cs="Times New Roman"/>
                      <w:color w:val="auto"/>
                    </w:rPr>
                    <w:t>，</w:t>
                  </w:r>
                  <w:r>
                    <w:rPr>
                      <w:rFonts w:ascii="Times New Roman" w:hAnsi="Times New Roman" w:eastAsia="宋体" w:cs="Times New Roman"/>
                      <w:color w:val="auto"/>
                    </w:rPr>
                    <w:t>微溶于醇</w:t>
                  </w:r>
                  <w:r>
                    <w:rPr>
                      <w:rFonts w:hint="eastAsia" w:ascii="Times New Roman" w:hAnsi="Times New Roman" w:eastAsia="宋体" w:cs="Times New Roman"/>
                      <w:color w:val="auto"/>
                    </w:rPr>
                    <w:t>，</w:t>
                  </w:r>
                  <w:r>
                    <w:rPr>
                      <w:rFonts w:ascii="Times New Roman" w:hAnsi="Times New Roman" w:eastAsia="宋体" w:cs="Times New Roman"/>
                      <w:color w:val="auto"/>
                    </w:rPr>
                    <w:t>有吸湿性</w:t>
                  </w:r>
                  <w:r>
                    <w:rPr>
                      <w:rFonts w:hint="eastAsia" w:ascii="Times New Roman" w:hAnsi="Times New Roman" w:eastAsia="宋体" w:cs="Times New Roman"/>
                      <w:color w:val="auto"/>
                    </w:rPr>
                    <w:t>，</w:t>
                  </w:r>
                  <w:r>
                    <w:rPr>
                      <w:rFonts w:ascii="Times New Roman" w:hAnsi="Times New Roman" w:eastAsia="宋体" w:cs="Times New Roman"/>
                      <w:color w:val="auto"/>
                    </w:rPr>
                    <w:t>温度较高时自溶</w:t>
                  </w:r>
                  <w:r>
                    <w:rPr>
                      <w:rFonts w:hint="eastAsia" w:ascii="Times New Roman" w:hAnsi="Times New Roman" w:eastAsia="宋体" w:cs="Times New Roman"/>
                      <w:color w:val="auto"/>
                    </w:rPr>
                    <w:t>。</w:t>
                  </w:r>
                  <w:r>
                    <w:rPr>
                      <w:rFonts w:ascii="Times New Roman" w:hAnsi="Times New Roman" w:eastAsia="宋体" w:cs="Times New Roman"/>
                      <w:color w:val="auto"/>
                    </w:rPr>
                    <w:t>相对密度为2.338g/cm</w:t>
                  </w:r>
                  <w:r>
                    <w:rPr>
                      <w:rFonts w:ascii="Times New Roman" w:hAnsi="Times New Roman" w:eastAsia="宋体" w:cs="Times New Roman"/>
                      <w:color w:val="auto"/>
                      <w:vertAlign w:val="superscript"/>
                    </w:rPr>
                    <w:t>3</w:t>
                  </w:r>
                  <w:r>
                    <w:rPr>
                      <w:rFonts w:hint="eastAsia" w:ascii="Times New Roman" w:hAnsi="Times New Roman" w:eastAsia="宋体" w:cs="Times New Roman"/>
                      <w:color w:val="auto"/>
                    </w:rPr>
                    <w:t>，,24℃时分子内部脱水转化为焦磷酸钾。1%水溶性的pH</w:t>
                  </w:r>
                  <w:r>
                    <w:rPr>
                      <w:rFonts w:ascii="Times New Roman" w:hAnsi="Times New Roman" w:eastAsia="宋体" w:cs="Times New Roman"/>
                      <w:color w:val="auto"/>
                    </w:rPr>
                    <w:t>为</w:t>
                  </w:r>
                  <w:r>
                    <w:rPr>
                      <w:rFonts w:hint="eastAsia" w:ascii="Times New Roman" w:hAnsi="Times New Roman" w:eastAsia="宋体" w:cs="Times New Roman"/>
                      <w:color w:val="auto"/>
                    </w:rPr>
                    <w:t>8.9主要用于医药、发酵、细菌培养及制取焦磷酸钾等。</w:t>
                  </w:r>
                </w:p>
                <w:p>
                  <w:pPr>
                    <w:pStyle w:val="57"/>
                    <w:rPr>
                      <w:rFonts w:ascii="Times New Roman" w:hAnsi="Times New Roman" w:eastAsia="宋体" w:cs="Times New Roman"/>
                      <w:color w:val="auto"/>
                    </w:rPr>
                  </w:pPr>
                  <w:r>
                    <w:rPr>
                      <w:rFonts w:hint="eastAsia" w:ascii="Times New Roman" w:hAnsi="Times New Roman" w:eastAsia="宋体" w:cs="Times New Roman"/>
                      <w:color w:val="auto"/>
                    </w:rPr>
                    <w:t>急性毒性LD</w:t>
                  </w:r>
                  <w:r>
                    <w:rPr>
                      <w:rFonts w:ascii="Times New Roman" w:hAnsi="Times New Roman" w:eastAsia="宋体" w:cs="Times New Roman"/>
                      <w:color w:val="auto"/>
                    </w:rPr>
                    <w:t>50</w:t>
                  </w:r>
                  <w:r>
                    <w:rPr>
                      <w:rFonts w:hint="eastAsia" w:ascii="Times New Roman" w:hAnsi="Times New Roman" w:eastAsia="宋体" w:cs="Times New Roman"/>
                      <w:color w:val="auto"/>
                    </w:rPr>
                    <w:t>:4000mg/</w:t>
                  </w:r>
                  <w:r>
                    <w:rPr>
                      <w:rFonts w:ascii="Times New Roman" w:hAnsi="Times New Roman" w:eastAsia="宋体" w:cs="Times New Roman"/>
                      <w:color w:val="auto"/>
                    </w:rPr>
                    <w:t>Kg</w:t>
                  </w:r>
                  <w:r>
                    <w:rPr>
                      <w:rFonts w:hint="eastAsia" w:ascii="Times New Roman" w:hAnsi="Times New Roman" w:eastAsia="宋体" w:cs="Times New Roman"/>
                      <w:color w:val="auto"/>
                    </w:rPr>
                    <w:t>（大鼠经口）；4720mg/kg（兔经皮）；LC</w:t>
                  </w:r>
                  <w:r>
                    <w:rPr>
                      <w:rFonts w:ascii="Times New Roman" w:hAnsi="Times New Roman" w:eastAsia="宋体" w:cs="Times New Roman"/>
                      <w:color w:val="auto"/>
                    </w:rPr>
                    <w:t>50</w:t>
                  </w:r>
                  <w:r>
                    <w:rPr>
                      <w:rFonts w:hint="eastAsia" w:ascii="Times New Roman" w:hAnsi="Times New Roman" w:eastAsia="宋体" w:cs="Times New Roman"/>
                      <w:color w:val="auto"/>
                    </w:rPr>
                    <w:t>：9400mg/m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，2小时（小鼠吸入）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Borders>
                    <w:tl2br w:val="nil"/>
                    <w:tr2bl w:val="nil"/>
                  </w:tcBorders>
                  <w:noWrap w:val="0"/>
                  <w:vAlign w:val="center"/>
                </w:tcPr>
                <w:p>
                  <w:pPr>
                    <w:pStyle w:val="57"/>
                    <w:rPr>
                      <w:rFonts w:ascii="Times New Roman" w:hAnsi="Times New Roman" w:eastAsia="宋体" w:cs="Times New Roman"/>
                      <w:color w:val="auto"/>
                      <w:szCs w:val="21"/>
                    </w:rPr>
                  </w:pPr>
                  <w:r>
                    <w:rPr>
                      <w:rFonts w:ascii="Times New Roman" w:hAnsi="Times New Roman" w:eastAsia="宋体" w:cs="Times New Roman"/>
                      <w:color w:val="auto"/>
                      <w:szCs w:val="21"/>
                    </w:rPr>
                    <w:t>磷酸二铵</w:t>
                  </w:r>
                </w:p>
              </w:tc>
              <w:tc>
                <w:tcPr>
                  <w:tcW w:w="6892" w:type="dxa"/>
                  <w:tcBorders>
                    <w:tl2br w:val="nil"/>
                    <w:tr2bl w:val="nil"/>
                  </w:tcBorders>
                  <w:noWrap w:val="0"/>
                  <w:vAlign w:val="center"/>
                </w:tcPr>
                <w:p>
                  <w:pPr>
                    <w:pStyle w:val="57"/>
                    <w:rPr>
                      <w:rFonts w:ascii="Times New Roman" w:hAnsi="Times New Roman" w:eastAsia="宋体" w:cs="Times New Roman"/>
                      <w:color w:val="auto"/>
                    </w:rPr>
                  </w:pPr>
                  <w:r>
                    <w:rPr>
                      <w:rFonts w:ascii="Times New Roman" w:hAnsi="Times New Roman" w:eastAsia="宋体" w:cs="Times New Roman"/>
                      <w:color w:val="auto"/>
                    </w:rPr>
                    <w:t>又称磷酸氢二铵</w:t>
                  </w:r>
                  <w:r>
                    <w:rPr>
                      <w:rFonts w:hint="eastAsia" w:ascii="Times New Roman" w:hAnsi="Times New Roman" w:eastAsia="宋体" w:cs="Times New Roman"/>
                      <w:color w:val="auto"/>
                    </w:rPr>
                    <w:t>（DAP），是含氮磷两种营养成分的复合肥。呈灰白色或深灰色颗粒，比重1.619，易溶于水，不溶于乙醇。有一定吸湿性，在潮湿空气中易分解，挥发出氨变成磷酸二氢铵。水溶液呈弱碱性，</w:t>
                  </w:r>
                  <w:r>
                    <w:rPr>
                      <w:rFonts w:ascii="Times New Roman" w:hAnsi="Times New Roman" w:eastAsia="宋体" w:cs="Times New Roman"/>
                      <w:color w:val="auto"/>
                    </w:rPr>
                    <w:t>pH为</w:t>
                  </w:r>
                  <w:r>
                    <w:rPr>
                      <w:rFonts w:hint="eastAsia" w:ascii="Times New Roman" w:hAnsi="Times New Roman" w:eastAsia="宋体" w:cs="Times New Roman"/>
                      <w:color w:val="auto"/>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Borders>
                    <w:tl2br w:val="nil"/>
                    <w:tr2bl w:val="nil"/>
                  </w:tcBorders>
                  <w:noWrap w:val="0"/>
                  <w:vAlign w:val="center"/>
                </w:tcPr>
                <w:p>
                  <w:pPr>
                    <w:pStyle w:val="57"/>
                    <w:rPr>
                      <w:rFonts w:ascii="Times New Roman" w:hAnsi="Times New Roman" w:eastAsia="宋体" w:cs="Times New Roman"/>
                      <w:color w:val="auto"/>
                      <w:szCs w:val="21"/>
                    </w:rPr>
                  </w:pPr>
                  <w:r>
                    <w:rPr>
                      <w:rFonts w:ascii="Times New Roman" w:hAnsi="Times New Roman" w:eastAsia="宋体" w:cs="Times New Roman"/>
                      <w:color w:val="auto"/>
                      <w:szCs w:val="21"/>
                    </w:rPr>
                    <w:t>氨基酸液</w:t>
                  </w:r>
                </w:p>
              </w:tc>
              <w:tc>
                <w:tcPr>
                  <w:tcW w:w="6892" w:type="dxa"/>
                  <w:tcBorders>
                    <w:tl2br w:val="nil"/>
                    <w:tr2bl w:val="nil"/>
                  </w:tcBorders>
                  <w:noWrap w:val="0"/>
                  <w:vAlign w:val="center"/>
                </w:tcPr>
                <w:p>
                  <w:pPr>
                    <w:pStyle w:val="57"/>
                    <w:rPr>
                      <w:rFonts w:ascii="Times New Roman" w:hAnsi="Times New Roman" w:eastAsia="宋体" w:cs="Times New Roman"/>
                      <w:color w:val="auto"/>
                    </w:rPr>
                  </w:pPr>
                  <w:r>
                    <w:rPr>
                      <w:rFonts w:ascii="Times New Roman" w:hAnsi="Times New Roman" w:eastAsia="宋体" w:cs="Times New Roman"/>
                      <w:color w:val="auto"/>
                    </w:rPr>
                    <w:t>主要利用玉米淀粉</w:t>
                  </w:r>
                  <w:r>
                    <w:rPr>
                      <w:rFonts w:hint="eastAsia" w:ascii="Times New Roman" w:hAnsi="Times New Roman" w:eastAsia="宋体" w:cs="Times New Roman"/>
                      <w:color w:val="auto"/>
                    </w:rPr>
                    <w:t>，</w:t>
                  </w:r>
                  <w:r>
                    <w:rPr>
                      <w:rFonts w:ascii="Times New Roman" w:hAnsi="Times New Roman" w:eastAsia="宋体" w:cs="Times New Roman"/>
                      <w:color w:val="auto"/>
                    </w:rPr>
                    <w:t>水溶性糖及菌种等</w:t>
                  </w:r>
                  <w:r>
                    <w:rPr>
                      <w:rFonts w:hint="eastAsia" w:ascii="Times New Roman" w:hAnsi="Times New Roman" w:eastAsia="宋体" w:cs="Times New Roman"/>
                      <w:color w:val="auto"/>
                    </w:rPr>
                    <w:t>，</w:t>
                  </w:r>
                  <w:r>
                    <w:rPr>
                      <w:rFonts w:ascii="Times New Roman" w:hAnsi="Times New Roman" w:eastAsia="宋体" w:cs="Times New Roman"/>
                      <w:color w:val="auto"/>
                    </w:rPr>
                    <w:t>经现代先进的生物发酵技术再经浓缩后制成产品</w:t>
                  </w:r>
                  <w:r>
                    <w:rPr>
                      <w:rFonts w:hint="eastAsia" w:ascii="Times New Roman" w:hAnsi="Times New Roman" w:eastAsia="宋体" w:cs="Times New Roman"/>
                      <w:color w:val="auto"/>
                    </w:rPr>
                    <w:t>，</w:t>
                  </w:r>
                  <w:r>
                    <w:rPr>
                      <w:rFonts w:ascii="Times New Roman" w:hAnsi="Times New Roman" w:eastAsia="宋体" w:cs="Times New Roman"/>
                      <w:color w:val="auto"/>
                    </w:rPr>
                    <w:t>含有丰富的菌体蛋白</w:t>
                  </w:r>
                  <w:r>
                    <w:rPr>
                      <w:rFonts w:hint="eastAsia" w:ascii="Times New Roman" w:hAnsi="Times New Roman" w:eastAsia="宋体" w:cs="Times New Roman"/>
                      <w:color w:val="auto"/>
                    </w:rPr>
                    <w:t>、</w:t>
                  </w:r>
                  <w:r>
                    <w:rPr>
                      <w:rFonts w:ascii="Times New Roman" w:hAnsi="Times New Roman" w:eastAsia="宋体" w:cs="Times New Roman"/>
                      <w:color w:val="auto"/>
                    </w:rPr>
                    <w:t>氨基酸及糖分</w:t>
                  </w:r>
                  <w:r>
                    <w:rPr>
                      <w:rFonts w:hint="eastAsia" w:ascii="Times New Roman" w:hAnsi="Times New Roman" w:eastAsia="宋体" w:cs="Times New Roman"/>
                      <w:color w:val="auto"/>
                    </w:rPr>
                    <w:t>。具有</w:t>
                  </w:r>
                  <w:r>
                    <w:rPr>
                      <w:rFonts w:ascii="Times New Roman" w:hAnsi="Times New Roman" w:eastAsia="宋体" w:cs="Times New Roman"/>
                      <w:color w:val="auto"/>
                    </w:rPr>
                    <w:t>改善</w:t>
                  </w:r>
                  <w:r>
                    <w:rPr>
                      <w:rFonts w:hint="eastAsia" w:ascii="Times New Roman" w:hAnsi="Times New Roman" w:eastAsia="宋体" w:cs="Times New Roman"/>
                      <w:color w:val="auto"/>
                    </w:rPr>
                    <w:t>贫瘠</w:t>
                  </w:r>
                  <w:r>
                    <w:rPr>
                      <w:rFonts w:ascii="Times New Roman" w:hAnsi="Times New Roman" w:eastAsia="宋体" w:cs="Times New Roman"/>
                      <w:color w:val="auto"/>
                    </w:rPr>
                    <w:t>土壤</w:t>
                  </w:r>
                  <w:r>
                    <w:rPr>
                      <w:rFonts w:hint="eastAsia" w:ascii="Times New Roman" w:hAnsi="Times New Roman" w:eastAsia="宋体" w:cs="Times New Roman"/>
                      <w:color w:val="auto"/>
                    </w:rPr>
                    <w:t>、</w:t>
                  </w:r>
                  <w:r>
                    <w:rPr>
                      <w:rFonts w:ascii="Times New Roman" w:hAnsi="Times New Roman" w:eastAsia="宋体" w:cs="Times New Roman"/>
                      <w:color w:val="auto"/>
                    </w:rPr>
                    <w:t>提高化学肥料的利用率</w:t>
                  </w:r>
                  <w:r>
                    <w:rPr>
                      <w:rFonts w:hint="eastAsia" w:ascii="Times New Roman" w:hAnsi="Times New Roman" w:eastAsia="宋体" w:cs="Times New Roman"/>
                      <w:color w:val="auto"/>
                    </w:rPr>
                    <w:t>，</w:t>
                  </w:r>
                  <w:r>
                    <w:rPr>
                      <w:rFonts w:ascii="Times New Roman" w:hAnsi="Times New Roman" w:eastAsia="宋体" w:cs="Times New Roman"/>
                      <w:color w:val="auto"/>
                    </w:rPr>
                    <w:t>增加土壤有机质的含量</w:t>
                  </w:r>
                  <w:r>
                    <w:rPr>
                      <w:rFonts w:hint="eastAsia" w:ascii="Times New Roman" w:hAnsi="Times New Roman" w:eastAsia="宋体" w:cs="Times New Roman"/>
                      <w:color w:val="auto"/>
                    </w:rPr>
                    <w:t>，</w:t>
                  </w:r>
                  <w:r>
                    <w:rPr>
                      <w:rFonts w:ascii="Times New Roman" w:hAnsi="Times New Roman" w:eastAsia="宋体" w:cs="Times New Roman"/>
                      <w:color w:val="auto"/>
                    </w:rPr>
                    <w:t>疏松土壤</w:t>
                  </w:r>
                  <w:r>
                    <w:rPr>
                      <w:rFonts w:hint="eastAsia" w:ascii="Times New Roman" w:hAnsi="Times New Roman" w:eastAsia="宋体" w:cs="Times New Roman"/>
                      <w:color w:val="auto"/>
                    </w:rPr>
                    <w:t>，</w:t>
                  </w:r>
                  <w:r>
                    <w:rPr>
                      <w:rFonts w:ascii="Times New Roman" w:hAnsi="Times New Roman" w:eastAsia="宋体" w:cs="Times New Roman"/>
                      <w:color w:val="auto"/>
                    </w:rPr>
                    <w:t>改善土壤中微生物的生育环境等优点</w:t>
                  </w:r>
                </w:p>
              </w:tc>
            </w:tr>
          </w:tbl>
          <w:p>
            <w:pPr>
              <w:spacing w:line="360" w:lineRule="auto"/>
              <w:ind w:firstLine="420" w:firstLineChars="200"/>
              <w:rPr>
                <w:rFonts w:ascii="Times New Roman" w:hAnsi="Times New Roman"/>
                <w:sz w:val="24"/>
                <w:szCs w:val="24"/>
              </w:rPr>
            </w:pPr>
            <w:r>
              <w:rPr>
                <w:rFonts w:hint="eastAsia" w:ascii="Times New Roman" w:hAnsi="Times New Roman" w:eastAsia="宋体" w:cs="Times New Roman"/>
                <w:color w:val="auto"/>
                <w:kern w:val="2"/>
                <w:sz w:val="21"/>
                <w:szCs w:val="21"/>
                <w:lang w:val="en-US" w:eastAsia="zh-CN" w:bidi="ar-SA"/>
              </w:rPr>
              <w:t>因本项目物料生产温度较低，且生产过程投加少量水，氨气挥发量不大，本项目不进行定量分析，产生的主要物质为粉尘，本项目物料平衡见下表。</w:t>
            </w:r>
          </w:p>
          <w:p>
            <w:pPr>
              <w:keepNext w:val="0"/>
              <w:keepLines w:val="0"/>
              <w:pageBreakBefore w:val="0"/>
              <w:widowControl w:val="0"/>
              <w:kinsoku/>
              <w:wordWrap/>
              <w:overflowPunct/>
              <w:topLinePunct w:val="0"/>
              <w:autoSpaceDE/>
              <w:autoSpaceDN/>
              <w:bidi w:val="0"/>
              <w:adjustRightInd/>
              <w:snapToGrid/>
              <w:spacing w:line="240" w:lineRule="auto"/>
              <w:ind w:firstLine="413" w:firstLineChars="196"/>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表13 配方肥物料平衡表  单位（t/a）</w:t>
            </w:r>
          </w:p>
          <w:tbl>
            <w:tblPr>
              <w:tblStyle w:val="19"/>
              <w:tblW w:w="79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6"/>
              <w:gridCol w:w="1705"/>
              <w:gridCol w:w="1268"/>
              <w:gridCol w:w="1042"/>
              <w:gridCol w:w="1440"/>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序号</w:t>
                  </w:r>
                </w:p>
              </w:tc>
              <w:tc>
                <w:tcPr>
                  <w:tcW w:w="1705"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进料名称</w:t>
                  </w:r>
                </w:p>
              </w:tc>
              <w:tc>
                <w:tcPr>
                  <w:tcW w:w="1268"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进料量</w:t>
                  </w:r>
                </w:p>
              </w:tc>
              <w:tc>
                <w:tcPr>
                  <w:tcW w:w="1042"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序号</w:t>
                  </w:r>
                </w:p>
              </w:tc>
              <w:tc>
                <w:tcPr>
                  <w:tcW w:w="1440"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出料名称</w:t>
                  </w:r>
                </w:p>
              </w:tc>
              <w:tc>
                <w:tcPr>
                  <w:tcW w:w="1530"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出料量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1</w:t>
                  </w:r>
                </w:p>
              </w:tc>
              <w:tc>
                <w:tcPr>
                  <w:tcW w:w="1705"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eastAsia="宋体"/>
                      <w:color w:val="auto"/>
                      <w:szCs w:val="21"/>
                      <w:lang w:val="en-US" w:eastAsia="zh-CN"/>
                    </w:rPr>
                    <w:t>尿素</w:t>
                  </w: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color w:val="auto"/>
                      <w:szCs w:val="21"/>
                      <w:lang w:val="en-US" w:eastAsia="zh-CN"/>
                    </w:rPr>
                    <w:t>4000</w:t>
                  </w:r>
                </w:p>
              </w:tc>
              <w:tc>
                <w:tcPr>
                  <w:tcW w:w="1042"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1</w:t>
                  </w:r>
                </w:p>
              </w:tc>
              <w:tc>
                <w:tcPr>
                  <w:tcW w:w="1440" w:type="dxa"/>
                  <w:tcBorders>
                    <w:tl2br w:val="nil"/>
                    <w:tr2bl w:val="nil"/>
                  </w:tcBorders>
                  <w:noWrap w:val="0"/>
                  <w:vAlign w:val="center"/>
                </w:tcPr>
                <w:p>
                  <w:pPr>
                    <w:jc w:val="center"/>
                    <w:rPr>
                      <w:rFonts w:ascii="Times New Roman" w:hAnsi="Times New Roman" w:cs="Times New Roman"/>
                      <w:szCs w:val="21"/>
                    </w:rPr>
                  </w:pPr>
                  <w:r>
                    <w:rPr>
                      <w:rFonts w:hint="eastAsia" w:ascii="Times New Roman" w:hAnsi="Times New Roman" w:cs="Times New Roman"/>
                      <w:szCs w:val="21"/>
                    </w:rPr>
                    <w:t>固态</w:t>
                  </w:r>
                  <w:r>
                    <w:rPr>
                      <w:rFonts w:ascii="Times New Roman" w:hAnsi="Times New Roman" w:cs="Times New Roman"/>
                      <w:szCs w:val="21"/>
                    </w:rPr>
                    <w:t>配方肥</w:t>
                  </w:r>
                </w:p>
              </w:tc>
              <w:tc>
                <w:tcPr>
                  <w:tcW w:w="1530" w:type="dxa"/>
                  <w:tcBorders>
                    <w:tl2br w:val="nil"/>
                    <w:tr2bl w:val="nil"/>
                  </w:tcBorders>
                  <w:noWrap w:val="0"/>
                  <w:vAlign w:val="center"/>
                </w:tcPr>
                <w:p>
                  <w:pPr>
                    <w:widowControl/>
                    <w:jc w:val="center"/>
                    <w:rPr>
                      <w:rFonts w:ascii="Times New Roman" w:hAnsi="Times New Roman" w:cs="Times New Roman"/>
                      <w:kern w:val="0"/>
                      <w:szCs w:val="21"/>
                    </w:rPr>
                  </w:pPr>
                  <w:r>
                    <w:rPr>
                      <w:rFonts w:hint="eastAsia" w:cs="Times New Roman"/>
                      <w:szCs w:val="21"/>
                      <w:lang w:val="en-US" w:eastAsia="zh-CN"/>
                    </w:rPr>
                    <w:t>8</w:t>
                  </w:r>
                  <w:r>
                    <w:rPr>
                      <w:rFonts w:ascii="Times New Roman" w:hAnsi="Times New Roman" w:cs="Times New Roman"/>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2</w:t>
                  </w:r>
                </w:p>
              </w:tc>
              <w:tc>
                <w:tcPr>
                  <w:tcW w:w="1705" w:type="dxa"/>
                  <w:tcBorders>
                    <w:tl2br w:val="nil"/>
                    <w:tr2bl w:val="nil"/>
                  </w:tcBorders>
                  <w:noWrap w:val="0"/>
                  <w:vAlign w:val="center"/>
                </w:tcPr>
                <w:p>
                  <w:pPr>
                    <w:spacing w:line="0" w:lineRule="atLeast"/>
                    <w:jc w:val="center"/>
                    <w:rPr>
                      <w:rFonts w:ascii="Times New Roman" w:hAnsi="Times New Roman" w:eastAsia="宋体"/>
                      <w:color w:val="auto"/>
                      <w:kern w:val="2"/>
                      <w:sz w:val="21"/>
                      <w:szCs w:val="21"/>
                      <w:lang w:val="en-US" w:eastAsia="zh-CN" w:bidi="ar-SA"/>
                    </w:rPr>
                  </w:pPr>
                  <w:r>
                    <w:rPr>
                      <w:rFonts w:hint="eastAsia"/>
                      <w:color w:val="auto"/>
                      <w:szCs w:val="21"/>
                    </w:rPr>
                    <w:t>磷酸二氢钾</w:t>
                  </w: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eastAsia="宋体"/>
                      <w:color w:val="auto"/>
                      <w:szCs w:val="21"/>
                      <w:lang w:val="en-US" w:eastAsia="zh-CN"/>
                    </w:rPr>
                    <w:t>1305.28</w:t>
                  </w:r>
                </w:p>
              </w:tc>
              <w:tc>
                <w:tcPr>
                  <w:tcW w:w="1042"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2</w:t>
                  </w:r>
                </w:p>
              </w:tc>
              <w:tc>
                <w:tcPr>
                  <w:tcW w:w="1440" w:type="dxa"/>
                  <w:tcBorders>
                    <w:tl2br w:val="nil"/>
                    <w:tr2bl w:val="nil"/>
                  </w:tcBorders>
                  <w:noWrap w:val="0"/>
                  <w:vAlign w:val="center"/>
                </w:tcPr>
                <w:p>
                  <w:pPr>
                    <w:jc w:val="center"/>
                    <w:rPr>
                      <w:rFonts w:ascii="Times New Roman" w:hAnsi="Times New Roman" w:cs="Times New Roman"/>
                      <w:szCs w:val="21"/>
                    </w:rPr>
                  </w:pPr>
                  <w:r>
                    <w:rPr>
                      <w:rFonts w:hint="eastAsia" w:ascii="Times New Roman" w:hAnsi="Times New Roman" w:cs="Times New Roman"/>
                      <w:szCs w:val="21"/>
                    </w:rPr>
                    <w:t>液态</w:t>
                  </w:r>
                  <w:r>
                    <w:rPr>
                      <w:rFonts w:ascii="Times New Roman" w:hAnsi="Times New Roman" w:cs="Times New Roman"/>
                      <w:szCs w:val="21"/>
                    </w:rPr>
                    <w:t>配方肥</w:t>
                  </w:r>
                </w:p>
              </w:tc>
              <w:tc>
                <w:tcPr>
                  <w:tcW w:w="1530" w:type="dxa"/>
                  <w:tcBorders>
                    <w:tl2br w:val="nil"/>
                    <w:tr2bl w:val="nil"/>
                  </w:tcBorders>
                  <w:noWrap w:val="0"/>
                  <w:vAlign w:val="center"/>
                </w:tcPr>
                <w:p>
                  <w:pPr>
                    <w:jc w:val="center"/>
                    <w:rPr>
                      <w:rFonts w:ascii="Times New Roman" w:hAnsi="Times New Roman" w:cs="Times New Roman"/>
                      <w:szCs w:val="21"/>
                    </w:rPr>
                  </w:pPr>
                  <w:r>
                    <w:rPr>
                      <w:rFonts w:hint="eastAsia" w:cs="Times New Roman"/>
                      <w:kern w:val="0"/>
                      <w:szCs w:val="21"/>
                      <w:lang w:val="en-US" w:eastAsia="zh-CN"/>
                    </w:rPr>
                    <w:t>5</w:t>
                  </w:r>
                  <w:r>
                    <w:rPr>
                      <w:rFonts w:ascii="Times New Roman" w:hAnsi="Times New Roman" w:cs="Times New Roman"/>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3</w:t>
                  </w:r>
                </w:p>
              </w:tc>
              <w:tc>
                <w:tcPr>
                  <w:tcW w:w="1705" w:type="dxa"/>
                  <w:tcBorders>
                    <w:tl2br w:val="nil"/>
                    <w:tr2bl w:val="nil"/>
                  </w:tcBorders>
                  <w:noWrap w:val="0"/>
                  <w:vAlign w:val="center"/>
                </w:tcPr>
                <w:p>
                  <w:pPr>
                    <w:spacing w:line="0" w:lineRule="atLeast"/>
                    <w:jc w:val="center"/>
                    <w:rPr>
                      <w:rFonts w:ascii="Times New Roman" w:hAnsi="Times New Roman" w:eastAsia="宋体"/>
                      <w:color w:val="auto"/>
                      <w:kern w:val="2"/>
                      <w:sz w:val="21"/>
                      <w:szCs w:val="21"/>
                      <w:lang w:val="en-US" w:eastAsia="zh-CN" w:bidi="ar-SA"/>
                    </w:rPr>
                  </w:pPr>
                  <w:r>
                    <w:rPr>
                      <w:rFonts w:hint="eastAsia"/>
                      <w:color w:val="auto"/>
                      <w:szCs w:val="21"/>
                    </w:rPr>
                    <w:t>磷酸二铵</w:t>
                  </w: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eastAsia="宋体"/>
                      <w:color w:val="auto"/>
                      <w:szCs w:val="21"/>
                      <w:lang w:val="en-US" w:eastAsia="zh-CN"/>
                    </w:rPr>
                    <w:t>2500</w:t>
                  </w:r>
                </w:p>
              </w:tc>
              <w:tc>
                <w:tcPr>
                  <w:tcW w:w="1042" w:type="dxa"/>
                  <w:tcBorders>
                    <w:tl2br w:val="nil"/>
                    <w:tr2bl w:val="nil"/>
                  </w:tcBorders>
                  <w:noWrap w:val="0"/>
                  <w:vAlign w:val="center"/>
                </w:tcPr>
                <w:p>
                  <w:pPr>
                    <w:jc w:val="center"/>
                    <w:rPr>
                      <w:rFonts w:hint="eastAsia" w:ascii="Times New Roman" w:hAnsi="Times New Roman" w:eastAsia="宋体" w:cs="Times New Roman"/>
                      <w:szCs w:val="21"/>
                      <w:lang w:val="en-US" w:eastAsia="zh-CN"/>
                    </w:rPr>
                  </w:pPr>
                  <w:r>
                    <w:rPr>
                      <w:rFonts w:hint="eastAsia" w:cs="Times New Roman"/>
                      <w:szCs w:val="21"/>
                      <w:lang w:val="en-US" w:eastAsia="zh-CN"/>
                    </w:rPr>
                    <w:t>3</w:t>
                  </w:r>
                </w:p>
              </w:tc>
              <w:tc>
                <w:tcPr>
                  <w:tcW w:w="1440"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粉尘</w:t>
                  </w:r>
                </w:p>
              </w:tc>
              <w:tc>
                <w:tcPr>
                  <w:tcW w:w="1530" w:type="dxa"/>
                  <w:tcBorders>
                    <w:tl2br w:val="nil"/>
                    <w:tr2bl w:val="nil"/>
                  </w:tcBorders>
                  <w:noWrap w:val="0"/>
                  <w:vAlign w:val="center"/>
                </w:tcPr>
                <w:p>
                  <w:pPr>
                    <w:jc w:val="center"/>
                    <w:rPr>
                      <w:rFonts w:hint="default" w:ascii="Times New Roman" w:hAnsi="Times New Roman" w:eastAsia="宋体" w:cs="Times New Roman"/>
                      <w:szCs w:val="21"/>
                      <w:lang w:val="en-US" w:eastAsia="zh-CN"/>
                    </w:rPr>
                  </w:pPr>
                  <w:r>
                    <w:rPr>
                      <w:rFonts w:hint="eastAsia" w:cs="Times New Roman"/>
                      <w:szCs w:val="21"/>
                      <w:lang w:val="en-US" w:eastAsia="zh-CN"/>
                    </w:rPr>
                    <w:t>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hint="eastAsia" w:ascii="Times New Roman" w:hAnsi="Times New Roman" w:eastAsia="宋体" w:cs="Times New Roman"/>
                      <w:szCs w:val="21"/>
                      <w:lang w:val="en-US" w:eastAsia="zh-CN"/>
                    </w:rPr>
                  </w:pPr>
                  <w:r>
                    <w:rPr>
                      <w:rFonts w:hint="eastAsia" w:cs="Times New Roman"/>
                      <w:szCs w:val="21"/>
                      <w:lang w:val="en-US" w:eastAsia="zh-CN"/>
                    </w:rPr>
                    <w:t>4</w:t>
                  </w:r>
                </w:p>
              </w:tc>
              <w:tc>
                <w:tcPr>
                  <w:tcW w:w="1705" w:type="dxa"/>
                  <w:tcBorders>
                    <w:tl2br w:val="nil"/>
                    <w:tr2bl w:val="nil"/>
                  </w:tcBorders>
                  <w:noWrap w:val="0"/>
                  <w:vAlign w:val="center"/>
                </w:tcPr>
                <w:p>
                  <w:pPr>
                    <w:spacing w:line="0" w:lineRule="atLeast"/>
                    <w:jc w:val="center"/>
                    <w:rPr>
                      <w:rFonts w:ascii="Times New Roman" w:hAnsi="Times New Roman" w:eastAsia="宋体"/>
                      <w:color w:val="auto"/>
                      <w:kern w:val="2"/>
                      <w:sz w:val="21"/>
                      <w:szCs w:val="21"/>
                      <w:lang w:val="en-US" w:eastAsia="zh-CN" w:bidi="ar-SA"/>
                    </w:rPr>
                  </w:pPr>
                  <w:r>
                    <w:rPr>
                      <w:rFonts w:hint="eastAsia"/>
                      <w:color w:val="auto"/>
                      <w:szCs w:val="21"/>
                    </w:rPr>
                    <w:t>氨基酸液</w:t>
                  </w: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eastAsia="宋体"/>
                      <w:color w:val="auto"/>
                      <w:szCs w:val="21"/>
                      <w:lang w:val="en-US" w:eastAsia="zh-CN"/>
                    </w:rPr>
                    <w:t>2000</w:t>
                  </w:r>
                </w:p>
              </w:tc>
              <w:tc>
                <w:tcPr>
                  <w:tcW w:w="1042" w:type="dxa"/>
                  <w:tcBorders>
                    <w:tl2br w:val="nil"/>
                    <w:tr2bl w:val="nil"/>
                  </w:tcBorders>
                  <w:noWrap w:val="0"/>
                  <w:vAlign w:val="center"/>
                </w:tcPr>
                <w:p>
                  <w:pPr>
                    <w:jc w:val="center"/>
                    <w:rPr>
                      <w:rFonts w:ascii="Times New Roman" w:hAnsi="Times New Roman" w:cs="Times New Roman"/>
                      <w:szCs w:val="21"/>
                    </w:rPr>
                  </w:pPr>
                </w:p>
              </w:tc>
              <w:tc>
                <w:tcPr>
                  <w:tcW w:w="1440" w:type="dxa"/>
                  <w:tcBorders>
                    <w:tl2br w:val="nil"/>
                    <w:tr2bl w:val="nil"/>
                  </w:tcBorders>
                  <w:noWrap w:val="0"/>
                  <w:vAlign w:val="center"/>
                </w:tcPr>
                <w:p>
                  <w:pPr>
                    <w:jc w:val="center"/>
                    <w:rPr>
                      <w:rFonts w:ascii="Times New Roman" w:hAnsi="Times New Roman" w:cs="Times New Roman"/>
                      <w:szCs w:val="21"/>
                    </w:rPr>
                  </w:pPr>
                </w:p>
              </w:tc>
              <w:tc>
                <w:tcPr>
                  <w:tcW w:w="1530" w:type="dxa"/>
                  <w:tcBorders>
                    <w:tl2br w:val="nil"/>
                    <w:tr2bl w:val="nil"/>
                  </w:tcBorders>
                  <w:noWrap w:val="0"/>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hint="default" w:ascii="Times New Roman" w:hAnsi="Times New Roman" w:eastAsia="宋体" w:cs="Times New Roman"/>
                      <w:szCs w:val="21"/>
                      <w:lang w:val="en-US" w:eastAsia="zh-CN"/>
                    </w:rPr>
                  </w:pPr>
                  <w:r>
                    <w:rPr>
                      <w:rFonts w:hint="eastAsia" w:cs="Times New Roman"/>
                      <w:szCs w:val="21"/>
                      <w:lang w:val="en-US" w:eastAsia="zh-CN"/>
                    </w:rPr>
                    <w:t>5</w:t>
                  </w:r>
                </w:p>
              </w:tc>
              <w:tc>
                <w:tcPr>
                  <w:tcW w:w="1705"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color w:val="auto"/>
                      <w:szCs w:val="21"/>
                      <w:lang w:val="en-US" w:eastAsia="zh-CN"/>
                    </w:rPr>
                    <w:t>腐殖酸液</w:t>
                  </w: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color w:val="auto"/>
                      <w:szCs w:val="21"/>
                      <w:lang w:val="en-US" w:eastAsia="zh-CN"/>
                    </w:rPr>
                    <w:t>2000</w:t>
                  </w:r>
                </w:p>
              </w:tc>
              <w:tc>
                <w:tcPr>
                  <w:tcW w:w="1042" w:type="dxa"/>
                  <w:tcBorders>
                    <w:tl2br w:val="nil"/>
                    <w:tr2bl w:val="nil"/>
                  </w:tcBorders>
                  <w:noWrap w:val="0"/>
                  <w:vAlign w:val="center"/>
                </w:tcPr>
                <w:p>
                  <w:pPr>
                    <w:jc w:val="center"/>
                    <w:rPr>
                      <w:rFonts w:ascii="Times New Roman" w:hAnsi="Times New Roman" w:cs="Times New Roman"/>
                      <w:szCs w:val="21"/>
                    </w:rPr>
                  </w:pPr>
                </w:p>
              </w:tc>
              <w:tc>
                <w:tcPr>
                  <w:tcW w:w="1440" w:type="dxa"/>
                  <w:tcBorders>
                    <w:tl2br w:val="nil"/>
                    <w:tr2bl w:val="nil"/>
                  </w:tcBorders>
                  <w:noWrap w:val="0"/>
                  <w:vAlign w:val="center"/>
                </w:tcPr>
                <w:p>
                  <w:pPr>
                    <w:jc w:val="center"/>
                    <w:rPr>
                      <w:rFonts w:ascii="Times New Roman" w:hAnsi="Times New Roman" w:cs="Times New Roman"/>
                      <w:szCs w:val="21"/>
                    </w:rPr>
                  </w:pPr>
                </w:p>
              </w:tc>
              <w:tc>
                <w:tcPr>
                  <w:tcW w:w="1530" w:type="dxa"/>
                  <w:tcBorders>
                    <w:tl2br w:val="nil"/>
                    <w:tr2bl w:val="nil"/>
                  </w:tcBorders>
                  <w:noWrap w:val="0"/>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966" w:type="dxa"/>
                  <w:tcBorders>
                    <w:tl2br w:val="nil"/>
                    <w:tr2bl w:val="nil"/>
                  </w:tcBorders>
                  <w:noWrap w:val="0"/>
                  <w:vAlign w:val="center"/>
                </w:tcPr>
                <w:p>
                  <w:pPr>
                    <w:jc w:val="center"/>
                    <w:rPr>
                      <w:rFonts w:hint="eastAsia" w:ascii="Times New Roman" w:hAnsi="Times New Roman" w:eastAsia="宋体" w:cs="Times New Roman"/>
                      <w:szCs w:val="21"/>
                      <w:lang w:val="en-US" w:eastAsia="zh-CN"/>
                    </w:rPr>
                  </w:pPr>
                  <w:r>
                    <w:rPr>
                      <w:rFonts w:hint="eastAsia" w:cs="Times New Roman"/>
                      <w:szCs w:val="21"/>
                      <w:lang w:val="en-US" w:eastAsia="zh-CN"/>
                    </w:rPr>
                    <w:t>6</w:t>
                  </w:r>
                </w:p>
              </w:tc>
              <w:tc>
                <w:tcPr>
                  <w:tcW w:w="1705" w:type="dxa"/>
                  <w:tcBorders>
                    <w:tl2br w:val="nil"/>
                    <w:tr2bl w:val="nil"/>
                  </w:tcBorders>
                  <w:noWrap w:val="0"/>
                  <w:vAlign w:val="center"/>
                </w:tcPr>
                <w:p>
                  <w:pPr>
                    <w:jc w:val="center"/>
                    <w:rPr>
                      <w:szCs w:val="21"/>
                    </w:rPr>
                  </w:pPr>
                  <w:r>
                    <w:rPr>
                      <w:rFonts w:hint="eastAsia"/>
                      <w:szCs w:val="21"/>
                    </w:rPr>
                    <w:t>水</w:t>
                  </w:r>
                </w:p>
              </w:tc>
              <w:tc>
                <w:tcPr>
                  <w:tcW w:w="1268" w:type="dxa"/>
                  <w:tcBorders>
                    <w:tl2br w:val="nil"/>
                    <w:tr2bl w:val="nil"/>
                  </w:tcBorders>
                  <w:noWrap w:val="0"/>
                  <w:vAlign w:val="center"/>
                </w:tcPr>
                <w:p>
                  <w:pPr>
                    <w:jc w:val="center"/>
                    <w:rPr>
                      <w:rFonts w:ascii="Times New Roman" w:hAnsi="Times New Roman" w:cs="Times New Roman"/>
                      <w:szCs w:val="21"/>
                    </w:rPr>
                  </w:pPr>
                  <w:r>
                    <w:rPr>
                      <w:rFonts w:hint="eastAsia" w:cs="Times New Roman"/>
                      <w:szCs w:val="21"/>
                      <w:lang w:val="en-US" w:eastAsia="zh-CN"/>
                    </w:rPr>
                    <w:t>12</w:t>
                  </w:r>
                  <w:r>
                    <w:rPr>
                      <w:rFonts w:hint="eastAsia" w:ascii="Times New Roman" w:hAnsi="Times New Roman" w:cs="Times New Roman"/>
                      <w:szCs w:val="21"/>
                    </w:rPr>
                    <w:t>00</w:t>
                  </w:r>
                </w:p>
              </w:tc>
              <w:tc>
                <w:tcPr>
                  <w:tcW w:w="1042" w:type="dxa"/>
                  <w:tcBorders>
                    <w:tl2br w:val="nil"/>
                    <w:tr2bl w:val="nil"/>
                  </w:tcBorders>
                  <w:noWrap w:val="0"/>
                  <w:vAlign w:val="center"/>
                </w:tcPr>
                <w:p>
                  <w:pPr>
                    <w:jc w:val="center"/>
                    <w:rPr>
                      <w:rFonts w:ascii="Times New Roman" w:hAnsi="Times New Roman" w:cs="Times New Roman"/>
                      <w:szCs w:val="21"/>
                    </w:rPr>
                  </w:pPr>
                </w:p>
              </w:tc>
              <w:tc>
                <w:tcPr>
                  <w:tcW w:w="1440" w:type="dxa"/>
                  <w:tcBorders>
                    <w:tl2br w:val="nil"/>
                    <w:tr2bl w:val="nil"/>
                  </w:tcBorders>
                  <w:noWrap w:val="0"/>
                  <w:vAlign w:val="center"/>
                </w:tcPr>
                <w:p>
                  <w:pPr>
                    <w:jc w:val="center"/>
                    <w:rPr>
                      <w:rFonts w:ascii="Times New Roman" w:hAnsi="Times New Roman" w:cs="Times New Roman"/>
                      <w:szCs w:val="21"/>
                    </w:rPr>
                  </w:pPr>
                </w:p>
              </w:tc>
              <w:tc>
                <w:tcPr>
                  <w:tcW w:w="1530" w:type="dxa"/>
                  <w:tcBorders>
                    <w:tl2br w:val="nil"/>
                    <w:tr2bl w:val="nil"/>
                  </w:tcBorders>
                  <w:noWrap w:val="0"/>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71" w:type="dxa"/>
                  <w:gridSpan w:val="2"/>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合计</w:t>
                  </w:r>
                </w:p>
              </w:tc>
              <w:tc>
                <w:tcPr>
                  <w:tcW w:w="1268" w:type="dxa"/>
                  <w:tcBorders>
                    <w:tl2br w:val="nil"/>
                    <w:tr2bl w:val="nil"/>
                  </w:tcBorders>
                  <w:noWrap w:val="0"/>
                  <w:vAlign w:val="center"/>
                </w:tcPr>
                <w:p>
                  <w:pPr>
                    <w:widowControl/>
                    <w:jc w:val="center"/>
                    <w:rPr>
                      <w:rFonts w:hint="default" w:ascii="Times New Roman" w:hAnsi="Times New Roman" w:eastAsia="宋体" w:cs="Times New Roman"/>
                      <w:kern w:val="0"/>
                      <w:szCs w:val="21"/>
                      <w:lang w:val="en-US" w:eastAsia="zh-CN"/>
                    </w:rPr>
                  </w:pPr>
                  <w:r>
                    <w:rPr>
                      <w:rFonts w:hint="eastAsia" w:cs="Times New Roman"/>
                      <w:kern w:val="0"/>
                      <w:szCs w:val="21"/>
                      <w:lang w:val="en-US" w:eastAsia="zh-CN"/>
                    </w:rPr>
                    <w:t>13005.28</w:t>
                  </w:r>
                </w:p>
              </w:tc>
              <w:tc>
                <w:tcPr>
                  <w:tcW w:w="2482" w:type="dxa"/>
                  <w:gridSpan w:val="2"/>
                  <w:tcBorders>
                    <w:tl2br w:val="nil"/>
                    <w:tr2bl w:val="nil"/>
                  </w:tcBorders>
                  <w:noWrap w:val="0"/>
                  <w:vAlign w:val="center"/>
                </w:tcPr>
                <w:p>
                  <w:pPr>
                    <w:jc w:val="center"/>
                    <w:rPr>
                      <w:rFonts w:ascii="Times New Roman" w:hAnsi="Times New Roman" w:cs="Times New Roman"/>
                      <w:szCs w:val="21"/>
                    </w:rPr>
                  </w:pPr>
                  <w:r>
                    <w:rPr>
                      <w:rFonts w:hint="eastAsia" w:ascii="Times New Roman" w:hAnsi="Times New Roman" w:cs="Times New Roman"/>
                      <w:szCs w:val="21"/>
                    </w:rPr>
                    <w:t>合计</w:t>
                  </w:r>
                </w:p>
              </w:tc>
              <w:tc>
                <w:tcPr>
                  <w:tcW w:w="1530" w:type="dxa"/>
                  <w:tcBorders>
                    <w:tl2br w:val="nil"/>
                    <w:tr2bl w:val="nil"/>
                  </w:tcBorders>
                  <w:noWrap w:val="0"/>
                  <w:vAlign w:val="center"/>
                </w:tcPr>
                <w:p>
                  <w:pPr>
                    <w:widowControl/>
                    <w:jc w:val="center"/>
                    <w:rPr>
                      <w:rFonts w:hint="default" w:ascii="Times New Roman" w:hAnsi="Times New Roman" w:eastAsia="宋体" w:cs="Times New Roman"/>
                      <w:kern w:val="0"/>
                      <w:szCs w:val="21"/>
                      <w:lang w:val="en-US" w:eastAsia="zh-CN"/>
                    </w:rPr>
                  </w:pPr>
                  <w:r>
                    <w:rPr>
                      <w:rFonts w:hint="eastAsia" w:cs="Times New Roman"/>
                      <w:kern w:val="0"/>
                      <w:szCs w:val="21"/>
                      <w:lang w:val="en-US" w:eastAsia="zh-CN"/>
                    </w:rPr>
                    <w:t>13005.28</w:t>
                  </w:r>
                </w:p>
              </w:tc>
            </w:tr>
          </w:tbl>
          <w:p>
            <w:pPr>
              <w:spacing w:line="0" w:lineRule="atLeast"/>
              <w:jc w:val="center"/>
              <w:rPr>
                <w:rFonts w:hint="eastAsia" w:ascii="宋体" w:hAnsi="宋体" w:eastAsia="宋体" w:cs="宋体"/>
                <w:b/>
                <w:bCs/>
                <w:color w:val="0000FF"/>
                <w:kern w:val="2"/>
                <w:sz w:val="21"/>
                <w:szCs w:val="21"/>
                <w:highlight w:val="none"/>
                <w:lang w:val="en-US" w:eastAsia="zh-CN" w:bidi="ar-SA"/>
              </w:rPr>
            </w:pPr>
            <w:r>
              <w:rPr>
                <w:rFonts w:hint="eastAsia" w:ascii="宋体" w:hAnsi="宋体" w:eastAsia="宋体" w:cs="宋体"/>
                <w:b/>
                <w:bCs/>
                <w:color w:val="0000FF"/>
                <w:kern w:val="2"/>
                <w:sz w:val="21"/>
                <w:szCs w:val="21"/>
                <w:highlight w:val="none"/>
                <w:lang w:val="en-US" w:eastAsia="zh-CN" w:bidi="ar-SA"/>
              </w:rPr>
              <w:t>表14 颗粒有机肥物料平衡表  单位（t/a）</w:t>
            </w:r>
          </w:p>
          <w:tbl>
            <w:tblPr>
              <w:tblStyle w:val="19"/>
              <w:tblW w:w="79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6"/>
              <w:gridCol w:w="1705"/>
              <w:gridCol w:w="1268"/>
              <w:gridCol w:w="1042"/>
              <w:gridCol w:w="1440"/>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序号</w:t>
                  </w:r>
                </w:p>
              </w:tc>
              <w:tc>
                <w:tcPr>
                  <w:tcW w:w="1705"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进料名称</w:t>
                  </w:r>
                </w:p>
              </w:tc>
              <w:tc>
                <w:tcPr>
                  <w:tcW w:w="1268"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进料量</w:t>
                  </w:r>
                </w:p>
              </w:tc>
              <w:tc>
                <w:tcPr>
                  <w:tcW w:w="1042"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序号</w:t>
                  </w:r>
                </w:p>
              </w:tc>
              <w:tc>
                <w:tcPr>
                  <w:tcW w:w="1440"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出料名称</w:t>
                  </w:r>
                </w:p>
              </w:tc>
              <w:tc>
                <w:tcPr>
                  <w:tcW w:w="1530"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出料量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1</w:t>
                  </w:r>
                </w:p>
              </w:tc>
              <w:tc>
                <w:tcPr>
                  <w:tcW w:w="1705"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color w:val="auto"/>
                      <w:szCs w:val="21"/>
                      <w:lang w:val="en-US" w:eastAsia="zh-CN"/>
                    </w:rPr>
                    <w:t>发酵羊粪</w:t>
                  </w: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color w:val="auto"/>
                      <w:szCs w:val="21"/>
                      <w:lang w:val="en-US" w:eastAsia="zh-CN"/>
                    </w:rPr>
                    <w:t>49600.35</w:t>
                  </w:r>
                </w:p>
              </w:tc>
              <w:tc>
                <w:tcPr>
                  <w:tcW w:w="1042"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1</w:t>
                  </w:r>
                </w:p>
              </w:tc>
              <w:tc>
                <w:tcPr>
                  <w:tcW w:w="1440" w:type="dxa"/>
                  <w:tcBorders>
                    <w:tl2br w:val="nil"/>
                    <w:tr2bl w:val="nil"/>
                  </w:tcBorders>
                  <w:noWrap w:val="0"/>
                  <w:vAlign w:val="center"/>
                </w:tcPr>
                <w:p>
                  <w:pPr>
                    <w:jc w:val="center"/>
                    <w:rPr>
                      <w:rFonts w:hint="default" w:ascii="Times New Roman" w:hAnsi="Times New Roman" w:eastAsia="宋体" w:cs="Times New Roman"/>
                      <w:szCs w:val="21"/>
                      <w:lang w:val="en-US" w:eastAsia="zh-CN"/>
                    </w:rPr>
                  </w:pPr>
                  <w:r>
                    <w:rPr>
                      <w:rFonts w:hint="eastAsia" w:cs="Times New Roman"/>
                      <w:szCs w:val="21"/>
                      <w:lang w:val="en-US" w:eastAsia="zh-CN"/>
                    </w:rPr>
                    <w:t>颗粒有机肥</w:t>
                  </w:r>
                </w:p>
              </w:tc>
              <w:tc>
                <w:tcPr>
                  <w:tcW w:w="1530" w:type="dxa"/>
                  <w:tcBorders>
                    <w:tl2br w:val="nil"/>
                    <w:tr2bl w:val="nil"/>
                  </w:tcBorders>
                  <w:noWrap w:val="0"/>
                  <w:vAlign w:val="center"/>
                </w:tcPr>
                <w:p>
                  <w:pPr>
                    <w:widowControl/>
                    <w:jc w:val="center"/>
                    <w:rPr>
                      <w:rFonts w:hint="default" w:ascii="Times New Roman" w:hAnsi="Times New Roman" w:eastAsia="宋体" w:cs="Times New Roman"/>
                      <w:kern w:val="0"/>
                      <w:szCs w:val="21"/>
                      <w:lang w:val="en-US" w:eastAsia="zh-CN"/>
                    </w:rPr>
                  </w:pPr>
                  <w:r>
                    <w:rPr>
                      <w:rFonts w:hint="eastAsia" w:cs="Times New Roman"/>
                      <w:kern w:val="0"/>
                      <w:szCs w:val="21"/>
                      <w:lang w:val="en-US" w:eastAsia="zh-CN"/>
                    </w:rPr>
                    <w:t>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2</w:t>
                  </w:r>
                </w:p>
              </w:tc>
              <w:tc>
                <w:tcPr>
                  <w:tcW w:w="1705" w:type="dxa"/>
                  <w:tcBorders>
                    <w:tl2br w:val="nil"/>
                    <w:tr2bl w:val="nil"/>
                  </w:tcBorders>
                  <w:noWrap w:val="0"/>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eastAsia"/>
                      <w:color w:val="auto"/>
                      <w:szCs w:val="21"/>
                      <w:lang w:val="en-US" w:eastAsia="zh-CN"/>
                    </w:rPr>
                    <w:t>水</w:t>
                  </w: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color w:val="auto"/>
                      <w:szCs w:val="21"/>
                      <w:lang w:val="en-US" w:eastAsia="zh-CN"/>
                    </w:rPr>
                    <w:t>2000</w:t>
                  </w:r>
                </w:p>
              </w:tc>
              <w:tc>
                <w:tcPr>
                  <w:tcW w:w="1042"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2</w:t>
                  </w:r>
                </w:p>
              </w:tc>
              <w:tc>
                <w:tcPr>
                  <w:tcW w:w="1440" w:type="dxa"/>
                  <w:tcBorders>
                    <w:tl2br w:val="nil"/>
                    <w:tr2bl w:val="nil"/>
                  </w:tcBorders>
                  <w:noWrap w:val="0"/>
                  <w:vAlign w:val="center"/>
                </w:tcPr>
                <w:p>
                  <w:pPr>
                    <w:jc w:val="center"/>
                    <w:rPr>
                      <w:rFonts w:hint="eastAsia" w:ascii="Times New Roman" w:hAnsi="Times New Roman" w:eastAsia="宋体" w:cs="Times New Roman"/>
                      <w:szCs w:val="21"/>
                      <w:lang w:val="en-US" w:eastAsia="zh-CN"/>
                    </w:rPr>
                  </w:pPr>
                  <w:r>
                    <w:rPr>
                      <w:rFonts w:hint="eastAsia" w:cs="Times New Roman"/>
                      <w:szCs w:val="21"/>
                      <w:lang w:val="en-US" w:eastAsia="zh-CN"/>
                    </w:rPr>
                    <w:t>粉尘</w:t>
                  </w:r>
                </w:p>
              </w:tc>
              <w:tc>
                <w:tcPr>
                  <w:tcW w:w="1530" w:type="dxa"/>
                  <w:tcBorders>
                    <w:tl2br w:val="nil"/>
                    <w:tr2bl w:val="nil"/>
                  </w:tcBorders>
                  <w:noWrap w:val="0"/>
                  <w:vAlign w:val="center"/>
                </w:tcPr>
                <w:p>
                  <w:pPr>
                    <w:jc w:val="center"/>
                    <w:rPr>
                      <w:rFonts w:hint="default" w:ascii="Times New Roman" w:hAnsi="Times New Roman" w:eastAsia="宋体" w:cs="Times New Roman"/>
                      <w:szCs w:val="21"/>
                      <w:lang w:val="en-US" w:eastAsia="zh-CN"/>
                    </w:rPr>
                  </w:pPr>
                  <w:r>
                    <w:rPr>
                      <w:rFonts w:hint="eastAsia" w:cs="Times New Roman"/>
                      <w:szCs w:val="21"/>
                      <w:lang w:val="en-US" w:eastAsia="zh-CN"/>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p>
              </w:tc>
              <w:tc>
                <w:tcPr>
                  <w:tcW w:w="1705" w:type="dxa"/>
                  <w:tcBorders>
                    <w:tl2br w:val="nil"/>
                    <w:tr2bl w:val="nil"/>
                  </w:tcBorders>
                  <w:noWrap w:val="0"/>
                  <w:vAlign w:val="center"/>
                </w:tcPr>
                <w:p>
                  <w:pPr>
                    <w:spacing w:line="0" w:lineRule="atLeast"/>
                    <w:jc w:val="center"/>
                    <w:rPr>
                      <w:rFonts w:ascii="Times New Roman" w:hAnsi="Times New Roman" w:eastAsia="宋体"/>
                      <w:color w:val="auto"/>
                      <w:kern w:val="2"/>
                      <w:sz w:val="21"/>
                      <w:szCs w:val="21"/>
                      <w:lang w:val="en-US" w:eastAsia="zh-CN" w:bidi="ar-SA"/>
                    </w:rPr>
                  </w:pP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p>
              </w:tc>
              <w:tc>
                <w:tcPr>
                  <w:tcW w:w="1042" w:type="dxa"/>
                  <w:tcBorders>
                    <w:tl2br w:val="nil"/>
                    <w:tr2bl w:val="nil"/>
                  </w:tcBorders>
                  <w:noWrap w:val="0"/>
                  <w:vAlign w:val="center"/>
                </w:tcPr>
                <w:p>
                  <w:pPr>
                    <w:jc w:val="center"/>
                    <w:rPr>
                      <w:rFonts w:hint="eastAsia" w:ascii="Times New Roman" w:hAnsi="Times New Roman" w:eastAsia="宋体" w:cs="Times New Roman"/>
                      <w:szCs w:val="21"/>
                      <w:lang w:val="en-US" w:eastAsia="zh-CN"/>
                    </w:rPr>
                  </w:pPr>
                  <w:r>
                    <w:rPr>
                      <w:rFonts w:hint="eastAsia" w:cs="Times New Roman"/>
                      <w:szCs w:val="21"/>
                      <w:lang w:val="en-US" w:eastAsia="zh-CN"/>
                    </w:rPr>
                    <w:t>3</w:t>
                  </w:r>
                </w:p>
              </w:tc>
              <w:tc>
                <w:tcPr>
                  <w:tcW w:w="1440" w:type="dxa"/>
                  <w:tcBorders>
                    <w:tl2br w:val="nil"/>
                    <w:tr2bl w:val="nil"/>
                  </w:tcBorders>
                  <w:noWrap w:val="0"/>
                  <w:vAlign w:val="center"/>
                </w:tcPr>
                <w:p>
                  <w:pPr>
                    <w:jc w:val="center"/>
                    <w:rPr>
                      <w:rFonts w:hint="default" w:ascii="Times New Roman" w:hAnsi="Times New Roman" w:eastAsia="宋体" w:cs="Times New Roman"/>
                      <w:szCs w:val="21"/>
                      <w:lang w:val="en-US" w:eastAsia="zh-CN"/>
                    </w:rPr>
                  </w:pPr>
                  <w:r>
                    <w:rPr>
                      <w:rFonts w:hint="eastAsia" w:cs="Times New Roman"/>
                      <w:szCs w:val="21"/>
                      <w:lang w:val="en-US" w:eastAsia="zh-CN"/>
                    </w:rPr>
                    <w:t>水分蒸发</w:t>
                  </w:r>
                </w:p>
              </w:tc>
              <w:tc>
                <w:tcPr>
                  <w:tcW w:w="1530" w:type="dxa"/>
                  <w:tcBorders>
                    <w:tl2br w:val="nil"/>
                    <w:tr2bl w:val="nil"/>
                  </w:tcBorders>
                  <w:noWrap w:val="0"/>
                  <w:vAlign w:val="center"/>
                </w:tcPr>
                <w:p>
                  <w:pPr>
                    <w:jc w:val="center"/>
                    <w:rPr>
                      <w:rFonts w:hint="default" w:ascii="Times New Roman" w:hAnsi="Times New Roman" w:eastAsia="宋体" w:cs="Times New Roman"/>
                      <w:szCs w:val="21"/>
                      <w:lang w:val="en-US" w:eastAsia="zh-CN"/>
                    </w:rPr>
                  </w:pPr>
                  <w:r>
                    <w:rPr>
                      <w:rFonts w:hint="eastAsia" w:cs="Times New Roman"/>
                      <w:szCs w:val="21"/>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71" w:type="dxa"/>
                  <w:gridSpan w:val="2"/>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合计</w:t>
                  </w:r>
                </w:p>
              </w:tc>
              <w:tc>
                <w:tcPr>
                  <w:tcW w:w="1268" w:type="dxa"/>
                  <w:tcBorders>
                    <w:tl2br w:val="nil"/>
                    <w:tr2bl w:val="nil"/>
                  </w:tcBorders>
                  <w:noWrap w:val="0"/>
                  <w:vAlign w:val="center"/>
                </w:tcPr>
                <w:p>
                  <w:pPr>
                    <w:widowControl/>
                    <w:jc w:val="center"/>
                    <w:rPr>
                      <w:rFonts w:hint="default" w:ascii="Times New Roman" w:hAnsi="Times New Roman" w:eastAsia="宋体" w:cs="Times New Roman"/>
                      <w:kern w:val="0"/>
                      <w:szCs w:val="21"/>
                      <w:lang w:val="en-US" w:eastAsia="zh-CN"/>
                    </w:rPr>
                  </w:pPr>
                  <w:r>
                    <w:rPr>
                      <w:rFonts w:hint="eastAsia" w:cs="Times New Roman"/>
                      <w:kern w:val="0"/>
                      <w:szCs w:val="21"/>
                      <w:lang w:val="en-US" w:eastAsia="zh-CN"/>
                    </w:rPr>
                    <w:t>516000.35</w:t>
                  </w:r>
                </w:p>
              </w:tc>
              <w:tc>
                <w:tcPr>
                  <w:tcW w:w="2482" w:type="dxa"/>
                  <w:gridSpan w:val="2"/>
                  <w:tcBorders>
                    <w:tl2br w:val="nil"/>
                    <w:tr2bl w:val="nil"/>
                  </w:tcBorders>
                  <w:noWrap w:val="0"/>
                  <w:vAlign w:val="center"/>
                </w:tcPr>
                <w:p>
                  <w:pPr>
                    <w:jc w:val="center"/>
                    <w:rPr>
                      <w:rFonts w:ascii="Times New Roman" w:hAnsi="Times New Roman" w:cs="Times New Roman"/>
                      <w:szCs w:val="21"/>
                    </w:rPr>
                  </w:pPr>
                  <w:r>
                    <w:rPr>
                      <w:rFonts w:hint="eastAsia" w:ascii="Times New Roman" w:hAnsi="Times New Roman" w:cs="Times New Roman"/>
                      <w:szCs w:val="21"/>
                    </w:rPr>
                    <w:t>合计</w:t>
                  </w:r>
                </w:p>
              </w:tc>
              <w:tc>
                <w:tcPr>
                  <w:tcW w:w="1530" w:type="dxa"/>
                  <w:tcBorders>
                    <w:tl2br w:val="nil"/>
                    <w:tr2bl w:val="nil"/>
                  </w:tcBorders>
                  <w:noWrap w:val="0"/>
                  <w:vAlign w:val="center"/>
                </w:tcPr>
                <w:p>
                  <w:pPr>
                    <w:widowControl/>
                    <w:jc w:val="center"/>
                    <w:rPr>
                      <w:rFonts w:hint="default" w:ascii="Times New Roman" w:hAnsi="Times New Roman" w:eastAsia="宋体" w:cs="Times New Roman"/>
                      <w:kern w:val="0"/>
                      <w:szCs w:val="21"/>
                      <w:lang w:val="en-US" w:eastAsia="zh-CN"/>
                    </w:rPr>
                  </w:pPr>
                  <w:r>
                    <w:rPr>
                      <w:rFonts w:hint="eastAsia" w:cs="Times New Roman"/>
                      <w:kern w:val="0"/>
                      <w:szCs w:val="21"/>
                      <w:lang w:val="en-US" w:eastAsia="zh-CN"/>
                    </w:rPr>
                    <w:t>516000.35</w:t>
                  </w:r>
                </w:p>
              </w:tc>
            </w:tr>
          </w:tbl>
          <w:p>
            <w:pPr>
              <w:spacing w:line="0" w:lineRule="atLeast"/>
              <w:jc w:val="center"/>
              <w:rPr>
                <w:rFonts w:hint="default" w:ascii="宋体" w:hAnsi="宋体" w:eastAsia="宋体" w:cs="宋体"/>
                <w:b/>
                <w:bCs/>
                <w:color w:val="0000FF"/>
                <w:kern w:val="2"/>
                <w:sz w:val="21"/>
                <w:szCs w:val="21"/>
                <w:highlight w:val="none"/>
                <w:lang w:val="en-US" w:eastAsia="zh-CN" w:bidi="ar-SA"/>
              </w:rPr>
            </w:pPr>
            <w:r>
              <w:rPr>
                <w:rFonts w:hint="eastAsia" w:ascii="宋体" w:hAnsi="宋体" w:eastAsia="宋体" w:cs="宋体"/>
                <w:b/>
                <w:bCs/>
                <w:color w:val="0000FF"/>
                <w:kern w:val="2"/>
                <w:sz w:val="21"/>
                <w:szCs w:val="21"/>
                <w:highlight w:val="none"/>
                <w:lang w:val="en-US" w:eastAsia="zh-CN" w:bidi="ar-SA"/>
              </w:rPr>
              <w:t>表15 高端有机肥物料平衡表  单位（t/a）</w:t>
            </w:r>
          </w:p>
          <w:tbl>
            <w:tblPr>
              <w:tblStyle w:val="19"/>
              <w:tblW w:w="79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6"/>
              <w:gridCol w:w="1705"/>
              <w:gridCol w:w="1268"/>
              <w:gridCol w:w="1042"/>
              <w:gridCol w:w="1440"/>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序号</w:t>
                  </w:r>
                </w:p>
              </w:tc>
              <w:tc>
                <w:tcPr>
                  <w:tcW w:w="1705"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进料名称</w:t>
                  </w:r>
                </w:p>
              </w:tc>
              <w:tc>
                <w:tcPr>
                  <w:tcW w:w="1268"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进料量</w:t>
                  </w:r>
                </w:p>
              </w:tc>
              <w:tc>
                <w:tcPr>
                  <w:tcW w:w="1042"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序号</w:t>
                  </w:r>
                </w:p>
              </w:tc>
              <w:tc>
                <w:tcPr>
                  <w:tcW w:w="1440"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出料名称</w:t>
                  </w:r>
                </w:p>
              </w:tc>
              <w:tc>
                <w:tcPr>
                  <w:tcW w:w="1530"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出料量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1</w:t>
                  </w:r>
                </w:p>
              </w:tc>
              <w:tc>
                <w:tcPr>
                  <w:tcW w:w="1705"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ascii="Times New Roman" w:hAnsi="Times New Roman" w:eastAsia="宋体"/>
                      <w:color w:val="auto"/>
                      <w:kern w:val="2"/>
                      <w:sz w:val="21"/>
                      <w:szCs w:val="21"/>
                      <w:lang w:val="en-US" w:eastAsia="zh-CN" w:bidi="ar-SA"/>
                    </w:rPr>
                    <w:t>发酵羊粪</w:t>
                  </w: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ascii="Times New Roman" w:hAnsi="Times New Roman" w:eastAsia="宋体"/>
                      <w:color w:val="auto"/>
                      <w:kern w:val="2"/>
                      <w:sz w:val="21"/>
                      <w:szCs w:val="21"/>
                      <w:lang w:val="en-US" w:eastAsia="zh-CN" w:bidi="ar-SA"/>
                    </w:rPr>
                    <w:t>80000</w:t>
                  </w:r>
                </w:p>
              </w:tc>
              <w:tc>
                <w:tcPr>
                  <w:tcW w:w="1042"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1</w:t>
                  </w:r>
                </w:p>
              </w:tc>
              <w:tc>
                <w:tcPr>
                  <w:tcW w:w="1440" w:type="dxa"/>
                  <w:tcBorders>
                    <w:tl2br w:val="nil"/>
                    <w:tr2bl w:val="nil"/>
                  </w:tcBorders>
                  <w:noWrap w:val="0"/>
                  <w:vAlign w:val="center"/>
                </w:tcPr>
                <w:p>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高端有机肥</w:t>
                  </w:r>
                </w:p>
              </w:tc>
              <w:tc>
                <w:tcPr>
                  <w:tcW w:w="1530" w:type="dxa"/>
                  <w:tcBorders>
                    <w:tl2br w:val="nil"/>
                    <w:tr2bl w:val="nil"/>
                  </w:tcBorders>
                  <w:noWrap w:val="0"/>
                  <w:vAlign w:val="center"/>
                </w:tcPr>
                <w:p>
                  <w:pPr>
                    <w:widowControl/>
                    <w:jc w:val="center"/>
                    <w:rPr>
                      <w:rFonts w:hint="default" w:ascii="Times New Roman" w:hAnsi="Times New Roman" w:cs="Times New Roman"/>
                      <w:kern w:val="0"/>
                      <w:szCs w:val="21"/>
                      <w:lang w:val="en-US"/>
                    </w:rPr>
                  </w:pPr>
                  <w:r>
                    <w:rPr>
                      <w:rFonts w:hint="eastAsia" w:cs="Times New Roman"/>
                      <w:szCs w:val="21"/>
                      <w:lang w:val="en-US" w:eastAsia="zh-CN"/>
                    </w:rPr>
                    <w:t>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2</w:t>
                  </w:r>
                </w:p>
              </w:tc>
              <w:tc>
                <w:tcPr>
                  <w:tcW w:w="1705"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ascii="Times New Roman" w:hAnsi="Times New Roman" w:eastAsia="宋体"/>
                      <w:color w:val="auto"/>
                      <w:kern w:val="2"/>
                      <w:sz w:val="21"/>
                      <w:szCs w:val="21"/>
                      <w:lang w:val="en-US" w:eastAsia="zh-CN" w:bidi="ar-SA"/>
                    </w:rPr>
                    <w:t>腐殖酸</w:t>
                  </w: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ascii="Times New Roman" w:hAnsi="Times New Roman" w:eastAsia="宋体"/>
                      <w:color w:val="auto"/>
                      <w:kern w:val="2"/>
                      <w:sz w:val="21"/>
                      <w:szCs w:val="21"/>
                      <w:lang w:val="en-US" w:eastAsia="zh-CN" w:bidi="ar-SA"/>
                    </w:rPr>
                    <w:t>5000</w:t>
                  </w:r>
                </w:p>
              </w:tc>
              <w:tc>
                <w:tcPr>
                  <w:tcW w:w="1042"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2</w:t>
                  </w:r>
                </w:p>
              </w:tc>
              <w:tc>
                <w:tcPr>
                  <w:tcW w:w="1440" w:type="dxa"/>
                  <w:tcBorders>
                    <w:tl2br w:val="nil"/>
                    <w:tr2bl w:val="nil"/>
                  </w:tcBorders>
                  <w:noWrap w:val="0"/>
                  <w:vAlign w:val="center"/>
                </w:tcPr>
                <w:p>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有机肥滤渣</w:t>
                  </w:r>
                </w:p>
              </w:tc>
              <w:tc>
                <w:tcPr>
                  <w:tcW w:w="1530" w:type="dxa"/>
                  <w:tcBorders>
                    <w:tl2br w:val="nil"/>
                    <w:tr2bl w:val="nil"/>
                  </w:tcBorders>
                  <w:noWrap w:val="0"/>
                  <w:vAlign w:val="center"/>
                </w:tcPr>
                <w:p>
                  <w:pPr>
                    <w:jc w:val="center"/>
                    <w:rPr>
                      <w:rFonts w:hint="default" w:ascii="Times New Roman" w:hAnsi="Times New Roman" w:cs="Times New Roman"/>
                      <w:szCs w:val="21"/>
                      <w:lang w:val="en-US"/>
                    </w:rPr>
                  </w:pPr>
                  <w:r>
                    <w:rPr>
                      <w:rFonts w:hint="eastAsia" w:cs="Times New Roman"/>
                      <w:kern w:val="0"/>
                      <w:szCs w:val="21"/>
                      <w:lang w:val="en-US" w:eastAsia="zh-CN"/>
                    </w:rPr>
                    <w:t>40500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3</w:t>
                  </w:r>
                </w:p>
              </w:tc>
              <w:tc>
                <w:tcPr>
                  <w:tcW w:w="1705"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ascii="Times New Roman" w:hAnsi="Times New Roman" w:eastAsia="宋体"/>
                      <w:color w:val="auto"/>
                      <w:kern w:val="2"/>
                      <w:sz w:val="21"/>
                      <w:szCs w:val="21"/>
                      <w:lang w:val="en-US" w:eastAsia="zh-CN" w:bidi="ar-SA"/>
                    </w:rPr>
                    <w:t>海藻提取物</w:t>
                  </w: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ascii="Times New Roman" w:hAnsi="Times New Roman" w:eastAsia="宋体"/>
                      <w:color w:val="auto"/>
                      <w:kern w:val="2"/>
                      <w:sz w:val="21"/>
                      <w:szCs w:val="21"/>
                      <w:lang w:val="en-US" w:eastAsia="zh-CN" w:bidi="ar-SA"/>
                    </w:rPr>
                    <w:t>5000</w:t>
                  </w:r>
                </w:p>
              </w:tc>
              <w:tc>
                <w:tcPr>
                  <w:tcW w:w="1042" w:type="dxa"/>
                  <w:tcBorders>
                    <w:tl2br w:val="nil"/>
                    <w:tr2bl w:val="nil"/>
                  </w:tcBorders>
                  <w:noWrap w:val="0"/>
                  <w:vAlign w:val="center"/>
                </w:tcPr>
                <w:p>
                  <w:pPr>
                    <w:jc w:val="center"/>
                    <w:rPr>
                      <w:rFonts w:hint="eastAsia" w:ascii="Times New Roman" w:hAnsi="Times New Roman" w:eastAsia="宋体" w:cs="Times New Roman"/>
                      <w:szCs w:val="21"/>
                      <w:lang w:val="en-US" w:eastAsia="zh-CN"/>
                    </w:rPr>
                  </w:pPr>
                  <w:r>
                    <w:rPr>
                      <w:rFonts w:hint="eastAsia" w:cs="Times New Roman"/>
                      <w:szCs w:val="21"/>
                      <w:lang w:val="en-US" w:eastAsia="zh-CN"/>
                    </w:rPr>
                    <w:t>3</w:t>
                  </w:r>
                </w:p>
              </w:tc>
              <w:tc>
                <w:tcPr>
                  <w:tcW w:w="1440" w:type="dxa"/>
                  <w:tcBorders>
                    <w:tl2br w:val="nil"/>
                    <w:tr2bl w:val="nil"/>
                  </w:tcBorders>
                  <w:noWrap w:val="0"/>
                  <w:vAlign w:val="center"/>
                </w:tcPr>
                <w:p>
                  <w:pPr>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水分蒸发</w:t>
                  </w:r>
                </w:p>
              </w:tc>
              <w:tc>
                <w:tcPr>
                  <w:tcW w:w="1530" w:type="dxa"/>
                  <w:tcBorders>
                    <w:tl2br w:val="nil"/>
                    <w:tr2bl w:val="nil"/>
                  </w:tcBorders>
                  <w:noWrap w:val="0"/>
                  <w:vAlign w:val="center"/>
                </w:tcPr>
                <w:p>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66" w:type="dxa"/>
                  <w:tcBorders>
                    <w:tl2br w:val="nil"/>
                    <w:tr2bl w:val="nil"/>
                  </w:tcBorders>
                  <w:noWrap w:val="0"/>
                  <w:vAlign w:val="center"/>
                </w:tcPr>
                <w:p>
                  <w:pPr>
                    <w:jc w:val="center"/>
                    <w:rPr>
                      <w:rFonts w:hint="eastAsia" w:ascii="Times New Roman" w:hAnsi="Times New Roman" w:eastAsia="宋体" w:cs="Times New Roman"/>
                      <w:szCs w:val="21"/>
                      <w:lang w:val="en-US" w:eastAsia="zh-CN"/>
                    </w:rPr>
                  </w:pPr>
                  <w:r>
                    <w:rPr>
                      <w:rFonts w:hint="eastAsia" w:cs="Times New Roman"/>
                      <w:szCs w:val="21"/>
                      <w:lang w:val="en-US" w:eastAsia="zh-CN"/>
                    </w:rPr>
                    <w:t>4</w:t>
                  </w:r>
                </w:p>
              </w:tc>
              <w:tc>
                <w:tcPr>
                  <w:tcW w:w="1705"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ascii="Times New Roman" w:hAnsi="Times New Roman" w:eastAsia="宋体"/>
                      <w:color w:val="auto"/>
                      <w:kern w:val="2"/>
                      <w:sz w:val="21"/>
                      <w:szCs w:val="21"/>
                      <w:lang w:val="en-US" w:eastAsia="zh-CN" w:bidi="ar-SA"/>
                    </w:rPr>
                    <w:t>水</w:t>
                  </w:r>
                </w:p>
              </w:tc>
              <w:tc>
                <w:tcPr>
                  <w:tcW w:w="1268" w:type="dxa"/>
                  <w:tcBorders>
                    <w:tl2br w:val="nil"/>
                    <w:tr2bl w:val="nil"/>
                  </w:tcBorders>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ascii="Times New Roman" w:hAnsi="Times New Roman" w:eastAsia="宋体"/>
                      <w:color w:val="auto"/>
                      <w:kern w:val="2"/>
                      <w:sz w:val="21"/>
                      <w:szCs w:val="21"/>
                      <w:lang w:val="en-US" w:eastAsia="zh-CN" w:bidi="ar-SA"/>
                    </w:rPr>
                    <w:t>5000</w:t>
                  </w:r>
                </w:p>
              </w:tc>
              <w:tc>
                <w:tcPr>
                  <w:tcW w:w="1042" w:type="dxa"/>
                  <w:tcBorders>
                    <w:tl2br w:val="nil"/>
                    <w:tr2bl w:val="nil"/>
                  </w:tcBorders>
                  <w:noWrap w:val="0"/>
                  <w:vAlign w:val="center"/>
                </w:tcPr>
                <w:p>
                  <w:pPr>
                    <w:jc w:val="center"/>
                    <w:rPr>
                      <w:rFonts w:ascii="Times New Roman" w:hAnsi="Times New Roman" w:cs="Times New Roman"/>
                      <w:szCs w:val="21"/>
                    </w:rPr>
                  </w:pPr>
                </w:p>
              </w:tc>
              <w:tc>
                <w:tcPr>
                  <w:tcW w:w="1440" w:type="dxa"/>
                  <w:tcBorders>
                    <w:tl2br w:val="nil"/>
                    <w:tr2bl w:val="nil"/>
                  </w:tcBorders>
                  <w:noWrap w:val="0"/>
                  <w:vAlign w:val="center"/>
                </w:tcPr>
                <w:p>
                  <w:pPr>
                    <w:jc w:val="center"/>
                    <w:rPr>
                      <w:rFonts w:ascii="Times New Roman" w:hAnsi="Times New Roman" w:cs="Times New Roman"/>
                      <w:szCs w:val="21"/>
                    </w:rPr>
                  </w:pPr>
                </w:p>
              </w:tc>
              <w:tc>
                <w:tcPr>
                  <w:tcW w:w="1530" w:type="dxa"/>
                  <w:tcBorders>
                    <w:tl2br w:val="nil"/>
                    <w:tr2bl w:val="nil"/>
                  </w:tcBorders>
                  <w:noWrap w:val="0"/>
                  <w:vAlign w:val="center"/>
                </w:tcPr>
                <w:p>
                  <w:pPr>
                    <w:jc w:val="center"/>
                    <w:rPr>
                      <w:rFonts w:ascii="Times New Roman" w:hAnsi="Times New Roman"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671" w:type="dxa"/>
                  <w:gridSpan w:val="2"/>
                  <w:tcBorders>
                    <w:tl2br w:val="nil"/>
                    <w:tr2bl w:val="nil"/>
                  </w:tcBorders>
                  <w:noWrap w:val="0"/>
                  <w:vAlign w:val="center"/>
                </w:tcPr>
                <w:p>
                  <w:pPr>
                    <w:jc w:val="center"/>
                    <w:rPr>
                      <w:rFonts w:ascii="Times New Roman" w:hAnsi="Times New Roman" w:cs="Times New Roman"/>
                      <w:szCs w:val="21"/>
                    </w:rPr>
                  </w:pPr>
                  <w:r>
                    <w:rPr>
                      <w:rFonts w:ascii="Times New Roman" w:hAnsi="Times New Roman" w:cs="Times New Roman"/>
                      <w:szCs w:val="21"/>
                    </w:rPr>
                    <w:t>合计</w:t>
                  </w:r>
                </w:p>
              </w:tc>
              <w:tc>
                <w:tcPr>
                  <w:tcW w:w="1268" w:type="dxa"/>
                  <w:tcBorders>
                    <w:tl2br w:val="nil"/>
                    <w:tr2bl w:val="nil"/>
                  </w:tcBorders>
                  <w:noWrap w:val="0"/>
                  <w:vAlign w:val="center"/>
                </w:tcPr>
                <w:p>
                  <w:pPr>
                    <w:widowControl/>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95000</w:t>
                  </w:r>
                </w:p>
              </w:tc>
              <w:tc>
                <w:tcPr>
                  <w:tcW w:w="2482" w:type="dxa"/>
                  <w:gridSpan w:val="2"/>
                  <w:tcBorders>
                    <w:tl2br w:val="nil"/>
                    <w:tr2bl w:val="nil"/>
                  </w:tcBorders>
                  <w:noWrap w:val="0"/>
                  <w:vAlign w:val="center"/>
                </w:tcPr>
                <w:p>
                  <w:pPr>
                    <w:jc w:val="center"/>
                    <w:rPr>
                      <w:rFonts w:ascii="Times New Roman" w:hAnsi="Times New Roman" w:cs="Times New Roman"/>
                      <w:szCs w:val="21"/>
                    </w:rPr>
                  </w:pPr>
                  <w:r>
                    <w:rPr>
                      <w:rFonts w:hint="eastAsia" w:ascii="Times New Roman" w:hAnsi="Times New Roman" w:cs="Times New Roman"/>
                      <w:szCs w:val="21"/>
                    </w:rPr>
                    <w:t>合计</w:t>
                  </w:r>
                </w:p>
              </w:tc>
              <w:tc>
                <w:tcPr>
                  <w:tcW w:w="1530" w:type="dxa"/>
                  <w:tcBorders>
                    <w:tl2br w:val="nil"/>
                    <w:tr2bl w:val="nil"/>
                  </w:tcBorders>
                  <w:noWrap w:val="0"/>
                  <w:vAlign w:val="center"/>
                </w:tcPr>
                <w:p>
                  <w:pPr>
                    <w:widowControl/>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95000</w:t>
                  </w:r>
                </w:p>
              </w:tc>
            </w:tr>
          </w:tbl>
          <w:p>
            <w:pPr>
              <w:spacing w:line="360" w:lineRule="auto"/>
              <w:rPr>
                <w:b/>
                <w:bCs/>
                <w:color w:val="auto"/>
                <w:szCs w:val="21"/>
              </w:rPr>
            </w:pPr>
            <w:r>
              <w:rPr>
                <w:b/>
                <w:bCs/>
                <w:color w:val="auto"/>
                <w:szCs w:val="21"/>
              </w:rPr>
              <w:t>4、主要能源消耗</w:t>
            </w:r>
          </w:p>
          <w:p>
            <w:pPr>
              <w:spacing w:line="360" w:lineRule="auto"/>
              <w:ind w:firstLine="420" w:firstLineChars="200"/>
              <w:rPr>
                <w:color w:val="auto"/>
                <w:szCs w:val="21"/>
              </w:rPr>
            </w:pPr>
            <w:r>
              <w:rPr>
                <w:color w:val="auto"/>
                <w:szCs w:val="21"/>
              </w:rPr>
              <w:t>项目主要能源消耗见表</w:t>
            </w:r>
            <w:r>
              <w:rPr>
                <w:rFonts w:hint="eastAsia"/>
                <w:color w:val="auto"/>
                <w:szCs w:val="21"/>
                <w:lang w:val="en-US" w:eastAsia="zh-CN"/>
              </w:rPr>
              <w:t>16</w:t>
            </w:r>
            <w:r>
              <w:rPr>
                <w:color w:val="auto"/>
                <w:szCs w:val="21"/>
              </w:rPr>
              <w:t>。</w:t>
            </w:r>
          </w:p>
          <w:p>
            <w:pPr>
              <w:spacing w:line="240" w:lineRule="auto"/>
              <w:ind w:firstLine="422" w:firstLineChars="200"/>
              <w:jc w:val="center"/>
              <w:rPr>
                <w:rFonts w:hint="eastAsia" w:ascii="宋体" w:hAnsi="宋体" w:eastAsia="宋体" w:cs="宋体"/>
                <w:b/>
                <w:bCs/>
                <w:color w:val="auto"/>
                <w:sz w:val="21"/>
                <w:szCs w:val="21"/>
              </w:rPr>
            </w:pPr>
          </w:p>
          <w:p>
            <w:pPr>
              <w:spacing w:line="240" w:lineRule="auto"/>
              <w:ind w:firstLine="422" w:firstLineChars="200"/>
              <w:jc w:val="center"/>
              <w:rPr>
                <w:rFonts w:eastAsia="黑体"/>
                <w:b/>
                <w:bCs/>
                <w:color w:val="auto"/>
                <w:sz w:val="21"/>
                <w:szCs w:val="21"/>
              </w:rPr>
            </w:pPr>
            <w:r>
              <w:rPr>
                <w:rFonts w:hint="eastAsia" w:ascii="宋体" w:hAnsi="宋体" w:eastAsia="宋体" w:cs="宋体"/>
                <w:b/>
                <w:bCs/>
                <w:color w:val="auto"/>
                <w:sz w:val="21"/>
                <w:szCs w:val="21"/>
              </w:rPr>
              <w:t>表</w:t>
            </w:r>
            <w:r>
              <w:rPr>
                <w:rFonts w:hint="eastAsia" w:ascii="宋体" w:hAnsi="宋体" w:cs="宋体"/>
                <w:b/>
                <w:bCs/>
                <w:color w:val="auto"/>
                <w:sz w:val="21"/>
                <w:szCs w:val="21"/>
                <w:lang w:val="en-US" w:eastAsia="zh-CN"/>
              </w:rPr>
              <w:t xml:space="preserve">16 </w:t>
            </w:r>
            <w:r>
              <w:rPr>
                <w:rFonts w:hint="eastAsia" w:ascii="宋体" w:hAnsi="宋体" w:eastAsia="宋体" w:cs="宋体"/>
                <w:b/>
                <w:bCs/>
                <w:color w:val="auto"/>
                <w:sz w:val="21"/>
                <w:szCs w:val="21"/>
              </w:rPr>
              <w:t>主要能源消耗情况一览表</w:t>
            </w:r>
          </w:p>
          <w:tbl>
            <w:tblPr>
              <w:tblStyle w:val="19"/>
              <w:tblW w:w="7980" w:type="dxa"/>
              <w:tblInd w:w="-47"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982"/>
              <w:gridCol w:w="1947"/>
              <w:gridCol w:w="2172"/>
              <w:gridCol w:w="287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982" w:type="dxa"/>
                  <w:tcBorders>
                    <w:tl2br w:val="nil"/>
                    <w:tr2bl w:val="nil"/>
                  </w:tcBorders>
                  <w:noWrap w:val="0"/>
                  <w:vAlign w:val="center"/>
                </w:tcPr>
                <w:p>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947" w:type="dxa"/>
                  <w:tcBorders>
                    <w:tl2br w:val="nil"/>
                    <w:tr2bl w:val="nil"/>
                  </w:tcBorders>
                  <w:noWrap w:val="0"/>
                  <w:vAlign w:val="center"/>
                </w:tcPr>
                <w:p>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2172" w:type="dxa"/>
                  <w:tcBorders>
                    <w:tl2br w:val="nil"/>
                    <w:tr2bl w:val="nil"/>
                  </w:tcBorders>
                  <w:noWrap w:val="0"/>
                  <w:vAlign w:val="center"/>
                </w:tcPr>
                <w:p>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年使用量</w:t>
                  </w:r>
                </w:p>
              </w:tc>
              <w:tc>
                <w:tcPr>
                  <w:tcW w:w="2879" w:type="dxa"/>
                  <w:tcBorders>
                    <w:tl2br w:val="nil"/>
                    <w:tr2bl w:val="nil"/>
                  </w:tcBorders>
                  <w:noWrap w:val="0"/>
                  <w:vAlign w:val="center"/>
                </w:tcPr>
                <w:p>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982" w:type="dxa"/>
                  <w:tcBorders>
                    <w:tl2br w:val="nil"/>
                    <w:tr2bl w:val="nil"/>
                  </w:tcBorders>
                  <w:noWrap w:val="0"/>
                  <w:vAlign w:val="center"/>
                </w:tcPr>
                <w:p>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947"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水</w:t>
                  </w:r>
                </w:p>
              </w:tc>
              <w:tc>
                <w:tcPr>
                  <w:tcW w:w="2172"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21957.63</w:t>
                  </w:r>
                  <w:r>
                    <w:rPr>
                      <w:rFonts w:hint="default" w:ascii="Times New Roman" w:hAnsi="Times New Roman" w:eastAsia="宋体" w:cs="Times New Roman"/>
                      <w:color w:val="0000FF"/>
                      <w:kern w:val="2"/>
                      <w:sz w:val="21"/>
                      <w:szCs w:val="21"/>
                      <w:highlight w:val="none"/>
                      <w:lang w:val="en-US" w:eastAsia="zh-CN" w:bidi="ar-SA"/>
                    </w:rPr>
                    <w:t>m</w:t>
                  </w:r>
                  <w:r>
                    <w:rPr>
                      <w:rFonts w:hint="default" w:ascii="Times New Roman" w:hAnsi="Times New Roman" w:eastAsia="宋体" w:cs="Times New Roman"/>
                      <w:color w:val="0000FF"/>
                      <w:kern w:val="2"/>
                      <w:sz w:val="21"/>
                      <w:szCs w:val="21"/>
                      <w:highlight w:val="none"/>
                      <w:vertAlign w:val="superscript"/>
                      <w:lang w:val="en-US" w:eastAsia="zh-CN" w:bidi="ar-SA"/>
                    </w:rPr>
                    <w:t>3</w:t>
                  </w:r>
                  <w:r>
                    <w:rPr>
                      <w:rFonts w:hint="default" w:ascii="Times New Roman" w:hAnsi="Times New Roman" w:eastAsia="宋体" w:cs="Times New Roman"/>
                      <w:color w:val="0000FF"/>
                      <w:kern w:val="2"/>
                      <w:sz w:val="21"/>
                      <w:szCs w:val="21"/>
                      <w:highlight w:val="none"/>
                      <w:lang w:val="en-US" w:eastAsia="zh-CN" w:bidi="ar-SA"/>
                    </w:rPr>
                    <w:t>/a</w:t>
                  </w:r>
                </w:p>
              </w:tc>
              <w:tc>
                <w:tcPr>
                  <w:tcW w:w="2879"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当地供水管网</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982" w:type="dxa"/>
                  <w:tcBorders>
                    <w:tl2br w:val="nil"/>
                    <w:tr2bl w:val="nil"/>
                  </w:tcBorders>
                  <w:noWrap w:val="0"/>
                  <w:vAlign w:val="center"/>
                </w:tcPr>
                <w:p>
                  <w:pPr>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2</w:t>
                  </w:r>
                </w:p>
              </w:tc>
              <w:tc>
                <w:tcPr>
                  <w:tcW w:w="1947"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电</w:t>
                  </w:r>
                </w:p>
              </w:tc>
              <w:tc>
                <w:tcPr>
                  <w:tcW w:w="2172"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18</w:t>
                  </w:r>
                  <w:r>
                    <w:rPr>
                      <w:rFonts w:hint="default" w:ascii="Times New Roman" w:hAnsi="Times New Roman" w:eastAsia="宋体" w:cs="Times New Roman"/>
                      <w:color w:val="auto"/>
                      <w:sz w:val="21"/>
                      <w:szCs w:val="21"/>
                      <w:highlight w:val="none"/>
                    </w:rPr>
                    <w:t>万kwh</w:t>
                  </w:r>
                </w:p>
              </w:tc>
              <w:tc>
                <w:tcPr>
                  <w:tcW w:w="2879"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当地供电管网</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982" w:type="dxa"/>
                  <w:tcBorders>
                    <w:tl2br w:val="nil"/>
                    <w:tr2bl w:val="nil"/>
                  </w:tcBorders>
                  <w:noWrap w:val="0"/>
                  <w:vAlign w:val="center"/>
                </w:tcPr>
                <w:p>
                  <w:pPr>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3</w:t>
                  </w:r>
                </w:p>
              </w:tc>
              <w:tc>
                <w:tcPr>
                  <w:tcW w:w="1947"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蒸汽</w:t>
                  </w:r>
                </w:p>
              </w:tc>
              <w:tc>
                <w:tcPr>
                  <w:tcW w:w="2172"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9000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/a</w:t>
                  </w:r>
                </w:p>
              </w:tc>
              <w:tc>
                <w:tcPr>
                  <w:tcW w:w="2879"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生物质锅炉供给</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3" w:hRule="atLeast"/>
              </w:trPr>
              <w:tc>
                <w:tcPr>
                  <w:tcW w:w="982" w:type="dxa"/>
                  <w:tcBorders>
                    <w:tl2br w:val="nil"/>
                    <w:tr2bl w:val="nil"/>
                  </w:tcBorders>
                  <w:noWrap w:val="0"/>
                  <w:vAlign w:val="center"/>
                </w:tcPr>
                <w:p>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p>
              </w:tc>
              <w:tc>
                <w:tcPr>
                  <w:tcW w:w="1947"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rPr>
                    <w:t>生物质颗粒</w:t>
                  </w:r>
                </w:p>
              </w:tc>
              <w:tc>
                <w:tcPr>
                  <w:tcW w:w="2172"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1000t/a</w:t>
                  </w:r>
                </w:p>
              </w:tc>
              <w:tc>
                <w:tcPr>
                  <w:tcW w:w="2879" w:type="dxa"/>
                  <w:tcBorders>
                    <w:tl2br w:val="nil"/>
                    <w:tr2bl w:val="nil"/>
                  </w:tcBorders>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外购</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3" w:hRule="atLeast"/>
              </w:trPr>
              <w:tc>
                <w:tcPr>
                  <w:tcW w:w="982" w:type="dxa"/>
                  <w:tcBorders>
                    <w:tl2br w:val="nil"/>
                    <w:tr2bl w:val="nil"/>
                  </w:tcBorders>
                  <w:noWrap w:val="0"/>
                  <w:vAlign w:val="center"/>
                </w:tcPr>
                <w:p>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1947" w:type="dxa"/>
                  <w:tcBorders>
                    <w:tl2br w:val="nil"/>
                    <w:tr2bl w:val="nil"/>
                  </w:tcBorders>
                  <w:noWrap w:val="0"/>
                  <w:vAlign w:val="center"/>
                </w:tcPr>
                <w:p>
                  <w:pPr>
                    <w:jc w:val="center"/>
                    <w:rPr>
                      <w:rFonts w:hint="eastAsia" w:eastAsia="宋体"/>
                      <w:color w:val="auto"/>
                      <w:szCs w:val="21"/>
                      <w:lang w:val="en-US" w:eastAsia="zh-CN"/>
                    </w:rPr>
                  </w:pPr>
                  <w:r>
                    <w:rPr>
                      <w:rFonts w:hint="eastAsia"/>
                      <w:color w:val="auto"/>
                      <w:szCs w:val="21"/>
                      <w:lang w:val="en-US" w:eastAsia="zh-CN"/>
                    </w:rPr>
                    <w:t>煤</w:t>
                  </w:r>
                </w:p>
              </w:tc>
              <w:tc>
                <w:tcPr>
                  <w:tcW w:w="2172" w:type="dxa"/>
                  <w:tcBorders>
                    <w:tl2br w:val="nil"/>
                    <w:tr2bl w:val="nil"/>
                  </w:tcBorders>
                  <w:noWrap w:val="0"/>
                  <w:vAlign w:val="center"/>
                </w:tcPr>
                <w:p>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600t/a</w:t>
                  </w:r>
                </w:p>
              </w:tc>
              <w:tc>
                <w:tcPr>
                  <w:tcW w:w="2879" w:type="dxa"/>
                  <w:tcBorders>
                    <w:tl2br w:val="nil"/>
                    <w:tr2bl w:val="nil"/>
                  </w:tcBorders>
                  <w:noWrap w:val="0"/>
                  <w:vAlign w:val="center"/>
                </w:tcPr>
                <w:p>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外购</w:t>
                  </w:r>
                </w:p>
              </w:tc>
            </w:tr>
          </w:tbl>
          <w:p>
            <w:pPr>
              <w:spacing w:before="120" w:beforeLines="50" w:line="360" w:lineRule="auto"/>
              <w:rPr>
                <w:b/>
                <w:bCs/>
                <w:color w:val="auto"/>
                <w:szCs w:val="21"/>
              </w:rPr>
            </w:pPr>
            <w:r>
              <w:rPr>
                <w:rFonts w:hint="eastAsia"/>
                <w:b/>
                <w:bCs/>
                <w:color w:val="auto"/>
                <w:szCs w:val="21"/>
                <w:lang w:val="en-US" w:eastAsia="zh-CN"/>
              </w:rPr>
              <w:t>5</w:t>
            </w:r>
            <w:r>
              <w:rPr>
                <w:b/>
                <w:bCs/>
                <w:color w:val="auto"/>
                <w:szCs w:val="21"/>
              </w:rPr>
              <w:t>、主要生产设备</w:t>
            </w:r>
          </w:p>
          <w:p>
            <w:pPr>
              <w:spacing w:line="360" w:lineRule="auto"/>
              <w:ind w:firstLine="420" w:firstLineChars="200"/>
              <w:rPr>
                <w:color w:val="auto"/>
                <w:szCs w:val="21"/>
              </w:rPr>
            </w:pPr>
            <w:r>
              <w:rPr>
                <w:rFonts w:hint="eastAsia"/>
                <w:color w:val="auto"/>
                <w:szCs w:val="21"/>
                <w:lang w:val="en-US" w:eastAsia="zh-CN"/>
              </w:rPr>
              <w:t>改扩建</w:t>
            </w:r>
            <w:r>
              <w:rPr>
                <w:color w:val="auto"/>
                <w:szCs w:val="21"/>
              </w:rPr>
              <w:t>项目主要生产设备见表</w:t>
            </w:r>
            <w:r>
              <w:rPr>
                <w:rFonts w:hint="eastAsia"/>
                <w:color w:val="auto"/>
                <w:szCs w:val="21"/>
                <w:lang w:val="en-US" w:eastAsia="zh-CN"/>
              </w:rPr>
              <w:t>17</w:t>
            </w:r>
            <w:r>
              <w:rPr>
                <w:color w:val="auto"/>
                <w:szCs w:val="21"/>
              </w:rPr>
              <w:t>。</w:t>
            </w:r>
          </w:p>
          <w:p>
            <w:pPr>
              <w:spacing w:line="240" w:lineRule="auto"/>
              <w:ind w:firstLine="422" w:firstLineChars="20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表</w:t>
            </w:r>
            <w:r>
              <w:rPr>
                <w:rFonts w:hint="eastAsia" w:ascii="宋体" w:hAnsi="宋体" w:cs="宋体"/>
                <w:b/>
                <w:bCs/>
                <w:color w:val="auto"/>
                <w:sz w:val="21"/>
                <w:szCs w:val="21"/>
                <w:lang w:val="en-US" w:eastAsia="zh-CN"/>
              </w:rPr>
              <w:t xml:space="preserve">17 </w:t>
            </w:r>
            <w:r>
              <w:rPr>
                <w:rFonts w:hint="eastAsia" w:ascii="宋体" w:hAnsi="宋体" w:eastAsia="宋体" w:cs="宋体"/>
                <w:b/>
                <w:bCs/>
                <w:color w:val="auto"/>
                <w:sz w:val="21"/>
                <w:szCs w:val="21"/>
              </w:rPr>
              <w:t>主要生产设备一览表</w:t>
            </w:r>
          </w:p>
          <w:tbl>
            <w:tblPr>
              <w:tblStyle w:val="19"/>
              <w:tblW w:w="7980" w:type="dxa"/>
              <w:tblInd w:w="-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2846"/>
              <w:gridCol w:w="1487"/>
              <w:gridCol w:w="35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18" w:hRule="atLeast"/>
              </w:trPr>
              <w:tc>
                <w:tcPr>
                  <w:tcW w:w="2881"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名称规格</w:t>
                  </w:r>
                </w:p>
              </w:tc>
              <w:tc>
                <w:tcPr>
                  <w:tcW w:w="1504"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数量</w:t>
                  </w:r>
                </w:p>
              </w:tc>
              <w:tc>
                <w:tcPr>
                  <w:tcW w:w="3595"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18" w:hRule="atLeast"/>
              </w:trPr>
              <w:tc>
                <w:tcPr>
                  <w:tcW w:w="2881" w:type="dxa"/>
                  <w:vMerge w:val="continue"/>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rPr>
                  </w:pPr>
                </w:p>
              </w:tc>
              <w:tc>
                <w:tcPr>
                  <w:tcW w:w="1504" w:type="dxa"/>
                  <w:vMerge w:val="continue"/>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rPr>
                  </w:pPr>
                </w:p>
              </w:tc>
              <w:tc>
                <w:tcPr>
                  <w:tcW w:w="3595" w:type="dxa"/>
                  <w:vMerge w:val="continue"/>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搅拌罐</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4</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发酵罐</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2</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卧式离心机</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2</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生物质燃料蒸汽锅炉</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DZL6-1.25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输送带</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7</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蒸汽烘干滚筒</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14</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L3500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称重上料器</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DEL/DEM 12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热风炉</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JDK240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烘干滚筒</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引风机</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冷却滚筒</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输送带</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12</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滚筒筛</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造粒圆盘</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4</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DN230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混合罐</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6台</w:t>
                  </w:r>
                </w:p>
              </w:tc>
              <w:tc>
                <w:tcPr>
                  <w:tcW w:w="359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4000L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加热控温水箱</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套</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电加热导热油炉</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套</w:t>
                  </w:r>
                </w:p>
              </w:tc>
              <w:tc>
                <w:tcPr>
                  <w:tcW w:w="359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YL90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电脑配料系统</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套</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空压机2m</w:t>
                  </w:r>
                  <w:r>
                    <w:rPr>
                      <w:rStyle w:val="60"/>
                      <w:rFonts w:hint="default" w:ascii="Times New Roman" w:hAnsi="Times New Roman" w:eastAsia="宋体" w:cs="Times New Roman"/>
                      <w:color w:val="auto"/>
                      <w:sz w:val="21"/>
                      <w:szCs w:val="21"/>
                      <w:lang w:val="en-US" w:eastAsia="zh-CN" w:bidi="ar"/>
                    </w:rPr>
                    <w:t>3</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2</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电脑包装秤</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3</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压板过滤装置</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套</w:t>
                  </w:r>
                </w:p>
              </w:tc>
              <w:tc>
                <w:tcPr>
                  <w:tcW w:w="359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YAJHK</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螺旋式输送</w:t>
                  </w:r>
                  <w:r>
                    <w:rPr>
                      <w:rStyle w:val="59"/>
                      <w:rFonts w:hint="default" w:ascii="Times New Roman" w:hAnsi="Times New Roman" w:cs="Times New Roman"/>
                      <w:color w:val="auto"/>
                      <w:sz w:val="21"/>
                      <w:szCs w:val="21"/>
                      <w:lang w:val="en-US" w:eastAsia="zh-CN" w:bidi="ar"/>
                    </w:rPr>
                    <w:t>器</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条</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自动液体灌装设备</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3</w:t>
                  </w:r>
                  <w:r>
                    <w:rPr>
                      <w:rStyle w:val="59"/>
                      <w:rFonts w:hint="default" w:ascii="Times New Roman" w:hAnsi="Times New Roman" w:cs="Times New Roman"/>
                      <w:color w:val="auto"/>
                      <w:sz w:val="21"/>
                      <w:szCs w:val="21"/>
                      <w:lang w:val="en-US" w:eastAsia="zh-CN" w:bidi="ar"/>
                    </w:rPr>
                    <w:t>套</w:t>
                  </w:r>
                </w:p>
              </w:tc>
              <w:tc>
                <w:tcPr>
                  <w:tcW w:w="359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TMS-3000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电控柜</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5套</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反渗透水净化装置</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套</w:t>
                  </w:r>
                </w:p>
              </w:tc>
              <w:tc>
                <w:tcPr>
                  <w:tcW w:w="359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130-4B</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研磨机</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2</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高速离心机</w:t>
                  </w:r>
                </w:p>
              </w:tc>
              <w:tc>
                <w:tcPr>
                  <w:tcW w:w="150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8"/>
                      <w:rFonts w:hint="default" w:ascii="Times New Roman" w:hAnsi="Times New Roman" w:eastAsia="宋体" w:cs="Times New Roman"/>
                      <w:color w:val="auto"/>
                      <w:sz w:val="21"/>
                      <w:szCs w:val="21"/>
                      <w:lang w:val="en-US" w:eastAsia="zh-CN" w:bidi="ar"/>
                    </w:rPr>
                    <w:t>1</w:t>
                  </w:r>
                  <w:r>
                    <w:rPr>
                      <w:rStyle w:val="59"/>
                      <w:rFonts w:hint="default" w:ascii="Times New Roman" w:hAnsi="Times New Roman" w:cs="Times New Roman"/>
                      <w:color w:val="auto"/>
                      <w:sz w:val="21"/>
                      <w:szCs w:val="21"/>
                      <w:lang w:val="en-US" w:eastAsia="zh-CN" w:bidi="ar"/>
                    </w:rPr>
                    <w:t>台</w:t>
                  </w:r>
                </w:p>
              </w:tc>
              <w:tc>
                <w:tcPr>
                  <w:tcW w:w="3595"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DT5-6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2881" w:type="dxa"/>
                  <w:tcBorders>
                    <w:tl2br w:val="nil"/>
                    <w:tr2bl w:val="nil"/>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自动混料装置</w:t>
                  </w:r>
                </w:p>
              </w:tc>
              <w:tc>
                <w:tcPr>
                  <w:tcW w:w="1504" w:type="dxa"/>
                  <w:tcBorders>
                    <w:tl2br w:val="nil"/>
                    <w:tr2bl w:val="nil"/>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1套</w:t>
                  </w:r>
                </w:p>
              </w:tc>
              <w:tc>
                <w:tcPr>
                  <w:tcW w:w="3595" w:type="dxa"/>
                  <w:tcBorders>
                    <w:tl2br w:val="nil"/>
                    <w:tr2bl w:val="nil"/>
                  </w:tcBorders>
                  <w:noWrap/>
                  <w:vAlign w:val="center"/>
                </w:tcPr>
                <w:p>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r>
          </w:tbl>
          <w:p>
            <w:pPr>
              <w:spacing w:before="120" w:beforeLines="50" w:line="360" w:lineRule="auto"/>
              <w:rPr>
                <w:b/>
                <w:bCs/>
                <w:color w:val="auto"/>
                <w:szCs w:val="21"/>
              </w:rPr>
            </w:pPr>
            <w:r>
              <w:rPr>
                <w:rFonts w:hint="eastAsia"/>
                <w:b/>
                <w:bCs/>
                <w:color w:val="auto"/>
                <w:szCs w:val="21"/>
                <w:lang w:val="en-US" w:eastAsia="zh-CN"/>
              </w:rPr>
              <w:t>6</w:t>
            </w:r>
            <w:r>
              <w:rPr>
                <w:b/>
                <w:bCs/>
                <w:color w:val="auto"/>
                <w:szCs w:val="21"/>
              </w:rPr>
              <w:t>、平面布置</w:t>
            </w:r>
          </w:p>
          <w:p>
            <w:pPr>
              <w:ind w:firstLine="420" w:firstLineChars="200"/>
              <w:rPr>
                <w:color w:val="auto"/>
                <w:szCs w:val="21"/>
              </w:rPr>
            </w:pPr>
            <w:r>
              <w:rPr>
                <w:bCs/>
                <w:color w:val="auto"/>
                <w:szCs w:val="21"/>
              </w:rPr>
              <w:t>平面布置遵循工艺流程，生产特点及各部门的相互关系优化厂房布局，保证生产的安全性，并使生产作业线短捷、方便，避免交叉干扰。</w:t>
            </w:r>
            <w:r>
              <w:rPr>
                <w:color w:val="auto"/>
              </w:rPr>
              <w:t>本项目</w:t>
            </w:r>
            <w:r>
              <w:rPr>
                <w:rFonts w:hint="eastAsia"/>
                <w:color w:val="auto"/>
                <w:lang w:val="en-US" w:eastAsia="zh-CN"/>
              </w:rPr>
              <w:t>建设配方肥生产车间、高端有机肥生产车间、造粒车间、锅炉房等。</w:t>
            </w:r>
            <w:r>
              <w:rPr>
                <w:rFonts w:hint="default" w:ascii="Times New Roman" w:hAnsi="Times New Roman" w:eastAsia="宋体" w:cs="Times New Roman"/>
                <w:color w:val="auto"/>
                <w:szCs w:val="24"/>
              </w:rPr>
              <w:t>办公室位于厂区北侧</w:t>
            </w:r>
            <w:r>
              <w:rPr>
                <w:rFonts w:hint="default" w:ascii="Times New Roman" w:hAnsi="Times New Roman" w:eastAsia="宋体" w:cs="Times New Roman"/>
                <w:color w:val="auto"/>
                <w:szCs w:val="24"/>
                <w:lang w:eastAsia="zh-CN"/>
              </w:rPr>
              <w:t>，处于上风向</w:t>
            </w:r>
            <w:r>
              <w:rPr>
                <w:rFonts w:hint="default" w:ascii="Times New Roman" w:hAnsi="Times New Roman" w:eastAsia="宋体" w:cs="Times New Roman"/>
                <w:color w:val="auto"/>
                <w:szCs w:val="24"/>
              </w:rPr>
              <w:t>。</w:t>
            </w:r>
            <w:r>
              <w:rPr>
                <w:rFonts w:hint="eastAsia"/>
                <w:color w:val="auto"/>
                <w:lang w:val="en-US" w:eastAsia="zh-CN"/>
              </w:rPr>
              <w:t>锅炉房位于厂区西侧，配方肥车间位于锅炉房的东侧，高端有机肥车间位于配方肥车间的南侧，造粒车间位于办公区的南侧，</w:t>
            </w:r>
            <w:r>
              <w:rPr>
                <w:rFonts w:hint="default" w:ascii="Times New Roman" w:hAnsi="Times New Roman" w:eastAsia="宋体" w:cs="Times New Roman"/>
                <w:color w:val="auto"/>
                <w:szCs w:val="24"/>
              </w:rPr>
              <w:t>整个厂区布置分区明确，生产工艺流程布置合理。</w:t>
            </w:r>
            <w:r>
              <w:rPr>
                <w:color w:val="auto"/>
                <w:szCs w:val="21"/>
                <w:highlight w:val="none"/>
              </w:rPr>
              <w:t>具体平面布置见附图2。</w:t>
            </w:r>
          </w:p>
          <w:p>
            <w:pPr>
              <w:spacing w:line="360" w:lineRule="auto"/>
              <w:rPr>
                <w:b/>
                <w:bCs/>
                <w:color w:val="auto"/>
                <w:szCs w:val="21"/>
              </w:rPr>
            </w:pPr>
            <w:r>
              <w:rPr>
                <w:rFonts w:hint="eastAsia"/>
                <w:b/>
                <w:bCs/>
                <w:color w:val="auto"/>
                <w:szCs w:val="21"/>
                <w:lang w:val="en-US" w:eastAsia="zh-CN"/>
              </w:rPr>
              <w:t>7</w:t>
            </w:r>
            <w:r>
              <w:rPr>
                <w:b/>
                <w:bCs/>
                <w:color w:val="auto"/>
                <w:szCs w:val="21"/>
              </w:rPr>
              <w:t>、公用工程</w:t>
            </w:r>
          </w:p>
          <w:p>
            <w:pPr>
              <w:spacing w:line="360" w:lineRule="auto"/>
              <w:ind w:firstLine="420" w:firstLineChars="200"/>
              <w:rPr>
                <w:color w:val="auto"/>
                <w:szCs w:val="21"/>
              </w:rPr>
            </w:pPr>
            <w:r>
              <w:rPr>
                <w:color w:val="auto"/>
                <w:szCs w:val="21"/>
              </w:rPr>
              <w:t>（1）供电</w:t>
            </w:r>
          </w:p>
          <w:p>
            <w:pPr>
              <w:spacing w:line="360" w:lineRule="auto"/>
              <w:ind w:firstLine="420" w:firstLineChars="200"/>
              <w:rPr>
                <w:color w:val="auto"/>
                <w:szCs w:val="21"/>
              </w:rPr>
            </w:pPr>
            <w:r>
              <w:rPr>
                <w:rFonts w:hint="default" w:ascii="Times New Roman" w:hAnsi="Times New Roman" w:eastAsia="宋体" w:cs="Times New Roman"/>
                <w:color w:val="auto"/>
              </w:rPr>
              <w:t>本项目电源引自</w:t>
            </w:r>
            <w:r>
              <w:rPr>
                <w:rFonts w:hint="default" w:ascii="Times New Roman" w:hAnsi="Times New Roman" w:eastAsia="宋体" w:cs="Times New Roman"/>
                <w:color w:val="auto"/>
                <w:lang w:eastAsia="zh-CN"/>
              </w:rPr>
              <w:t>五原县天吉泰复丰村</w:t>
            </w:r>
            <w:r>
              <w:rPr>
                <w:rFonts w:hint="default" w:ascii="Times New Roman" w:hAnsi="Times New Roman" w:eastAsia="宋体" w:cs="Times New Roman"/>
                <w:color w:val="auto"/>
              </w:rPr>
              <w:t>输电线路，可以满足本项目用电需求。</w:t>
            </w:r>
          </w:p>
          <w:p>
            <w:pPr>
              <w:spacing w:line="360" w:lineRule="auto"/>
              <w:ind w:firstLine="420" w:firstLineChars="200"/>
              <w:rPr>
                <w:rFonts w:hint="eastAsia" w:eastAsia="宋体"/>
                <w:color w:val="auto"/>
                <w:szCs w:val="21"/>
                <w:lang w:eastAsia="zh-CN"/>
              </w:rPr>
            </w:pPr>
            <w:r>
              <w:rPr>
                <w:color w:val="auto"/>
                <w:szCs w:val="21"/>
              </w:rPr>
              <w:t>（2）供热</w:t>
            </w:r>
            <w:r>
              <w:rPr>
                <w:rFonts w:hint="eastAsia"/>
                <w:color w:val="auto"/>
                <w:szCs w:val="21"/>
                <w:lang w:eastAsia="zh-CN"/>
              </w:rPr>
              <w:t>（</w:t>
            </w:r>
            <w:r>
              <w:rPr>
                <w:rFonts w:hint="eastAsia"/>
                <w:color w:val="auto"/>
                <w:szCs w:val="21"/>
                <w:lang w:val="en-US" w:eastAsia="zh-CN"/>
              </w:rPr>
              <w:t>蒸汽</w:t>
            </w:r>
            <w:r>
              <w:rPr>
                <w:rFonts w:hint="eastAsia"/>
                <w:color w:val="auto"/>
                <w:szCs w:val="21"/>
                <w:lang w:eastAsia="zh-CN"/>
              </w:rPr>
              <w:t>）</w:t>
            </w:r>
          </w:p>
          <w:p>
            <w:pPr>
              <w:bidi w:val="0"/>
              <w:ind w:firstLine="420" w:firstLineChars="200"/>
              <w:rPr>
                <w:rFonts w:hint="eastAsia" w:ascii="Times New Roman" w:hAnsi="Times New Roman" w:eastAsia="宋体" w:cs="Times New Roman"/>
                <w:color w:val="auto"/>
                <w:lang w:val="en-US" w:eastAsia="zh-CN"/>
                <w14:textFill>
                  <w14:gradFill>
                    <w14:gsLst>
                      <w14:gs w14:pos="0">
                        <w14:srgbClr w14:val="012D86"/>
                      </w14:gs>
                      <w14:gs w14:pos="100000">
                        <w14:srgbClr w14:val="0E2557"/>
                      </w14:gs>
                    </w14:gsLst>
                    <w14:lin w14:scaled="0"/>
                  </w14:gradFill>
                </w14:textFill>
              </w:rPr>
            </w:pPr>
            <w:r>
              <w:rPr>
                <w:rFonts w:hint="eastAsia" w:ascii="Times New Roman" w:hAnsi="Times New Roman" w:eastAsia="宋体" w:cs="Times New Roman"/>
                <w:color w:val="auto"/>
                <w:lang w:val="en-US" w:eastAsia="zh-CN"/>
              </w:rPr>
              <w:t>配方肥生产用热为90kw电加热导热油炉供给。造粒车间烘干</w:t>
            </w:r>
            <w:r>
              <w:rPr>
                <w:rFonts w:hint="eastAsia" w:ascii="Times New Roman" w:hAnsi="Times New Roman" w:eastAsia="宋体" w:cs="Times New Roman"/>
                <w:color w:val="auto"/>
              </w:rPr>
              <w:t>热源由新建的</w:t>
            </w:r>
            <w:r>
              <w:rPr>
                <w:rFonts w:hint="eastAsia" w:ascii="Times New Roman" w:hAnsi="Times New Roman" w:eastAsia="宋体" w:cs="Times New Roman"/>
                <w:color w:val="auto"/>
                <w:lang w:val="en-US" w:eastAsia="zh-CN"/>
              </w:rPr>
              <w:t>型号为JDK240</w:t>
            </w:r>
            <w:r>
              <w:rPr>
                <w:rFonts w:hint="eastAsia" w:ascii="Times New Roman" w:hAnsi="Times New Roman" w:eastAsia="宋体" w:cs="Times New Roman"/>
                <w:color w:val="auto"/>
              </w:rPr>
              <w:t>燃煤热风炉供给</w:t>
            </w:r>
            <w:r>
              <w:rPr>
                <w:rFonts w:hint="eastAsia" w:ascii="Times New Roman" w:hAnsi="Times New Roman" w:eastAsia="宋体" w:cs="Times New Roman"/>
                <w:color w:val="auto"/>
                <w14:textFill>
                  <w14:gradFill>
                    <w14:gsLst>
                      <w14:gs w14:pos="0">
                        <w14:srgbClr w14:val="012D86"/>
                      </w14:gs>
                      <w14:gs w14:pos="100000">
                        <w14:srgbClr w14:val="0E2557"/>
                      </w14:gs>
                    </w14:gsLst>
                    <w14:lin w14:scaled="0"/>
                  </w14:gradFill>
                </w14:textFill>
              </w:rPr>
              <w:t>。</w:t>
            </w:r>
            <w:r>
              <w:rPr>
                <w:rFonts w:hint="eastAsia" w:ascii="Times New Roman" w:hAnsi="Times New Roman" w:eastAsia="宋体" w:cs="Times New Roman"/>
                <w:color w:val="0000FF"/>
                <w:kern w:val="2"/>
                <w:sz w:val="21"/>
                <w:szCs w:val="21"/>
                <w:highlight w:val="none"/>
                <w:lang w:val="en-US" w:eastAsia="zh-CN" w:bidi="ar-SA"/>
              </w:rPr>
              <w:t>高端有机肥生产用蒸汽由6t/h生物质锅炉供给。</w:t>
            </w:r>
          </w:p>
          <w:p>
            <w:pPr>
              <w:bidi w:val="0"/>
              <w:ind w:firstLine="420" w:firstLineChars="200"/>
              <w:rPr>
                <w:rFonts w:hint="eastAsia"/>
                <w:color w:val="auto"/>
                <w:lang w:val="en-US" w:eastAsia="zh-CN"/>
              </w:rPr>
            </w:pPr>
            <w:r>
              <w:rPr>
                <w:rFonts w:hint="eastAsia"/>
                <w:color w:val="auto"/>
                <w:lang w:val="en-US" w:eastAsia="zh-CN"/>
              </w:rPr>
              <w:t>（3）</w:t>
            </w:r>
            <w:r>
              <w:rPr>
                <w:color w:val="auto"/>
              </w:rPr>
              <w:t>供</w:t>
            </w:r>
            <w:r>
              <w:rPr>
                <w:rFonts w:hint="eastAsia"/>
                <w:color w:val="auto"/>
                <w:lang w:val="en-US" w:eastAsia="zh-CN"/>
              </w:rPr>
              <w:t>暖</w:t>
            </w:r>
          </w:p>
          <w:p>
            <w:pPr>
              <w:bidi w:val="0"/>
              <w:ind w:firstLine="420" w:firstLineChars="200"/>
              <w:rPr>
                <w:rFonts w:hint="eastAsia"/>
                <w:color w:val="auto"/>
                <w:lang w:val="en-US" w:eastAsia="zh-CN"/>
              </w:rPr>
            </w:pPr>
            <w:r>
              <w:rPr>
                <w:color w:val="auto"/>
              </w:rPr>
              <w:t>本项目办公生活区冬季采用电暖气取暖。</w:t>
            </w:r>
          </w:p>
          <w:p>
            <w:pPr>
              <w:bidi w:val="0"/>
              <w:ind w:firstLine="420" w:firstLineChars="200"/>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（4）给水</w:t>
            </w:r>
          </w:p>
          <w:p>
            <w:pPr>
              <w:spacing w:line="360" w:lineRule="auto"/>
              <w:ind w:firstLine="512" w:firstLineChars="244"/>
              <w:rPr>
                <w:rFonts w:ascii="Times New Roman" w:hAnsi="Times New Roman" w:eastAsia="宋体" w:cs="Times New Roman"/>
                <w:color w:val="auto"/>
                <w:sz w:val="24"/>
                <w:szCs w:val="24"/>
              </w:rPr>
            </w:pPr>
            <w:r>
              <w:rPr>
                <w:rFonts w:ascii="Times New Roman" w:hAnsi="Times New Roman" w:eastAsia="宋体" w:cs="Times New Roman"/>
                <w:color w:val="auto"/>
              </w:rPr>
              <w:t>本项目运营期用水包括生产</w:t>
            </w:r>
            <w:r>
              <w:rPr>
                <w:rFonts w:hint="eastAsia" w:ascii="Times New Roman" w:hAnsi="Times New Roman" w:eastAsia="宋体" w:cs="Times New Roman"/>
                <w:color w:val="auto"/>
              </w:rPr>
              <w:t>、</w:t>
            </w:r>
            <w:r>
              <w:rPr>
                <w:rFonts w:ascii="Times New Roman" w:hAnsi="Times New Roman" w:eastAsia="宋体" w:cs="Times New Roman"/>
                <w:color w:val="auto"/>
              </w:rPr>
              <w:t>生活和设备清洗水</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液态配方肥</w:t>
            </w:r>
            <w:r>
              <w:rPr>
                <w:rFonts w:hint="eastAsia" w:ascii="Times New Roman" w:hAnsi="Times New Roman" w:eastAsia="宋体" w:cs="Times New Roman"/>
                <w:color w:val="auto"/>
              </w:rPr>
              <w:t>生产用水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设备清洗水</w:t>
            </w:r>
            <w:r>
              <w:rPr>
                <w:rFonts w:hint="eastAsia" w:ascii="Times New Roman" w:hAnsi="Times New Roman" w:eastAsia="宋体" w:cs="Times New Roman"/>
                <w:color w:val="auto"/>
                <w:lang w:val="en-US" w:eastAsia="zh-CN"/>
              </w:rPr>
              <w:t>及一台6t/h生物质锅炉补水</w:t>
            </w:r>
            <w:r>
              <w:rPr>
                <w:rFonts w:hint="eastAsia" w:ascii="Times New Roman" w:hAnsi="Times New Roman" w:eastAsia="宋体" w:cs="Times New Roman"/>
                <w:color w:val="auto"/>
              </w:rPr>
              <w:t>为纯水，由新建的反渗透水净化装置供给，净化效率为70%。经计算，反渗透装置制备纯水消耗的自来水量为</w:t>
            </w:r>
            <w:r>
              <w:rPr>
                <w:rFonts w:hint="eastAsia" w:ascii="Times New Roman" w:hAnsi="Times New Roman" w:eastAsia="宋体" w:cs="Times New Roman"/>
                <w:color w:val="auto"/>
                <w:lang w:val="en-US" w:eastAsia="zh-CN"/>
              </w:rPr>
              <w:t>2287.15</w:t>
            </w:r>
            <w:r>
              <w:rPr>
                <w:rFonts w:hint="eastAsia" w:ascii="Times New Roman" w:hAnsi="Times New Roman" w:eastAsia="宋体" w:cs="Times New Roman"/>
                <w:color w:val="auto"/>
              </w:rPr>
              <w:t>t/a，产生的废水为</w:t>
            </w:r>
            <w:r>
              <w:rPr>
                <w:rFonts w:hint="eastAsia" w:ascii="Times New Roman" w:hAnsi="Times New Roman" w:eastAsia="宋体" w:cs="Times New Roman"/>
                <w:color w:val="auto"/>
                <w:lang w:val="en-US" w:eastAsia="zh-CN"/>
              </w:rPr>
              <w:t>686.15</w:t>
            </w:r>
            <w:r>
              <w:rPr>
                <w:rFonts w:hint="eastAsia" w:ascii="Times New Roman" w:hAnsi="Times New Roman" w:eastAsia="宋体" w:cs="Times New Roman"/>
                <w:color w:val="auto"/>
              </w:rPr>
              <w:t>t/a。</w:t>
            </w:r>
          </w:p>
          <w:p>
            <w:pPr>
              <w:spacing w:line="360" w:lineRule="auto"/>
              <w:ind w:firstLine="512" w:firstLineChars="244"/>
              <w:rPr>
                <w:rFonts w:ascii="Times New Roman" w:hAnsi="Times New Roman" w:eastAsia="宋体" w:cs="Times New Roman"/>
                <w:color w:val="auto"/>
                <w:sz w:val="24"/>
                <w:szCs w:val="24"/>
              </w:rPr>
            </w:pPr>
            <w:r>
              <w:rPr>
                <w:rFonts w:ascii="Times New Roman" w:hAnsi="Times New Roman" w:eastAsia="宋体" w:cs="Times New Roman"/>
                <w:color w:val="auto"/>
                <w:szCs w:val="21"/>
              </w:rPr>
              <w:fldChar w:fldCharType="begin"/>
            </w:r>
            <w:r>
              <w:rPr>
                <w:rFonts w:hint="eastAsia" w:ascii="Times New Roman" w:hAnsi="Times New Roman" w:eastAsia="宋体" w:cs="Times New Roman"/>
                <w:color w:val="auto"/>
                <w:szCs w:val="21"/>
              </w:rPr>
              <w:instrText xml:space="preserve">= 1 \* GB3</w:instrText>
            </w:r>
            <w:r>
              <w:rPr>
                <w:rFonts w:ascii="Times New Roman" w:hAnsi="Times New Roman" w:eastAsia="宋体" w:cs="Times New Roman"/>
                <w:color w:val="auto"/>
                <w:szCs w:val="21"/>
              </w:rPr>
              <w:fldChar w:fldCharType="separate"/>
            </w:r>
            <w:r>
              <w:rPr>
                <w:rFonts w:hint="eastAsia" w:ascii="Times New Roman" w:hAnsi="Times New Roman" w:eastAsia="宋体" w:cs="Times New Roman"/>
                <w:color w:val="auto"/>
                <w:szCs w:val="21"/>
              </w:rPr>
              <w:t>①</w:t>
            </w:r>
            <w:r>
              <w:rPr>
                <w:rFonts w:ascii="Times New Roman" w:hAnsi="Times New Roman" w:eastAsia="宋体" w:cs="Times New Roman"/>
                <w:color w:val="auto"/>
                <w:szCs w:val="21"/>
              </w:rPr>
              <w:fldChar w:fldCharType="end"/>
            </w:r>
            <w:r>
              <w:rPr>
                <w:rFonts w:ascii="Times New Roman" w:hAnsi="Times New Roman" w:eastAsia="宋体" w:cs="Times New Roman"/>
                <w:color w:val="auto"/>
                <w:szCs w:val="21"/>
              </w:rPr>
              <w:t>生产</w:t>
            </w:r>
          </w:p>
          <w:p>
            <w:pPr>
              <w:ind w:firstLine="420" w:firstLineChars="200"/>
              <w:rPr>
                <w:rFonts w:hint="eastAsia" w:ascii="Times New Roman" w:hAnsi="Times New Roman" w:eastAsia="宋体" w:cs="Times New Roman"/>
                <w:color w:val="auto"/>
                <w:lang w:eastAsia="zh-CN"/>
              </w:rPr>
            </w:pPr>
            <w:r>
              <w:rPr>
                <w:rFonts w:hint="default" w:ascii="Times New Roman" w:hAnsi="Times New Roman" w:eastAsia="宋体" w:cs="Times New Roman"/>
                <w:color w:val="0000FF"/>
                <w:kern w:val="2"/>
                <w:sz w:val="21"/>
                <w:szCs w:val="21"/>
                <w:highlight w:val="none"/>
                <w:lang w:val="en-US" w:eastAsia="zh-CN" w:bidi="ar-SA"/>
              </w:rPr>
              <w:t>类比同类型项目，</w:t>
            </w:r>
            <w:r>
              <w:rPr>
                <w:rFonts w:hint="default" w:ascii="Times New Roman" w:hAnsi="Times New Roman" w:eastAsia="宋体" w:cs="Times New Roman"/>
                <w:color w:val="auto"/>
              </w:rPr>
              <w:t>液态配方肥混合过程用水量为</w:t>
            </w:r>
            <w:r>
              <w:rPr>
                <w:rFonts w:hint="eastAsia" w:ascii="Times New Roman" w:hAnsi="Times New Roman" w:eastAsia="宋体" w:cs="Times New Roman"/>
                <w:color w:val="auto"/>
                <w:lang w:val="en-US" w:eastAsia="zh-CN"/>
              </w:rPr>
              <w:t>12</w:t>
            </w:r>
            <w:r>
              <w:rPr>
                <w:rFonts w:hint="default" w:ascii="Times New Roman" w:hAnsi="Times New Roman" w:eastAsia="宋体" w:cs="Times New Roman"/>
                <w:color w:val="auto"/>
              </w:rPr>
              <w:t>00t/a，其中</w:t>
            </w:r>
            <w:r>
              <w:rPr>
                <w:rFonts w:hint="eastAsia" w:ascii="Times New Roman" w:hAnsi="Times New Roman" w:eastAsia="宋体" w:cs="Times New Roman"/>
                <w:color w:val="auto"/>
                <w:lang w:val="en-US" w:eastAsia="zh-CN"/>
              </w:rPr>
              <w:t>1189</w:t>
            </w:r>
            <w:r>
              <w:rPr>
                <w:rFonts w:hint="default" w:ascii="Times New Roman" w:hAnsi="Times New Roman" w:eastAsia="宋体" w:cs="Times New Roman"/>
                <w:color w:val="auto"/>
              </w:rPr>
              <w:t>t/a为纯水，回用设备清洗水量约</w:t>
            </w:r>
            <w:r>
              <w:rPr>
                <w:rFonts w:hint="eastAsia" w:ascii="Times New Roman" w:hAnsi="Times New Roman" w:eastAsia="宋体" w:cs="Times New Roman"/>
                <w:color w:val="auto"/>
                <w:lang w:val="en-US" w:eastAsia="zh-CN"/>
              </w:rPr>
              <w:t>11</w:t>
            </w:r>
            <w:r>
              <w:rPr>
                <w:rFonts w:hint="default" w:ascii="Times New Roman" w:hAnsi="Times New Roman" w:eastAsia="宋体" w:cs="Times New Roman"/>
                <w:color w:val="auto"/>
              </w:rPr>
              <w:t>t/a。</w:t>
            </w:r>
            <w:r>
              <w:rPr>
                <w:rFonts w:hint="eastAsia" w:ascii="Times New Roman" w:hAnsi="Times New Roman" w:eastAsia="宋体" w:cs="Times New Roman"/>
                <w:color w:val="auto"/>
                <w:lang w:val="en-US" w:eastAsia="zh-CN"/>
              </w:rPr>
              <w:t>设备冲洗水用量为12</w:t>
            </w:r>
            <w:r>
              <w:rPr>
                <w:rFonts w:hint="default" w:ascii="Times New Roman" w:hAnsi="Times New Roman" w:eastAsia="宋体" w:cs="Times New Roman"/>
                <w:color w:val="auto"/>
              </w:rPr>
              <w:t>t/a</w:t>
            </w:r>
            <w:r>
              <w:rPr>
                <w:rFonts w:hint="eastAsia" w:ascii="Times New Roman" w:hAnsi="Times New Roman" w:eastAsia="宋体" w:cs="Times New Roman"/>
                <w:color w:val="auto"/>
                <w:lang w:eastAsia="zh-CN"/>
              </w:rPr>
              <w:t>。</w:t>
            </w:r>
          </w:p>
          <w:p>
            <w:pPr>
              <w:pStyle w:val="2"/>
              <w:ind w:firstLine="420" w:firstLineChars="200"/>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0000FF"/>
                <w:kern w:val="2"/>
                <w:sz w:val="21"/>
                <w:szCs w:val="21"/>
                <w:highlight w:val="none"/>
                <w:lang w:val="en-US" w:eastAsia="zh-CN" w:bidi="ar-SA"/>
              </w:rPr>
              <w:t>类比同类型项目</w:t>
            </w:r>
            <w:r>
              <w:rPr>
                <w:rFonts w:hint="default"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高端有机肥用水量为5000</w:t>
            </w:r>
            <w:r>
              <w:rPr>
                <w:rFonts w:hint="default" w:ascii="Times New Roman" w:hAnsi="Times New Roman" w:eastAsia="宋体" w:cs="Times New Roman"/>
                <w:color w:val="auto"/>
                <w:kern w:val="2"/>
                <w:sz w:val="21"/>
                <w:szCs w:val="21"/>
                <w:lang w:val="en-US" w:eastAsia="zh-CN" w:bidi="ar-SA"/>
              </w:rPr>
              <w:t>t/a</w:t>
            </w:r>
            <w:r>
              <w:rPr>
                <w:rFonts w:hint="eastAsia" w:ascii="Times New Roman" w:hAnsi="Times New Roman" w:eastAsia="宋体" w:cs="Times New Roman"/>
                <w:color w:val="auto"/>
                <w:kern w:val="2"/>
                <w:sz w:val="21"/>
                <w:szCs w:val="21"/>
                <w:lang w:val="en-US" w:eastAsia="zh-CN" w:bidi="ar-SA"/>
              </w:rPr>
              <w:t>，有机肥造粒用水量为2000</w:t>
            </w:r>
            <w:r>
              <w:rPr>
                <w:rFonts w:hint="default" w:ascii="Times New Roman" w:hAnsi="Times New Roman" w:eastAsia="宋体" w:cs="Times New Roman"/>
                <w:color w:val="auto"/>
                <w:kern w:val="2"/>
                <w:sz w:val="21"/>
                <w:szCs w:val="21"/>
                <w:lang w:val="en-US" w:eastAsia="zh-CN" w:bidi="ar-SA"/>
              </w:rPr>
              <w:t>t/a</w:t>
            </w:r>
            <w:r>
              <w:rPr>
                <w:rFonts w:hint="eastAsia" w:ascii="Times New Roman" w:hAnsi="Times New Roman" w:eastAsia="宋体" w:cs="Times New Roman"/>
                <w:color w:val="auto"/>
                <w:kern w:val="2"/>
                <w:sz w:val="21"/>
                <w:szCs w:val="21"/>
                <w:lang w:val="en-US" w:eastAsia="zh-CN" w:bidi="ar-SA"/>
              </w:rPr>
              <w:t>。</w:t>
            </w:r>
          </w:p>
          <w:p>
            <w:pPr>
              <w:ind w:firstLine="420" w:firstLineChars="20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脱硫除尘设备补水量为锅炉烟气量的千分之一，可得生物质锅炉脱硫除尘设备用水6240.28m</w:t>
            </w:r>
            <w:r>
              <w:rPr>
                <w:rFonts w:hint="eastAsia" w:ascii="Times New Roman" w:hAnsi="Times New Roman" w:eastAsia="宋体" w:cs="Times New Roman"/>
                <w:color w:val="auto"/>
                <w:kern w:val="2"/>
                <w:sz w:val="21"/>
                <w:szCs w:val="21"/>
                <w:vertAlign w:val="superscript"/>
                <w:lang w:val="en-US" w:eastAsia="zh-CN" w:bidi="ar-SA"/>
              </w:rPr>
              <w:t>3</w:t>
            </w:r>
            <w:r>
              <w:rPr>
                <w:rFonts w:hint="eastAsia" w:ascii="Times New Roman" w:hAnsi="Times New Roman" w:eastAsia="宋体" w:cs="Times New Roman"/>
                <w:color w:val="auto"/>
                <w:kern w:val="2"/>
                <w:sz w:val="21"/>
                <w:szCs w:val="21"/>
                <w:lang w:val="en-US" w:eastAsia="zh-CN" w:bidi="ar-SA"/>
              </w:rPr>
              <w:t>/a，热风炉脱硫除尘设备用水为6118.2m</w:t>
            </w:r>
            <w:r>
              <w:rPr>
                <w:rFonts w:hint="eastAsia" w:ascii="Times New Roman" w:hAnsi="Times New Roman" w:eastAsia="宋体" w:cs="Times New Roman"/>
                <w:color w:val="auto"/>
                <w:kern w:val="2"/>
                <w:sz w:val="21"/>
                <w:szCs w:val="21"/>
                <w:vertAlign w:val="superscript"/>
                <w:lang w:val="en-US" w:eastAsia="zh-CN" w:bidi="ar-SA"/>
              </w:rPr>
              <w:t>3</w:t>
            </w:r>
            <w:r>
              <w:rPr>
                <w:rFonts w:hint="eastAsia" w:ascii="Times New Roman" w:hAnsi="Times New Roman" w:eastAsia="宋体" w:cs="Times New Roman"/>
                <w:color w:val="auto"/>
                <w:kern w:val="2"/>
                <w:sz w:val="21"/>
                <w:szCs w:val="21"/>
                <w:lang w:val="en-US" w:eastAsia="zh-CN" w:bidi="ar-SA"/>
              </w:rPr>
              <w:t>/a，共计12358.48m</w:t>
            </w:r>
            <w:r>
              <w:rPr>
                <w:rFonts w:hint="eastAsia" w:ascii="Times New Roman" w:hAnsi="Times New Roman" w:eastAsia="宋体" w:cs="Times New Roman"/>
                <w:color w:val="auto"/>
                <w:kern w:val="2"/>
                <w:sz w:val="21"/>
                <w:szCs w:val="21"/>
                <w:vertAlign w:val="superscript"/>
                <w:lang w:val="en-US" w:eastAsia="zh-CN" w:bidi="ar-SA"/>
              </w:rPr>
              <w:t>3</w:t>
            </w:r>
            <w:r>
              <w:rPr>
                <w:rFonts w:hint="eastAsia" w:ascii="Times New Roman" w:hAnsi="Times New Roman" w:eastAsia="宋体" w:cs="Times New Roman"/>
                <w:color w:val="auto"/>
                <w:kern w:val="2"/>
                <w:sz w:val="21"/>
                <w:szCs w:val="21"/>
                <w:lang w:val="en-US" w:eastAsia="zh-CN" w:bidi="ar-SA"/>
              </w:rPr>
              <w:t>/a。</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②生活用水：本项目厂区人员为</w:t>
            </w:r>
            <w:r>
              <w:rPr>
                <w:rFonts w:hint="eastAsia" w:ascii="Times New Roman" w:hAnsi="Times New Roman" w:eastAsia="宋体" w:cs="Times New Roman"/>
                <w:color w:val="auto"/>
                <w:lang w:val="en-US" w:eastAsia="zh-CN"/>
              </w:rPr>
              <w:t>20</w:t>
            </w:r>
            <w:r>
              <w:rPr>
                <w:rFonts w:hint="default" w:ascii="Times New Roman" w:hAnsi="Times New Roman" w:eastAsia="宋体" w:cs="Times New Roman"/>
                <w:color w:val="auto"/>
              </w:rPr>
              <w:t>人，根据《内蒙古自治区地方标准行业用水定额》（DB15/T385-2015）每人每天的用水量为60L/人·天，则项目职工生活用水量为</w:t>
            </w:r>
            <w:r>
              <w:rPr>
                <w:rFonts w:hint="eastAsia" w:ascii="Times New Roman" w:hAnsi="Times New Roman" w:eastAsia="宋体" w:cs="Times New Roman"/>
                <w:color w:val="auto"/>
                <w:lang w:val="en-US" w:eastAsia="zh-CN"/>
              </w:rPr>
              <w:t>1.2</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/d、</w:t>
            </w:r>
            <w:r>
              <w:rPr>
                <w:rFonts w:hint="eastAsia" w:ascii="Times New Roman" w:hAnsi="Times New Roman" w:eastAsia="宋体" w:cs="Times New Roman"/>
                <w:color w:val="auto"/>
                <w:lang w:val="en-US" w:eastAsia="zh-CN"/>
              </w:rPr>
              <w:t>312</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w:t>
            </w:r>
          </w:p>
          <w:p>
            <w:pPr>
              <w:spacing w:line="360" w:lineRule="auto"/>
              <w:ind w:firstLine="420" w:firstLineChars="200"/>
              <w:rPr>
                <w:color w:val="auto"/>
                <w:szCs w:val="21"/>
              </w:rPr>
            </w:pPr>
            <w:r>
              <w:rPr>
                <w:rFonts w:hint="default" w:ascii="Times New Roman" w:hAnsi="Times New Roman" w:eastAsia="宋体" w:cs="Times New Roman"/>
                <w:color w:val="0000FF"/>
                <w:kern w:val="2"/>
                <w:sz w:val="21"/>
                <w:szCs w:val="21"/>
                <w:highlight w:val="none"/>
                <w:lang w:val="en-US" w:eastAsia="zh-CN" w:bidi="ar-SA"/>
              </w:rPr>
              <w:t>（</w:t>
            </w:r>
            <w:r>
              <w:rPr>
                <w:rFonts w:hint="eastAsia" w:ascii="Times New Roman" w:hAnsi="Times New Roman" w:eastAsia="宋体" w:cs="Times New Roman"/>
                <w:color w:val="0000FF"/>
                <w:kern w:val="2"/>
                <w:sz w:val="21"/>
                <w:szCs w:val="21"/>
                <w:highlight w:val="none"/>
                <w:lang w:val="en-US" w:eastAsia="zh-CN" w:bidi="ar-SA"/>
              </w:rPr>
              <w:t>5</w:t>
            </w:r>
            <w:r>
              <w:rPr>
                <w:rFonts w:hint="default" w:ascii="Times New Roman" w:hAnsi="Times New Roman" w:eastAsia="宋体" w:cs="Times New Roman"/>
                <w:color w:val="0000FF"/>
                <w:kern w:val="2"/>
                <w:sz w:val="21"/>
                <w:szCs w:val="21"/>
                <w:highlight w:val="none"/>
                <w:lang w:val="en-US" w:eastAsia="zh-CN" w:bidi="ar-SA"/>
              </w:rPr>
              <w:t>）排水</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①生产</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项目生产用水全部进入产品，不外排。</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②生活</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厂区生活污水来源于工作人员。生活排水量按排污系数80%计算，排水量为0.</w:t>
            </w:r>
            <w:r>
              <w:rPr>
                <w:rFonts w:hint="eastAsia" w:ascii="Times New Roman" w:hAnsi="Times New Roman" w:eastAsia="宋体" w:cs="Times New Roman"/>
                <w:color w:val="auto"/>
                <w:lang w:val="en-US" w:eastAsia="zh-CN"/>
              </w:rPr>
              <w:t>96</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/d、</w:t>
            </w:r>
            <w:r>
              <w:rPr>
                <w:rFonts w:hint="eastAsia" w:ascii="Times New Roman" w:hAnsi="Times New Roman" w:eastAsia="宋体" w:cs="Times New Roman"/>
                <w:color w:val="auto"/>
                <w:lang w:val="en-US" w:eastAsia="zh-CN"/>
              </w:rPr>
              <w:t>249.6</w:t>
            </w:r>
            <w:r>
              <w:rPr>
                <w:rFonts w:hint="default" w:ascii="Times New Roman" w:hAnsi="Times New Roman" w:eastAsia="宋体" w:cs="Times New Roman"/>
                <w:color w:val="auto"/>
              </w:rPr>
              <w:t>m³/a。</w:t>
            </w:r>
            <w:r>
              <w:rPr>
                <w:rFonts w:hint="eastAsia" w:ascii="Times New Roman" w:hAnsi="Times New Roman" w:eastAsia="宋体" w:cs="Times New Roman"/>
                <w:color w:val="auto"/>
                <w:lang w:val="en-US" w:eastAsia="zh-CN"/>
              </w:rPr>
              <w:t>生活污水</w:t>
            </w:r>
            <w:r>
              <w:rPr>
                <w:rFonts w:hint="default" w:ascii="Times New Roman" w:hAnsi="Times New Roman" w:eastAsia="宋体" w:cs="Times New Roman"/>
                <w:color w:val="auto"/>
                <w:sz w:val="21"/>
                <w:szCs w:val="21"/>
              </w:rPr>
              <w:t>排入</w:t>
            </w:r>
            <w:r>
              <w:rPr>
                <w:rFonts w:hint="default" w:ascii="Times New Roman" w:hAnsi="Times New Roman" w:eastAsia="宋体" w:cs="Times New Roman"/>
                <w:color w:val="auto"/>
                <w:sz w:val="21"/>
                <w:szCs w:val="21"/>
                <w:lang w:eastAsia="zh-CN"/>
              </w:rPr>
              <w:t>化粪池</w:t>
            </w:r>
            <w:r>
              <w:rPr>
                <w:rFonts w:hint="default" w:ascii="Times New Roman" w:hAnsi="Times New Roman" w:eastAsia="宋体" w:cs="Times New Roman"/>
                <w:color w:val="auto"/>
                <w:sz w:val="21"/>
                <w:szCs w:val="21"/>
              </w:rPr>
              <w:t>，</w:t>
            </w:r>
            <w:r>
              <w:rPr>
                <w:rFonts w:hint="eastAsia" w:cs="Times New Roman"/>
                <w:color w:val="auto"/>
                <w:sz w:val="21"/>
                <w:szCs w:val="21"/>
                <w:lang w:eastAsia="zh-CN"/>
              </w:rPr>
              <w:t>环卫部门定期清掏。</w:t>
            </w:r>
          </w:p>
          <w:p>
            <w:pPr>
              <w:spacing w:line="360" w:lineRule="auto"/>
              <w:ind w:firstLine="420" w:firstLineChars="200"/>
              <w:rPr>
                <w:rFonts w:hint="eastAsia"/>
                <w:color w:val="auto"/>
              </w:rPr>
            </w:pPr>
            <w:r>
              <w:rPr>
                <w:rFonts w:hint="eastAsia"/>
                <w:color w:val="auto"/>
              </w:rPr>
              <w:t>③设备清洗</w:t>
            </w:r>
          </w:p>
          <w:p>
            <w:pPr>
              <w:spacing w:line="360" w:lineRule="auto"/>
              <w:ind w:firstLine="420" w:firstLineChars="200"/>
              <w:rPr>
                <w:rFonts w:hint="eastAsia"/>
                <w:color w:val="auto"/>
              </w:rPr>
            </w:pPr>
            <w:r>
              <w:rPr>
                <w:rFonts w:hint="eastAsia"/>
                <w:color w:val="auto"/>
              </w:rPr>
              <w:t>设备清洗废水产生量为使用量的90%，则设备清洗废水的产生量为</w:t>
            </w:r>
            <w:r>
              <w:rPr>
                <w:rFonts w:hint="eastAsia"/>
                <w:color w:val="auto"/>
                <w:lang w:val="en-US" w:eastAsia="zh-CN"/>
              </w:rPr>
              <w:t>11</w:t>
            </w:r>
            <w:r>
              <w:rPr>
                <w:rFonts w:hint="eastAsia"/>
                <w:color w:val="auto"/>
              </w:rPr>
              <w:t>t/a，生产回用。</w:t>
            </w:r>
          </w:p>
          <w:p>
            <w:pPr>
              <w:autoSpaceDE w:val="0"/>
              <w:autoSpaceDN w:val="0"/>
              <w:ind w:firstLine="420" w:firstLineChars="200"/>
              <w:rPr>
                <w:rFonts w:hint="eastAsia"/>
                <w:color w:val="auto"/>
              </w:rPr>
            </w:pPr>
            <w:r>
              <w:rPr>
                <w:rFonts w:hint="eastAsia"/>
                <w:color w:val="auto"/>
              </w:rPr>
              <w:t>④反渗透装置</w:t>
            </w:r>
          </w:p>
          <w:p>
            <w:pPr>
              <w:autoSpaceDE w:val="0"/>
              <w:autoSpaceDN w:val="0"/>
              <w:ind w:firstLine="420" w:firstLineChars="200"/>
            </w:pPr>
            <w:r>
              <w:rPr>
                <w:rFonts w:hint="eastAsia"/>
                <w:color w:val="auto"/>
              </w:rPr>
              <w:t>反渗透装置产生的废水为</w:t>
            </w:r>
            <w:r>
              <w:rPr>
                <w:rFonts w:hint="eastAsia"/>
                <w:color w:val="auto"/>
                <w:lang w:val="en-US" w:eastAsia="zh-CN"/>
              </w:rPr>
              <w:t>686.15</w:t>
            </w:r>
            <w:r>
              <w:rPr>
                <w:rFonts w:hint="eastAsia"/>
                <w:color w:val="auto"/>
              </w:rPr>
              <w:t>t/a，送至混凝土加工公司用作拌合用水。</w:t>
            </w:r>
          </w:p>
          <w:p>
            <w:pPr>
              <w:pStyle w:val="18"/>
              <w:ind w:left="0" w:leftChars="0" w:firstLine="480" w:firstLineChars="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⑤锅炉排污水</w:t>
            </w:r>
          </w:p>
          <w:p>
            <w:pPr>
              <w:ind w:firstLine="480"/>
              <w:rPr>
                <w:rFonts w:hint="default" w:eastAsia="宋体"/>
                <w:lang w:val="en-US" w:eastAsia="zh-CN"/>
              </w:rPr>
            </w:pPr>
            <w:r>
              <w:rPr>
                <w:rFonts w:hint="eastAsia"/>
                <w:lang w:val="en-US" w:eastAsia="zh-CN"/>
              </w:rPr>
              <w:t>锅炉排污水量为20</w:t>
            </w:r>
            <w:r>
              <w:rPr>
                <w:rFonts w:hint="eastAsia"/>
                <w:color w:val="auto"/>
              </w:rPr>
              <w:t>t/a，</w:t>
            </w:r>
            <w:r>
              <w:rPr>
                <w:rFonts w:hint="eastAsia"/>
                <w:color w:val="auto"/>
                <w:lang w:val="en-US" w:eastAsia="zh-CN"/>
              </w:rPr>
              <w:t>用于厂区洒水抑尘。</w:t>
            </w:r>
          </w:p>
          <w:p>
            <w:pPr>
              <w:spacing w:line="240" w:lineRule="auto"/>
              <w:ind w:firstLine="422" w:firstLineChars="200"/>
              <w:jc w:val="center"/>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rPr>
              <w:t>表</w:t>
            </w:r>
            <w:r>
              <w:rPr>
                <w:rFonts w:hint="eastAsia" w:ascii="宋体" w:hAnsi="宋体" w:eastAsia="宋体" w:cs="宋体"/>
                <w:b/>
                <w:bCs/>
                <w:color w:val="auto"/>
                <w:sz w:val="21"/>
                <w:szCs w:val="21"/>
                <w:lang w:val="en-US" w:eastAsia="zh-CN"/>
              </w:rPr>
              <w:t>18</w:t>
            </w:r>
            <w:r>
              <w:rPr>
                <w:rFonts w:hint="eastAsia" w:ascii="宋体" w:hAnsi="宋体" w:eastAsia="宋体" w:cs="宋体"/>
                <w:b/>
                <w:bCs/>
                <w:color w:val="auto"/>
                <w:sz w:val="21"/>
                <w:szCs w:val="21"/>
              </w:rPr>
              <w:t xml:space="preserve"> 本项目生产季水量平衡一览表            单位：m</w:t>
            </w:r>
            <w:r>
              <w:rPr>
                <w:rFonts w:hint="eastAsia" w:ascii="宋体" w:hAnsi="宋体" w:eastAsia="宋体" w:cs="宋体"/>
                <w:b/>
                <w:bCs/>
                <w:color w:val="auto"/>
                <w:sz w:val="21"/>
                <w:szCs w:val="21"/>
                <w:vertAlign w:val="superscript"/>
              </w:rPr>
              <w:t>3</w:t>
            </w:r>
            <w:r>
              <w:rPr>
                <w:rFonts w:hint="eastAsia" w:ascii="宋体" w:hAnsi="宋体" w:eastAsia="宋体" w:cs="宋体"/>
                <w:b/>
                <w:bCs/>
                <w:color w:val="auto"/>
                <w:sz w:val="21"/>
                <w:szCs w:val="21"/>
              </w:rPr>
              <w:t>/</w:t>
            </w:r>
            <w:r>
              <w:rPr>
                <w:rFonts w:hint="eastAsia" w:ascii="宋体" w:hAnsi="宋体" w:eastAsia="宋体" w:cs="宋体"/>
                <w:b/>
                <w:bCs/>
                <w:color w:val="auto"/>
                <w:sz w:val="21"/>
                <w:szCs w:val="21"/>
                <w:lang w:val="en-US" w:eastAsia="zh-CN"/>
              </w:rPr>
              <w:t>a</w:t>
            </w:r>
          </w:p>
          <w:tbl>
            <w:tblPr>
              <w:tblStyle w:val="19"/>
              <w:tblW w:w="7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7"/>
              <w:gridCol w:w="1073"/>
              <w:gridCol w:w="892"/>
              <w:gridCol w:w="960"/>
              <w:gridCol w:w="1238"/>
              <w:gridCol w:w="2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287"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用水项目</w:t>
                  </w:r>
                </w:p>
              </w:tc>
              <w:tc>
                <w:tcPr>
                  <w:tcW w:w="1965" w:type="dxa"/>
                  <w:gridSpan w:val="2"/>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用水量（t/a）</w:t>
                  </w:r>
                </w:p>
              </w:tc>
              <w:tc>
                <w:tcPr>
                  <w:tcW w:w="960"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消耗（t/a）</w:t>
                  </w:r>
                </w:p>
              </w:tc>
              <w:tc>
                <w:tcPr>
                  <w:tcW w:w="1238"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排水量（t/a）</w:t>
                  </w:r>
                </w:p>
              </w:tc>
              <w:tc>
                <w:tcPr>
                  <w:tcW w:w="2497"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287"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073"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自来水</w:t>
                  </w:r>
                </w:p>
              </w:tc>
              <w:tc>
                <w:tcPr>
                  <w:tcW w:w="892"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纯水</w:t>
                  </w:r>
                </w:p>
              </w:tc>
              <w:tc>
                <w:tcPr>
                  <w:tcW w:w="960"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238"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2497"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7"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反渗透装置</w:t>
                  </w:r>
                </w:p>
              </w:tc>
              <w:tc>
                <w:tcPr>
                  <w:tcW w:w="1073" w:type="dxa"/>
                  <w:tcBorders>
                    <w:tl2br w:val="nil"/>
                    <w:tr2bl w:val="nil"/>
                  </w:tcBorders>
                  <w:noWrap w:val="0"/>
                  <w:vAlign w:val="center"/>
                </w:tcPr>
                <w:p>
                  <w:pPr>
                    <w:widowControl/>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2287.15</w:t>
                  </w:r>
                </w:p>
              </w:tc>
              <w:tc>
                <w:tcPr>
                  <w:tcW w:w="892" w:type="dxa"/>
                  <w:tcBorders>
                    <w:tl2br w:val="nil"/>
                    <w:tr2bl w:val="nil"/>
                  </w:tcBorders>
                  <w:noWrap w:val="0"/>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sz w:val="21"/>
                      <w:szCs w:val="21"/>
                    </w:rPr>
                    <w:t>--</w:t>
                  </w:r>
                </w:p>
              </w:tc>
              <w:tc>
                <w:tcPr>
                  <w:tcW w:w="960"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1601</w:t>
                  </w:r>
                </w:p>
              </w:tc>
              <w:tc>
                <w:tcPr>
                  <w:tcW w:w="1238"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686.15</w:t>
                  </w:r>
                </w:p>
              </w:tc>
              <w:tc>
                <w:tcPr>
                  <w:tcW w:w="2497"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rPr>
                    <w:t>送至混凝土加工公司用作拌合用水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7"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锅炉</w:t>
                  </w:r>
                  <w:r>
                    <w:rPr>
                      <w:rFonts w:hint="default" w:ascii="Times New Roman" w:hAnsi="Times New Roman" w:eastAsia="宋体" w:cs="Times New Roman"/>
                      <w:color w:val="auto"/>
                      <w:sz w:val="21"/>
                      <w:szCs w:val="21"/>
                    </w:rPr>
                    <w:t>用水</w:t>
                  </w:r>
                </w:p>
              </w:tc>
              <w:tc>
                <w:tcPr>
                  <w:tcW w:w="1073" w:type="dxa"/>
                  <w:tcBorders>
                    <w:tl2br w:val="nil"/>
                    <w:tr2bl w:val="nil"/>
                  </w:tcBorders>
                  <w:noWrap w:val="0"/>
                  <w:vAlign w:val="center"/>
                </w:tcPr>
                <w:p>
                  <w:pPr>
                    <w:widowControl/>
                    <w:jc w:val="center"/>
                    <w:rPr>
                      <w:rFonts w:hint="default" w:ascii="Times New Roman" w:hAnsi="Times New Roman" w:cs="Times New Roman"/>
                      <w:color w:val="0000FF"/>
                      <w:sz w:val="21"/>
                      <w:szCs w:val="21"/>
                    </w:rPr>
                  </w:pPr>
                  <w:r>
                    <w:rPr>
                      <w:rFonts w:hint="default" w:ascii="Times New Roman" w:hAnsi="Times New Roman" w:cs="Times New Roman"/>
                      <w:color w:val="0000FF"/>
                      <w:sz w:val="21"/>
                      <w:szCs w:val="21"/>
                    </w:rPr>
                    <w:t>--</w:t>
                  </w:r>
                </w:p>
              </w:tc>
              <w:tc>
                <w:tcPr>
                  <w:tcW w:w="892" w:type="dxa"/>
                  <w:tcBorders>
                    <w:tl2br w:val="nil"/>
                    <w:tr2bl w:val="nil"/>
                  </w:tcBorders>
                  <w:noWrap w:val="0"/>
                  <w:vAlign w:val="center"/>
                </w:tcPr>
                <w:p>
                  <w:pPr>
                    <w:widowControl/>
                    <w:jc w:val="center"/>
                    <w:rPr>
                      <w:rFonts w:hint="default" w:ascii="Times New Roman" w:hAnsi="Times New Roman" w:cs="Times New Roman"/>
                      <w:color w:val="0000FF"/>
                      <w:sz w:val="21"/>
                      <w:szCs w:val="21"/>
                    </w:rPr>
                  </w:pPr>
                  <w:r>
                    <w:rPr>
                      <w:rFonts w:hint="default" w:ascii="Times New Roman" w:hAnsi="Times New Roman" w:cs="Times New Roman"/>
                      <w:color w:val="0000FF"/>
                      <w:sz w:val="21"/>
                      <w:szCs w:val="21"/>
                      <w:lang w:val="en-US" w:eastAsia="zh-CN"/>
                    </w:rPr>
                    <w:t>4</w:t>
                  </w:r>
                  <w:r>
                    <w:rPr>
                      <w:rFonts w:hint="default" w:ascii="Times New Roman" w:hAnsi="Times New Roman" w:cs="Times New Roman"/>
                      <w:color w:val="0000FF"/>
                      <w:sz w:val="21"/>
                      <w:szCs w:val="21"/>
                    </w:rPr>
                    <w:t>00</w:t>
                  </w:r>
                </w:p>
              </w:tc>
              <w:tc>
                <w:tcPr>
                  <w:tcW w:w="960" w:type="dxa"/>
                  <w:tcBorders>
                    <w:tl2br w:val="nil"/>
                    <w:tr2bl w:val="nil"/>
                  </w:tcBorders>
                  <w:noWrap w:val="0"/>
                  <w:vAlign w:val="center"/>
                </w:tcPr>
                <w:p>
                  <w:pPr>
                    <w:jc w:val="center"/>
                    <w:rPr>
                      <w:rFonts w:hint="default" w:ascii="Times New Roman" w:hAnsi="Times New Roman" w:cs="Times New Roman"/>
                      <w:color w:val="0000FF"/>
                      <w:sz w:val="21"/>
                      <w:szCs w:val="21"/>
                      <w:lang w:val="en-US"/>
                    </w:rPr>
                  </w:pPr>
                  <w:r>
                    <w:rPr>
                      <w:rFonts w:hint="eastAsia" w:cs="Times New Roman"/>
                      <w:color w:val="0000FF"/>
                      <w:sz w:val="21"/>
                      <w:szCs w:val="21"/>
                      <w:lang w:val="en-US" w:eastAsia="zh-CN"/>
                    </w:rPr>
                    <w:t>380</w:t>
                  </w:r>
                </w:p>
              </w:tc>
              <w:tc>
                <w:tcPr>
                  <w:tcW w:w="1238" w:type="dxa"/>
                  <w:tcBorders>
                    <w:tl2br w:val="nil"/>
                    <w:tr2bl w:val="nil"/>
                  </w:tcBorders>
                  <w:noWrap w:val="0"/>
                  <w:vAlign w:val="center"/>
                </w:tcPr>
                <w:p>
                  <w:pPr>
                    <w:jc w:val="center"/>
                    <w:rPr>
                      <w:rFonts w:hint="default" w:ascii="Times New Roman" w:hAnsi="Times New Roman" w:eastAsia="宋体" w:cs="Times New Roman"/>
                      <w:color w:val="0000FF"/>
                      <w:sz w:val="21"/>
                      <w:szCs w:val="21"/>
                      <w:lang w:val="en-US" w:eastAsia="zh-CN"/>
                    </w:rPr>
                  </w:pPr>
                  <w:r>
                    <w:rPr>
                      <w:rFonts w:hint="eastAsia" w:cs="Times New Roman"/>
                      <w:color w:val="0000FF"/>
                      <w:sz w:val="21"/>
                      <w:szCs w:val="21"/>
                      <w:lang w:val="en-US" w:eastAsia="zh-CN"/>
                    </w:rPr>
                    <w:t>20</w:t>
                  </w:r>
                </w:p>
              </w:tc>
              <w:tc>
                <w:tcPr>
                  <w:tcW w:w="2497" w:type="dxa"/>
                  <w:tcBorders>
                    <w:tl2br w:val="nil"/>
                    <w:tr2bl w:val="nil"/>
                  </w:tcBorders>
                  <w:noWrap w:val="0"/>
                  <w:vAlign w:val="center"/>
                </w:tcPr>
                <w:p>
                  <w:pPr>
                    <w:jc w:val="center"/>
                    <w:rPr>
                      <w:rFonts w:hint="default" w:ascii="Times New Roman" w:hAnsi="Times New Roman" w:eastAsia="宋体" w:cs="Times New Roman"/>
                      <w:bCs/>
                      <w:color w:val="0000FF"/>
                      <w:sz w:val="21"/>
                      <w:szCs w:val="21"/>
                      <w:lang w:val="en-US" w:eastAsia="zh-CN"/>
                    </w:rPr>
                  </w:pPr>
                  <w:r>
                    <w:rPr>
                      <w:rFonts w:hint="eastAsia" w:eastAsia="宋体" w:cs="Times New Roman"/>
                      <w:bCs/>
                      <w:color w:val="0000FF"/>
                      <w:sz w:val="21"/>
                      <w:szCs w:val="21"/>
                      <w:lang w:val="en-US" w:eastAsia="zh-CN"/>
                    </w:rPr>
                    <w:t>厂区洒水抑尘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7"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液态配方肥生产用水</w:t>
                  </w:r>
                </w:p>
              </w:tc>
              <w:tc>
                <w:tcPr>
                  <w:tcW w:w="1073" w:type="dxa"/>
                  <w:tcBorders>
                    <w:tl2br w:val="nil"/>
                    <w:tr2bl w:val="nil"/>
                  </w:tcBorders>
                  <w:noWrap w:val="0"/>
                  <w:vAlign w:val="center"/>
                </w:tcPr>
                <w:p>
                  <w:pPr>
                    <w:widowControl/>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892" w:type="dxa"/>
                  <w:tcBorders>
                    <w:tl2br w:val="nil"/>
                    <w:tr2bl w:val="nil"/>
                  </w:tcBorders>
                  <w:noWrap w:val="0"/>
                  <w:vAlign w:val="center"/>
                </w:tcPr>
                <w:p>
                  <w:pPr>
                    <w:widowControl/>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1200</w:t>
                  </w:r>
                </w:p>
              </w:tc>
              <w:tc>
                <w:tcPr>
                  <w:tcW w:w="960" w:type="dxa"/>
                  <w:tcBorders>
                    <w:tl2br w:val="nil"/>
                    <w:tr2bl w:val="nil"/>
                  </w:tcBorders>
                  <w:noWrap w:val="0"/>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1200</w:t>
                  </w:r>
                </w:p>
              </w:tc>
              <w:tc>
                <w:tcPr>
                  <w:tcW w:w="1238"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w:t>
                  </w:r>
                </w:p>
              </w:tc>
              <w:tc>
                <w:tcPr>
                  <w:tcW w:w="2497" w:type="dxa"/>
                  <w:tcBorders>
                    <w:tl2br w:val="nil"/>
                    <w:tr2bl w:val="nil"/>
                  </w:tcBorders>
                  <w:noWrap w:val="0"/>
                  <w:vAlign w:val="center"/>
                </w:tcPr>
                <w:p>
                  <w:pPr>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液态配方肥混合用水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87"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生活用水</w:t>
                  </w:r>
                </w:p>
              </w:tc>
              <w:tc>
                <w:tcPr>
                  <w:tcW w:w="1073"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312</w:t>
                  </w:r>
                </w:p>
              </w:tc>
              <w:tc>
                <w:tcPr>
                  <w:tcW w:w="892" w:type="dxa"/>
                  <w:tcBorders>
                    <w:tl2br w:val="nil"/>
                    <w:tr2bl w:val="nil"/>
                  </w:tcBorders>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960"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62.4</w:t>
                  </w:r>
                </w:p>
              </w:tc>
              <w:tc>
                <w:tcPr>
                  <w:tcW w:w="1238"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249.6</w:t>
                  </w:r>
                </w:p>
              </w:tc>
              <w:tc>
                <w:tcPr>
                  <w:tcW w:w="2497"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生活污水排入化粪池，环卫部门定期清掏。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87"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设备清洗</w:t>
                  </w:r>
                </w:p>
              </w:tc>
              <w:tc>
                <w:tcPr>
                  <w:tcW w:w="1073" w:type="dxa"/>
                  <w:tcBorders>
                    <w:tl2br w:val="nil"/>
                    <w:tr2bl w:val="nil"/>
                  </w:tcBorders>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892" w:type="dxa"/>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1</w:t>
                  </w:r>
                  <w:r>
                    <w:rPr>
                      <w:rFonts w:hint="default" w:ascii="Times New Roman" w:hAnsi="Times New Roman" w:cs="Times New Roman"/>
                      <w:color w:val="auto"/>
                      <w:sz w:val="21"/>
                      <w:szCs w:val="21"/>
                      <w:lang w:val="en-US" w:eastAsia="zh-CN"/>
                    </w:rPr>
                    <w:t>2</w:t>
                  </w:r>
                </w:p>
              </w:tc>
              <w:tc>
                <w:tcPr>
                  <w:tcW w:w="960" w:type="dxa"/>
                  <w:tcBorders>
                    <w:tl2br w:val="nil"/>
                    <w:tr2bl w:val="nil"/>
                  </w:tcBorders>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1238"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11</w:t>
                  </w:r>
                </w:p>
              </w:tc>
              <w:tc>
                <w:tcPr>
                  <w:tcW w:w="2497"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生产回用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7"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高端有机肥</w:t>
                  </w:r>
                  <w:r>
                    <w:rPr>
                      <w:rFonts w:hint="default" w:ascii="Times New Roman" w:hAnsi="Times New Roman" w:cs="Times New Roman"/>
                      <w:color w:val="auto"/>
                      <w:sz w:val="21"/>
                      <w:szCs w:val="21"/>
                    </w:rPr>
                    <w:t>生产用水</w:t>
                  </w:r>
                </w:p>
              </w:tc>
              <w:tc>
                <w:tcPr>
                  <w:tcW w:w="1073"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5000</w:t>
                  </w:r>
                </w:p>
              </w:tc>
              <w:tc>
                <w:tcPr>
                  <w:tcW w:w="892" w:type="dxa"/>
                  <w:tcBorders>
                    <w:tl2br w:val="nil"/>
                    <w:tr2bl w:val="nil"/>
                  </w:tcBorders>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960"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5000</w:t>
                  </w:r>
                </w:p>
              </w:tc>
              <w:tc>
                <w:tcPr>
                  <w:tcW w:w="1238" w:type="dxa"/>
                  <w:tcBorders>
                    <w:tl2br w:val="nil"/>
                    <w:tr2bl w:val="nil"/>
                  </w:tcBorders>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2497"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进入产品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87" w:type="dxa"/>
                  <w:tcBorders>
                    <w:tl2br w:val="nil"/>
                    <w:tr2bl w:val="nil"/>
                  </w:tcBorders>
                  <w:noWrap w:val="0"/>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颗粒有机肥生产用水</w:t>
                  </w:r>
                </w:p>
              </w:tc>
              <w:tc>
                <w:tcPr>
                  <w:tcW w:w="1073"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2000</w:t>
                  </w:r>
                </w:p>
              </w:tc>
              <w:tc>
                <w:tcPr>
                  <w:tcW w:w="892" w:type="dxa"/>
                  <w:tcBorders>
                    <w:tl2br w:val="nil"/>
                    <w:tr2bl w:val="nil"/>
                  </w:tcBorders>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960"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2000</w:t>
                  </w:r>
                </w:p>
              </w:tc>
              <w:tc>
                <w:tcPr>
                  <w:tcW w:w="1238" w:type="dxa"/>
                  <w:tcBorders>
                    <w:tl2br w:val="nil"/>
                    <w:tr2bl w:val="nil"/>
                  </w:tcBorders>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2497"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进入产品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7" w:type="dxa"/>
                  <w:tcBorders>
                    <w:tl2br w:val="nil"/>
                    <w:tr2bl w:val="nil"/>
                  </w:tcBorders>
                  <w:noWrap w:val="0"/>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脱硫设备用水</w:t>
                  </w:r>
                </w:p>
              </w:tc>
              <w:tc>
                <w:tcPr>
                  <w:tcW w:w="1073" w:type="dxa"/>
                  <w:tcBorders>
                    <w:tl2br w:val="nil"/>
                    <w:tr2bl w:val="nil"/>
                  </w:tcBorders>
                  <w:noWrap w:val="0"/>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12358.48</w:t>
                  </w:r>
                </w:p>
              </w:tc>
              <w:tc>
                <w:tcPr>
                  <w:tcW w:w="892" w:type="dxa"/>
                  <w:tcBorders>
                    <w:tl2br w:val="nil"/>
                    <w:tr2bl w:val="nil"/>
                  </w:tcBorders>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960" w:type="dxa"/>
                  <w:tcBorders>
                    <w:tl2br w:val="nil"/>
                    <w:tr2bl w:val="nil"/>
                  </w:tcBorders>
                  <w:noWrap w:val="0"/>
                  <w:vAlign w:val="center"/>
                </w:tcPr>
                <w:p>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4325.47</w:t>
                  </w:r>
                </w:p>
              </w:tc>
              <w:tc>
                <w:tcPr>
                  <w:tcW w:w="1238"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8033.01</w:t>
                  </w:r>
                </w:p>
              </w:tc>
              <w:tc>
                <w:tcPr>
                  <w:tcW w:w="2497"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循环使用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7"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1073" w:type="dxa"/>
                  <w:tcBorders>
                    <w:tl2br w:val="nil"/>
                    <w:tr2bl w:val="nil"/>
                  </w:tcBorders>
                  <w:noWrap w:val="0"/>
                  <w:vAlign w:val="center"/>
                </w:tcPr>
                <w:p>
                  <w:pPr>
                    <w:jc w:val="center"/>
                    <w:rPr>
                      <w:rFonts w:hint="default" w:ascii="Times New Roman" w:hAnsi="Times New Roman" w:eastAsia="宋体" w:cs="Times New Roman"/>
                      <w:color w:val="0000FF"/>
                      <w:sz w:val="21"/>
                      <w:szCs w:val="21"/>
                      <w:lang w:val="en-US" w:eastAsia="zh-CN"/>
                    </w:rPr>
                  </w:pPr>
                  <w:r>
                    <w:rPr>
                      <w:rFonts w:hint="default" w:ascii="Times New Roman" w:hAnsi="Times New Roman" w:cs="Times New Roman"/>
                      <w:color w:val="0000FF"/>
                      <w:sz w:val="21"/>
                      <w:szCs w:val="21"/>
                      <w:lang w:val="en-US" w:eastAsia="zh-CN"/>
                    </w:rPr>
                    <w:t>14957.63</w:t>
                  </w:r>
                </w:p>
              </w:tc>
              <w:tc>
                <w:tcPr>
                  <w:tcW w:w="892" w:type="dxa"/>
                  <w:tcBorders>
                    <w:tl2br w:val="nil"/>
                    <w:tr2bl w:val="nil"/>
                  </w:tcBorders>
                  <w:noWrap w:val="0"/>
                  <w:vAlign w:val="center"/>
                </w:tcPr>
                <w:p>
                  <w:pPr>
                    <w:jc w:val="center"/>
                    <w:rPr>
                      <w:rFonts w:hint="default" w:ascii="Times New Roman" w:hAnsi="Times New Roman" w:eastAsia="宋体" w:cs="Times New Roman"/>
                      <w:color w:val="0000FF"/>
                      <w:sz w:val="21"/>
                      <w:szCs w:val="21"/>
                      <w:lang w:val="en-US" w:eastAsia="zh-CN"/>
                    </w:rPr>
                  </w:pPr>
                  <w:r>
                    <w:rPr>
                      <w:rFonts w:hint="default" w:ascii="Times New Roman" w:hAnsi="Times New Roman" w:cs="Times New Roman"/>
                      <w:color w:val="0000FF"/>
                      <w:sz w:val="21"/>
                      <w:szCs w:val="21"/>
                      <w:lang w:val="en-US" w:eastAsia="zh-CN"/>
                    </w:rPr>
                    <w:t>1612</w:t>
                  </w:r>
                </w:p>
              </w:tc>
              <w:tc>
                <w:tcPr>
                  <w:tcW w:w="960" w:type="dxa"/>
                  <w:tcBorders>
                    <w:tl2br w:val="nil"/>
                    <w:tr2bl w:val="nil"/>
                  </w:tcBorders>
                  <w:noWrap w:val="0"/>
                  <w:vAlign w:val="center"/>
                </w:tcPr>
                <w:p>
                  <w:pPr>
                    <w:jc w:val="center"/>
                    <w:rPr>
                      <w:rFonts w:hint="default" w:ascii="Times New Roman" w:hAnsi="Times New Roman" w:eastAsia="宋体" w:cs="Times New Roman"/>
                      <w:color w:val="0000FF"/>
                      <w:sz w:val="21"/>
                      <w:szCs w:val="21"/>
                      <w:lang w:val="en-US" w:eastAsia="zh-CN"/>
                    </w:rPr>
                  </w:pPr>
                  <w:r>
                    <w:rPr>
                      <w:rFonts w:hint="default" w:ascii="Times New Roman" w:hAnsi="Times New Roman" w:cs="Times New Roman"/>
                      <w:color w:val="0000FF"/>
                      <w:sz w:val="21"/>
                      <w:szCs w:val="21"/>
                      <w:lang w:val="en-US" w:eastAsia="zh-CN"/>
                    </w:rPr>
                    <w:t>75</w:t>
                  </w:r>
                  <w:r>
                    <w:rPr>
                      <w:rFonts w:hint="eastAsia" w:cs="Times New Roman"/>
                      <w:color w:val="0000FF"/>
                      <w:sz w:val="21"/>
                      <w:szCs w:val="21"/>
                      <w:lang w:val="en-US" w:eastAsia="zh-CN"/>
                    </w:rPr>
                    <w:t>69</w:t>
                  </w:r>
                  <w:r>
                    <w:rPr>
                      <w:rFonts w:hint="default" w:ascii="Times New Roman" w:hAnsi="Times New Roman" w:cs="Times New Roman"/>
                      <w:color w:val="0000FF"/>
                      <w:sz w:val="21"/>
                      <w:szCs w:val="21"/>
                      <w:lang w:val="en-US" w:eastAsia="zh-CN"/>
                    </w:rPr>
                    <w:t>.87</w:t>
                  </w:r>
                </w:p>
              </w:tc>
              <w:tc>
                <w:tcPr>
                  <w:tcW w:w="1238" w:type="dxa"/>
                  <w:tcBorders>
                    <w:tl2br w:val="nil"/>
                    <w:tr2bl w:val="nil"/>
                  </w:tcBorders>
                  <w:noWrap w:val="0"/>
                  <w:vAlign w:val="center"/>
                </w:tcPr>
                <w:p>
                  <w:pPr>
                    <w:jc w:val="center"/>
                    <w:rPr>
                      <w:rFonts w:hint="default" w:ascii="Times New Roman" w:hAnsi="Times New Roman" w:eastAsia="宋体" w:cs="Times New Roman"/>
                      <w:color w:val="0000FF"/>
                      <w:sz w:val="21"/>
                      <w:szCs w:val="21"/>
                      <w:lang w:val="en-US" w:eastAsia="zh-CN"/>
                    </w:rPr>
                  </w:pPr>
                  <w:r>
                    <w:rPr>
                      <w:rFonts w:hint="default" w:ascii="Times New Roman" w:hAnsi="Times New Roman" w:cs="Times New Roman"/>
                      <w:color w:val="0000FF"/>
                      <w:sz w:val="21"/>
                      <w:szCs w:val="21"/>
                      <w:lang w:val="en-US" w:eastAsia="zh-CN"/>
                    </w:rPr>
                    <w:t>89</w:t>
                  </w:r>
                  <w:r>
                    <w:rPr>
                      <w:rFonts w:hint="eastAsia" w:cs="Times New Roman"/>
                      <w:color w:val="0000FF"/>
                      <w:sz w:val="21"/>
                      <w:szCs w:val="21"/>
                      <w:lang w:val="en-US" w:eastAsia="zh-CN"/>
                    </w:rPr>
                    <w:t>9</w:t>
                  </w:r>
                  <w:r>
                    <w:rPr>
                      <w:rFonts w:hint="default" w:ascii="Times New Roman" w:hAnsi="Times New Roman" w:cs="Times New Roman"/>
                      <w:color w:val="0000FF"/>
                      <w:sz w:val="21"/>
                      <w:szCs w:val="21"/>
                      <w:lang w:val="en-US" w:eastAsia="zh-CN"/>
                    </w:rPr>
                    <w:t>9.76</w:t>
                  </w:r>
                </w:p>
              </w:tc>
              <w:tc>
                <w:tcPr>
                  <w:tcW w:w="2497"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bl>
          <w:p>
            <w:pPr>
              <w:autoSpaceDE w:val="0"/>
              <w:autoSpaceDN w:val="0"/>
              <w:ind w:firstLine="420" w:firstLineChars="200"/>
              <w:rPr>
                <w:color w:val="auto"/>
              </w:rPr>
            </w:pPr>
            <w:r>
              <w:rPr>
                <w:color w:val="auto"/>
              </w:rPr>
              <w:t>建设项目用水平衡见下图。</w:t>
            </w:r>
          </w:p>
          <w:p>
            <w:pPr>
              <w:pStyle w:val="2"/>
              <w:rPr>
                <w:color w:val="auto"/>
              </w:rPr>
            </w:pPr>
            <w:r>
              <w:drawing>
                <wp:inline distT="0" distB="0" distL="114300" distR="114300">
                  <wp:extent cx="5034280" cy="3263900"/>
                  <wp:effectExtent l="0" t="0" r="13970" b="12700"/>
                  <wp:docPr id="8"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9"/>
                          <pic:cNvPicPr>
                            <a:picLocks noChangeAspect="1"/>
                          </pic:cNvPicPr>
                        </pic:nvPicPr>
                        <pic:blipFill>
                          <a:blip r:embed="rId12"/>
                          <a:stretch>
                            <a:fillRect/>
                          </a:stretch>
                        </pic:blipFill>
                        <pic:spPr>
                          <a:xfrm>
                            <a:off x="0" y="0"/>
                            <a:ext cx="5034280" cy="3263900"/>
                          </a:xfrm>
                          <a:prstGeom prst="rect">
                            <a:avLst/>
                          </a:prstGeom>
                          <a:noFill/>
                          <a:ln>
                            <a:noFill/>
                          </a:ln>
                        </pic:spPr>
                      </pic:pic>
                    </a:graphicData>
                  </a:graphic>
                </wp:inline>
              </w:drawing>
            </w:r>
          </w:p>
          <w:p>
            <w:pPr>
              <w:jc w:val="center"/>
              <w:rPr>
                <w:rFonts w:hint="eastAsia"/>
                <w:b/>
                <w:bCs/>
                <w:color w:val="0000FF"/>
                <w:sz w:val="18"/>
                <w:szCs w:val="18"/>
                <w:lang w:val="en-US" w:eastAsia="zh-CN"/>
              </w:rPr>
            </w:pPr>
            <w:r>
              <w:rPr>
                <w:rFonts w:hint="eastAsia"/>
                <w:b/>
                <w:bCs/>
                <w:color w:val="0000FF"/>
                <w:sz w:val="21"/>
                <w:szCs w:val="21"/>
                <w:lang w:val="en-US" w:eastAsia="zh-CN"/>
              </w:rPr>
              <w:t xml:space="preserve">图2-1项目水平衡图 </w:t>
            </w:r>
            <w:r>
              <w:rPr>
                <w:rFonts w:hint="eastAsia"/>
                <w:b/>
                <w:bCs/>
                <w:color w:val="0000FF"/>
                <w:sz w:val="18"/>
                <w:szCs w:val="18"/>
                <w:lang w:val="en-US" w:eastAsia="zh-CN"/>
              </w:rPr>
              <w:t>单位：m³/a</w:t>
            </w:r>
          </w:p>
          <w:p>
            <w:pPr>
              <w:spacing w:line="360" w:lineRule="auto"/>
              <w:rPr>
                <w:b/>
                <w:bCs/>
                <w:color w:val="auto"/>
                <w:szCs w:val="21"/>
              </w:rPr>
            </w:pPr>
            <w:r>
              <w:rPr>
                <w:rFonts w:hint="eastAsia"/>
                <w:b/>
                <w:bCs/>
                <w:color w:val="auto"/>
                <w:szCs w:val="21"/>
                <w:lang w:val="en-US" w:eastAsia="zh-CN"/>
              </w:rPr>
              <w:t>8</w:t>
            </w:r>
            <w:r>
              <w:rPr>
                <w:b/>
                <w:bCs/>
                <w:color w:val="auto"/>
                <w:szCs w:val="21"/>
              </w:rPr>
              <w:t>、劳动定员及工作制度</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项目劳动定员为</w:t>
            </w:r>
            <w:r>
              <w:rPr>
                <w:rFonts w:hint="eastAsia" w:ascii="Times New Roman" w:hAnsi="Times New Roman" w:eastAsia="宋体" w:cs="Times New Roman"/>
                <w:color w:val="auto"/>
                <w:lang w:val="en-US" w:eastAsia="zh-CN"/>
              </w:rPr>
              <w:t>20</w:t>
            </w:r>
            <w:r>
              <w:rPr>
                <w:rFonts w:hint="default" w:ascii="Times New Roman" w:hAnsi="Times New Roman" w:eastAsia="宋体" w:cs="Times New Roman"/>
                <w:color w:val="auto"/>
              </w:rPr>
              <w:t>名，工作时间为</w:t>
            </w:r>
            <w:r>
              <w:rPr>
                <w:rFonts w:hint="eastAsia" w:ascii="Times New Roman" w:hAnsi="Times New Roman" w:eastAsia="宋体" w:cs="Times New Roman"/>
                <w:color w:val="auto"/>
                <w:lang w:val="en-US" w:eastAsia="zh-CN"/>
              </w:rPr>
              <w:t>260</w:t>
            </w:r>
            <w:r>
              <w:rPr>
                <w:rFonts w:hint="default" w:ascii="Times New Roman" w:hAnsi="Times New Roman" w:eastAsia="宋体" w:cs="Times New Roman"/>
                <w:color w:val="auto"/>
              </w:rPr>
              <w:t>天，</w:t>
            </w:r>
            <w:r>
              <w:rPr>
                <w:rFonts w:hint="eastAsia"/>
                <w:color w:val="auto"/>
                <w:lang w:val="en-US" w:eastAsia="zh-CN"/>
              </w:rPr>
              <w:t>两班倒</w:t>
            </w:r>
            <w:r>
              <w:rPr>
                <w:rFonts w:hint="default" w:ascii="Times New Roman" w:hAnsi="Times New Roman" w:eastAsia="宋体" w:cs="Times New Roman"/>
                <w:color w:val="auto"/>
              </w:rPr>
              <w:t>。</w:t>
            </w:r>
          </w:p>
          <w:p>
            <w:pPr>
              <w:ind w:firstLine="420" w:firstLineChars="200"/>
              <w:jc w:val="left"/>
              <w:rPr>
                <w:color w:val="auto"/>
              </w:rPr>
            </w:pPr>
          </w:p>
          <w:p>
            <w:pPr>
              <w:ind w:firstLine="420" w:firstLineChars="200"/>
              <w:jc w:val="left"/>
              <w:rPr>
                <w:color w:val="auto"/>
              </w:rPr>
            </w:pPr>
          </w:p>
          <w:p>
            <w:pPr>
              <w:ind w:firstLine="420" w:firstLineChars="200"/>
              <w:jc w:val="left"/>
              <w:rPr>
                <w:color w:val="auto"/>
              </w:rPr>
            </w:pPr>
          </w:p>
          <w:p>
            <w:pPr>
              <w:ind w:firstLine="420" w:firstLineChars="200"/>
              <w:jc w:val="left"/>
              <w:rPr>
                <w:color w:val="auto"/>
              </w:rPr>
            </w:pPr>
          </w:p>
          <w:p>
            <w:pPr>
              <w:ind w:firstLine="420" w:firstLineChars="200"/>
              <w:jc w:val="left"/>
              <w:rPr>
                <w:color w:val="auto"/>
              </w:rPr>
            </w:pPr>
          </w:p>
          <w:p>
            <w:pPr>
              <w:ind w:firstLine="420" w:firstLineChars="200"/>
              <w:jc w:val="left"/>
              <w:rPr>
                <w:color w:val="auto"/>
              </w:rPr>
            </w:pPr>
          </w:p>
          <w:p>
            <w:pPr>
              <w:ind w:firstLine="420" w:firstLineChars="200"/>
              <w:jc w:val="left"/>
              <w:rPr>
                <w:color w:val="auto"/>
              </w:rPr>
            </w:pPr>
          </w:p>
          <w:p>
            <w:pPr>
              <w:ind w:firstLine="420" w:firstLineChars="200"/>
              <w:jc w:val="left"/>
              <w:rPr>
                <w:color w:val="auto"/>
              </w:rPr>
            </w:pPr>
          </w:p>
          <w:p>
            <w:pPr>
              <w:jc w:val="left"/>
              <w:rPr>
                <w:color w:va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1" w:hRule="atLeast"/>
          <w:jc w:val="center"/>
        </w:trPr>
        <w:tc>
          <w:tcPr>
            <w:tcW w:w="823" w:type="dxa"/>
            <w:noWrap w:val="0"/>
            <w:vAlign w:val="center"/>
          </w:tcPr>
          <w:p>
            <w:pPr>
              <w:pStyle w:val="1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工艺流程和产排污环节</w:t>
            </w:r>
          </w:p>
        </w:tc>
        <w:tc>
          <w:tcPr>
            <w:tcW w:w="8161" w:type="dxa"/>
            <w:noWrap w:val="0"/>
            <w:vAlign w:val="top"/>
          </w:tcPr>
          <w:p>
            <w:pPr>
              <w:spacing w:before="120" w:beforeLines="50" w:line="360" w:lineRule="auto"/>
              <w:ind w:firstLine="420" w:firstLineChars="200"/>
              <w:rPr>
                <w:rFonts w:hint="eastAsia" w:eastAsia="宋体"/>
                <w:color w:val="auto"/>
                <w:sz w:val="24"/>
                <w:lang w:eastAsia="zh-CN"/>
              </w:rPr>
            </w:pPr>
            <w:r>
              <w:rPr>
                <w:rFonts w:hint="eastAsia"/>
                <w:color w:val="auto"/>
                <w:szCs w:val="21"/>
                <w:lang w:val="en-US" w:eastAsia="zh-CN"/>
              </w:rPr>
              <w:t>新建配方肥生产线、高端有机肥生产线及有机肥制粒生产线</w:t>
            </w:r>
            <w:r>
              <w:rPr>
                <w:color w:val="auto"/>
                <w:szCs w:val="21"/>
              </w:rPr>
              <w:t>。具体工艺流程见图2-</w:t>
            </w:r>
            <w:r>
              <w:rPr>
                <w:rFonts w:hint="eastAsia"/>
                <w:color w:val="auto"/>
                <w:szCs w:val="21"/>
                <w:lang w:val="en-US" w:eastAsia="zh-CN"/>
              </w:rPr>
              <w:t>2</w:t>
            </w:r>
            <w:r>
              <w:rPr>
                <w:color w:val="auto"/>
                <w:szCs w:val="21"/>
              </w:rPr>
              <w:t>。</w:t>
            </w:r>
          </w:p>
          <w:p>
            <w:pPr>
              <w:spacing w:before="120" w:beforeLines="50" w:line="240" w:lineRule="auto"/>
              <w:jc w:val="center"/>
              <w:rPr>
                <w:rFonts w:hint="eastAsia"/>
                <w:b/>
                <w:bCs/>
                <w:color w:val="auto"/>
                <w:sz w:val="21"/>
                <w:szCs w:val="21"/>
                <w:lang w:val="en-US" w:eastAsia="zh-CN"/>
              </w:rPr>
            </w:pPr>
            <w:r>
              <w:rPr>
                <w:color w:val="auto"/>
              </w:rPr>
              <w:object>
                <v:shape id="_x0000_i1025" o:spt="75" type="#_x0000_t75" style="height:187.55pt;width:413.25pt;" o:ole="t" filled="f" o:preferrelative="t" stroked="f" coordsize="21600,21600">
                  <v:path/>
                  <v:fill on="f" focussize="0,0"/>
                  <v:stroke on="f"/>
                  <v:imagedata r:id="rId14" o:title=""/>
                  <o:lock v:ext="edit" aspectratio="t"/>
                  <w10:wrap type="none"/>
                  <w10:anchorlock/>
                </v:shape>
                <o:OLEObject Type="Embed" ProgID="Visio.Drawing.15" ShapeID="_x0000_i1025" DrawAspect="Content" ObjectID="_1468075725" r:id="rId13">
                  <o:LockedField>false</o:LockedField>
                </o:OLEObject>
              </w:object>
            </w:r>
            <w:r>
              <w:rPr>
                <w:rFonts w:hint="eastAsia"/>
                <w:b/>
                <w:bCs/>
                <w:color w:val="auto"/>
                <w:sz w:val="21"/>
                <w:szCs w:val="21"/>
                <w:lang w:val="en-US" w:eastAsia="zh-CN"/>
              </w:rPr>
              <w:t>图2-2配方肥工艺流程及产排污节点图</w:t>
            </w:r>
          </w:p>
          <w:p>
            <w:pPr>
              <w:pStyle w:val="2"/>
              <w:jc w:val="center"/>
              <w:rPr>
                <w:rFonts w:hint="eastAsia"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kern w:val="2"/>
                <w:sz w:val="21"/>
                <w:szCs w:val="21"/>
                <w:lang w:val="en-US" w:eastAsia="zh-CN" w:bidi="ar-SA"/>
              </w:rPr>
              <w:drawing>
                <wp:anchor distT="0" distB="0" distL="114300" distR="114300" simplePos="0" relativeHeight="251665408" behindDoc="1" locked="0" layoutInCell="1" allowOverlap="1">
                  <wp:simplePos x="0" y="0"/>
                  <wp:positionH relativeFrom="column">
                    <wp:posOffset>71755</wp:posOffset>
                  </wp:positionH>
                  <wp:positionV relativeFrom="paragraph">
                    <wp:posOffset>72390</wp:posOffset>
                  </wp:positionV>
                  <wp:extent cx="4870450" cy="1673225"/>
                  <wp:effectExtent l="0" t="0" r="6350" b="3175"/>
                  <wp:wrapTight wrapText="bothSides">
                    <wp:wrapPolygon>
                      <wp:start x="21592" y="-2"/>
                      <wp:lineTo x="0" y="0"/>
                      <wp:lineTo x="0" y="21600"/>
                      <wp:lineTo x="21592" y="21602"/>
                      <wp:lineTo x="8" y="21602"/>
                      <wp:lineTo x="21600" y="21600"/>
                      <wp:lineTo x="21600" y="0"/>
                      <wp:lineTo x="8" y="-2"/>
                      <wp:lineTo x="21592" y="-2"/>
                    </wp:wrapPolygon>
                  </wp:wrapTight>
                  <wp:docPr id="6" name="ECB019B1-382A-4266-B25C-5B523AA43C14-1" descr="C:/Users/Administrator/AppData/Local/Temp/wps.DbSfrT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CB019B1-382A-4266-B25C-5B523AA43C14-1" descr="C:/Users/Administrator/AppData/Local/Temp/wps.DbSfrTwps"/>
                          <pic:cNvPicPr>
                            <a:picLocks noChangeAspect="1"/>
                          </pic:cNvPicPr>
                        </pic:nvPicPr>
                        <pic:blipFill>
                          <a:blip r:embed="rId15"/>
                          <a:stretch>
                            <a:fillRect/>
                          </a:stretch>
                        </pic:blipFill>
                        <pic:spPr>
                          <a:xfrm>
                            <a:off x="549275" y="3179445"/>
                            <a:ext cx="4870450" cy="1673225"/>
                          </a:xfrm>
                          <a:prstGeom prst="rect">
                            <a:avLst/>
                          </a:prstGeom>
                          <a:noFill/>
                          <a:ln>
                            <a:noFill/>
                          </a:ln>
                        </pic:spPr>
                      </pic:pic>
                    </a:graphicData>
                  </a:graphic>
                </wp:anchor>
              </w:drawing>
            </w:r>
          </w:p>
          <w:p>
            <w:pPr>
              <w:pStyle w:val="2"/>
              <w:jc w:val="center"/>
              <w:rPr>
                <w:rFonts w:hint="default"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0000FF"/>
                <w:kern w:val="2"/>
                <w:sz w:val="21"/>
                <w:szCs w:val="21"/>
                <w:highlight w:val="none"/>
                <w:lang w:val="en-US" w:eastAsia="zh-CN" w:bidi="ar-SA"/>
              </w:rPr>
              <w:t>图2-3 高端有机肥工艺流程及产排污节点图</w:t>
            </w:r>
          </w:p>
          <w:p>
            <w:pPr>
              <w:pStyle w:val="2"/>
              <w:rPr>
                <w:rFonts w:hint="default"/>
                <w:color w:val="auto"/>
                <w:lang w:val="en-US" w:eastAsia="zh-CN"/>
              </w:rPr>
            </w:pPr>
            <w:r>
              <w:rPr>
                <w:color w:val="auto"/>
              </w:rPr>
              <w:object>
                <v:shape id="_x0000_i1026" o:spt="75" type="#_x0000_t75" style="height:175.95pt;width:366.75pt;" o:ole="t" filled="f" o:preferrelative="t" stroked="f" coordsize="21600,21600">
                  <v:path/>
                  <v:fill on="f" focussize="0,0"/>
                  <v:stroke on="f"/>
                  <v:imagedata r:id="rId17" o:title=""/>
                  <o:lock v:ext="edit" aspectratio="t"/>
                  <w10:wrap type="none"/>
                  <w10:anchorlock/>
                </v:shape>
                <o:OLEObject Type="Embed" ProgID="Visio.Drawing.11" ShapeID="_x0000_i1026" DrawAspect="Content" ObjectID="_1468075726" r:id="rId16">
                  <o:LockedField>false</o:LockedField>
                </o:OLEObject>
              </w:object>
            </w:r>
          </w:p>
          <w:p>
            <w:pPr>
              <w:spacing w:before="120" w:beforeLines="50" w:line="360" w:lineRule="auto"/>
              <w:jc w:val="center"/>
              <w:rPr>
                <w:rFonts w:hint="default" w:eastAsia="宋体"/>
                <w:b/>
                <w:bCs/>
                <w:color w:val="auto"/>
                <w:szCs w:val="21"/>
                <w:lang w:val="en-US" w:eastAsia="zh-CN"/>
              </w:rPr>
            </w:pPr>
            <w:r>
              <w:rPr>
                <w:rFonts w:hint="eastAsia"/>
                <w:b/>
                <w:bCs/>
                <w:color w:val="auto"/>
                <w:szCs w:val="21"/>
                <w:lang w:val="en-US" w:eastAsia="zh-CN"/>
              </w:rPr>
              <w:t>图2-4 有机肥造粒工艺流程及产排污节点图</w:t>
            </w:r>
          </w:p>
          <w:p>
            <w:pPr>
              <w:spacing w:before="120" w:beforeLines="50" w:line="360" w:lineRule="auto"/>
              <w:rPr>
                <w:color w:val="auto"/>
                <w:sz w:val="24"/>
              </w:rPr>
            </w:pPr>
            <w:r>
              <w:rPr>
                <w:rFonts w:hint="eastAsia"/>
                <w:b/>
                <w:bCs/>
                <w:color w:val="auto"/>
                <w:szCs w:val="21"/>
                <w:lang w:val="en-US" w:eastAsia="zh-CN"/>
              </w:rPr>
              <w:t>配方肥</w:t>
            </w:r>
            <w:r>
              <w:rPr>
                <w:b/>
                <w:bCs/>
                <w:color w:val="auto"/>
                <w:szCs w:val="21"/>
              </w:rPr>
              <w:t>工艺流程简述及污染工序：</w:t>
            </w:r>
          </w:p>
          <w:p>
            <w:pPr>
              <w:spacing w:before="120" w:beforeLines="50" w:line="36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fldChar w:fldCharType="begin"/>
            </w:r>
            <w:r>
              <w:rPr>
                <w:rFonts w:hint="eastAsia" w:ascii="Times New Roman" w:hAnsi="Times New Roman" w:eastAsia="宋体" w:cs="Times New Roman"/>
                <w:color w:val="auto"/>
                <w:szCs w:val="21"/>
                <w:lang w:val="en-US" w:eastAsia="zh-CN"/>
              </w:rPr>
              <w:instrText xml:space="preserve"> = 1 \* GB3 </w:instrText>
            </w:r>
            <w:r>
              <w:rPr>
                <w:rFonts w:hint="eastAsia" w:ascii="Times New Roman" w:hAnsi="Times New Roman" w:eastAsia="宋体" w:cs="Times New Roman"/>
                <w:color w:val="auto"/>
                <w:szCs w:val="21"/>
                <w:lang w:val="en-US" w:eastAsia="zh-CN"/>
              </w:rPr>
              <w:fldChar w:fldCharType="separate"/>
            </w:r>
            <w:r>
              <w:rPr>
                <w:rFonts w:hint="eastAsia" w:ascii="Times New Roman" w:hAnsi="Times New Roman" w:eastAsia="宋体" w:cs="Times New Roman"/>
                <w:color w:val="auto"/>
                <w:szCs w:val="21"/>
                <w:lang w:val="en-US" w:eastAsia="zh-CN"/>
              </w:rPr>
              <w:t>①</w:t>
            </w:r>
            <w:r>
              <w:rPr>
                <w:rFonts w:hint="eastAsia" w:ascii="Times New Roman" w:hAnsi="Times New Roman" w:eastAsia="宋体" w:cs="Times New Roman"/>
                <w:color w:val="auto"/>
                <w:szCs w:val="21"/>
                <w:lang w:val="en-US" w:eastAsia="zh-CN"/>
              </w:rPr>
              <w:fldChar w:fldCharType="end"/>
            </w:r>
            <w:r>
              <w:rPr>
                <w:rFonts w:hint="eastAsia" w:ascii="Times New Roman" w:hAnsi="Times New Roman" w:eastAsia="宋体" w:cs="Times New Roman"/>
                <w:color w:val="auto"/>
                <w:szCs w:val="21"/>
                <w:lang w:val="en-US" w:eastAsia="zh-CN"/>
              </w:rPr>
              <w:t>固态配方肥</w:t>
            </w:r>
          </w:p>
          <w:p>
            <w:pPr>
              <w:spacing w:before="120" w:beforeLines="50" w:line="36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在封闭车间内，将颗粒状物料（尿素、磷酸二氢钾、磷酸二胺）人工拆包后，人工加入称重计量罐内，通过自动投料系统送至混合罐，各原料按配比进行混合配料，混合罐为全封闭结构，出料经螺旋式物料传输机送至包装机料斗内，后经编织袋包装入库。</w:t>
            </w:r>
          </w:p>
          <w:p>
            <w:pPr>
              <w:spacing w:before="120" w:beforeLines="50" w:line="36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投料过程和包装机出料过程会产生少量粉尘和氨气。由于物料均为颗粒状，且生产中采取降低投料高度，规范投料操作、螺旋式物料传输机、包装机出料口与包装袋接口处为防尘尼龙布，增加密封性等措施后，粉尘产生量不大；该生产为简单物理混合过程，无需加热，故氨气产生量很小。</w:t>
            </w:r>
          </w:p>
          <w:p>
            <w:pPr>
              <w:spacing w:before="120" w:beforeLines="50" w:line="36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fldChar w:fldCharType="begin"/>
            </w:r>
            <w:r>
              <w:rPr>
                <w:rFonts w:hint="eastAsia" w:ascii="Times New Roman" w:hAnsi="Times New Roman" w:eastAsia="宋体" w:cs="Times New Roman"/>
                <w:color w:val="auto"/>
                <w:szCs w:val="21"/>
                <w:lang w:val="en-US" w:eastAsia="zh-CN"/>
              </w:rPr>
              <w:instrText xml:space="preserve"> = 2 \* GB3 </w:instrText>
            </w:r>
            <w:r>
              <w:rPr>
                <w:rFonts w:hint="eastAsia" w:ascii="Times New Roman" w:hAnsi="Times New Roman" w:eastAsia="宋体" w:cs="Times New Roman"/>
                <w:color w:val="auto"/>
                <w:szCs w:val="21"/>
                <w:lang w:val="en-US" w:eastAsia="zh-CN"/>
              </w:rPr>
              <w:fldChar w:fldCharType="separate"/>
            </w:r>
            <w:r>
              <w:rPr>
                <w:rFonts w:hint="eastAsia" w:ascii="Times New Roman" w:hAnsi="Times New Roman" w:eastAsia="宋体" w:cs="Times New Roman"/>
                <w:color w:val="auto"/>
                <w:szCs w:val="21"/>
                <w:lang w:val="en-US" w:eastAsia="zh-CN"/>
              </w:rPr>
              <w:t>②</w:t>
            </w:r>
            <w:r>
              <w:rPr>
                <w:rFonts w:hint="eastAsia" w:ascii="Times New Roman" w:hAnsi="Times New Roman" w:eastAsia="宋体" w:cs="Times New Roman"/>
                <w:color w:val="auto"/>
                <w:szCs w:val="21"/>
                <w:lang w:val="en-US" w:eastAsia="zh-CN"/>
              </w:rPr>
              <w:fldChar w:fldCharType="end"/>
            </w:r>
            <w:r>
              <w:rPr>
                <w:rFonts w:hint="eastAsia" w:ascii="Times New Roman" w:hAnsi="Times New Roman" w:eastAsia="宋体" w:cs="Times New Roman"/>
                <w:color w:val="auto"/>
                <w:szCs w:val="21"/>
                <w:lang w:val="en-US" w:eastAsia="zh-CN"/>
              </w:rPr>
              <w:t>液态配方肥</w:t>
            </w:r>
          </w:p>
          <w:p>
            <w:pPr>
              <w:spacing w:before="120" w:beforeLines="50" w:line="360" w:lineRule="auto"/>
              <w:ind w:firstLine="420" w:firstLineChars="200"/>
              <w:rPr>
                <w:rFonts w:hint="eastAsia" w:ascii="Times New Roman" w:hAnsi="Times New Roman" w:eastAsia="宋体" w:cs="Times New Roman"/>
                <w:color w:val="FF0000"/>
                <w:szCs w:val="21"/>
                <w:lang w:val="en-US" w:eastAsia="zh-CN"/>
              </w:rPr>
            </w:pPr>
            <w:r>
              <w:rPr>
                <w:rFonts w:hint="eastAsia" w:ascii="Times New Roman" w:hAnsi="Times New Roman" w:eastAsia="宋体" w:cs="Times New Roman"/>
                <w:color w:val="auto"/>
                <w:szCs w:val="21"/>
                <w:lang w:val="en-US" w:eastAsia="zh-CN"/>
              </w:rPr>
              <w:t>在封闭车间内，将颗粒状（尿素、磷酸二氢钾、磷酸二胺）及液态物料（腐植酸液、氨基酸液）人工加入称重计量罐内，通过自动投料系统送至混合罐，各原料按配比进行混合配料，加入少量水，通过电加热炉加热使罐内物料易于溶化混合，加热温度为50℃，一段时间后，使其自然冷却至常温，经压板过滤，将未溶化的底部物料研磨后，与液体物料一并由自动包装机包装入库。</w:t>
            </w:r>
          </w:p>
          <w:p>
            <w:pPr>
              <w:spacing w:before="120" w:beforeLines="50" w:line="360" w:lineRule="auto"/>
              <w:ind w:firstLine="420" w:firstLineChars="200"/>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auto"/>
                <w:szCs w:val="21"/>
                <w:lang w:val="en-US" w:eastAsia="zh-CN"/>
              </w:rPr>
              <w:t>投料过程会产生一定量的粉尘，由于物料均为颗粒状，且在生产中采取降低投料高度，规范投料操作措施后，粉尘产生量不大。</w:t>
            </w:r>
            <w:r>
              <w:rPr>
                <w:rFonts w:hint="eastAsia" w:ascii="Times New Roman" w:hAnsi="Times New Roman" w:eastAsia="宋体" w:cs="Times New Roman"/>
                <w:color w:val="0000FF"/>
                <w:kern w:val="2"/>
                <w:sz w:val="21"/>
                <w:szCs w:val="21"/>
                <w:highlight w:val="none"/>
                <w:lang w:val="en-US" w:eastAsia="zh-CN" w:bidi="ar-SA"/>
              </w:rPr>
              <w:t>尿素在高温下可进行缩合反应，生成缩二脲、缩三脲和三聚氰酸。加热至尿素分子模型160℃分解，产生氨气同时变为氰酸。本工艺加热至50℃且生产过程投入一定量的水，所以氨气的产生量较小。</w:t>
            </w:r>
          </w:p>
          <w:p>
            <w:pPr>
              <w:spacing w:before="120" w:beforeLines="50" w:line="360" w:lineRule="auto"/>
              <w:rPr>
                <w:color w:val="auto"/>
                <w:sz w:val="24"/>
              </w:rPr>
            </w:pPr>
            <w:r>
              <w:rPr>
                <w:rFonts w:hint="eastAsia"/>
                <w:b/>
                <w:bCs/>
                <w:color w:val="auto"/>
                <w:szCs w:val="21"/>
                <w:lang w:val="en-US" w:eastAsia="zh-CN"/>
              </w:rPr>
              <w:t>高端有机肥</w:t>
            </w:r>
            <w:r>
              <w:rPr>
                <w:b/>
                <w:bCs/>
                <w:color w:val="auto"/>
                <w:szCs w:val="21"/>
              </w:rPr>
              <w:t>工艺流程简述及污染工序：</w:t>
            </w:r>
          </w:p>
          <w:p>
            <w:pPr>
              <w:ind w:firstLine="420" w:firstLineChars="200"/>
            </w:pPr>
            <w:r>
              <w:rPr>
                <w:rFonts w:hint="eastAsia" w:ascii="宋体" w:hAnsi="宋体" w:eastAsia="宋体" w:cs="Times New Roman"/>
                <w:color w:val="auto"/>
                <w:szCs w:val="24"/>
                <w:lang w:val="en-US" w:eastAsia="zh-CN"/>
              </w:rPr>
              <w:t>高端有机肥以发酵羊粪、海藻提取物、腐植酸为原料经过搅拌活化离心烘干制成。有机肥经过微生物发酵后得到有机肥发酵液，与海藻提取物、腐植酸按比例配合后进行搅拌，经过离心沉淀去渣后，加入活化剂搅拌后经过滚筒烘干即可得到富含天然氨基酸、天然植物刺激素及有机营养的高端有机肥。</w:t>
            </w:r>
            <w:r>
              <w:rPr>
                <w:rFonts w:hint="eastAsia"/>
                <w:color w:val="auto"/>
                <w:lang w:val="en-US" w:eastAsia="zh-CN"/>
              </w:rPr>
              <w:t>生产过程中产生的滤渣为优良的有机肥，可直接当做有机肥使用。</w:t>
            </w:r>
          </w:p>
          <w:p>
            <w:pPr>
              <w:spacing w:before="120" w:beforeLines="50" w:line="360" w:lineRule="auto"/>
              <w:rPr>
                <w:color w:val="auto"/>
                <w:sz w:val="24"/>
              </w:rPr>
            </w:pPr>
            <w:r>
              <w:rPr>
                <w:rFonts w:hint="eastAsia"/>
                <w:b/>
                <w:bCs/>
                <w:color w:val="auto"/>
                <w:szCs w:val="21"/>
                <w:lang w:val="en-US" w:eastAsia="zh-CN"/>
              </w:rPr>
              <w:t>有机肥造粒</w:t>
            </w:r>
            <w:r>
              <w:rPr>
                <w:b/>
                <w:bCs/>
                <w:color w:val="auto"/>
                <w:szCs w:val="21"/>
              </w:rPr>
              <w:t>工艺流程简述及污染工序：</w:t>
            </w:r>
          </w:p>
          <w:p>
            <w:pPr>
              <w:ind w:firstLine="420" w:firstLineChars="200"/>
              <w:rPr>
                <w:color w:val="auto"/>
              </w:rPr>
            </w:pPr>
            <w:r>
              <w:rPr>
                <w:rFonts w:hint="default" w:ascii="Calibri" w:hAnsi="Calibri" w:cs="Calibri"/>
                <w:color w:val="auto"/>
              </w:rPr>
              <w:t>①</w:t>
            </w:r>
            <w:r>
              <w:rPr>
                <w:rFonts w:hint="eastAsia"/>
                <w:color w:val="auto"/>
              </w:rPr>
              <w:t>造粒</w:t>
            </w:r>
          </w:p>
          <w:p>
            <w:pPr>
              <w:spacing w:line="360" w:lineRule="auto"/>
              <w:ind w:firstLine="420" w:firstLineChars="200"/>
              <w:rPr>
                <w:rFonts w:ascii="宋体" w:hAnsi="宋体"/>
                <w:color w:val="auto"/>
                <w:szCs w:val="24"/>
              </w:rPr>
            </w:pPr>
            <w:r>
              <w:rPr>
                <w:rFonts w:hint="eastAsia" w:ascii="宋体" w:hAnsi="宋体"/>
                <w:color w:val="auto"/>
                <w:szCs w:val="24"/>
              </w:rPr>
              <w:t>将其中</w:t>
            </w:r>
            <w:r>
              <w:rPr>
                <w:rFonts w:hint="eastAsia" w:ascii="宋体" w:hAnsi="宋体"/>
                <w:color w:val="auto"/>
                <w:szCs w:val="24"/>
                <w:lang w:val="en-US" w:eastAsia="zh-CN"/>
              </w:rPr>
              <w:t>部分</w:t>
            </w:r>
            <w:r>
              <w:rPr>
                <w:rFonts w:hint="eastAsia" w:ascii="宋体" w:hAnsi="宋体"/>
                <w:color w:val="auto"/>
                <w:szCs w:val="24"/>
              </w:rPr>
              <w:t>合格产品经颗粒回转筛筛分后，通过皮带输送机将合格产品经圆盘造粒机造粒，产生生物有机肥原粒。产品均含水率较高，过程中产生粉尘量极少，可以忽略不计。</w:t>
            </w:r>
          </w:p>
          <w:p>
            <w:pPr>
              <w:ind w:firstLine="420" w:firstLineChars="200"/>
              <w:rPr>
                <w:color w:val="auto"/>
              </w:rPr>
            </w:pPr>
            <w:r>
              <w:rPr>
                <w:rFonts w:hint="default" w:ascii="Calibri" w:hAnsi="Calibri" w:cs="Calibri"/>
                <w:color w:val="auto"/>
              </w:rPr>
              <w:t>②</w:t>
            </w:r>
            <w:r>
              <w:rPr>
                <w:rFonts w:hint="eastAsia"/>
                <w:color w:val="auto"/>
              </w:rPr>
              <w:t>烘干</w:t>
            </w:r>
          </w:p>
          <w:p>
            <w:pPr>
              <w:spacing w:line="360" w:lineRule="auto"/>
              <w:ind w:firstLine="420" w:firstLineChars="200"/>
              <w:rPr>
                <w:color w:val="auto"/>
              </w:rPr>
            </w:pPr>
            <w:r>
              <w:rPr>
                <w:rFonts w:hint="eastAsia" w:ascii="宋体" w:hAnsi="宋体"/>
                <w:color w:val="auto"/>
                <w:szCs w:val="24"/>
              </w:rPr>
              <w:t>造粒完成的有机肥原粒要经烘干机进行烘干。烘干机热源由</w:t>
            </w:r>
            <w:r>
              <w:rPr>
                <w:rFonts w:hint="eastAsia" w:ascii="宋体" w:hAnsi="宋体"/>
                <w:color w:val="auto"/>
                <w:szCs w:val="24"/>
                <w:lang w:val="en-US" w:eastAsia="zh-CN"/>
              </w:rPr>
              <w:t>1</w:t>
            </w:r>
            <w:r>
              <w:rPr>
                <w:rFonts w:hint="eastAsia" w:ascii="宋体" w:hAnsi="宋体"/>
                <w:color w:val="auto"/>
                <w:szCs w:val="24"/>
              </w:rPr>
              <w:t>台燃煤热风炉供给，产生烟气通过烘干引风机</w:t>
            </w:r>
            <w:r>
              <w:rPr>
                <w:rFonts w:hint="eastAsia" w:ascii="宋体" w:hAnsi="宋体" w:cs="宋体"/>
                <w:color w:val="auto"/>
              </w:rPr>
              <w:t>经</w:t>
            </w:r>
            <w:r>
              <w:rPr>
                <w:rFonts w:hint="eastAsia" w:ascii="宋体" w:hAnsi="宋体" w:cs="宋体"/>
                <w:color w:val="auto"/>
                <w:highlight w:val="none"/>
              </w:rPr>
              <w:t>多管旋风除尘器+湿式碱法水浴脱硫（单碱法）处</w:t>
            </w:r>
            <w:r>
              <w:rPr>
                <w:rFonts w:hint="eastAsia" w:ascii="宋体" w:hAnsi="宋体" w:cs="宋体"/>
                <w:color w:val="auto"/>
              </w:rPr>
              <w:t>理。</w:t>
            </w:r>
          </w:p>
          <w:p>
            <w:pPr>
              <w:ind w:firstLine="420" w:firstLineChars="200"/>
              <w:rPr>
                <w:color w:val="auto"/>
              </w:rPr>
            </w:pPr>
            <w:r>
              <w:rPr>
                <w:rFonts w:hint="default" w:ascii="Calibri" w:hAnsi="Calibri" w:cs="Calibri"/>
                <w:color w:val="auto"/>
              </w:rPr>
              <w:t>③</w:t>
            </w:r>
            <w:r>
              <w:rPr>
                <w:rFonts w:hint="eastAsia"/>
                <w:color w:val="auto"/>
              </w:rPr>
              <w:t>冷却</w:t>
            </w:r>
          </w:p>
          <w:p>
            <w:pPr>
              <w:spacing w:line="360" w:lineRule="auto"/>
              <w:ind w:firstLine="420" w:firstLineChars="200"/>
              <w:rPr>
                <w:color w:val="auto"/>
              </w:rPr>
            </w:pPr>
            <w:r>
              <w:rPr>
                <w:rFonts w:hint="eastAsia" w:ascii="宋体" w:hAnsi="宋体"/>
                <w:color w:val="auto"/>
                <w:szCs w:val="24"/>
              </w:rPr>
              <w:t>烘干完成后的产品用冷却机（风冷）进行冷却，产生粉尘通过</w:t>
            </w:r>
            <w:r>
              <w:rPr>
                <w:rFonts w:hint="eastAsia" w:ascii="宋体" w:hAnsi="宋体" w:cs="宋体"/>
                <w:color w:val="auto"/>
              </w:rPr>
              <w:t>多管旋风除尘器+湿式碱法水浴脱硫（单碱法）处理。</w:t>
            </w:r>
          </w:p>
          <w:p>
            <w:pPr>
              <w:ind w:firstLine="420" w:firstLineChars="200"/>
              <w:rPr>
                <w:color w:val="auto"/>
              </w:rPr>
            </w:pPr>
            <w:r>
              <w:rPr>
                <w:rFonts w:hint="eastAsia" w:ascii="宋体" w:hAnsi="宋体" w:eastAsia="宋体" w:cs="宋体"/>
                <w:color w:val="auto"/>
              </w:rPr>
              <w:t>④</w:t>
            </w:r>
            <w:r>
              <w:rPr>
                <w:rFonts w:hint="eastAsia"/>
                <w:color w:val="auto"/>
              </w:rPr>
              <w:t>筛分</w:t>
            </w:r>
          </w:p>
          <w:p>
            <w:pPr>
              <w:spacing w:line="360" w:lineRule="auto"/>
              <w:ind w:firstLine="420" w:firstLineChars="200"/>
              <w:rPr>
                <w:rFonts w:ascii="宋体" w:hAnsi="宋体"/>
                <w:color w:val="auto"/>
                <w:szCs w:val="24"/>
              </w:rPr>
            </w:pPr>
            <w:r>
              <w:rPr>
                <w:rFonts w:hint="eastAsia" w:ascii="宋体" w:hAnsi="宋体"/>
                <w:color w:val="auto"/>
                <w:szCs w:val="24"/>
              </w:rPr>
              <w:t>泠却后的产品即造粒后的有机肥原粒粒径大于4.75mm的返回生产工序破碎后继续造粒，该阶段密闭筛分，产生的粉尘收集后作为粉状成品外售。</w:t>
            </w:r>
          </w:p>
          <w:p>
            <w:pPr>
              <w:ind w:firstLine="420" w:firstLineChars="200"/>
              <w:rPr>
                <w:color w:val="auto"/>
              </w:rPr>
            </w:pPr>
            <w:r>
              <w:rPr>
                <w:rFonts w:hint="eastAsia" w:ascii="宋体" w:hAnsi="宋体" w:eastAsia="宋体" w:cs="宋体"/>
                <w:color w:val="auto"/>
              </w:rPr>
              <w:t>⑤</w:t>
            </w:r>
            <w:r>
              <w:rPr>
                <w:rFonts w:hint="eastAsia"/>
                <w:color w:val="auto"/>
              </w:rPr>
              <w:t>包装</w:t>
            </w:r>
          </w:p>
          <w:p>
            <w:pPr>
              <w:spacing w:line="360" w:lineRule="auto"/>
              <w:ind w:firstLine="420" w:firstLineChars="200"/>
              <w:rPr>
                <w:b/>
                <w:bCs/>
                <w:color w:val="auto"/>
                <w:kern w:val="0"/>
                <w:sz w:val="21"/>
              </w:rPr>
            </w:pPr>
            <w:r>
              <w:rPr>
                <w:rFonts w:hint="eastAsia" w:ascii="宋体" w:hAnsi="宋体"/>
                <w:color w:val="auto"/>
                <w:szCs w:val="24"/>
              </w:rPr>
              <w:t>根据市场需求，将生物有机肥原粒装进编织袋中（</w:t>
            </w:r>
            <w:r>
              <w:rPr>
                <w:rFonts w:hint="eastAsia"/>
                <w:color w:val="auto"/>
                <w:szCs w:val="24"/>
              </w:rPr>
              <w:t>40kg/</w:t>
            </w:r>
            <w:r>
              <w:rPr>
                <w:rFonts w:hint="eastAsia" w:ascii="宋体" w:hAnsi="宋体"/>
                <w:color w:val="auto"/>
                <w:szCs w:val="24"/>
              </w:rPr>
              <w:t>袋），即为成品，入库待售。</w:t>
            </w:r>
          </w:p>
          <w:p>
            <w:pPr>
              <w:pStyle w:val="2"/>
              <w:rPr>
                <w:rFonts w:hint="eastAsia"/>
                <w:color w:val="auto"/>
                <w:lang w:val="en-US" w:eastAsia="zh-CN"/>
              </w:rPr>
            </w:pPr>
          </w:p>
          <w:p>
            <w:pPr>
              <w:spacing w:line="360" w:lineRule="auto"/>
              <w:jc w:val="both"/>
              <w:rPr>
                <w:rFonts w:hint="default" w:ascii="宋体" w:hAnsi="宋体" w:eastAsia="宋体" w:cs="宋体"/>
                <w:b/>
                <w:color w:val="auto"/>
                <w:sz w:val="21"/>
                <w:szCs w:val="21"/>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5" w:hRule="atLeast"/>
          <w:jc w:val="center"/>
        </w:trPr>
        <w:tc>
          <w:tcPr>
            <w:tcW w:w="823" w:type="dxa"/>
            <w:noWrap w:val="0"/>
            <w:vAlign w:val="center"/>
          </w:tcPr>
          <w:p>
            <w:pPr>
              <w:pStyle w:val="1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bCs/>
                <w:color w:val="auto"/>
                <w:kern w:val="2"/>
                <w:sz w:val="21"/>
                <w:szCs w:val="21"/>
              </w:rPr>
              <w:t>与项目有关的原有环境污染问题</w:t>
            </w:r>
          </w:p>
        </w:tc>
        <w:tc>
          <w:tcPr>
            <w:tcW w:w="8161" w:type="dxa"/>
            <w:noWrap w:val="0"/>
            <w:vAlign w:val="center"/>
          </w:tcPr>
          <w:p>
            <w:pPr>
              <w:ind w:firstLine="420" w:firstLineChars="200"/>
              <w:rPr>
                <w:rFonts w:hint="eastAsia" w:eastAsia="宋体"/>
                <w:color w:val="auto"/>
                <w:highlight w:val="none"/>
                <w:lang w:val="en-US" w:eastAsia="zh-CN"/>
              </w:rPr>
            </w:pPr>
            <w:r>
              <w:rPr>
                <w:rFonts w:hint="eastAsia"/>
                <w:color w:val="auto"/>
                <w:highlight w:val="none"/>
                <w:lang w:val="en-US" w:eastAsia="zh-CN"/>
              </w:rPr>
              <w:t>原项目</w:t>
            </w:r>
            <w:r>
              <w:rPr>
                <w:rFonts w:hint="eastAsia"/>
                <w:color w:val="auto"/>
                <w:sz w:val="21"/>
                <w:szCs w:val="21"/>
              </w:rPr>
              <w:t>内蒙古蒙源兴禾种养殖一体化综合利用循环经济项目（年产有机肥30万吨）</w:t>
            </w:r>
            <w:r>
              <w:rPr>
                <w:color w:val="auto"/>
                <w:sz w:val="21"/>
                <w:szCs w:val="21"/>
              </w:rPr>
              <w:t>位于</w:t>
            </w:r>
            <w:r>
              <w:rPr>
                <w:rFonts w:hint="eastAsia"/>
                <w:color w:val="auto"/>
                <w:sz w:val="21"/>
                <w:szCs w:val="21"/>
              </w:rPr>
              <w:t>内蒙古自治区巴彦淖尔市五原县天吉泰复丰村</w:t>
            </w:r>
            <w:r>
              <w:rPr>
                <w:rFonts w:hint="eastAsia"/>
                <w:color w:val="auto"/>
                <w:sz w:val="21"/>
                <w:szCs w:val="21"/>
                <w:lang w:eastAsia="zh-CN"/>
              </w:rPr>
              <w:t>，</w:t>
            </w:r>
            <w:r>
              <w:rPr>
                <w:rFonts w:hint="default" w:ascii="Times New Roman" w:hAnsi="Times New Roman" w:eastAsia="宋体" w:cs="Times New Roman"/>
                <w:color w:val="auto"/>
              </w:rPr>
              <w:t>项目劳动定员为1</w:t>
            </w:r>
            <w:r>
              <w:rPr>
                <w:rFonts w:hint="default" w:ascii="Times New Roman" w:hAnsi="Times New Roman" w:eastAsia="宋体" w:cs="Times New Roman"/>
                <w:color w:val="auto"/>
                <w:lang w:val="en-US" w:eastAsia="zh-CN"/>
              </w:rPr>
              <w:t>5</w:t>
            </w:r>
            <w:r>
              <w:rPr>
                <w:rFonts w:hint="default" w:ascii="Times New Roman" w:hAnsi="Times New Roman" w:eastAsia="宋体" w:cs="Times New Roman"/>
                <w:color w:val="auto"/>
              </w:rPr>
              <w:t>名，工作时间为300天，日工作</w:t>
            </w:r>
            <w:r>
              <w:rPr>
                <w:rFonts w:hint="default" w:ascii="Times New Roman" w:hAnsi="Times New Roman" w:eastAsia="宋体" w:cs="Times New Roman"/>
                <w:color w:val="auto"/>
                <w:lang w:val="en-US" w:eastAsia="zh-CN"/>
              </w:rPr>
              <w:t>16</w:t>
            </w:r>
            <w:r>
              <w:rPr>
                <w:rFonts w:hint="default" w:ascii="Times New Roman" w:hAnsi="Times New Roman" w:eastAsia="宋体" w:cs="Times New Roman"/>
                <w:color w:val="auto"/>
              </w:rPr>
              <w:t>小时。</w:t>
            </w:r>
          </w:p>
          <w:p>
            <w:pPr>
              <w:ind w:firstLine="420" w:firstLineChars="200"/>
              <w:rPr>
                <w:rFonts w:hint="default"/>
                <w:color w:val="auto"/>
                <w:lang w:val="en-US" w:eastAsia="zh-CN"/>
              </w:rPr>
            </w:pPr>
            <w:r>
              <w:rPr>
                <w:rFonts w:hint="eastAsia" w:ascii="Times New Roman" w:hAnsi="Times New Roman" w:eastAsia="宋体" w:cs="Times New Roman"/>
                <w:color w:val="auto"/>
                <w:highlight w:val="none"/>
                <w:lang w:val="en-US" w:eastAsia="zh-CN"/>
              </w:rPr>
              <w:t>原</w:t>
            </w:r>
            <w:r>
              <w:rPr>
                <w:rFonts w:hint="default" w:ascii="Times New Roman" w:hAnsi="Times New Roman" w:eastAsia="宋体" w:cs="Times New Roman"/>
                <w:color w:val="auto"/>
                <w:highlight w:val="none"/>
              </w:rPr>
              <w:t>项目废气主要为原料</w:t>
            </w:r>
            <w:r>
              <w:rPr>
                <w:rFonts w:hint="default" w:ascii="Times New Roman" w:hAnsi="Times New Roman" w:eastAsia="宋体" w:cs="Times New Roman"/>
                <w:color w:val="auto"/>
                <w:highlight w:val="none"/>
                <w:lang w:eastAsia="zh-CN"/>
              </w:rPr>
              <w:t>堆场、</w:t>
            </w:r>
            <w:r>
              <w:rPr>
                <w:rFonts w:hint="default" w:ascii="Times New Roman" w:hAnsi="Times New Roman" w:eastAsia="宋体" w:cs="Times New Roman"/>
                <w:color w:val="auto"/>
                <w:highlight w:val="none"/>
              </w:rPr>
              <w:t>发酵堆场恶臭</w:t>
            </w:r>
            <w:r>
              <w:rPr>
                <w:rFonts w:hint="default" w:ascii="Times New Roman" w:hAnsi="Times New Roman" w:eastAsia="宋体" w:cs="Times New Roman"/>
                <w:color w:val="auto"/>
                <w:highlight w:val="none"/>
                <w:lang w:eastAsia="zh-CN"/>
              </w:rPr>
              <w:t>和</w:t>
            </w:r>
            <w:r>
              <w:rPr>
                <w:rFonts w:hint="default" w:ascii="Times New Roman" w:hAnsi="Times New Roman" w:eastAsia="宋体" w:cs="Times New Roman"/>
                <w:color w:val="auto"/>
                <w:highlight w:val="none"/>
              </w:rPr>
              <w:t>筛分</w:t>
            </w:r>
            <w:r>
              <w:rPr>
                <w:rFonts w:hint="default" w:ascii="Times New Roman" w:hAnsi="Times New Roman" w:eastAsia="宋体" w:cs="Times New Roman"/>
                <w:color w:val="auto"/>
                <w:highlight w:val="none"/>
                <w:lang w:eastAsia="zh-CN"/>
              </w:rPr>
              <w:t>、搅拌</w:t>
            </w:r>
            <w:r>
              <w:rPr>
                <w:rFonts w:hint="default" w:ascii="Times New Roman" w:hAnsi="Times New Roman" w:eastAsia="宋体" w:cs="Times New Roman"/>
                <w:color w:val="auto"/>
                <w:highlight w:val="none"/>
              </w:rPr>
              <w:t>粉尘，原料发酵堆场会产生NH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w:t>
            </w:r>
            <w:r>
              <w:rPr>
                <w:rFonts w:hint="eastAsia" w:ascii="Times New Roman" w:hAnsi="Times New Roman" w:eastAsia="宋体" w:cs="Times New Roman"/>
                <w:color w:val="auto"/>
                <w:highlight w:val="none"/>
                <w:lang w:eastAsia="zh-CN"/>
              </w:rPr>
              <w:t>、臭气浓度</w:t>
            </w:r>
            <w:r>
              <w:rPr>
                <w:rFonts w:hint="default" w:ascii="Times New Roman" w:hAnsi="Times New Roman" w:eastAsia="宋体" w:cs="Times New Roman"/>
                <w:color w:val="auto"/>
                <w:highlight w:val="none"/>
              </w:rPr>
              <w:t>，通过采用复合微生物菌-EMB工法发酵工艺进行处理，排放满足</w:t>
            </w:r>
            <w:r>
              <w:rPr>
                <w:rFonts w:hint="default" w:ascii="Times New Roman" w:hAnsi="Times New Roman" w:eastAsia="宋体" w:cs="Times New Roman"/>
                <w:color w:val="auto"/>
                <w:highlight w:val="none"/>
                <w:lang w:val="zh-CN"/>
              </w:rPr>
              <w:t>《恶臭污染物排放标准》（GB14554-93）二级标准</w:t>
            </w:r>
            <w:r>
              <w:rPr>
                <w:rFonts w:hint="default" w:ascii="Times New Roman" w:hAnsi="Times New Roman" w:eastAsia="宋体" w:cs="Times New Roman"/>
                <w:color w:val="auto"/>
                <w:highlight w:val="none"/>
              </w:rPr>
              <w:t>；筛分</w:t>
            </w:r>
            <w:r>
              <w:rPr>
                <w:rFonts w:hint="default" w:ascii="Times New Roman" w:hAnsi="Times New Roman" w:eastAsia="宋体" w:cs="Times New Roman"/>
                <w:color w:val="auto"/>
                <w:highlight w:val="none"/>
                <w:lang w:eastAsia="zh-CN"/>
              </w:rPr>
              <w:t>、搅拌</w:t>
            </w:r>
            <w:r>
              <w:rPr>
                <w:rFonts w:hint="default" w:ascii="Times New Roman" w:hAnsi="Times New Roman" w:eastAsia="宋体" w:cs="Times New Roman"/>
                <w:color w:val="auto"/>
                <w:highlight w:val="none"/>
              </w:rPr>
              <w:t>工序为密闭工序，收集后的粉尘回用于生产，不外排</w:t>
            </w:r>
            <w:r>
              <w:rPr>
                <w:rFonts w:hint="default" w:ascii="Times New Roman" w:hAnsi="Times New Roman" w:eastAsia="宋体" w:cs="Times New Roman"/>
                <w:color w:val="auto"/>
                <w:highlight w:val="none"/>
                <w:lang w:eastAsia="zh-CN"/>
              </w:rPr>
              <w:t>。</w:t>
            </w:r>
            <w:r>
              <w:rPr>
                <w:rFonts w:hint="default"/>
                <w:color w:val="auto"/>
              </w:rPr>
              <w:t>本项目生产运行过程中不产生生产废水，主要为职工生活污水。项目原料堆场</w:t>
            </w:r>
            <w:r>
              <w:rPr>
                <w:rFonts w:hint="eastAsia"/>
                <w:color w:val="auto"/>
                <w:lang w:eastAsia="zh-CN"/>
              </w:rPr>
              <w:t>为粘土防渗、</w:t>
            </w:r>
            <w:r>
              <w:rPr>
                <w:rFonts w:hint="default"/>
                <w:color w:val="auto"/>
              </w:rPr>
              <w:t>发酵场为</w:t>
            </w:r>
            <w:r>
              <w:rPr>
                <w:rFonts w:hint="default"/>
                <w:color w:val="auto"/>
                <w:lang w:eastAsia="zh-CN"/>
              </w:rPr>
              <w:t>抗渗混凝土防渗并设置围堰</w:t>
            </w:r>
            <w:r>
              <w:rPr>
                <w:rFonts w:hint="default"/>
                <w:color w:val="auto"/>
              </w:rPr>
              <w:t>，不会有雨水冲刷</w:t>
            </w:r>
            <w:r>
              <w:rPr>
                <w:rFonts w:hint="default"/>
                <w:color w:val="auto"/>
                <w:lang w:eastAsia="zh-CN"/>
              </w:rPr>
              <w:t>造成污染</w:t>
            </w:r>
            <w:r>
              <w:rPr>
                <w:rFonts w:hint="default"/>
                <w:color w:val="auto"/>
              </w:rPr>
              <w:t>问题。工作人员产生的生活污水排入</w:t>
            </w:r>
            <w:r>
              <w:rPr>
                <w:rFonts w:hint="default"/>
                <w:color w:val="auto"/>
                <w:lang w:eastAsia="zh-CN"/>
              </w:rPr>
              <w:t>化粪池</w:t>
            </w:r>
            <w:r>
              <w:rPr>
                <w:rFonts w:hint="default"/>
                <w:color w:val="auto"/>
              </w:rPr>
              <w:t>，</w:t>
            </w:r>
            <w:r>
              <w:rPr>
                <w:rFonts w:hint="eastAsia"/>
                <w:color w:val="auto"/>
                <w:lang w:eastAsia="zh-CN"/>
              </w:rPr>
              <w:t>环卫部门定期清掏</w:t>
            </w:r>
            <w:r>
              <w:rPr>
                <w:rFonts w:hint="default"/>
                <w:color w:val="auto"/>
              </w:rPr>
              <w:t>，对周围环境影响较小。固体废物主要来自生产工段的不合格产品、废弃包装材料以及职工生活垃圾。筛分工序</w:t>
            </w:r>
            <w:r>
              <w:rPr>
                <w:rFonts w:hint="default"/>
                <w:color w:val="auto"/>
                <w:lang w:eastAsia="zh-CN"/>
              </w:rPr>
              <w:t>产生的</w:t>
            </w:r>
            <w:r>
              <w:rPr>
                <w:rFonts w:hint="default"/>
                <w:color w:val="auto"/>
              </w:rPr>
              <w:t>不合格产品全部作为原料返回</w:t>
            </w:r>
            <w:r>
              <w:rPr>
                <w:rFonts w:hint="default"/>
                <w:color w:val="auto"/>
                <w:lang w:eastAsia="zh-CN"/>
              </w:rPr>
              <w:t>发酵</w:t>
            </w:r>
            <w:r>
              <w:rPr>
                <w:rFonts w:hint="default"/>
                <w:color w:val="auto"/>
              </w:rPr>
              <w:t>工序，不外排。废弃包装材料外售废品回收站。职工生活垃圾经垃圾桶集中收集后，委托当地环卫部门有偿处置。</w:t>
            </w:r>
          </w:p>
          <w:p>
            <w:pPr>
              <w:ind w:firstLine="420" w:firstLineChars="200"/>
              <w:rPr>
                <w:rFonts w:hint="default" w:eastAsia="宋体"/>
                <w:color w:val="0070C0"/>
                <w:highlight w:val="none"/>
                <w:lang w:val="en-US" w:eastAsia="zh-CN"/>
              </w:rPr>
            </w:pPr>
            <w:r>
              <w:rPr>
                <w:rFonts w:hint="eastAsia" w:ascii="Times New Roman" w:hAnsi="Times New Roman" w:eastAsia="宋体" w:cs="Times New Roman"/>
                <w:color w:val="0000FF"/>
                <w:kern w:val="2"/>
                <w:sz w:val="21"/>
                <w:szCs w:val="21"/>
                <w:highlight w:val="none"/>
                <w:lang w:val="en-US" w:eastAsia="zh-CN" w:bidi="ar-SA"/>
              </w:rPr>
              <w:t>原有项目于2021年6月11日通过竣工环境保护验收，根据竣工验收检测结果可知该项目厂界无组织废气总悬浮颗粒物最大浓度为0.299mg/m</w:t>
            </w:r>
            <w:r>
              <w:rPr>
                <w:rFonts w:hint="eastAsia" w:ascii="Times New Roman" w:hAnsi="Times New Roman" w:eastAsia="宋体" w:cs="Times New Roman"/>
                <w:color w:val="0000FF"/>
                <w:kern w:val="2"/>
                <w:sz w:val="21"/>
                <w:szCs w:val="21"/>
                <w:highlight w:val="none"/>
                <w:vertAlign w:val="superscript"/>
                <w:lang w:val="en-US" w:eastAsia="zh-CN" w:bidi="ar-SA"/>
              </w:rPr>
              <w:t>3</w:t>
            </w:r>
            <w:r>
              <w:rPr>
                <w:rFonts w:hint="eastAsia" w:ascii="Times New Roman" w:hAnsi="Times New Roman" w:eastAsia="宋体" w:cs="Times New Roman"/>
                <w:color w:val="0000FF"/>
                <w:kern w:val="2"/>
                <w:sz w:val="21"/>
                <w:szCs w:val="21"/>
                <w:highlight w:val="none"/>
                <w:lang w:val="en-US" w:eastAsia="zh-CN" w:bidi="ar-SA"/>
              </w:rPr>
              <w:t>，满足《大气污染物综合排放标准》（GB16297-1996）无组织浓度排放标准，氨最大浓度0.18mg/m</w:t>
            </w:r>
            <w:r>
              <w:rPr>
                <w:rFonts w:hint="eastAsia" w:ascii="Times New Roman" w:hAnsi="Times New Roman" w:eastAsia="宋体" w:cs="Times New Roman"/>
                <w:color w:val="0000FF"/>
                <w:kern w:val="2"/>
                <w:sz w:val="21"/>
                <w:szCs w:val="21"/>
                <w:highlight w:val="none"/>
                <w:vertAlign w:val="superscript"/>
                <w:lang w:val="en-US" w:eastAsia="zh-CN" w:bidi="ar-SA"/>
              </w:rPr>
              <w:t>3</w:t>
            </w:r>
            <w:r>
              <w:rPr>
                <w:rFonts w:hint="eastAsia" w:ascii="Times New Roman" w:hAnsi="Times New Roman" w:eastAsia="宋体" w:cs="Times New Roman"/>
                <w:color w:val="0000FF"/>
                <w:kern w:val="2"/>
                <w:sz w:val="21"/>
                <w:szCs w:val="21"/>
                <w:highlight w:val="none"/>
                <w:lang w:val="en-US" w:eastAsia="zh-CN" w:bidi="ar-SA"/>
              </w:rPr>
              <w:t>、硫化氢未检出、臭气浓度最大浓度16，氨、硫化氢、臭气浓度均满足《恶臭污染物排放标准》（GB 14554-93）表1恶臭污染物厂界标准值。</w:t>
            </w:r>
          </w:p>
          <w:p>
            <w:pPr>
              <w:ind w:firstLine="210" w:firstLineChars="100"/>
              <w:rPr>
                <w:bCs/>
                <w:color w:val="auto"/>
                <w:szCs w:val="21"/>
              </w:rPr>
            </w:pPr>
            <w:r>
              <w:rPr>
                <w:rFonts w:hint="eastAsia"/>
                <w:color w:val="auto"/>
                <w:highlight w:val="none"/>
              </w:rPr>
              <w:t>本项目</w:t>
            </w:r>
            <w:r>
              <w:rPr>
                <w:rFonts w:hint="eastAsia"/>
                <w:color w:val="auto"/>
                <w:highlight w:val="none"/>
                <w:lang w:val="en-US" w:eastAsia="zh-CN"/>
              </w:rPr>
              <w:t>建于</w:t>
            </w:r>
            <w:r>
              <w:rPr>
                <w:rFonts w:hint="default" w:ascii="Times New Roman" w:hAnsi="Times New Roman" w:eastAsia="宋体" w:cs="Times New Roman"/>
                <w:color w:val="auto"/>
              </w:rPr>
              <w:t>内蒙古蒙源兴禾</w:t>
            </w:r>
            <w:r>
              <w:rPr>
                <w:rFonts w:hint="default" w:ascii="Times New Roman" w:hAnsi="Times New Roman" w:eastAsia="宋体" w:cs="Times New Roman"/>
                <w:color w:val="auto"/>
                <w:lang w:eastAsia="zh-CN"/>
              </w:rPr>
              <w:t>生物科技有限公司五原分公司</w:t>
            </w:r>
            <w:r>
              <w:rPr>
                <w:rFonts w:hint="eastAsia" w:ascii="Times New Roman" w:hAnsi="Times New Roman" w:eastAsia="宋体" w:cs="Times New Roman"/>
                <w:color w:val="auto"/>
                <w:lang w:val="en-US" w:eastAsia="zh-CN"/>
              </w:rPr>
              <w:t>空地</w:t>
            </w:r>
            <w:r>
              <w:rPr>
                <w:rFonts w:hint="eastAsia"/>
                <w:color w:val="auto"/>
                <w:highlight w:val="none"/>
              </w:rPr>
              <w:t>，无环境遗留问题。</w:t>
            </w:r>
          </w:p>
        </w:tc>
      </w:tr>
    </w:tbl>
    <w:p>
      <w:pPr>
        <w:pStyle w:val="16"/>
        <w:jc w:val="center"/>
        <w:rPr>
          <w:rFonts w:ascii="Times New Roman" w:hAnsi="Times New Roman" w:eastAsia="黑体"/>
          <w:snapToGrid w:val="0"/>
          <w:color w:val="auto"/>
          <w:sz w:val="36"/>
          <w:szCs w:val="36"/>
        </w:rPr>
        <w:sectPr>
          <w:pgSz w:w="11906" w:h="16838"/>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pPr>
    </w:p>
    <w:p>
      <w:pPr>
        <w:pStyle w:val="16"/>
        <w:adjustRightInd w:val="0"/>
        <w:snapToGrid w:val="0"/>
        <w:spacing w:before="0" w:beforeAutospacing="0" w:after="0" w:afterAutospacing="0" w:line="14" w:lineRule="auto"/>
        <w:jc w:val="center"/>
        <w:rPr>
          <w:rFonts w:ascii="Times New Roman" w:hAnsi="Times New Roman" w:eastAsia="黑体"/>
          <w:snapToGrid w:val="0"/>
          <w:color w:val="auto"/>
          <w:sz w:val="30"/>
          <w:szCs w:val="30"/>
        </w:rPr>
      </w:pPr>
    </w:p>
    <w:p>
      <w:pPr>
        <w:bidi w:val="0"/>
        <w:jc w:val="center"/>
        <w:rPr>
          <w:rFonts w:hint="eastAsia" w:ascii="黑体" w:hAnsi="黑体" w:eastAsia="黑体" w:cs="黑体"/>
          <w:color w:val="auto"/>
          <w:sz w:val="30"/>
          <w:szCs w:val="30"/>
        </w:rPr>
      </w:pPr>
      <w:r>
        <w:rPr>
          <w:rFonts w:hint="eastAsia" w:ascii="黑体" w:hAnsi="黑体" w:eastAsia="黑体" w:cs="黑体"/>
          <w:color w:val="auto"/>
          <w:sz w:val="30"/>
          <w:szCs w:val="30"/>
        </w:rPr>
        <w:t>三、区域环境质量现状、环境保护目标及评价标准</w:t>
      </w:r>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05"/>
        <w:gridCol w:w="811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69" w:hRule="atLeast"/>
          <w:jc w:val="center"/>
        </w:trPr>
        <w:tc>
          <w:tcPr>
            <w:tcW w:w="405" w:type="dxa"/>
            <w:noWrap w:val="0"/>
            <w:vAlign w:val="center"/>
          </w:tcPr>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区域</w:t>
            </w:r>
          </w:p>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环境</w:t>
            </w:r>
          </w:p>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质量</w:t>
            </w:r>
          </w:p>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现状</w:t>
            </w:r>
          </w:p>
        </w:tc>
        <w:tc>
          <w:tcPr>
            <w:tcW w:w="8118" w:type="dxa"/>
            <w:noWrap w:val="0"/>
            <w:vAlign w:val="center"/>
          </w:tcPr>
          <w:p>
            <w:pPr>
              <w:spacing w:before="120" w:beforeLines="50" w:line="360" w:lineRule="auto"/>
              <w:rPr>
                <w:rFonts w:hint="default" w:ascii="Times New Roman" w:hAnsi="Times New Roman" w:eastAsia="宋体" w:cs="Times New Roman"/>
                <w:b/>
                <w:bCs/>
                <w:color w:val="auto"/>
                <w:szCs w:val="21"/>
                <w:highlight w:val="none"/>
                <w:lang w:val="en-US" w:eastAsia="zh-CN"/>
              </w:rPr>
            </w:pPr>
            <w:r>
              <w:rPr>
                <w:rFonts w:hint="default" w:ascii="Times New Roman" w:hAnsi="Times New Roman" w:eastAsia="宋体" w:cs="Times New Roman"/>
                <w:b/>
                <w:bCs/>
                <w:color w:val="auto"/>
                <w:szCs w:val="21"/>
                <w:highlight w:val="none"/>
              </w:rPr>
              <w:t>1、</w:t>
            </w:r>
            <w:r>
              <w:rPr>
                <w:rFonts w:hint="eastAsia" w:cs="Times New Roman"/>
                <w:b/>
                <w:bCs/>
                <w:color w:val="auto"/>
                <w:szCs w:val="21"/>
                <w:highlight w:val="none"/>
                <w:lang w:val="en-US" w:eastAsia="zh-CN"/>
              </w:rPr>
              <w:t>环境空气质量现状</w:t>
            </w:r>
          </w:p>
          <w:p>
            <w:pPr>
              <w:pStyle w:val="55"/>
              <w:ind w:firstLine="420" w:firstLineChars="200"/>
              <w:jc w:val="both"/>
              <w:rPr>
                <w:rFonts w:hint="default" w:ascii="Times New Roman" w:hAnsi="Times New Roman" w:eastAsia="宋体" w:cs="Times New Roman"/>
                <w:color w:val="auto"/>
                <w:szCs w:val="24"/>
              </w:rPr>
            </w:pPr>
            <w:bookmarkStart w:id="3" w:name="_Toc300647740"/>
            <w:bookmarkStart w:id="4" w:name="_Toc304627265"/>
            <w:bookmarkStart w:id="5" w:name="_Toc326843504"/>
            <w:bookmarkStart w:id="6" w:name="_Toc312653499"/>
            <w:bookmarkStart w:id="7" w:name="_Toc346715577"/>
            <w:r>
              <w:rPr>
                <w:rFonts w:hint="default" w:ascii="Times New Roman" w:hAnsi="Times New Roman" w:eastAsia="宋体" w:cs="Times New Roman"/>
                <w:color w:val="auto"/>
                <w:szCs w:val="24"/>
              </w:rPr>
              <w:t>本项目所在区域达标判定引用20</w:t>
            </w:r>
            <w:r>
              <w:rPr>
                <w:rFonts w:hint="eastAsia" w:ascii="Times New Roman" w:hAnsi="Times New Roman" w:eastAsia="宋体" w:cs="Times New Roman"/>
                <w:color w:val="auto"/>
                <w:szCs w:val="24"/>
                <w:lang w:val="en-US" w:eastAsia="zh-CN"/>
              </w:rPr>
              <w:t>20</w:t>
            </w:r>
            <w:r>
              <w:rPr>
                <w:rFonts w:hint="default" w:ascii="Times New Roman" w:hAnsi="Times New Roman" w:eastAsia="宋体" w:cs="Times New Roman"/>
                <w:color w:val="auto"/>
                <w:szCs w:val="24"/>
              </w:rPr>
              <w:t>年</w:t>
            </w:r>
            <w:r>
              <w:rPr>
                <w:rFonts w:hint="default" w:ascii="Times New Roman" w:hAnsi="Times New Roman" w:eastAsia="宋体" w:cs="Times New Roman"/>
                <w:color w:val="auto"/>
                <w:szCs w:val="24"/>
                <w:lang w:eastAsia="zh-CN"/>
              </w:rPr>
              <w:t>巴彦淖尔市</w:t>
            </w:r>
            <w:r>
              <w:rPr>
                <w:rFonts w:hint="eastAsia" w:ascii="Times New Roman" w:hAnsi="Times New Roman" w:cs="Times New Roman"/>
                <w:color w:val="auto"/>
                <w:szCs w:val="24"/>
                <w:lang w:eastAsia="zh-CN"/>
              </w:rPr>
              <w:t>五原县</w:t>
            </w:r>
            <w:r>
              <w:rPr>
                <w:rFonts w:hint="eastAsia" w:ascii="Times New Roman" w:hAnsi="Times New Roman" w:eastAsia="宋体" w:cs="Times New Roman"/>
                <w:color w:val="auto"/>
                <w:szCs w:val="24"/>
                <w:lang w:val="en-US" w:eastAsia="zh-CN"/>
              </w:rPr>
              <w:t>环境空气质量报告</w:t>
            </w:r>
            <w:r>
              <w:rPr>
                <w:rFonts w:hint="default" w:ascii="Times New Roman" w:hAnsi="Times New Roman" w:eastAsia="宋体" w:cs="Times New Roman"/>
                <w:color w:val="auto"/>
                <w:szCs w:val="24"/>
              </w:rPr>
              <w:t>监测数据平均值，基本污染物年评价指标中，</w:t>
            </w:r>
            <w:r>
              <w:rPr>
                <w:rFonts w:hint="eastAsia" w:ascii="Times New Roman" w:hAnsi="Times New Roman" w:cs="Times New Roman"/>
                <w:color w:val="auto"/>
                <w:szCs w:val="24"/>
                <w:lang w:eastAsia="zh-CN"/>
              </w:rPr>
              <w:t>各个因子</w:t>
            </w:r>
            <w:r>
              <w:rPr>
                <w:rFonts w:hint="default" w:ascii="Times New Roman" w:hAnsi="Times New Roman" w:eastAsia="宋体" w:cs="Times New Roman"/>
                <w:color w:val="auto"/>
                <w:szCs w:val="24"/>
              </w:rPr>
              <w:t>的年平均质量浓度</w:t>
            </w:r>
            <w:r>
              <w:rPr>
                <w:rFonts w:hint="eastAsia" w:ascii="Times New Roman" w:hAnsi="Times New Roman" w:cs="Times New Roman"/>
                <w:color w:val="auto"/>
                <w:szCs w:val="24"/>
                <w:lang w:eastAsia="zh-CN"/>
              </w:rPr>
              <w:t>均未</w:t>
            </w:r>
            <w:r>
              <w:rPr>
                <w:rFonts w:hint="default" w:ascii="Times New Roman" w:hAnsi="Times New Roman" w:eastAsia="宋体" w:cs="Times New Roman"/>
                <w:color w:val="auto"/>
                <w:szCs w:val="24"/>
              </w:rPr>
              <w:t>超过《环境空气质量标准》（GB3095-2012）二级限值，项目所在区域为达标区。经统计，引用点位基本污染物年均质量浓度和相应百分位数日平均或8h平均浓度，如下表。</w:t>
            </w:r>
          </w:p>
          <w:p>
            <w:pPr>
              <w:spacing w:line="240" w:lineRule="auto"/>
              <w:ind w:firstLine="422" w:firstLineChars="200"/>
              <w:jc w:val="center"/>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表</w:t>
            </w:r>
            <w:r>
              <w:rPr>
                <w:rFonts w:hint="eastAsia" w:ascii="宋体" w:hAnsi="宋体" w:eastAsia="宋体" w:cs="宋体"/>
                <w:b/>
                <w:bCs/>
                <w:color w:val="auto"/>
                <w:sz w:val="21"/>
                <w:szCs w:val="21"/>
                <w:lang w:val="en-US" w:eastAsia="zh-CN"/>
              </w:rPr>
              <w:t>19</w:t>
            </w:r>
            <w:r>
              <w:rPr>
                <w:rFonts w:hint="default" w:ascii="宋体" w:hAnsi="宋体" w:eastAsia="宋体" w:cs="宋体"/>
                <w:b/>
                <w:bCs/>
                <w:color w:val="auto"/>
                <w:sz w:val="21"/>
                <w:szCs w:val="21"/>
                <w:lang w:val="en-US" w:eastAsia="zh-CN"/>
              </w:rPr>
              <w:t xml:space="preserve"> 区域空气质量现状评价表</w:t>
            </w:r>
          </w:p>
          <w:tbl>
            <w:tblPr>
              <w:tblStyle w:val="19"/>
              <w:tblW w:w="790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79"/>
              <w:gridCol w:w="2843"/>
              <w:gridCol w:w="983"/>
              <w:gridCol w:w="1012"/>
              <w:gridCol w:w="1110"/>
              <w:gridCol w:w="107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35" w:hRule="atLeast"/>
                <w:jc w:val="center"/>
              </w:trPr>
              <w:tc>
                <w:tcPr>
                  <w:tcW w:w="879"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284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年评价指标</w:t>
                  </w:r>
                </w:p>
              </w:tc>
              <w:tc>
                <w:tcPr>
                  <w:tcW w:w="98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现状浓度</w:t>
                  </w:r>
                </w:p>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012"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标准值</w:t>
                  </w:r>
                </w:p>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110"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占标率（%）</w:t>
                  </w:r>
                </w:p>
              </w:tc>
              <w:tc>
                <w:tcPr>
                  <w:tcW w:w="1078"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达标情况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5" w:hRule="atLeast"/>
                <w:jc w:val="center"/>
              </w:trPr>
              <w:tc>
                <w:tcPr>
                  <w:tcW w:w="879"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284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年平均质量浓度</w:t>
                  </w:r>
                </w:p>
              </w:tc>
              <w:tc>
                <w:tcPr>
                  <w:tcW w:w="98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17</w:t>
                  </w:r>
                </w:p>
              </w:tc>
              <w:tc>
                <w:tcPr>
                  <w:tcW w:w="1012"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60</w:t>
                  </w:r>
                </w:p>
              </w:tc>
              <w:tc>
                <w:tcPr>
                  <w:tcW w:w="1110"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28.3</w:t>
                  </w:r>
                </w:p>
              </w:tc>
              <w:tc>
                <w:tcPr>
                  <w:tcW w:w="1078" w:type="dxa"/>
                  <w:vMerge w:val="restart"/>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75" w:hRule="atLeast"/>
                <w:jc w:val="center"/>
              </w:trPr>
              <w:tc>
                <w:tcPr>
                  <w:tcW w:w="879"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2</w:t>
                  </w:r>
                </w:p>
              </w:tc>
              <w:tc>
                <w:tcPr>
                  <w:tcW w:w="284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年平均质量浓度</w:t>
                  </w:r>
                </w:p>
              </w:tc>
              <w:tc>
                <w:tcPr>
                  <w:tcW w:w="98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21</w:t>
                  </w:r>
                </w:p>
              </w:tc>
              <w:tc>
                <w:tcPr>
                  <w:tcW w:w="1012"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w:t>
                  </w:r>
                </w:p>
              </w:tc>
              <w:tc>
                <w:tcPr>
                  <w:tcW w:w="1110"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52.5</w:t>
                  </w:r>
                </w:p>
              </w:tc>
              <w:tc>
                <w:tcPr>
                  <w:tcW w:w="1078" w:type="dxa"/>
                  <w:vMerge w:val="continue"/>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0" w:hRule="atLeast"/>
                <w:jc w:val="center"/>
              </w:trPr>
              <w:tc>
                <w:tcPr>
                  <w:tcW w:w="879"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p>
              </w:tc>
              <w:tc>
                <w:tcPr>
                  <w:tcW w:w="284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年平均质量浓度</w:t>
                  </w:r>
                </w:p>
              </w:tc>
              <w:tc>
                <w:tcPr>
                  <w:tcW w:w="98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63</w:t>
                  </w:r>
                </w:p>
              </w:tc>
              <w:tc>
                <w:tcPr>
                  <w:tcW w:w="1012"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70</w:t>
                  </w:r>
                </w:p>
              </w:tc>
              <w:tc>
                <w:tcPr>
                  <w:tcW w:w="1110"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90</w:t>
                  </w:r>
                </w:p>
              </w:tc>
              <w:tc>
                <w:tcPr>
                  <w:tcW w:w="1078" w:type="dxa"/>
                  <w:vMerge w:val="continue"/>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5" w:hRule="atLeast"/>
                <w:jc w:val="center"/>
              </w:trPr>
              <w:tc>
                <w:tcPr>
                  <w:tcW w:w="879"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2.5</w:t>
                  </w:r>
                </w:p>
              </w:tc>
              <w:tc>
                <w:tcPr>
                  <w:tcW w:w="284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年平均质量浓度</w:t>
                  </w:r>
                </w:p>
              </w:tc>
              <w:tc>
                <w:tcPr>
                  <w:tcW w:w="98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34</w:t>
                  </w:r>
                </w:p>
              </w:tc>
              <w:tc>
                <w:tcPr>
                  <w:tcW w:w="1012"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35</w:t>
                  </w:r>
                </w:p>
              </w:tc>
              <w:tc>
                <w:tcPr>
                  <w:tcW w:w="1110"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97.1</w:t>
                  </w:r>
                </w:p>
              </w:tc>
              <w:tc>
                <w:tcPr>
                  <w:tcW w:w="1078" w:type="dxa"/>
                  <w:vMerge w:val="continue"/>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75" w:hRule="atLeast"/>
                <w:jc w:val="center"/>
              </w:trPr>
              <w:tc>
                <w:tcPr>
                  <w:tcW w:w="879"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O</w:t>
                  </w:r>
                  <w:r>
                    <w:rPr>
                      <w:rFonts w:hint="default" w:ascii="Times New Roman" w:hAnsi="Times New Roman" w:eastAsia="宋体" w:cs="Times New Roman"/>
                      <w:color w:val="auto"/>
                      <w:sz w:val="21"/>
                      <w:szCs w:val="21"/>
                      <w:vertAlign w:val="subscript"/>
                    </w:rPr>
                    <w:t>3</w:t>
                  </w:r>
                </w:p>
              </w:tc>
              <w:tc>
                <w:tcPr>
                  <w:tcW w:w="284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第90百分位数8小时平均</w:t>
                  </w:r>
                </w:p>
              </w:tc>
              <w:tc>
                <w:tcPr>
                  <w:tcW w:w="98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144</w:t>
                  </w:r>
                </w:p>
              </w:tc>
              <w:tc>
                <w:tcPr>
                  <w:tcW w:w="1012"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160</w:t>
                  </w:r>
                </w:p>
              </w:tc>
              <w:tc>
                <w:tcPr>
                  <w:tcW w:w="1110"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90</w:t>
                  </w:r>
                </w:p>
              </w:tc>
              <w:tc>
                <w:tcPr>
                  <w:tcW w:w="1078" w:type="dxa"/>
                  <w:vMerge w:val="continue"/>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15" w:hRule="atLeast"/>
                <w:jc w:val="center"/>
              </w:trPr>
              <w:tc>
                <w:tcPr>
                  <w:tcW w:w="879"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p>
              </w:tc>
              <w:tc>
                <w:tcPr>
                  <w:tcW w:w="284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第95百分位数日平均</w:t>
                  </w:r>
                </w:p>
              </w:tc>
              <w:tc>
                <w:tcPr>
                  <w:tcW w:w="983"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68</w:t>
                  </w:r>
                  <w:r>
                    <w:rPr>
                      <w:rFonts w:hint="default" w:ascii="Times New Roman" w:hAnsi="Times New Roman" w:eastAsia="宋体" w:cs="Times New Roman"/>
                      <w:color w:val="auto"/>
                      <w:sz w:val="21"/>
                      <w:szCs w:val="21"/>
                    </w:rPr>
                    <w:t>mg/m</w:t>
                  </w:r>
                  <w:r>
                    <w:rPr>
                      <w:rFonts w:hint="default" w:ascii="Times New Roman" w:hAnsi="Times New Roman" w:eastAsia="宋体" w:cs="Times New Roman"/>
                      <w:color w:val="auto"/>
                      <w:sz w:val="21"/>
                      <w:szCs w:val="21"/>
                      <w:vertAlign w:val="superscript"/>
                    </w:rPr>
                    <w:t>3</w:t>
                  </w:r>
                </w:p>
              </w:tc>
              <w:tc>
                <w:tcPr>
                  <w:tcW w:w="1012"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mg/m</w:t>
                  </w:r>
                  <w:r>
                    <w:rPr>
                      <w:rFonts w:hint="default" w:ascii="Times New Roman" w:hAnsi="Times New Roman" w:eastAsia="宋体" w:cs="Times New Roman"/>
                      <w:color w:val="auto"/>
                      <w:sz w:val="21"/>
                      <w:szCs w:val="21"/>
                      <w:vertAlign w:val="superscript"/>
                    </w:rPr>
                    <w:t>3</w:t>
                  </w:r>
                </w:p>
              </w:tc>
              <w:tc>
                <w:tcPr>
                  <w:tcW w:w="1110" w:type="dxa"/>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42</w:t>
                  </w:r>
                </w:p>
              </w:tc>
              <w:tc>
                <w:tcPr>
                  <w:tcW w:w="1078" w:type="dxa"/>
                  <w:vMerge w:val="continue"/>
                  <w:tcBorders>
                    <w:tl2br w:val="nil"/>
                    <w:tr2bl w:val="nil"/>
                  </w:tcBorders>
                  <w:noWrap w:val="0"/>
                  <w:vAlign w:val="center"/>
                </w:tcPr>
                <w:p>
                  <w:pPr>
                    <w:spacing w:line="360" w:lineRule="exact"/>
                    <w:jc w:val="center"/>
                    <w:rPr>
                      <w:rFonts w:hint="default" w:ascii="Times New Roman" w:hAnsi="Times New Roman" w:eastAsia="宋体" w:cs="Times New Roman"/>
                      <w:color w:val="auto"/>
                      <w:sz w:val="21"/>
                      <w:szCs w:val="21"/>
                    </w:rPr>
                  </w:pPr>
                </w:p>
              </w:tc>
            </w:tr>
            <w:bookmarkEnd w:id="3"/>
            <w:bookmarkEnd w:id="4"/>
            <w:bookmarkEnd w:id="5"/>
            <w:bookmarkEnd w:id="6"/>
            <w:bookmarkEnd w:id="7"/>
          </w:tbl>
          <w:p>
            <w:pPr>
              <w:bidi w:val="0"/>
              <w:rPr>
                <w:b/>
                <w:bCs/>
                <w:color w:val="auto"/>
                <w:highlight w:val="none"/>
                <w:lang w:val="en-US" w:eastAsia="zh-CN"/>
              </w:rPr>
            </w:pPr>
            <w:r>
              <w:rPr>
                <w:rFonts w:hint="eastAsia"/>
                <w:b/>
                <w:bCs/>
                <w:color w:val="auto"/>
                <w:highlight w:val="none"/>
                <w:lang w:val="en-US" w:eastAsia="zh-CN"/>
              </w:rPr>
              <w:t>特征污染因子</w:t>
            </w:r>
            <w:r>
              <w:rPr>
                <w:b/>
                <w:bCs/>
                <w:color w:val="auto"/>
                <w:highlight w:val="none"/>
                <w:lang w:val="en-US" w:eastAsia="zh-CN"/>
              </w:rPr>
              <w:t>现状调查</w:t>
            </w:r>
          </w:p>
          <w:p>
            <w:pPr>
              <w:bidi w:val="0"/>
              <w:ind w:firstLine="420" w:firstLineChars="200"/>
              <w:rPr>
                <w:color w:val="auto"/>
                <w:highlight w:val="none"/>
              </w:rPr>
            </w:pPr>
            <w:r>
              <w:rPr>
                <w:color w:val="auto"/>
                <w:highlight w:val="none"/>
              </w:rPr>
              <w:t>数据引用20</w:t>
            </w:r>
            <w:r>
              <w:rPr>
                <w:rFonts w:hint="eastAsia"/>
                <w:color w:val="auto"/>
                <w:highlight w:val="none"/>
                <w:lang w:val="en-US" w:eastAsia="zh-CN"/>
              </w:rPr>
              <w:t>20</w:t>
            </w:r>
            <w:r>
              <w:rPr>
                <w:color w:val="auto"/>
                <w:highlight w:val="none"/>
              </w:rPr>
              <w:t>年</w:t>
            </w:r>
            <w:r>
              <w:rPr>
                <w:rFonts w:hint="eastAsia"/>
                <w:color w:val="auto"/>
                <w:highlight w:val="none"/>
                <w:lang w:val="en-US" w:eastAsia="zh-CN"/>
              </w:rPr>
              <w:t>2</w:t>
            </w:r>
            <w:r>
              <w:rPr>
                <w:color w:val="auto"/>
                <w:highlight w:val="none"/>
              </w:rPr>
              <w:t>月</w:t>
            </w:r>
            <w:r>
              <w:rPr>
                <w:rFonts w:hint="eastAsia"/>
                <w:color w:val="auto"/>
                <w:highlight w:val="none"/>
                <w:lang w:val="en-US" w:eastAsia="zh-CN"/>
              </w:rPr>
              <w:t>28</w:t>
            </w:r>
            <w:r>
              <w:rPr>
                <w:color w:val="auto"/>
                <w:highlight w:val="none"/>
              </w:rPr>
              <w:t>日～</w:t>
            </w:r>
            <w:r>
              <w:rPr>
                <w:rFonts w:hint="eastAsia"/>
                <w:color w:val="auto"/>
                <w:highlight w:val="none"/>
                <w:lang w:val="en-US" w:eastAsia="zh-CN"/>
              </w:rPr>
              <w:t>3</w:t>
            </w:r>
            <w:r>
              <w:rPr>
                <w:color w:val="auto"/>
                <w:highlight w:val="none"/>
              </w:rPr>
              <w:t>月</w:t>
            </w:r>
            <w:r>
              <w:rPr>
                <w:rFonts w:hint="eastAsia"/>
                <w:color w:val="auto"/>
                <w:highlight w:val="none"/>
                <w:lang w:val="en-US" w:eastAsia="zh-CN"/>
              </w:rPr>
              <w:t>5</w:t>
            </w:r>
            <w:r>
              <w:rPr>
                <w:color w:val="auto"/>
                <w:highlight w:val="none"/>
              </w:rPr>
              <w:t>日，</w:t>
            </w:r>
            <w:r>
              <w:rPr>
                <w:rFonts w:hint="eastAsia"/>
                <w:color w:val="auto"/>
                <w:highlight w:val="none"/>
                <w:lang w:eastAsia="zh-CN"/>
              </w:rPr>
              <w:t>《</w:t>
            </w:r>
            <w:r>
              <w:rPr>
                <w:rFonts w:hint="eastAsia"/>
                <w:color w:val="auto"/>
                <w:sz w:val="21"/>
                <w:szCs w:val="21"/>
              </w:rPr>
              <w:t>内蒙古蒙源兴禾种养殖一体化综合利用循环经济项目（年产有机肥30万吨）</w:t>
            </w:r>
            <w:r>
              <w:rPr>
                <w:rFonts w:hint="eastAsia"/>
                <w:color w:val="auto"/>
                <w:highlight w:val="none"/>
                <w:lang w:val="en-US" w:eastAsia="zh-CN"/>
              </w:rPr>
              <w:t>环境影响报告表》中</w:t>
            </w:r>
            <w:r>
              <w:rPr>
                <w:color w:val="auto"/>
                <w:highlight w:val="none"/>
              </w:rPr>
              <w:t>环境空气的采样检测数据，本项目</w:t>
            </w:r>
            <w:r>
              <w:rPr>
                <w:rFonts w:hint="eastAsia"/>
                <w:color w:val="auto"/>
                <w:highlight w:val="none"/>
                <w:lang w:val="en-US" w:eastAsia="zh-CN"/>
              </w:rPr>
              <w:t>位于原有项目厂区内，</w:t>
            </w:r>
            <w:r>
              <w:rPr>
                <w:color w:val="auto"/>
                <w:highlight w:val="none"/>
              </w:rPr>
              <w:t>符合引用条件。</w:t>
            </w:r>
          </w:p>
          <w:p>
            <w:pPr>
              <w:bidi w:val="0"/>
              <w:ind w:firstLine="420" w:firstLineChars="200"/>
              <w:rPr>
                <w:color w:val="auto"/>
              </w:rPr>
            </w:pPr>
            <w:r>
              <w:rPr>
                <w:rFonts w:hint="eastAsia"/>
                <w:color w:val="auto"/>
              </w:rPr>
              <w:t>（1）监测布点</w:t>
            </w:r>
          </w:p>
          <w:p>
            <w:pPr>
              <w:bidi w:val="0"/>
              <w:ind w:firstLine="420" w:firstLineChars="200"/>
              <w:rPr>
                <w:rFonts w:hint="default" w:eastAsia="宋体" w:cs="Times New Roman"/>
                <w:bCs/>
                <w:color w:val="auto"/>
                <w:lang w:val="en-US" w:eastAsia="zh-CN"/>
              </w:rPr>
            </w:pPr>
            <w:r>
              <w:rPr>
                <w:color w:val="auto"/>
              </w:rPr>
              <w:t>共设置2个监测点位，监测点布置见表</w:t>
            </w:r>
            <w:r>
              <w:rPr>
                <w:rFonts w:hint="eastAsia"/>
                <w:color w:val="auto"/>
                <w:lang w:val="en-US" w:eastAsia="zh-CN"/>
              </w:rPr>
              <w:t>20。</w:t>
            </w:r>
          </w:p>
          <w:p>
            <w:pPr>
              <w:spacing w:line="240" w:lineRule="auto"/>
              <w:ind w:firstLine="422" w:firstLineChars="200"/>
              <w:jc w:val="center"/>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表</w:t>
            </w:r>
            <w:r>
              <w:rPr>
                <w:rFonts w:hint="eastAsia" w:ascii="宋体" w:hAnsi="宋体" w:eastAsia="宋体" w:cs="宋体"/>
                <w:b/>
                <w:bCs/>
                <w:color w:val="auto"/>
                <w:sz w:val="21"/>
                <w:szCs w:val="21"/>
                <w:lang w:val="en-US" w:eastAsia="zh-CN"/>
              </w:rPr>
              <w:t xml:space="preserve">20 </w:t>
            </w:r>
            <w:r>
              <w:rPr>
                <w:rFonts w:hint="default" w:ascii="宋体" w:hAnsi="宋体" w:eastAsia="宋体" w:cs="宋体"/>
                <w:b/>
                <w:bCs/>
                <w:color w:val="auto"/>
                <w:sz w:val="21"/>
                <w:szCs w:val="21"/>
                <w:lang w:val="en-US" w:eastAsia="zh-CN"/>
              </w:rPr>
              <w:t>环境空气质量监测点一览表</w:t>
            </w:r>
          </w:p>
          <w:tbl>
            <w:tblPr>
              <w:tblStyle w:val="19"/>
              <w:tblW w:w="789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254"/>
              <w:gridCol w:w="2345"/>
              <w:gridCol w:w="2152"/>
              <w:gridCol w:w="214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75" w:hRule="atLeast"/>
                <w:jc w:val="center"/>
              </w:trPr>
              <w:tc>
                <w:tcPr>
                  <w:tcW w:w="1254" w:type="dxa"/>
                  <w:tcBorders>
                    <w:tl2br w:val="nil"/>
                    <w:tr2bl w:val="nil"/>
                  </w:tcBorders>
                  <w:noWrap w:val="0"/>
                  <w:vAlign w:val="center"/>
                </w:tcPr>
                <w:p>
                  <w:pPr>
                    <w:pStyle w:val="54"/>
                    <w:jc w:val="center"/>
                    <w:rPr>
                      <w:rFonts w:hint="default" w:ascii="Times New Roman" w:hAnsi="Times New Roman" w:eastAsia="宋体" w:cs="Times New Roman"/>
                      <w:color w:val="auto"/>
                    </w:rPr>
                  </w:pPr>
                  <w:r>
                    <w:rPr>
                      <w:rFonts w:hint="default" w:ascii="Times New Roman" w:hAnsi="Times New Roman" w:eastAsia="宋体" w:cs="Times New Roman"/>
                      <w:color w:val="auto"/>
                    </w:rPr>
                    <w:t>监测点</w:t>
                  </w:r>
                </w:p>
              </w:tc>
              <w:tc>
                <w:tcPr>
                  <w:tcW w:w="2345" w:type="dxa"/>
                  <w:tcBorders>
                    <w:tl2br w:val="nil"/>
                    <w:tr2bl w:val="nil"/>
                  </w:tcBorders>
                  <w:noWrap w:val="0"/>
                  <w:vAlign w:val="center"/>
                </w:tcPr>
                <w:p>
                  <w:pPr>
                    <w:pStyle w:val="54"/>
                    <w:jc w:val="center"/>
                    <w:rPr>
                      <w:rFonts w:hint="default" w:ascii="Times New Roman" w:hAnsi="Times New Roman" w:eastAsia="宋体" w:cs="Times New Roman"/>
                      <w:color w:val="auto"/>
                    </w:rPr>
                  </w:pPr>
                  <w:r>
                    <w:rPr>
                      <w:rFonts w:hint="default" w:ascii="Times New Roman" w:hAnsi="Times New Roman" w:eastAsia="宋体" w:cs="Times New Roman"/>
                      <w:color w:val="auto"/>
                    </w:rPr>
                    <w:t>监测项</w:t>
                  </w:r>
                </w:p>
              </w:tc>
              <w:tc>
                <w:tcPr>
                  <w:tcW w:w="4297" w:type="dxa"/>
                  <w:gridSpan w:val="2"/>
                  <w:tcBorders>
                    <w:tl2br w:val="nil"/>
                    <w:tr2bl w:val="nil"/>
                  </w:tcBorders>
                  <w:noWrap w:val="0"/>
                  <w:vAlign w:val="center"/>
                </w:tcPr>
                <w:p>
                  <w:pPr>
                    <w:pStyle w:val="54"/>
                    <w:jc w:val="center"/>
                    <w:rPr>
                      <w:rFonts w:hint="default" w:ascii="Times New Roman" w:hAnsi="Times New Roman" w:eastAsia="宋体" w:cs="Times New Roman"/>
                      <w:color w:val="auto"/>
                    </w:rPr>
                  </w:pPr>
                  <w:r>
                    <w:rPr>
                      <w:rFonts w:hint="default" w:ascii="Times New Roman" w:hAnsi="Times New Roman" w:eastAsia="宋体" w:cs="Times New Roman"/>
                      <w:color w:val="auto"/>
                    </w:rPr>
                    <w:t>坐标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9" w:hRule="atLeast"/>
                <w:jc w:val="center"/>
              </w:trPr>
              <w:tc>
                <w:tcPr>
                  <w:tcW w:w="1254" w:type="dxa"/>
                  <w:vMerge w:val="restart"/>
                  <w:tcBorders>
                    <w:tl2br w:val="nil"/>
                    <w:tr2bl w:val="nil"/>
                  </w:tcBorders>
                  <w:noWrap w:val="0"/>
                  <w:vAlign w:val="center"/>
                </w:tcPr>
                <w:p>
                  <w:pPr>
                    <w:pStyle w:val="54"/>
                    <w:jc w:val="center"/>
                    <w:rPr>
                      <w:rFonts w:hint="default" w:ascii="Times New Roman" w:hAnsi="Times New Roman" w:eastAsia="宋体" w:cs="Times New Roman"/>
                      <w:color w:val="auto"/>
                    </w:rPr>
                  </w:pPr>
                  <w:r>
                    <w:rPr>
                      <w:rFonts w:hint="default" w:ascii="Times New Roman" w:hAnsi="Times New Roman" w:eastAsia="宋体" w:cs="Times New Roman"/>
                      <w:color w:val="auto"/>
                    </w:rPr>
                    <w:t>厂区中心</w:t>
                  </w:r>
                </w:p>
              </w:tc>
              <w:tc>
                <w:tcPr>
                  <w:tcW w:w="2345" w:type="dxa"/>
                  <w:vMerge w:val="restart"/>
                  <w:tcBorders>
                    <w:tl2br w:val="nil"/>
                    <w:tr2bl w:val="nil"/>
                  </w:tcBorders>
                  <w:noWrap w:val="0"/>
                  <w:vAlign w:val="center"/>
                </w:tcPr>
                <w:p>
                  <w:pPr>
                    <w:pStyle w:val="54"/>
                    <w:jc w:val="cente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rPr>
                    <w:t>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w:t>
                  </w:r>
                  <w:r>
                    <w:rPr>
                      <w:rFonts w:hint="eastAsia" w:cs="Times New Roman"/>
                      <w:color w:val="auto"/>
                      <w:lang w:eastAsia="zh-CN"/>
                    </w:rPr>
                    <w:t>、</w:t>
                  </w:r>
                  <w:r>
                    <w:rPr>
                      <w:rFonts w:hint="eastAsia" w:cs="Times New Roman"/>
                      <w:color w:val="auto"/>
                      <w:lang w:val="en-US" w:eastAsia="zh-CN"/>
                    </w:rPr>
                    <w:t>TSP</w:t>
                  </w:r>
                </w:p>
              </w:tc>
              <w:tc>
                <w:tcPr>
                  <w:tcW w:w="2152" w:type="dxa"/>
                  <w:tcBorders>
                    <w:tl2br w:val="nil"/>
                    <w:tr2bl w:val="nil"/>
                  </w:tcBorders>
                  <w:noWrap w:val="0"/>
                  <w:vAlign w:val="center"/>
                </w:tcPr>
                <w:p>
                  <w:pPr>
                    <w:pStyle w:val="54"/>
                    <w:jc w:val="center"/>
                    <w:rPr>
                      <w:rFonts w:hint="default" w:ascii="Times New Roman" w:hAnsi="Times New Roman" w:eastAsia="宋体" w:cs="Times New Roman"/>
                      <w:color w:val="auto"/>
                    </w:rPr>
                  </w:pPr>
                  <w:r>
                    <w:rPr>
                      <w:rFonts w:hint="default" w:ascii="Times New Roman" w:hAnsi="Times New Roman" w:eastAsia="宋体" w:cs="Times New Roman"/>
                      <w:color w:val="auto"/>
                    </w:rPr>
                    <w:t>Y</w:t>
                  </w:r>
                </w:p>
              </w:tc>
              <w:tc>
                <w:tcPr>
                  <w:tcW w:w="2145" w:type="dxa"/>
                  <w:tcBorders>
                    <w:tl2br w:val="nil"/>
                    <w:tr2bl w:val="nil"/>
                  </w:tcBorders>
                  <w:noWrap w:val="0"/>
                  <w:vAlign w:val="center"/>
                </w:tcPr>
                <w:p>
                  <w:pPr>
                    <w:pStyle w:val="54"/>
                    <w:jc w:val="center"/>
                    <w:rPr>
                      <w:rFonts w:hint="default" w:ascii="Times New Roman" w:hAnsi="Times New Roman" w:eastAsia="宋体" w:cs="Times New Roman"/>
                      <w:color w:val="auto"/>
                    </w:rPr>
                  </w:pPr>
                  <w:r>
                    <w:rPr>
                      <w:rFonts w:hint="default" w:ascii="Times New Roman" w:hAnsi="Times New Roman" w:eastAsia="宋体" w:cs="Times New Roman"/>
                      <w:color w:val="auto"/>
                    </w:rPr>
                    <w:t>X</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8" w:hRule="atLeast"/>
                <w:jc w:val="center"/>
              </w:trPr>
              <w:tc>
                <w:tcPr>
                  <w:tcW w:w="1254" w:type="dxa"/>
                  <w:vMerge w:val="continue"/>
                  <w:tcBorders>
                    <w:tl2br w:val="nil"/>
                    <w:tr2bl w:val="nil"/>
                  </w:tcBorders>
                  <w:noWrap w:val="0"/>
                  <w:vAlign w:val="center"/>
                </w:tcPr>
                <w:p>
                  <w:pPr>
                    <w:pStyle w:val="54"/>
                    <w:jc w:val="center"/>
                    <w:rPr>
                      <w:rFonts w:hint="default" w:ascii="Times New Roman" w:hAnsi="Times New Roman" w:eastAsia="宋体" w:cs="Times New Roman"/>
                      <w:color w:val="auto"/>
                    </w:rPr>
                  </w:pPr>
                </w:p>
              </w:tc>
              <w:tc>
                <w:tcPr>
                  <w:tcW w:w="2345" w:type="dxa"/>
                  <w:vMerge w:val="continue"/>
                  <w:tcBorders>
                    <w:tl2br w:val="nil"/>
                    <w:tr2bl w:val="nil"/>
                  </w:tcBorders>
                  <w:noWrap w:val="0"/>
                  <w:vAlign w:val="center"/>
                </w:tcPr>
                <w:p>
                  <w:pPr>
                    <w:pStyle w:val="54"/>
                    <w:jc w:val="center"/>
                    <w:rPr>
                      <w:rFonts w:hint="default" w:ascii="Times New Roman" w:hAnsi="Times New Roman" w:eastAsia="宋体" w:cs="Times New Roman"/>
                      <w:color w:val="auto"/>
                    </w:rPr>
                  </w:pPr>
                </w:p>
              </w:tc>
              <w:tc>
                <w:tcPr>
                  <w:tcW w:w="2152" w:type="dxa"/>
                  <w:tcBorders>
                    <w:tl2br w:val="nil"/>
                    <w:tr2bl w:val="nil"/>
                  </w:tcBorders>
                  <w:noWrap w:val="0"/>
                  <w:vAlign w:val="center"/>
                </w:tcPr>
                <w:p>
                  <w:pPr>
                    <w:pStyle w:val="54"/>
                    <w:jc w:val="center"/>
                    <w:rPr>
                      <w:rFonts w:hint="default" w:ascii="Times New Roman" w:hAnsi="Times New Roman" w:eastAsia="宋体" w:cs="Times New Roman"/>
                      <w:color w:val="auto"/>
                      <w:highlight w:val="yellow"/>
                    </w:rPr>
                  </w:pPr>
                  <w:r>
                    <w:rPr>
                      <w:rFonts w:hint="default" w:ascii="Times New Roman" w:hAnsi="Times New Roman" w:eastAsia="宋体" w:cs="Times New Roman"/>
                      <w:color w:val="auto"/>
                    </w:rPr>
                    <w:t>4</w:t>
                  </w:r>
                  <w:r>
                    <w:rPr>
                      <w:rFonts w:hint="default" w:ascii="Times New Roman" w:hAnsi="Times New Roman" w:eastAsia="宋体" w:cs="Times New Roman"/>
                      <w:color w:val="auto"/>
                      <w:lang w:val="en-US" w:eastAsia="zh-CN"/>
                    </w:rPr>
                    <w:t>0</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49</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59</w:t>
                  </w:r>
                  <w:r>
                    <w:rPr>
                      <w:rFonts w:hint="default" w:ascii="Times New Roman" w:hAnsi="Times New Roman" w:eastAsia="宋体" w:cs="Times New Roman"/>
                      <w:color w:val="auto"/>
                    </w:rPr>
                    <w:t xml:space="preserve">" </w:t>
                  </w:r>
                </w:p>
              </w:tc>
              <w:tc>
                <w:tcPr>
                  <w:tcW w:w="2145" w:type="dxa"/>
                  <w:tcBorders>
                    <w:tl2br w:val="nil"/>
                    <w:tr2bl w:val="nil"/>
                  </w:tcBorders>
                  <w:noWrap w:val="0"/>
                  <w:vAlign w:val="center"/>
                </w:tcPr>
                <w:p>
                  <w:pPr>
                    <w:pStyle w:val="54"/>
                    <w:jc w:val="center"/>
                    <w:rPr>
                      <w:rFonts w:hint="default" w:ascii="Times New Roman" w:hAnsi="Times New Roman" w:eastAsia="宋体" w:cs="Times New Roman"/>
                      <w:color w:val="auto"/>
                      <w:highlight w:val="yellow"/>
                    </w:rPr>
                  </w:pPr>
                  <w:r>
                    <w:rPr>
                      <w:rFonts w:hint="default" w:ascii="Times New Roman" w:hAnsi="Times New Roman" w:eastAsia="宋体" w:cs="Times New Roman"/>
                      <w:color w:val="auto"/>
                    </w:rPr>
                    <w:t>10</w:t>
                  </w:r>
                  <w:r>
                    <w:rPr>
                      <w:rFonts w:hint="default" w:ascii="Times New Roman" w:hAnsi="Times New Roman" w:eastAsia="宋体" w:cs="Times New Roman"/>
                      <w:color w:val="auto"/>
                      <w:lang w:val="en-US" w:eastAsia="zh-CN"/>
                    </w:rPr>
                    <w:t>7</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4</w:t>
                  </w:r>
                  <w:r>
                    <w:rPr>
                      <w:rFonts w:hint="default" w:ascii="Times New Roman" w:hAnsi="Times New Roman" w:eastAsia="宋体" w:cs="Times New Roman"/>
                      <w:color w:val="auto"/>
                    </w:rPr>
                    <w:t>0'</w:t>
                  </w:r>
                  <w:r>
                    <w:rPr>
                      <w:rFonts w:hint="default" w:ascii="Times New Roman" w:hAnsi="Times New Roman" w:eastAsia="宋体" w:cs="Times New Roman"/>
                      <w:color w:val="auto"/>
                      <w:lang w:val="en-US" w:eastAsia="zh-CN"/>
                    </w:rPr>
                    <w:t>3</w:t>
                  </w:r>
                  <w:r>
                    <w:rPr>
                      <w:rFonts w:hint="eastAsia" w:cs="Times New Roman"/>
                      <w:color w:val="auto"/>
                      <w:lang w:val="en-US" w:eastAsia="zh-CN"/>
                    </w:rPr>
                    <w:t>3</w:t>
                  </w:r>
                  <w:r>
                    <w:rPr>
                      <w:rFonts w:hint="default" w:ascii="Times New Roman" w:hAnsi="Times New Roman" w:eastAsia="宋体" w:cs="Times New Roman"/>
                      <w:color w:val="auto"/>
                    </w:rPr>
                    <w:t>"</w:t>
                  </w:r>
                </w:p>
              </w:tc>
            </w:tr>
          </w:tbl>
          <w:p>
            <w:pPr>
              <w:ind w:firstLine="420" w:firstLineChars="200"/>
              <w:rPr>
                <w:rFonts w:cs="Times New Roman"/>
                <w:bCs/>
                <w:color w:val="auto"/>
              </w:rPr>
            </w:pPr>
            <w:r>
              <w:rPr>
                <w:rFonts w:hint="eastAsia" w:cs="Times New Roman"/>
                <w:bCs/>
                <w:color w:val="auto"/>
              </w:rPr>
              <w:t>（2）</w:t>
            </w:r>
            <w:r>
              <w:rPr>
                <w:rFonts w:cs="Times New Roman"/>
                <w:bCs/>
                <w:color w:val="auto"/>
              </w:rPr>
              <w:t>监测项目</w:t>
            </w:r>
          </w:p>
          <w:p>
            <w:pPr>
              <w:ind w:firstLine="420" w:firstLineChars="200"/>
              <w:rPr>
                <w:rFonts w:hint="eastAsia" w:cs="Times New Roman"/>
                <w:color w:val="auto"/>
                <w:lang w:val="en-US" w:eastAsia="zh-CN"/>
              </w:rPr>
            </w:pPr>
            <w:r>
              <w:rPr>
                <w:rFonts w:cs="Times New Roman"/>
                <w:bCs/>
                <w:color w:val="auto"/>
              </w:rPr>
              <w:t>监测项目：</w:t>
            </w:r>
            <w:r>
              <w:rPr>
                <w:rFonts w:hint="default" w:ascii="Times New Roman" w:hAnsi="Times New Roman" w:eastAsia="宋体" w:cs="Times New Roman"/>
                <w:color w:val="auto"/>
              </w:rPr>
              <w:t>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w:t>
            </w:r>
            <w:r>
              <w:rPr>
                <w:rFonts w:hint="eastAsia" w:cs="Times New Roman"/>
                <w:color w:val="auto"/>
                <w:lang w:eastAsia="zh-CN"/>
              </w:rPr>
              <w:t>、</w:t>
            </w:r>
            <w:r>
              <w:rPr>
                <w:rFonts w:hint="eastAsia" w:cs="Times New Roman"/>
                <w:color w:val="auto"/>
                <w:lang w:val="en-US" w:eastAsia="zh-CN"/>
              </w:rPr>
              <w:t>TSP</w:t>
            </w:r>
          </w:p>
          <w:p>
            <w:pPr>
              <w:ind w:firstLine="420" w:firstLineChars="200"/>
              <w:rPr>
                <w:rFonts w:cs="Times New Roman"/>
                <w:bCs/>
                <w:color w:val="auto"/>
              </w:rPr>
            </w:pPr>
            <w:r>
              <w:rPr>
                <w:rFonts w:cs="Times New Roman"/>
                <w:bCs/>
                <w:color w:val="auto"/>
              </w:rPr>
              <w:t>同时同步观测气象资料：风向、风速、温度、气压等</w:t>
            </w:r>
          </w:p>
          <w:p>
            <w:pPr>
              <w:ind w:firstLine="420" w:firstLineChars="200"/>
              <w:rPr>
                <w:rFonts w:cs="Times New Roman"/>
                <w:bCs/>
                <w:color w:val="auto"/>
              </w:rPr>
            </w:pPr>
            <w:r>
              <w:rPr>
                <w:rFonts w:hint="eastAsia" w:cs="Times New Roman"/>
                <w:bCs/>
                <w:color w:val="auto"/>
              </w:rPr>
              <w:t>（3）</w:t>
            </w:r>
            <w:r>
              <w:rPr>
                <w:rFonts w:cs="Times New Roman"/>
                <w:bCs/>
                <w:color w:val="auto"/>
              </w:rPr>
              <w:t>监测时间与频率</w:t>
            </w:r>
          </w:p>
          <w:p>
            <w:pPr>
              <w:ind w:firstLine="420" w:firstLineChars="200"/>
              <w:jc w:val="both"/>
              <w:rPr>
                <w:rFonts w:cs="Times New Roman"/>
                <w:color w:val="auto"/>
              </w:rPr>
            </w:pPr>
            <w:r>
              <w:rPr>
                <w:color w:val="auto"/>
              </w:rPr>
              <w:t>监测时间为20</w:t>
            </w:r>
            <w:r>
              <w:rPr>
                <w:rFonts w:hint="eastAsia"/>
                <w:color w:val="auto"/>
              </w:rPr>
              <w:t>20</w:t>
            </w:r>
            <w:r>
              <w:rPr>
                <w:color w:val="auto"/>
              </w:rPr>
              <w:t>年</w:t>
            </w:r>
            <w:r>
              <w:rPr>
                <w:rFonts w:hint="eastAsia"/>
                <w:color w:val="auto"/>
                <w:lang w:val="en-US" w:eastAsia="zh-CN"/>
              </w:rPr>
              <w:t>2</w:t>
            </w:r>
            <w:r>
              <w:rPr>
                <w:color w:val="auto"/>
              </w:rPr>
              <w:t>月</w:t>
            </w:r>
            <w:r>
              <w:rPr>
                <w:rFonts w:hint="eastAsia"/>
                <w:color w:val="auto"/>
                <w:lang w:val="en-US" w:eastAsia="zh-CN"/>
              </w:rPr>
              <w:t>28</w:t>
            </w:r>
            <w:r>
              <w:rPr>
                <w:color w:val="auto"/>
              </w:rPr>
              <w:t>日</w:t>
            </w:r>
            <w:r>
              <w:rPr>
                <w:rFonts w:hint="eastAsia"/>
                <w:color w:val="auto"/>
              </w:rPr>
              <w:t>--</w:t>
            </w:r>
            <w:r>
              <w:rPr>
                <w:rFonts w:hint="eastAsia"/>
                <w:color w:val="auto"/>
                <w:lang w:val="en-US" w:eastAsia="zh-CN"/>
              </w:rPr>
              <w:t>3</w:t>
            </w:r>
            <w:r>
              <w:rPr>
                <w:color w:val="auto"/>
              </w:rPr>
              <w:t>月</w:t>
            </w:r>
            <w:r>
              <w:rPr>
                <w:rFonts w:hint="eastAsia"/>
                <w:color w:val="auto"/>
                <w:lang w:val="en-US" w:eastAsia="zh-CN"/>
              </w:rPr>
              <w:t>5</w:t>
            </w:r>
            <w:r>
              <w:rPr>
                <w:color w:val="auto"/>
              </w:rPr>
              <w:t>日</w:t>
            </w:r>
            <w:r>
              <w:rPr>
                <w:rFonts w:hint="eastAsia"/>
                <w:color w:val="auto"/>
              </w:rPr>
              <w:t>，</w:t>
            </w:r>
            <w:r>
              <w:rPr>
                <w:rFonts w:hint="eastAsia" w:cs="Times New Roman"/>
                <w:color w:val="auto"/>
              </w:rPr>
              <w:t>连续监测7天，</w:t>
            </w:r>
            <w:r>
              <w:rPr>
                <w:rFonts w:hint="default" w:ascii="Times New Roman" w:hAnsi="Times New Roman" w:eastAsia="宋体" w:cs="Times New Roman"/>
                <w:color w:val="auto"/>
              </w:rPr>
              <w:t>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、H</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S</w:t>
            </w:r>
            <w:r>
              <w:rPr>
                <w:rFonts w:hint="eastAsia" w:cs="Times New Roman"/>
                <w:color w:val="auto"/>
                <w:lang w:eastAsia="zh-CN"/>
              </w:rPr>
              <w:t>、</w:t>
            </w:r>
            <w:r>
              <w:rPr>
                <w:rFonts w:hint="eastAsia" w:cs="Times New Roman"/>
                <w:color w:val="auto"/>
                <w:lang w:val="en-US" w:eastAsia="zh-CN"/>
              </w:rPr>
              <w:t>TSP</w:t>
            </w:r>
            <w:r>
              <w:rPr>
                <w:rFonts w:hint="default" w:ascii="Times New Roman" w:hAnsi="Times New Roman" w:eastAsia="宋体" w:cs="Times New Roman"/>
                <w:color w:val="auto"/>
              </w:rPr>
              <w:t>一次浓度值监测方法如下：每天采样4次，（02:00、08:00、14:00、20:00），每小时连续采样45min，取其最大测定值。</w:t>
            </w:r>
          </w:p>
          <w:p>
            <w:pPr>
              <w:ind w:firstLine="420" w:firstLineChars="200"/>
              <w:rPr>
                <w:rFonts w:cs="Times New Roman"/>
                <w:bCs/>
                <w:color w:val="auto"/>
              </w:rPr>
            </w:pPr>
            <w:r>
              <w:rPr>
                <w:rFonts w:hint="eastAsia" w:cs="Times New Roman"/>
                <w:bCs/>
                <w:color w:val="auto"/>
              </w:rPr>
              <w:t>（4）</w:t>
            </w:r>
            <w:r>
              <w:rPr>
                <w:rFonts w:hint="eastAsia" w:cs="Times New Roman"/>
                <w:bCs/>
                <w:color w:val="auto"/>
                <w:lang w:val="en-US" w:eastAsia="zh-CN"/>
              </w:rPr>
              <w:t>监测</w:t>
            </w:r>
            <w:r>
              <w:rPr>
                <w:rFonts w:cs="Times New Roman"/>
                <w:bCs/>
                <w:color w:val="auto"/>
              </w:rPr>
              <w:t>分析方法</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本项目的各评价因子监测方法按照《环境空气质量标准》（GB3095-2012）和国家环保局颁布的《环境监测技术规范》执行如下表1</w:t>
            </w:r>
            <w:r>
              <w:rPr>
                <w:rFonts w:hint="eastAsia" w:ascii="Times New Roman" w:hAnsi="Times New Roman" w:eastAsia="宋体" w:cs="Times New Roman"/>
                <w:color w:val="auto"/>
                <w:lang w:val="en-US" w:eastAsia="zh-CN"/>
              </w:rPr>
              <w:t>8</w:t>
            </w:r>
            <w:r>
              <w:rPr>
                <w:rFonts w:hint="default" w:ascii="Times New Roman" w:hAnsi="Times New Roman" w:eastAsia="宋体" w:cs="Times New Roman"/>
                <w:color w:val="auto"/>
              </w:rPr>
              <w:t>，并同时测定气温、气压、风向（16个方位）、风速和云量（低云量、总云量）等气象参数。</w:t>
            </w:r>
          </w:p>
          <w:p>
            <w:pPr>
              <w:ind w:firstLine="420" w:firstLineChars="200"/>
              <w:rPr>
                <w:rFonts w:hint="default" w:eastAsia="宋体" w:cs="Times New Roman"/>
                <w:bCs/>
                <w:color w:val="auto"/>
                <w:lang w:val="en-US" w:eastAsia="zh-CN"/>
              </w:rPr>
            </w:pPr>
            <w:r>
              <w:rPr>
                <w:rFonts w:hint="eastAsia" w:cs="Times New Roman"/>
                <w:bCs/>
                <w:color w:val="auto"/>
              </w:rPr>
              <w:t>（5）</w:t>
            </w:r>
            <w:r>
              <w:rPr>
                <w:rFonts w:cs="Times New Roman"/>
                <w:bCs/>
                <w:color w:val="auto"/>
              </w:rPr>
              <w:t>监测结果</w:t>
            </w:r>
            <w:r>
              <w:rPr>
                <w:rFonts w:hint="eastAsia" w:cs="Times New Roman"/>
                <w:bCs/>
                <w:color w:val="auto"/>
                <w:lang w:val="en-US" w:eastAsia="zh-CN"/>
              </w:rPr>
              <w:t>及评价</w:t>
            </w:r>
          </w:p>
          <w:p>
            <w:pPr>
              <w:ind w:firstLine="420" w:firstLineChars="200"/>
              <w:rPr>
                <w:rFonts w:cs="Times New Roman"/>
                <w:color w:val="auto"/>
              </w:rPr>
            </w:pPr>
            <w:r>
              <w:rPr>
                <w:rFonts w:hint="eastAsia" w:cs="Times New Roman"/>
                <w:color w:val="auto"/>
                <w:lang w:val="en-US" w:eastAsia="zh-CN"/>
              </w:rPr>
              <w:t>气象参数见表21，</w:t>
            </w:r>
            <w:r>
              <w:rPr>
                <w:rFonts w:cs="Times New Roman"/>
                <w:color w:val="auto"/>
              </w:rPr>
              <w:t>环境</w:t>
            </w:r>
            <w:r>
              <w:rPr>
                <w:rFonts w:hint="eastAsia" w:cs="Times New Roman"/>
                <w:color w:val="auto"/>
              </w:rPr>
              <w:t>空气</w:t>
            </w:r>
            <w:r>
              <w:rPr>
                <w:rFonts w:cs="Times New Roman"/>
                <w:color w:val="auto"/>
              </w:rPr>
              <w:t>质量现状监测结果</w:t>
            </w:r>
            <w:r>
              <w:rPr>
                <w:rFonts w:cs="Times New Roman"/>
                <w:color w:val="auto"/>
                <w:lang w:val="en-GB"/>
              </w:rPr>
              <w:t>汇总见表</w:t>
            </w:r>
            <w:r>
              <w:rPr>
                <w:rFonts w:hint="eastAsia" w:cs="Times New Roman"/>
                <w:color w:val="auto"/>
                <w:lang w:val="en-US" w:eastAsia="zh-CN"/>
              </w:rPr>
              <w:t>22</w:t>
            </w:r>
            <w:r>
              <w:rPr>
                <w:rFonts w:cs="Times New Roman"/>
                <w:color w:val="auto"/>
              </w:rPr>
              <w:t>。</w:t>
            </w:r>
          </w:p>
          <w:p>
            <w:pPr>
              <w:spacing w:line="240" w:lineRule="auto"/>
              <w:ind w:firstLine="422" w:firstLineChars="200"/>
              <w:jc w:val="center"/>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表</w:t>
            </w:r>
            <w:r>
              <w:rPr>
                <w:rFonts w:hint="eastAsia" w:ascii="宋体" w:hAnsi="宋体" w:eastAsia="宋体" w:cs="宋体"/>
                <w:b/>
                <w:bCs/>
                <w:color w:val="auto"/>
                <w:sz w:val="21"/>
                <w:szCs w:val="21"/>
                <w:lang w:val="en-US" w:eastAsia="zh-CN"/>
              </w:rPr>
              <w:t>21</w:t>
            </w:r>
            <w:r>
              <w:rPr>
                <w:rFonts w:hint="default" w:ascii="宋体" w:hAnsi="宋体" w:eastAsia="宋体" w:cs="宋体"/>
                <w:b/>
                <w:bCs/>
                <w:color w:val="auto"/>
                <w:sz w:val="21"/>
                <w:szCs w:val="21"/>
                <w:lang w:val="en-US" w:eastAsia="zh-CN"/>
              </w:rPr>
              <w:t xml:space="preserve"> 气象参数一览表</w:t>
            </w:r>
          </w:p>
          <w:tbl>
            <w:tblPr>
              <w:tblStyle w:val="20"/>
              <w:tblW w:w="7926" w:type="dxa"/>
              <w:tblInd w:w="-2"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1472"/>
              <w:gridCol w:w="1141"/>
              <w:gridCol w:w="1207"/>
              <w:gridCol w:w="1305"/>
              <w:gridCol w:w="1328"/>
            </w:tblGrid>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检测日期</w:t>
                  </w:r>
                </w:p>
              </w:tc>
              <w:tc>
                <w:tcPr>
                  <w:tcW w:w="1472"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时次</w:t>
                  </w:r>
                </w:p>
              </w:tc>
              <w:tc>
                <w:tcPr>
                  <w:tcW w:w="1141"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气温</w:t>
                  </w:r>
                </w:p>
              </w:tc>
              <w:tc>
                <w:tcPr>
                  <w:tcW w:w="1207"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气压</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风向</w:t>
                  </w:r>
                </w:p>
              </w:tc>
              <w:tc>
                <w:tcPr>
                  <w:tcW w:w="132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风速</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2020.02.28</w:t>
                  </w:r>
                </w:p>
              </w:tc>
              <w:tc>
                <w:tcPr>
                  <w:tcW w:w="1472"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09:00-10:00</w:t>
                  </w:r>
                </w:p>
              </w:tc>
              <w:tc>
                <w:tcPr>
                  <w:tcW w:w="1141"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1207"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89.5</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西</w:t>
                  </w:r>
                </w:p>
              </w:tc>
              <w:tc>
                <w:tcPr>
                  <w:tcW w:w="132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11:00-12:00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7</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89.6</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西</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1.1</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13:00-14:00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89.5</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西</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0.9</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15:00-16:00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5</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89.8</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西</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1.0</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restart"/>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2020.02.29</w:t>
                  </w:r>
                </w:p>
              </w:tc>
              <w:tc>
                <w:tcPr>
                  <w:tcW w:w="1472"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09:00-10:00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4</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89.4</w:t>
                  </w:r>
                </w:p>
              </w:tc>
              <w:tc>
                <w:tcPr>
                  <w:tcW w:w="1305" w:type="dxa"/>
                  <w:tcBorders>
                    <w:tl2br w:val="nil"/>
                    <w:tr2bl w:val="nil"/>
                  </w:tcBorders>
                  <w:noWrap w:val="0"/>
                  <w:vAlign w:val="center"/>
                </w:tcPr>
                <w:p>
                  <w:pPr>
                    <w:widowControl/>
                    <w:spacing w:line="240" w:lineRule="auto"/>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东</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0.7</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11:00-12:00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5</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89.7</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东</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1.2</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13:00-14:00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89.6</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东</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0.9</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15:00-16:00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4</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89.8</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东</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0.7</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restart"/>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2020.03.01</w:t>
                  </w:r>
                </w:p>
              </w:tc>
              <w:tc>
                <w:tcPr>
                  <w:tcW w:w="1472"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09:00-10:00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5</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89.5</w:t>
                  </w:r>
                </w:p>
              </w:tc>
              <w:tc>
                <w:tcPr>
                  <w:tcW w:w="1305" w:type="dxa"/>
                  <w:tcBorders>
                    <w:tl2br w:val="nil"/>
                    <w:tr2bl w:val="nil"/>
                  </w:tcBorders>
                  <w:noWrap w:val="0"/>
                  <w:vAlign w:val="center"/>
                </w:tcPr>
                <w:p>
                  <w:pPr>
                    <w:widowControl/>
                    <w:spacing w:line="240" w:lineRule="auto"/>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0.7</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11:00-12:00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89.8</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1.1</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13:00-14:00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9</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89.9</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1.2</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15:00-16:00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7</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89.9</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1.2</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restart"/>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2020.03.02</w:t>
                  </w:r>
                </w:p>
              </w:tc>
              <w:tc>
                <w:tcPr>
                  <w:tcW w:w="1472"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09:00-10:00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6</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89.5</w:t>
                  </w:r>
                </w:p>
              </w:tc>
              <w:tc>
                <w:tcPr>
                  <w:tcW w:w="1305" w:type="dxa"/>
                  <w:tcBorders>
                    <w:tl2br w:val="nil"/>
                    <w:tr2bl w:val="nil"/>
                  </w:tcBorders>
                  <w:noWrap w:val="0"/>
                  <w:vAlign w:val="center"/>
                </w:tcPr>
                <w:p>
                  <w:pPr>
                    <w:widowControl/>
                    <w:spacing w:line="240" w:lineRule="auto"/>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1.0</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11:00-12:00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89.2</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0.9</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13:00-14:00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9</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89.3</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0.7</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15:00-16:00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7</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89.6</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0.8</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restart"/>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2020.03.03</w:t>
                  </w:r>
                </w:p>
              </w:tc>
              <w:tc>
                <w:tcPr>
                  <w:tcW w:w="1472"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09:00-10:00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5</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89.7</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0.9</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11:00-12:00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89.9</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1.1</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13:00-14:00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9</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89.8</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1.3</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15:00-16:00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6</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89.8</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0.8</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restart"/>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2020.03.04</w:t>
                  </w:r>
                </w:p>
              </w:tc>
              <w:tc>
                <w:tcPr>
                  <w:tcW w:w="1472"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09:00-10:00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89.5</w:t>
                  </w:r>
                </w:p>
              </w:tc>
              <w:tc>
                <w:tcPr>
                  <w:tcW w:w="1305" w:type="dxa"/>
                  <w:tcBorders>
                    <w:tl2br w:val="nil"/>
                    <w:tr2bl w:val="nil"/>
                  </w:tcBorders>
                  <w:noWrap w:val="0"/>
                  <w:vAlign w:val="center"/>
                </w:tcPr>
                <w:p>
                  <w:pPr>
                    <w:widowControl/>
                    <w:spacing w:line="240" w:lineRule="auto"/>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1.6</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11:00-12:00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10</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89.6</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1.5</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13:00-14:00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12</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89.7</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1.4</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15:00-16:00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7</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89.9</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1.1</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restart"/>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2020.03.05</w:t>
                  </w:r>
                </w:p>
              </w:tc>
              <w:tc>
                <w:tcPr>
                  <w:tcW w:w="1472"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09:00-10:00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6</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89.2</w:t>
                  </w:r>
                </w:p>
              </w:tc>
              <w:tc>
                <w:tcPr>
                  <w:tcW w:w="1305" w:type="dxa"/>
                  <w:tcBorders>
                    <w:tl2br w:val="nil"/>
                    <w:tr2bl w:val="nil"/>
                  </w:tcBorders>
                  <w:noWrap w:val="0"/>
                  <w:vAlign w:val="center"/>
                </w:tcPr>
                <w:p>
                  <w:pPr>
                    <w:widowControl/>
                    <w:spacing w:line="240" w:lineRule="auto"/>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1.2</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11:00-12:00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89.5</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0.9</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13:00-14:00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12</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89.1</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0.8</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73" w:type="dxa"/>
                  <w:vMerge w:val="continue"/>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472"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15:00-16:00</w:t>
                  </w:r>
                </w:p>
              </w:tc>
              <w:tc>
                <w:tcPr>
                  <w:tcW w:w="1141"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10</w:t>
                  </w:r>
                </w:p>
              </w:tc>
              <w:tc>
                <w:tcPr>
                  <w:tcW w:w="1207"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89.9</w:t>
                  </w:r>
                </w:p>
              </w:tc>
              <w:tc>
                <w:tcPr>
                  <w:tcW w:w="1305" w:type="dxa"/>
                  <w:tcBorders>
                    <w:tl2br w:val="nil"/>
                    <w:tr2bl w:val="nil"/>
                  </w:tcBorders>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西北</w:t>
                  </w:r>
                </w:p>
              </w:tc>
              <w:tc>
                <w:tcPr>
                  <w:tcW w:w="1328" w:type="dxa"/>
                  <w:tcBorders>
                    <w:tl2br w:val="nil"/>
                    <w:tr2bl w:val="nil"/>
                  </w:tcBorders>
                  <w:noWrap w:val="0"/>
                  <w:vAlign w:val="center"/>
                </w:tcPr>
                <w:p>
                  <w:pPr>
                    <w:pStyle w:val="2"/>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1.0</w:t>
                  </w:r>
                </w:p>
              </w:tc>
            </w:tr>
          </w:tbl>
          <w:p>
            <w:pPr>
              <w:spacing w:line="240" w:lineRule="auto"/>
              <w:ind w:firstLine="422" w:firstLineChars="200"/>
              <w:jc w:val="center"/>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表</w:t>
            </w:r>
            <w:r>
              <w:rPr>
                <w:rFonts w:hint="eastAsia" w:ascii="宋体" w:hAnsi="宋体" w:eastAsia="宋体" w:cs="宋体"/>
                <w:b/>
                <w:bCs/>
                <w:color w:val="auto"/>
                <w:sz w:val="21"/>
                <w:szCs w:val="21"/>
                <w:lang w:val="en-US" w:eastAsia="zh-CN"/>
              </w:rPr>
              <w:t>22</w:t>
            </w:r>
            <w:r>
              <w:rPr>
                <w:rFonts w:hint="default" w:ascii="宋体" w:hAnsi="宋体" w:eastAsia="宋体" w:cs="宋体"/>
                <w:b/>
                <w:bCs/>
                <w:color w:val="auto"/>
                <w:sz w:val="21"/>
                <w:szCs w:val="21"/>
                <w:lang w:val="en-US" w:eastAsia="zh-CN"/>
              </w:rPr>
              <w:t xml:space="preserve"> 环境空气质量现状统计表</w:t>
            </w:r>
            <w:r>
              <w:rPr>
                <w:rFonts w:hint="eastAsia" w:ascii="宋体" w:hAnsi="宋体" w:eastAsia="宋体" w:cs="宋体"/>
                <w:b/>
                <w:bCs/>
                <w:color w:val="auto"/>
                <w:sz w:val="21"/>
                <w:szCs w:val="21"/>
                <w:lang w:val="en-US" w:eastAsia="zh-CN"/>
              </w:rPr>
              <w:t xml:space="preserve">  </w:t>
            </w:r>
            <w:r>
              <w:rPr>
                <w:rFonts w:hint="default" w:ascii="宋体" w:hAnsi="宋体" w:eastAsia="宋体" w:cs="宋体"/>
                <w:b/>
                <w:bCs/>
                <w:color w:val="auto"/>
                <w:sz w:val="21"/>
                <w:szCs w:val="21"/>
                <w:lang w:val="en-US" w:eastAsia="zh-CN"/>
              </w:rPr>
              <w:t>单位：μg/m</w:t>
            </w:r>
            <w:r>
              <w:rPr>
                <w:rFonts w:hint="default" w:ascii="宋体" w:hAnsi="宋体" w:eastAsia="宋体" w:cs="宋体"/>
                <w:b/>
                <w:bCs/>
                <w:color w:val="auto"/>
                <w:sz w:val="21"/>
                <w:szCs w:val="21"/>
                <w:vertAlign w:val="superscript"/>
                <w:lang w:val="en-US" w:eastAsia="zh-CN"/>
              </w:rPr>
              <w:t>3</w:t>
            </w:r>
          </w:p>
          <w:tbl>
            <w:tblPr>
              <w:tblStyle w:val="19"/>
              <w:tblW w:w="78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4" w:space="0"/>
              </w:tblBorders>
              <w:tblLayout w:type="fixed"/>
              <w:tblCellMar>
                <w:top w:w="0" w:type="dxa"/>
                <w:left w:w="108" w:type="dxa"/>
                <w:bottom w:w="0" w:type="dxa"/>
                <w:right w:w="108" w:type="dxa"/>
              </w:tblCellMar>
            </w:tblPr>
            <w:tblGrid>
              <w:gridCol w:w="1041"/>
              <w:gridCol w:w="1022"/>
              <w:gridCol w:w="903"/>
              <w:gridCol w:w="1195"/>
              <w:gridCol w:w="1475"/>
              <w:gridCol w:w="1038"/>
              <w:gridCol w:w="119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4" w:space="0"/>
                </w:tblBorders>
                <w:tblCellMar>
                  <w:top w:w="0" w:type="dxa"/>
                  <w:left w:w="108" w:type="dxa"/>
                  <w:bottom w:w="0" w:type="dxa"/>
                  <w:right w:w="108" w:type="dxa"/>
                </w:tblCellMar>
              </w:tblPrEx>
              <w:trPr>
                <w:trHeight w:val="454" w:hRule="atLeast"/>
                <w:jc w:val="center"/>
              </w:trPr>
              <w:tc>
                <w:tcPr>
                  <w:tcW w:w="1041"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监测点位</w:t>
                  </w:r>
                </w:p>
              </w:tc>
              <w:tc>
                <w:tcPr>
                  <w:tcW w:w="1022"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取值</w:t>
                  </w:r>
                </w:p>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时间</w:t>
                  </w:r>
                </w:p>
              </w:tc>
              <w:tc>
                <w:tcPr>
                  <w:tcW w:w="903"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1195"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标准值</w:t>
                  </w:r>
                </w:p>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m</w:t>
                  </w:r>
                  <w:r>
                    <w:rPr>
                      <w:rFonts w:hint="default" w:ascii="Times New Roman" w:hAnsi="Times New Roman" w:eastAsia="宋体" w:cs="Times New Roman"/>
                      <w:color w:val="auto"/>
                      <w:sz w:val="21"/>
                      <w:szCs w:val="21"/>
                    </w:rPr>
                    <w:t>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475"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浓度范围</w:t>
                  </w:r>
                </w:p>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m</w:t>
                  </w:r>
                  <w:r>
                    <w:rPr>
                      <w:rFonts w:hint="default" w:ascii="Times New Roman" w:hAnsi="Times New Roman" w:eastAsia="宋体" w:cs="Times New Roman"/>
                      <w:color w:val="auto"/>
                      <w:sz w:val="21"/>
                      <w:szCs w:val="21"/>
                    </w:rPr>
                    <w:t>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03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超标率（%）</w:t>
                  </w:r>
                </w:p>
              </w:tc>
              <w:tc>
                <w:tcPr>
                  <w:tcW w:w="119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最大评价指数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4" w:space="0"/>
                </w:tblBorders>
                <w:tblCellMar>
                  <w:top w:w="0" w:type="dxa"/>
                  <w:left w:w="108" w:type="dxa"/>
                  <w:bottom w:w="0" w:type="dxa"/>
                  <w:right w:w="108" w:type="dxa"/>
                </w:tblCellMar>
              </w:tblPrEx>
              <w:trPr>
                <w:trHeight w:val="454" w:hRule="atLeast"/>
                <w:jc w:val="center"/>
              </w:trPr>
              <w:tc>
                <w:tcPr>
                  <w:tcW w:w="1041"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项目区</w:t>
                  </w:r>
                </w:p>
              </w:tc>
              <w:tc>
                <w:tcPr>
                  <w:tcW w:w="1022"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小时</w:t>
                  </w:r>
                </w:p>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平均</w:t>
                  </w:r>
                </w:p>
              </w:tc>
              <w:tc>
                <w:tcPr>
                  <w:tcW w:w="903"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p>
              </w:tc>
              <w:tc>
                <w:tcPr>
                  <w:tcW w:w="1195"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0.2</w:t>
                  </w:r>
                </w:p>
              </w:tc>
              <w:tc>
                <w:tcPr>
                  <w:tcW w:w="1475"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0.09-0.18</w:t>
                  </w:r>
                </w:p>
              </w:tc>
              <w:tc>
                <w:tcPr>
                  <w:tcW w:w="103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98"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4" w:space="0"/>
                </w:tblBorders>
                <w:tblCellMar>
                  <w:top w:w="0" w:type="dxa"/>
                  <w:left w:w="108" w:type="dxa"/>
                  <w:bottom w:w="0" w:type="dxa"/>
                  <w:right w:w="108" w:type="dxa"/>
                </w:tblCellMar>
              </w:tblPrEx>
              <w:trPr>
                <w:trHeight w:val="454" w:hRule="atLeast"/>
                <w:jc w:val="center"/>
              </w:trPr>
              <w:tc>
                <w:tcPr>
                  <w:tcW w:w="1041" w:type="dxa"/>
                  <w:vMerge w:val="continue"/>
                  <w:tcBorders>
                    <w:tl2br w:val="nil"/>
                    <w:tr2bl w:val="nil"/>
                  </w:tcBorders>
                  <w:noWrap w:val="0"/>
                  <w:vAlign w:val="center"/>
                </w:tcPr>
                <w:p>
                  <w:pPr>
                    <w:widowControl/>
                    <w:spacing w:line="240" w:lineRule="auto"/>
                    <w:jc w:val="center"/>
                    <w:rPr>
                      <w:rFonts w:hint="default" w:ascii="Times New Roman" w:hAnsi="Times New Roman" w:eastAsia="宋体" w:cs="Times New Roman"/>
                      <w:color w:val="auto"/>
                      <w:sz w:val="21"/>
                      <w:szCs w:val="21"/>
                    </w:rPr>
                  </w:pPr>
                </w:p>
              </w:tc>
              <w:tc>
                <w:tcPr>
                  <w:tcW w:w="1022" w:type="dxa"/>
                  <w:vMerge w:val="continue"/>
                  <w:tcBorders>
                    <w:tl2br w:val="nil"/>
                    <w:tr2bl w:val="nil"/>
                  </w:tcBorders>
                  <w:noWrap w:val="0"/>
                  <w:vAlign w:val="center"/>
                </w:tcPr>
                <w:p>
                  <w:pPr>
                    <w:widowControl/>
                    <w:spacing w:line="240" w:lineRule="auto"/>
                    <w:jc w:val="center"/>
                    <w:rPr>
                      <w:rFonts w:hint="default" w:ascii="Times New Roman" w:hAnsi="Times New Roman" w:eastAsia="宋体" w:cs="Times New Roman"/>
                      <w:color w:val="auto"/>
                      <w:sz w:val="21"/>
                      <w:szCs w:val="21"/>
                    </w:rPr>
                  </w:pPr>
                </w:p>
              </w:tc>
              <w:tc>
                <w:tcPr>
                  <w:tcW w:w="903"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S</w:t>
                  </w:r>
                </w:p>
              </w:tc>
              <w:tc>
                <w:tcPr>
                  <w:tcW w:w="1195"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c>
                <w:tcPr>
                  <w:tcW w:w="1475"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0.007L-0.009</w:t>
                  </w:r>
                </w:p>
              </w:tc>
              <w:tc>
                <w:tcPr>
                  <w:tcW w:w="103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98"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4" w:space="0"/>
                </w:tblBorders>
                <w:tblCellMar>
                  <w:top w:w="0" w:type="dxa"/>
                  <w:left w:w="108" w:type="dxa"/>
                  <w:bottom w:w="0" w:type="dxa"/>
                  <w:right w:w="108" w:type="dxa"/>
                </w:tblCellMar>
              </w:tblPrEx>
              <w:trPr>
                <w:trHeight w:val="454" w:hRule="atLeast"/>
                <w:jc w:val="center"/>
              </w:trPr>
              <w:tc>
                <w:tcPr>
                  <w:tcW w:w="1041" w:type="dxa"/>
                  <w:vMerge w:val="continue"/>
                  <w:tcBorders>
                    <w:tl2br w:val="nil"/>
                    <w:tr2bl w:val="nil"/>
                  </w:tcBorders>
                  <w:noWrap w:val="0"/>
                  <w:vAlign w:val="center"/>
                </w:tcPr>
                <w:p>
                  <w:pPr>
                    <w:widowControl/>
                    <w:spacing w:line="240" w:lineRule="auto"/>
                    <w:jc w:val="center"/>
                    <w:rPr>
                      <w:rFonts w:hint="eastAsia" w:ascii="Times New Roman" w:hAnsi="Times New Roman" w:eastAsia="宋体" w:cs="Times New Roman"/>
                      <w:color w:val="auto"/>
                      <w:sz w:val="21"/>
                      <w:szCs w:val="21"/>
                      <w:lang w:val="en-US" w:eastAsia="zh-CN"/>
                    </w:rPr>
                  </w:pPr>
                </w:p>
              </w:tc>
              <w:tc>
                <w:tcPr>
                  <w:tcW w:w="1022" w:type="dxa"/>
                  <w:tcBorders>
                    <w:tl2br w:val="nil"/>
                    <w:tr2bl w:val="nil"/>
                  </w:tcBorders>
                  <w:noWrap w:val="0"/>
                  <w:vAlign w:val="center"/>
                </w:tcPr>
                <w:p>
                  <w:pPr>
                    <w:widowControl/>
                    <w:spacing w:line="240" w:lineRule="auto"/>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日平均</w:t>
                  </w:r>
                </w:p>
              </w:tc>
              <w:tc>
                <w:tcPr>
                  <w:tcW w:w="903"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TSP</w:t>
                  </w:r>
                </w:p>
              </w:tc>
              <w:tc>
                <w:tcPr>
                  <w:tcW w:w="1195"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0.9</w:t>
                  </w:r>
                </w:p>
              </w:tc>
              <w:tc>
                <w:tcPr>
                  <w:tcW w:w="1475" w:type="dxa"/>
                  <w:tcBorders>
                    <w:tl2br w:val="nil"/>
                    <w:tr2bl w:val="nil"/>
                  </w:tcBorders>
                  <w:noWrap w:val="0"/>
                  <w:vAlign w:val="center"/>
                </w:tcPr>
                <w:p>
                  <w:pPr>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0.208-0.282</w:t>
                  </w:r>
                </w:p>
              </w:tc>
              <w:tc>
                <w:tcPr>
                  <w:tcW w:w="1038"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w:t>
                  </w:r>
                </w:p>
              </w:tc>
              <w:tc>
                <w:tcPr>
                  <w:tcW w:w="1198" w:type="dxa"/>
                  <w:tcBorders>
                    <w:tl2br w:val="nil"/>
                    <w:tr2bl w:val="nil"/>
                  </w:tcBorders>
                  <w:noWrap w:val="0"/>
                  <w:vAlign w:val="center"/>
                </w:tcPr>
                <w:p>
                  <w:pPr>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0.31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4" w:space="0"/>
                </w:tblBorders>
                <w:tblCellMar>
                  <w:top w:w="0" w:type="dxa"/>
                  <w:left w:w="108" w:type="dxa"/>
                  <w:bottom w:w="0" w:type="dxa"/>
                  <w:right w:w="108" w:type="dxa"/>
                </w:tblCellMar>
              </w:tblPrEx>
              <w:trPr>
                <w:trHeight w:val="454" w:hRule="atLeast"/>
                <w:jc w:val="center"/>
              </w:trPr>
              <w:tc>
                <w:tcPr>
                  <w:tcW w:w="7872" w:type="dxa"/>
                  <w:gridSpan w:val="7"/>
                  <w:tcBorders>
                    <w:tl2br w:val="nil"/>
                    <w:tr2bl w:val="nil"/>
                  </w:tcBorders>
                  <w:noWrap w:val="0"/>
                  <w:vAlign w:val="center"/>
                </w:tcPr>
                <w:p>
                  <w:pPr>
                    <w:spacing w:line="240" w:lineRule="auto"/>
                    <w:jc w:val="left"/>
                    <w:rPr>
                      <w:rFonts w:hint="eastAsia"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注：TSP执行标准《环境空气质量标准》（GB3095-1996）及其修改单（2000）二级标准</w:t>
                  </w:r>
                  <w:r>
                    <w:rPr>
                      <w:rFonts w:hint="eastAsia" w:ascii="宋体" w:hAnsi="宋体" w:cs="宋体"/>
                      <w:color w:val="auto"/>
                      <w:sz w:val="21"/>
                      <w:szCs w:val="21"/>
                      <w:lang w:val="en-US" w:eastAsia="zh-CN"/>
                    </w:rPr>
                    <w:t xml:space="preserve">  </w:t>
                  </w:r>
                  <w:r>
                    <w:rPr>
                      <w:rFonts w:hint="eastAsia" w:ascii="Times New Roman" w:hAnsi="Times New Roman" w:eastAsia="宋体" w:cs="Times New Roman"/>
                      <w:color w:val="auto"/>
                      <w:sz w:val="21"/>
                      <w:szCs w:val="21"/>
                      <w:lang w:val="en-US" w:eastAsia="zh-CN"/>
                    </w:rPr>
                    <w:t>日平均浓度限值三倍值0.9m</w:t>
                  </w:r>
                  <w:r>
                    <w:rPr>
                      <w:rFonts w:hint="default" w:ascii="Times New Roman" w:hAnsi="Times New Roman" w:eastAsia="宋体" w:cs="Times New Roman"/>
                      <w:color w:val="auto"/>
                      <w:sz w:val="21"/>
                      <w:szCs w:val="21"/>
                    </w:rPr>
                    <w:t>g/m</w:t>
                  </w:r>
                  <w:r>
                    <w:rPr>
                      <w:rFonts w:hint="default" w:ascii="Times New Roman" w:hAnsi="Times New Roman" w:eastAsia="宋体" w:cs="Times New Roman"/>
                      <w:color w:val="auto"/>
                      <w:sz w:val="21"/>
                      <w:szCs w:val="21"/>
                      <w:vertAlign w:val="superscript"/>
                    </w:rPr>
                    <w:t>3</w:t>
                  </w:r>
                </w:p>
              </w:tc>
            </w:tr>
          </w:tbl>
          <w:p>
            <w:pPr>
              <w:spacing w:line="360" w:lineRule="auto"/>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highlight w:val="none"/>
              </w:rPr>
              <w:t>由以上监测结果可知，监测点其他污染物H</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S、NH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浓度监测值满足《环境影响技术评价导则大气环境》（HJ 2.2-2018）附录D其他污染物空气质量浓度限值。</w:t>
            </w:r>
          </w:p>
          <w:p>
            <w:pPr>
              <w:pStyle w:val="4"/>
              <w:ind w:left="0" w:leftChars="0" w:firstLine="0" w:firstLineChars="0"/>
              <w:rPr>
                <w:rFonts w:hint="default" w:ascii="Times New Roman" w:hAnsi="Times New Roman" w:eastAsia="宋体" w:cs="Times New Roman"/>
                <w:b/>
                <w:bCs/>
                <w:color w:val="auto"/>
                <w:kern w:val="2"/>
                <w:sz w:val="28"/>
                <w:szCs w:val="28"/>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2、</w:t>
            </w:r>
            <w:r>
              <w:rPr>
                <w:rFonts w:hint="default" w:ascii="Times New Roman" w:hAnsi="Times New Roman" w:eastAsia="宋体" w:cs="Times New Roman"/>
                <w:b/>
                <w:bCs/>
                <w:color w:val="auto"/>
                <w:kern w:val="2"/>
                <w:sz w:val="21"/>
                <w:szCs w:val="21"/>
                <w:highlight w:val="none"/>
                <w:lang w:val="en-US" w:eastAsia="zh-CN" w:bidi="ar-SA"/>
              </w:rPr>
              <w:t>地下水</w:t>
            </w:r>
            <w:r>
              <w:rPr>
                <w:rFonts w:hint="eastAsia" w:ascii="Times New Roman" w:hAnsi="Times New Roman" w:eastAsia="宋体" w:cs="Times New Roman"/>
                <w:b/>
                <w:bCs/>
                <w:color w:val="auto"/>
                <w:kern w:val="2"/>
                <w:sz w:val="21"/>
                <w:szCs w:val="21"/>
                <w:highlight w:val="none"/>
                <w:lang w:val="en-US" w:eastAsia="zh-CN" w:bidi="ar-SA"/>
              </w:rPr>
              <w:t>环境质量现状</w:t>
            </w:r>
          </w:p>
          <w:p>
            <w:pPr>
              <w:ind w:firstLine="420" w:firstLineChars="200"/>
              <w:rPr>
                <w:rFonts w:hint="eastAsia"/>
                <w:color w:val="auto"/>
                <w:highlight w:val="none"/>
                <w:lang w:val="en-US" w:eastAsia="zh-CN"/>
              </w:rPr>
            </w:pPr>
            <w:r>
              <w:rPr>
                <w:rFonts w:hint="eastAsia"/>
                <w:color w:val="auto"/>
                <w:highlight w:val="none"/>
                <w:lang w:eastAsia="zh-CN"/>
              </w:rPr>
              <w:t>参照《环境影响评价技术导则</w:t>
            </w:r>
            <w:r>
              <w:rPr>
                <w:rFonts w:hint="eastAsia"/>
                <w:color w:val="auto"/>
                <w:highlight w:val="none"/>
                <w:lang w:val="en-US" w:eastAsia="zh-CN"/>
              </w:rPr>
              <w:t>-地下水</w:t>
            </w:r>
            <w:r>
              <w:rPr>
                <w:rFonts w:hint="eastAsia"/>
                <w:color w:val="auto"/>
                <w:highlight w:val="none"/>
                <w:lang w:eastAsia="zh-CN"/>
              </w:rPr>
              <w:t>》（</w:t>
            </w:r>
            <w:r>
              <w:rPr>
                <w:rFonts w:hint="eastAsia"/>
                <w:color w:val="auto"/>
                <w:highlight w:val="none"/>
                <w:lang w:val="en-US" w:eastAsia="zh-CN"/>
              </w:rPr>
              <w:t>HJ 610-2016</w:t>
            </w:r>
            <w:r>
              <w:rPr>
                <w:rFonts w:hint="eastAsia"/>
                <w:color w:val="auto"/>
                <w:highlight w:val="none"/>
                <w:lang w:eastAsia="zh-CN"/>
              </w:rPr>
              <w:t>）</w:t>
            </w:r>
            <w:r>
              <w:rPr>
                <w:rFonts w:hint="eastAsia"/>
                <w:color w:val="auto"/>
                <w:highlight w:val="none"/>
                <w:lang w:val="en-US" w:eastAsia="zh-CN"/>
              </w:rPr>
              <w:t>,本项目属</w:t>
            </w:r>
            <w:r>
              <w:rPr>
                <w:rFonts w:hint="eastAsia" w:ascii="宋体" w:hAnsi="宋体" w:eastAsia="宋体" w:cs="宋体"/>
                <w:color w:val="auto"/>
                <w:highlight w:val="none"/>
                <w:lang w:val="en-US" w:eastAsia="zh-CN"/>
              </w:rPr>
              <w:t>Ⅲ</w:t>
            </w:r>
            <w:r>
              <w:rPr>
                <w:rFonts w:hint="eastAsia"/>
                <w:color w:val="auto"/>
                <w:highlight w:val="none"/>
                <w:lang w:val="en-US" w:eastAsia="zh-CN"/>
              </w:rPr>
              <w:t>类项目，根据现状调查，该地无集中式及分散式水源井，无集中式饮用水水源，故地下水环境敏感程度为不敏感，综上可知本项目地下水环境影响评价等级为三级。</w:t>
            </w:r>
          </w:p>
          <w:p>
            <w:pPr>
              <w:spacing w:line="360" w:lineRule="auto"/>
              <w:ind w:firstLine="420" w:firstLineChars="200"/>
              <w:rPr>
                <w:rFonts w:hint="default" w:ascii="Times New Roman" w:hAnsi="Times New Roman" w:eastAsia="宋体" w:cs="Times New Roman"/>
                <w:color w:val="auto"/>
              </w:rPr>
            </w:pPr>
            <w:r>
              <w:rPr>
                <w:rFonts w:hint="eastAsia"/>
                <w:color w:val="auto"/>
                <w:highlight w:val="none"/>
              </w:rPr>
              <w:t>根据导则要求，三级评价项目监测点数至少为3个，本项目地下水监测数据引用</w:t>
            </w:r>
            <w:r>
              <w:rPr>
                <w:rFonts w:hint="eastAsia"/>
                <w:color w:val="auto"/>
                <w:highlight w:val="none"/>
                <w:lang w:eastAsia="zh-CN"/>
              </w:rPr>
              <w:t>《</w:t>
            </w:r>
            <w:r>
              <w:rPr>
                <w:rFonts w:hint="eastAsia"/>
                <w:color w:val="auto"/>
                <w:sz w:val="21"/>
                <w:szCs w:val="21"/>
              </w:rPr>
              <w:t>内蒙古蒙源兴禾种养殖一体化综合利用循环经济项目（年产有机肥30万吨）</w:t>
            </w:r>
            <w:r>
              <w:rPr>
                <w:rFonts w:hint="eastAsia"/>
                <w:color w:val="auto"/>
                <w:highlight w:val="none"/>
                <w:lang w:val="en-US" w:eastAsia="zh-CN"/>
              </w:rPr>
              <w:t>环境影响报告表》</w:t>
            </w:r>
            <w:r>
              <w:rPr>
                <w:rFonts w:hint="eastAsia"/>
                <w:color w:val="auto"/>
                <w:highlight w:val="none"/>
              </w:rPr>
              <w:t>中数据，采样时间为20</w:t>
            </w:r>
            <w:r>
              <w:rPr>
                <w:rFonts w:hint="eastAsia"/>
                <w:color w:val="auto"/>
                <w:highlight w:val="none"/>
                <w:lang w:val="en-US" w:eastAsia="zh-CN"/>
              </w:rPr>
              <w:t>20</w:t>
            </w:r>
            <w:r>
              <w:rPr>
                <w:rFonts w:hint="eastAsia"/>
                <w:color w:val="auto"/>
                <w:highlight w:val="none"/>
              </w:rPr>
              <w:t>年</w:t>
            </w:r>
            <w:r>
              <w:rPr>
                <w:rFonts w:hint="eastAsia"/>
                <w:color w:val="auto"/>
                <w:highlight w:val="none"/>
                <w:lang w:val="en-US" w:eastAsia="zh-CN"/>
              </w:rPr>
              <w:t>2</w:t>
            </w:r>
            <w:r>
              <w:rPr>
                <w:rFonts w:hint="eastAsia"/>
                <w:color w:val="auto"/>
                <w:highlight w:val="none"/>
              </w:rPr>
              <w:t>月2</w:t>
            </w:r>
            <w:r>
              <w:rPr>
                <w:rFonts w:hint="eastAsia"/>
                <w:color w:val="auto"/>
                <w:highlight w:val="none"/>
                <w:lang w:val="en-US" w:eastAsia="zh-CN"/>
              </w:rPr>
              <w:t>8</w:t>
            </w:r>
            <w:r>
              <w:rPr>
                <w:rFonts w:hint="eastAsia"/>
                <w:color w:val="auto"/>
                <w:highlight w:val="none"/>
              </w:rPr>
              <w:t>日。</w:t>
            </w:r>
            <w:r>
              <w:rPr>
                <w:color w:val="auto"/>
                <w:highlight w:val="none"/>
                <w:shd w:val="clear" w:color="auto" w:fill="auto"/>
              </w:rPr>
              <w:t>本项目</w:t>
            </w:r>
            <w:r>
              <w:rPr>
                <w:rFonts w:hint="eastAsia"/>
                <w:color w:val="auto"/>
                <w:highlight w:val="none"/>
                <w:shd w:val="clear" w:color="auto" w:fill="auto"/>
                <w:lang w:val="en-US" w:eastAsia="zh-CN"/>
              </w:rPr>
              <w:t>位于原有项目厂区内，</w:t>
            </w:r>
            <w:r>
              <w:rPr>
                <w:color w:val="auto"/>
                <w:highlight w:val="none"/>
                <w:shd w:val="clear" w:color="auto" w:fill="auto"/>
              </w:rPr>
              <w:t>符合引用条件。</w:t>
            </w:r>
          </w:p>
          <w:p>
            <w:pPr>
              <w:ind w:firstLine="420" w:firstLineChars="200"/>
              <w:rPr>
                <w:rFonts w:hint="default" w:ascii="Times New Roman" w:hAnsi="Times New Roman" w:eastAsia="宋体"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1</w:t>
            </w:r>
            <w:r>
              <w:rPr>
                <w:rFonts w:hint="eastAsia" w:ascii="Times New Roman" w:hAnsi="Times New Roman" w:cs="Times New Roman"/>
                <w:color w:val="auto"/>
                <w:lang w:eastAsia="zh-CN"/>
              </w:rPr>
              <w:t>）</w:t>
            </w:r>
            <w:r>
              <w:rPr>
                <w:rFonts w:hint="default" w:ascii="Times New Roman" w:hAnsi="Times New Roman" w:eastAsia="宋体" w:cs="Times New Roman"/>
                <w:color w:val="auto"/>
              </w:rPr>
              <w:t>监测因子</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K</w:t>
            </w:r>
            <w:r>
              <w:rPr>
                <w:rFonts w:hint="default" w:ascii="Times New Roman" w:hAnsi="Times New Roman" w:eastAsia="宋体" w:cs="Times New Roman"/>
                <w:color w:val="auto"/>
                <w:vertAlign w:val="superscript"/>
              </w:rPr>
              <w:t>+</w:t>
            </w:r>
            <w:r>
              <w:rPr>
                <w:rFonts w:hint="default" w:ascii="Times New Roman" w:hAnsi="Times New Roman" w:eastAsia="宋体" w:cs="Times New Roman"/>
                <w:color w:val="auto"/>
              </w:rPr>
              <w:t>、Na</w:t>
            </w:r>
            <w:r>
              <w:rPr>
                <w:rFonts w:hint="default" w:ascii="Times New Roman" w:hAnsi="Times New Roman" w:eastAsia="宋体" w:cs="Times New Roman"/>
                <w:color w:val="auto"/>
                <w:vertAlign w:val="superscript"/>
              </w:rPr>
              <w:t>+</w:t>
            </w:r>
            <w:r>
              <w:rPr>
                <w:rFonts w:hint="default" w:ascii="Times New Roman" w:hAnsi="Times New Roman" w:eastAsia="宋体" w:cs="Times New Roman"/>
                <w:color w:val="auto"/>
              </w:rPr>
              <w:t>、Ca</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、CO</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、Mg</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、HCO</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vertAlign w:val="superscript"/>
              </w:rPr>
              <w:t>-</w:t>
            </w:r>
            <w:r>
              <w:rPr>
                <w:rFonts w:hint="default" w:ascii="Times New Roman" w:hAnsi="Times New Roman" w:eastAsia="宋体" w:cs="Times New Roman"/>
                <w:color w:val="auto"/>
              </w:rPr>
              <w:t>、Cl</w:t>
            </w:r>
            <w:r>
              <w:rPr>
                <w:rFonts w:hint="default" w:ascii="Times New Roman" w:hAnsi="Times New Roman" w:eastAsia="宋体" w:cs="Times New Roman"/>
                <w:color w:val="auto"/>
                <w:vertAlign w:val="superscript"/>
              </w:rPr>
              <w:t>-</w:t>
            </w:r>
            <w:r>
              <w:rPr>
                <w:rFonts w:hint="default" w:ascii="Times New Roman" w:hAnsi="Times New Roman" w:eastAsia="宋体" w:cs="Times New Roman"/>
                <w:color w:val="auto"/>
              </w:rPr>
              <w:t>、SO</w:t>
            </w:r>
            <w:r>
              <w:rPr>
                <w:rFonts w:hint="default" w:ascii="Times New Roman" w:hAnsi="Times New Roman" w:eastAsia="宋体" w:cs="Times New Roman"/>
                <w:color w:val="auto"/>
                <w:vertAlign w:val="subscript"/>
              </w:rPr>
              <w:t>4</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pH值、氨氮、硝酸盐、亚硝酸盐、挥发酚、氰化物、砷、汞、六价铬、总硬度、铅、氟、镉、铁、锰、溶解性总固体、耗氧量、硫酸盐、氯化物、菌落总数和大肠菌群，监测时同步记录井深、水位、水质和水温。</w:t>
            </w:r>
          </w:p>
          <w:p>
            <w:pPr>
              <w:ind w:firstLine="420" w:firstLineChars="200"/>
              <w:rPr>
                <w:rFonts w:hint="default" w:ascii="Times New Roman" w:hAnsi="Times New Roman" w:eastAsia="宋体"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2</w:t>
            </w:r>
            <w:r>
              <w:rPr>
                <w:rFonts w:hint="eastAsia" w:ascii="Times New Roman" w:hAnsi="Times New Roman" w:cs="Times New Roman"/>
                <w:color w:val="auto"/>
                <w:lang w:eastAsia="zh-CN"/>
              </w:rPr>
              <w:t>）</w:t>
            </w:r>
            <w:r>
              <w:rPr>
                <w:rFonts w:hint="default" w:ascii="Times New Roman" w:hAnsi="Times New Roman" w:eastAsia="宋体" w:cs="Times New Roman"/>
                <w:color w:val="auto"/>
              </w:rPr>
              <w:t>监测时间</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1次/天，连续监测1天后分析检测。</w:t>
            </w:r>
          </w:p>
          <w:p>
            <w:pPr>
              <w:ind w:firstLine="420" w:firstLineChars="200"/>
              <w:rPr>
                <w:rFonts w:hint="default" w:ascii="Times New Roman" w:hAnsi="Times New Roman" w:eastAsia="宋体"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3</w:t>
            </w:r>
            <w:r>
              <w:rPr>
                <w:rFonts w:hint="eastAsia" w:ascii="Times New Roman" w:hAnsi="Times New Roman" w:cs="Times New Roman"/>
                <w:color w:val="auto"/>
                <w:lang w:eastAsia="zh-CN"/>
              </w:rPr>
              <w:t>）</w:t>
            </w:r>
            <w:r>
              <w:rPr>
                <w:rFonts w:hint="default" w:ascii="Times New Roman" w:hAnsi="Times New Roman" w:eastAsia="宋体" w:cs="Times New Roman"/>
                <w:color w:val="auto"/>
              </w:rPr>
              <w:t>监测点位</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地下水环境质量监测点位如下表：</w:t>
            </w:r>
          </w:p>
          <w:p>
            <w:pPr>
              <w:spacing w:line="240" w:lineRule="auto"/>
              <w:ind w:firstLine="422" w:firstLineChars="200"/>
              <w:jc w:val="center"/>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表</w:t>
            </w:r>
            <w:r>
              <w:rPr>
                <w:rFonts w:hint="eastAsia" w:ascii="宋体" w:hAnsi="宋体" w:eastAsia="宋体" w:cs="宋体"/>
                <w:b/>
                <w:bCs/>
                <w:color w:val="auto"/>
                <w:sz w:val="21"/>
                <w:szCs w:val="21"/>
                <w:lang w:val="en-US" w:eastAsia="zh-CN"/>
              </w:rPr>
              <w:t>23</w:t>
            </w:r>
            <w:r>
              <w:rPr>
                <w:rFonts w:hint="default" w:ascii="宋体" w:hAnsi="宋体" w:eastAsia="宋体" w:cs="宋体"/>
                <w:b/>
                <w:bCs/>
                <w:color w:val="auto"/>
                <w:sz w:val="21"/>
                <w:szCs w:val="21"/>
                <w:lang w:val="en-US" w:eastAsia="zh-CN"/>
              </w:rPr>
              <w:t xml:space="preserve"> 地下水监测点位基本信息一览表</w:t>
            </w:r>
          </w:p>
          <w:tbl>
            <w:tblPr>
              <w:tblStyle w:val="19"/>
              <w:tblW w:w="7847" w:type="dxa"/>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823"/>
              <w:gridCol w:w="915"/>
              <w:gridCol w:w="1431"/>
              <w:gridCol w:w="1326"/>
              <w:gridCol w:w="843"/>
              <w:gridCol w:w="797"/>
              <w:gridCol w:w="889"/>
              <w:gridCol w:w="823"/>
            </w:tblGrid>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915"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监测点名称</w:t>
                  </w:r>
                </w:p>
              </w:tc>
              <w:tc>
                <w:tcPr>
                  <w:tcW w:w="1431"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经度</w:t>
                  </w:r>
                </w:p>
              </w:tc>
              <w:tc>
                <w:tcPr>
                  <w:tcW w:w="1326"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纬度</w:t>
                  </w:r>
                </w:p>
              </w:tc>
              <w:tc>
                <w:tcPr>
                  <w:tcW w:w="84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井深（m）</w:t>
                  </w:r>
                </w:p>
              </w:tc>
              <w:tc>
                <w:tcPr>
                  <w:tcW w:w="797"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水位(m)</w:t>
                  </w:r>
                </w:p>
              </w:tc>
              <w:tc>
                <w:tcPr>
                  <w:tcW w:w="889"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水温（℃）</w:t>
                  </w:r>
                </w:p>
              </w:tc>
              <w:tc>
                <w:tcPr>
                  <w:tcW w:w="823"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监测</w:t>
                  </w:r>
                </w:p>
                <w:p>
                  <w:pPr>
                    <w:pStyle w:val="54"/>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情况</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2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w:t>
                  </w:r>
                  <w:r>
                    <w:rPr>
                      <w:rFonts w:hint="default" w:ascii="Times New Roman" w:hAnsi="Times New Roman" w:eastAsia="宋体" w:cs="Times New Roman"/>
                      <w:color w:val="auto"/>
                      <w:sz w:val="21"/>
                      <w:szCs w:val="21"/>
                      <w:lang w:val="en-US" w:eastAsia="zh-CN"/>
                    </w:rPr>
                    <w:t>#</w:t>
                  </w:r>
                </w:p>
              </w:tc>
              <w:tc>
                <w:tcPr>
                  <w:tcW w:w="915"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eastAsia="zh-CN"/>
                    </w:rPr>
                    <w:t>复丰村</w:t>
                  </w:r>
                </w:p>
              </w:tc>
              <w:tc>
                <w:tcPr>
                  <w:tcW w:w="1431"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107°40′39.01″</w:t>
                  </w:r>
                </w:p>
              </w:tc>
              <w:tc>
                <w:tcPr>
                  <w:tcW w:w="1326"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40°50′27.13″</w:t>
                  </w:r>
                </w:p>
              </w:tc>
              <w:tc>
                <w:tcPr>
                  <w:tcW w:w="843"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60</w:t>
                  </w:r>
                </w:p>
              </w:tc>
              <w:tc>
                <w:tcPr>
                  <w:tcW w:w="797"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12</w:t>
                  </w:r>
                </w:p>
              </w:tc>
              <w:tc>
                <w:tcPr>
                  <w:tcW w:w="889"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w:t>
                  </w:r>
                </w:p>
              </w:tc>
              <w:tc>
                <w:tcPr>
                  <w:tcW w:w="823"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eastAsia="zh-CN"/>
                    </w:rPr>
                    <w:t>水质</w:t>
                  </w:r>
                  <w:r>
                    <w:rPr>
                      <w:rFonts w:hint="eastAsia" w:ascii="Times New Roman" w:hAnsi="Times New Roman" w:eastAsia="宋体" w:cs="Times New Roman"/>
                      <w:color w:val="auto"/>
                      <w:sz w:val="21"/>
                      <w:szCs w:val="21"/>
                      <w:lang w:val="en-US" w:eastAsia="zh-CN"/>
                    </w:rPr>
                    <w:t>+水位</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r>
                    <w:rPr>
                      <w:rFonts w:hint="default" w:ascii="Times New Roman" w:hAnsi="Times New Roman" w:eastAsia="宋体" w:cs="Times New Roman"/>
                      <w:color w:val="auto"/>
                      <w:sz w:val="21"/>
                      <w:szCs w:val="21"/>
                      <w:lang w:val="en-US" w:eastAsia="zh-CN"/>
                    </w:rPr>
                    <w:t>#</w:t>
                  </w:r>
                </w:p>
              </w:tc>
              <w:tc>
                <w:tcPr>
                  <w:tcW w:w="915"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项目区</w:t>
                  </w:r>
                </w:p>
              </w:tc>
              <w:tc>
                <w:tcPr>
                  <w:tcW w:w="1431"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107°40′36.85″</w:t>
                  </w:r>
                </w:p>
              </w:tc>
              <w:tc>
                <w:tcPr>
                  <w:tcW w:w="1326"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40°50′00.86″</w:t>
                  </w:r>
                </w:p>
              </w:tc>
              <w:tc>
                <w:tcPr>
                  <w:tcW w:w="843"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60</w:t>
                  </w:r>
                </w:p>
              </w:tc>
              <w:tc>
                <w:tcPr>
                  <w:tcW w:w="797"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9</w:t>
                  </w:r>
                </w:p>
              </w:tc>
              <w:tc>
                <w:tcPr>
                  <w:tcW w:w="889"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82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水质</w:t>
                  </w:r>
                  <w:r>
                    <w:rPr>
                      <w:rFonts w:hint="eastAsia" w:ascii="Times New Roman" w:hAnsi="Times New Roman" w:eastAsia="宋体" w:cs="Times New Roman"/>
                      <w:color w:val="auto"/>
                      <w:sz w:val="21"/>
                      <w:szCs w:val="21"/>
                      <w:lang w:val="en-US" w:eastAsia="zh-CN"/>
                    </w:rPr>
                    <w:t>+水位</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r>
                    <w:rPr>
                      <w:rFonts w:hint="default" w:ascii="Times New Roman" w:hAnsi="Times New Roman" w:eastAsia="宋体" w:cs="Times New Roman"/>
                      <w:color w:val="auto"/>
                      <w:sz w:val="21"/>
                      <w:szCs w:val="21"/>
                      <w:lang w:val="en-US" w:eastAsia="zh-CN"/>
                    </w:rPr>
                    <w:t>#</w:t>
                  </w:r>
                </w:p>
              </w:tc>
              <w:tc>
                <w:tcPr>
                  <w:tcW w:w="915"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蔺家圪旦</w:t>
                  </w:r>
                </w:p>
              </w:tc>
              <w:tc>
                <w:tcPr>
                  <w:tcW w:w="1431"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107°40′26.81″</w:t>
                  </w:r>
                </w:p>
              </w:tc>
              <w:tc>
                <w:tcPr>
                  <w:tcW w:w="1326"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40°49′21.93″</w:t>
                  </w:r>
                </w:p>
              </w:tc>
              <w:tc>
                <w:tcPr>
                  <w:tcW w:w="843"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80</w:t>
                  </w:r>
                </w:p>
              </w:tc>
              <w:tc>
                <w:tcPr>
                  <w:tcW w:w="797"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10</w:t>
                  </w:r>
                </w:p>
              </w:tc>
              <w:tc>
                <w:tcPr>
                  <w:tcW w:w="889"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w:t>
                  </w:r>
                </w:p>
              </w:tc>
              <w:tc>
                <w:tcPr>
                  <w:tcW w:w="82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水质</w:t>
                  </w:r>
                  <w:r>
                    <w:rPr>
                      <w:rFonts w:hint="eastAsia" w:ascii="Times New Roman" w:hAnsi="Times New Roman" w:eastAsia="宋体" w:cs="Times New Roman"/>
                      <w:color w:val="auto"/>
                      <w:sz w:val="21"/>
                      <w:szCs w:val="21"/>
                      <w:lang w:val="en-US" w:eastAsia="zh-CN"/>
                    </w:rPr>
                    <w:t>+水位</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r>
                    <w:rPr>
                      <w:rFonts w:hint="default" w:ascii="Times New Roman" w:hAnsi="Times New Roman" w:eastAsia="宋体" w:cs="Times New Roman"/>
                      <w:color w:val="auto"/>
                      <w:sz w:val="21"/>
                      <w:szCs w:val="21"/>
                      <w:lang w:val="en-US" w:eastAsia="zh-CN"/>
                    </w:rPr>
                    <w:t>#</w:t>
                  </w:r>
                </w:p>
              </w:tc>
              <w:tc>
                <w:tcPr>
                  <w:tcW w:w="915"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复丰村</w:t>
                  </w:r>
                </w:p>
              </w:tc>
              <w:tc>
                <w:tcPr>
                  <w:tcW w:w="1431"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107°41′01.72″</w:t>
                  </w:r>
                </w:p>
              </w:tc>
              <w:tc>
                <w:tcPr>
                  <w:tcW w:w="1326"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40°50′26.97″</w:t>
                  </w:r>
                </w:p>
              </w:tc>
              <w:tc>
                <w:tcPr>
                  <w:tcW w:w="843"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80</w:t>
                  </w:r>
                </w:p>
              </w:tc>
              <w:tc>
                <w:tcPr>
                  <w:tcW w:w="797"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12</w:t>
                  </w:r>
                </w:p>
              </w:tc>
              <w:tc>
                <w:tcPr>
                  <w:tcW w:w="889"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823"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水位</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r>
                    <w:rPr>
                      <w:rFonts w:hint="default" w:ascii="Times New Roman" w:hAnsi="Times New Roman" w:eastAsia="宋体" w:cs="Times New Roman"/>
                      <w:color w:val="auto"/>
                      <w:sz w:val="21"/>
                      <w:szCs w:val="21"/>
                      <w:lang w:val="en-US" w:eastAsia="zh-CN"/>
                    </w:rPr>
                    <w:t>#</w:t>
                  </w:r>
                </w:p>
              </w:tc>
              <w:tc>
                <w:tcPr>
                  <w:tcW w:w="915"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蔺家圪旦</w:t>
                  </w:r>
                </w:p>
              </w:tc>
              <w:tc>
                <w:tcPr>
                  <w:tcW w:w="1431"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107°40′39.48″</w:t>
                  </w:r>
                </w:p>
              </w:tc>
              <w:tc>
                <w:tcPr>
                  <w:tcW w:w="1326"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40°49′30.27″</w:t>
                  </w:r>
                </w:p>
              </w:tc>
              <w:tc>
                <w:tcPr>
                  <w:tcW w:w="843"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80</w:t>
                  </w:r>
                </w:p>
              </w:tc>
              <w:tc>
                <w:tcPr>
                  <w:tcW w:w="797"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10</w:t>
                  </w:r>
                </w:p>
              </w:tc>
              <w:tc>
                <w:tcPr>
                  <w:tcW w:w="889"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w:t>
                  </w:r>
                </w:p>
              </w:tc>
              <w:tc>
                <w:tcPr>
                  <w:tcW w:w="82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水位</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915"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蔺家圪旦</w:t>
                  </w:r>
                </w:p>
              </w:tc>
              <w:tc>
                <w:tcPr>
                  <w:tcW w:w="1431"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107°40′27.58″</w:t>
                  </w:r>
                </w:p>
              </w:tc>
              <w:tc>
                <w:tcPr>
                  <w:tcW w:w="1326"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40°49′17.29″</w:t>
                  </w:r>
                </w:p>
              </w:tc>
              <w:tc>
                <w:tcPr>
                  <w:tcW w:w="843"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80</w:t>
                  </w:r>
                </w:p>
              </w:tc>
              <w:tc>
                <w:tcPr>
                  <w:tcW w:w="797"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10</w:t>
                  </w:r>
                </w:p>
              </w:tc>
              <w:tc>
                <w:tcPr>
                  <w:tcW w:w="889" w:type="dxa"/>
                  <w:tcBorders>
                    <w:tl2br w:val="nil"/>
                    <w:tr2bl w:val="nil"/>
                  </w:tcBorders>
                  <w:noWrap w:val="0"/>
                  <w:vAlign w:val="center"/>
                </w:tcPr>
                <w:p>
                  <w:pPr>
                    <w:pStyle w:val="54"/>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w:t>
                  </w:r>
                </w:p>
              </w:tc>
              <w:tc>
                <w:tcPr>
                  <w:tcW w:w="823" w:type="dxa"/>
                  <w:tcBorders>
                    <w:tl2br w:val="nil"/>
                    <w:tr2bl w:val="nil"/>
                  </w:tcBorders>
                  <w:noWrap w:val="0"/>
                  <w:vAlign w:val="center"/>
                </w:tcPr>
                <w:p>
                  <w:pPr>
                    <w:pStyle w:val="54"/>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水位</w:t>
                  </w:r>
                </w:p>
              </w:tc>
            </w:tr>
          </w:tbl>
          <w:p>
            <w:pPr>
              <w:ind w:firstLine="420" w:firstLineChars="200"/>
              <w:rPr>
                <w:rFonts w:hint="default" w:ascii="Times New Roman" w:hAnsi="Times New Roman" w:eastAsia="宋体"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4</w:t>
            </w:r>
            <w:r>
              <w:rPr>
                <w:rFonts w:hint="eastAsia" w:ascii="Times New Roman" w:hAnsi="Times New Roman" w:cs="Times New Roman"/>
                <w:color w:val="auto"/>
                <w:lang w:eastAsia="zh-CN"/>
              </w:rPr>
              <w:t>）</w:t>
            </w:r>
            <w:r>
              <w:rPr>
                <w:rFonts w:hint="default" w:ascii="Times New Roman" w:hAnsi="Times New Roman" w:eastAsia="宋体" w:cs="Times New Roman"/>
                <w:color w:val="auto"/>
              </w:rPr>
              <w:t>监测分析方法</w:t>
            </w:r>
          </w:p>
          <w:p>
            <w:pPr>
              <w:ind w:firstLine="420" w:firstLineChars="200"/>
              <w:rPr>
                <w:rFonts w:hint="default" w:ascii="Times New Roman" w:hAnsi="Times New Roman" w:eastAsia="宋体" w:cs="Times New Roman"/>
                <w:bCs/>
                <w:color w:val="auto"/>
              </w:rPr>
            </w:pPr>
            <w:r>
              <w:rPr>
                <w:rFonts w:hint="default" w:ascii="Times New Roman" w:hAnsi="Times New Roman" w:eastAsia="宋体" w:cs="Times New Roman"/>
                <w:bCs/>
                <w:color w:val="auto"/>
              </w:rPr>
              <w:t>按照《环境监测技术规范》及《水和废水监测分析方法》的有关规定及要求进行。</w:t>
            </w:r>
          </w:p>
          <w:p>
            <w:pPr>
              <w:ind w:firstLine="420" w:firstLineChars="200"/>
              <w:rPr>
                <w:rFonts w:hint="default" w:ascii="Times New Roman" w:hAnsi="Times New Roman" w:eastAsia="宋体"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5</w:t>
            </w:r>
            <w:r>
              <w:rPr>
                <w:rFonts w:hint="eastAsia" w:ascii="Times New Roman" w:hAnsi="Times New Roman" w:cs="Times New Roman"/>
                <w:color w:val="auto"/>
                <w:lang w:eastAsia="zh-CN"/>
              </w:rPr>
              <w:t>）</w:t>
            </w:r>
            <w:r>
              <w:rPr>
                <w:rFonts w:hint="default" w:ascii="Times New Roman" w:hAnsi="Times New Roman" w:eastAsia="宋体" w:cs="Times New Roman"/>
                <w:color w:val="auto"/>
              </w:rPr>
              <w:t>地下水环境质量现状评价</w:t>
            </w:r>
          </w:p>
          <w:p>
            <w:pPr>
              <w:ind w:firstLine="420" w:firstLineChars="20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fldChar w:fldCharType="begin"/>
            </w:r>
            <w:r>
              <w:rPr>
                <w:rFonts w:hint="default" w:ascii="Times New Roman" w:hAnsi="Times New Roman" w:eastAsia="宋体" w:cs="Times New Roman"/>
                <w:color w:val="auto"/>
                <w:lang w:eastAsia="zh-CN"/>
              </w:rPr>
              <w:instrText xml:space="preserve"> = 1 \* GB3 </w:instrText>
            </w:r>
            <w:r>
              <w:rPr>
                <w:rFonts w:hint="default" w:ascii="Times New Roman" w:hAnsi="Times New Roman" w:eastAsia="宋体" w:cs="Times New Roman"/>
                <w:color w:val="auto"/>
                <w:lang w:eastAsia="zh-CN"/>
              </w:rPr>
              <w:fldChar w:fldCharType="separate"/>
            </w:r>
            <w:r>
              <w:rPr>
                <w:rFonts w:hint="default" w:ascii="Times New Roman" w:hAnsi="Times New Roman" w:eastAsia="宋体" w:cs="Times New Roman"/>
                <w:color w:val="auto"/>
                <w:lang w:eastAsia="zh-CN"/>
              </w:rPr>
              <w:t>①</w:t>
            </w:r>
            <w:r>
              <w:rPr>
                <w:rFonts w:hint="default" w:ascii="Times New Roman" w:hAnsi="Times New Roman" w:eastAsia="宋体" w:cs="Times New Roman"/>
                <w:color w:val="auto"/>
                <w:lang w:eastAsia="zh-CN"/>
              </w:rPr>
              <w:fldChar w:fldCharType="end"/>
            </w:r>
            <w:r>
              <w:rPr>
                <w:rFonts w:hint="default" w:ascii="Times New Roman" w:hAnsi="Times New Roman" w:eastAsia="宋体" w:cs="Times New Roman"/>
                <w:color w:val="auto"/>
                <w:lang w:eastAsia="zh-CN"/>
              </w:rPr>
              <w:t>评价方法</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采用单因子污染指数法，计算公式为：</w:t>
            </w:r>
          </w:p>
          <w:p>
            <w:pPr>
              <w:ind w:firstLine="840" w:firstLineChars="400"/>
              <w:rPr>
                <w:rFonts w:hint="default" w:ascii="Times New Roman" w:hAnsi="Times New Roman" w:eastAsia="宋体" w:cs="Times New Roman"/>
                <w:color w:val="auto"/>
              </w:rPr>
            </w:pPr>
            <w:bookmarkStart w:id="8" w:name="_Toc459679584"/>
            <w:r>
              <w:rPr>
                <w:rFonts w:hint="default" w:ascii="Times New Roman" w:hAnsi="Times New Roman" w:eastAsia="宋体" w:cs="Times New Roman"/>
                <w:color w:val="auto"/>
              </w:rPr>
              <w:t>P</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oi</w:t>
            </w:r>
            <w:bookmarkEnd w:id="8"/>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式中：P</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—i种污染物的标准指数；</w:t>
            </w:r>
          </w:p>
          <w:p>
            <w:pPr>
              <w:ind w:firstLine="1050" w:firstLineChars="500"/>
              <w:rPr>
                <w:rFonts w:hint="default" w:ascii="Times New Roman" w:hAnsi="Times New Roman" w:eastAsia="宋体" w:cs="Times New Roman"/>
                <w:color w:val="auto"/>
              </w:rPr>
            </w:pP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—i种污染物的实测浓度，mg/L；</w:t>
            </w:r>
          </w:p>
          <w:p>
            <w:pPr>
              <w:ind w:firstLine="1050" w:firstLineChars="500"/>
              <w:rPr>
                <w:rFonts w:hint="default" w:ascii="Times New Roman" w:hAnsi="Times New Roman" w:eastAsia="宋体" w:cs="Times New Roman"/>
                <w:color w:val="auto"/>
              </w:rPr>
            </w:pPr>
            <w:r>
              <w:rPr>
                <w:rFonts w:hint="default" w:ascii="Times New Roman" w:hAnsi="Times New Roman" w:eastAsia="宋体" w:cs="Times New Roman"/>
                <w:color w:val="auto"/>
              </w:rPr>
              <w:t>C</w:t>
            </w:r>
            <w:r>
              <w:rPr>
                <w:rFonts w:hint="default" w:ascii="Times New Roman" w:hAnsi="Times New Roman" w:eastAsia="宋体" w:cs="Times New Roman"/>
                <w:color w:val="auto"/>
                <w:vertAlign w:val="subscript"/>
              </w:rPr>
              <w:t>oi</w:t>
            </w:r>
            <w:r>
              <w:rPr>
                <w:rFonts w:hint="default" w:ascii="Times New Roman" w:hAnsi="Times New Roman" w:eastAsia="宋体" w:cs="Times New Roman"/>
                <w:color w:val="auto"/>
              </w:rPr>
              <w:t>—i种污染物的环境质量标准，mg/L；</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对于pH值，评价公式为：</w:t>
            </w:r>
          </w:p>
          <w:p>
            <w:pPr>
              <w:ind w:firstLine="945" w:firstLineChars="450"/>
              <w:rPr>
                <w:rFonts w:hint="default" w:ascii="Times New Roman" w:hAnsi="Times New Roman" w:eastAsia="宋体" w:cs="Times New Roman"/>
                <w:color w:val="auto"/>
              </w:rPr>
            </w:pPr>
            <w:r>
              <w:rPr>
                <w:rFonts w:hint="default" w:ascii="Times New Roman" w:hAnsi="Times New Roman" w:eastAsia="宋体" w:cs="Times New Roman"/>
                <w:color w:val="auto"/>
              </w:rPr>
              <w:t>P</w:t>
            </w:r>
            <w:r>
              <w:rPr>
                <w:rFonts w:hint="default" w:ascii="Times New Roman" w:hAnsi="Times New Roman" w:eastAsia="宋体" w:cs="Times New Roman"/>
                <w:color w:val="auto"/>
                <w:vertAlign w:val="subscript"/>
              </w:rPr>
              <w:t>pH</w:t>
            </w:r>
            <w:r>
              <w:rPr>
                <w:rFonts w:hint="default" w:ascii="Times New Roman" w:hAnsi="Times New Roman" w:eastAsia="宋体" w:cs="Times New Roman"/>
                <w:color w:val="auto"/>
              </w:rPr>
              <w:t>=(7.0-pH</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)/(7.0-pH</w:t>
            </w:r>
            <w:r>
              <w:rPr>
                <w:rFonts w:hint="default" w:ascii="Times New Roman" w:hAnsi="Times New Roman" w:eastAsia="宋体" w:cs="Times New Roman"/>
                <w:color w:val="auto"/>
                <w:vertAlign w:val="subscript"/>
              </w:rPr>
              <w:t>min</w:t>
            </w:r>
            <w:r>
              <w:rPr>
                <w:rFonts w:hint="default" w:ascii="Times New Roman" w:hAnsi="Times New Roman" w:eastAsia="宋体" w:cs="Times New Roman"/>
                <w:color w:val="auto"/>
              </w:rPr>
              <w:t>)  (pH</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≤7.0)</w:t>
            </w:r>
          </w:p>
          <w:p>
            <w:pPr>
              <w:ind w:firstLine="945" w:firstLineChars="450"/>
              <w:rPr>
                <w:rFonts w:hint="default" w:ascii="Times New Roman" w:hAnsi="Times New Roman" w:eastAsia="宋体" w:cs="Times New Roman"/>
                <w:color w:val="auto"/>
              </w:rPr>
            </w:pPr>
            <w:r>
              <w:rPr>
                <w:rFonts w:hint="default" w:ascii="Times New Roman" w:hAnsi="Times New Roman" w:eastAsia="宋体" w:cs="Times New Roman"/>
                <w:color w:val="auto"/>
              </w:rPr>
              <w:t>P</w:t>
            </w:r>
            <w:r>
              <w:rPr>
                <w:rFonts w:hint="default" w:ascii="Times New Roman" w:hAnsi="Times New Roman" w:eastAsia="宋体" w:cs="Times New Roman"/>
                <w:color w:val="auto"/>
                <w:vertAlign w:val="subscript"/>
              </w:rPr>
              <w:t>pH</w:t>
            </w:r>
            <w:r>
              <w:rPr>
                <w:rFonts w:hint="default" w:ascii="Times New Roman" w:hAnsi="Times New Roman" w:eastAsia="宋体" w:cs="Times New Roman"/>
                <w:color w:val="auto"/>
              </w:rPr>
              <w:t>=(pH</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-7.0)/(pH</w:t>
            </w:r>
            <w:r>
              <w:rPr>
                <w:rFonts w:hint="default" w:ascii="Times New Roman" w:hAnsi="Times New Roman" w:eastAsia="宋体" w:cs="Times New Roman"/>
                <w:color w:val="auto"/>
                <w:vertAlign w:val="subscript"/>
              </w:rPr>
              <w:t>max</w:t>
            </w:r>
            <w:r>
              <w:rPr>
                <w:rFonts w:hint="default" w:ascii="Times New Roman" w:hAnsi="Times New Roman" w:eastAsia="宋体" w:cs="Times New Roman"/>
                <w:color w:val="auto"/>
              </w:rPr>
              <w:t>-7.0)  (pH</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&gt;7.0)</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式中：P</w:t>
            </w:r>
            <w:r>
              <w:rPr>
                <w:rFonts w:hint="default" w:ascii="Times New Roman" w:hAnsi="Times New Roman" w:eastAsia="宋体" w:cs="Times New Roman"/>
                <w:color w:val="auto"/>
                <w:vertAlign w:val="subscript"/>
              </w:rPr>
              <w:t>pH</w:t>
            </w:r>
            <w:r>
              <w:rPr>
                <w:rFonts w:hint="default" w:ascii="Times New Roman" w:hAnsi="Times New Roman" w:eastAsia="宋体" w:cs="Times New Roman"/>
                <w:color w:val="auto"/>
              </w:rPr>
              <w:t>－i监测点的pH评价指数；</w:t>
            </w:r>
          </w:p>
          <w:p>
            <w:pPr>
              <w:ind w:firstLine="1050" w:firstLineChars="500"/>
              <w:rPr>
                <w:rFonts w:hint="default" w:ascii="Times New Roman" w:hAnsi="Times New Roman" w:eastAsia="宋体" w:cs="Times New Roman"/>
                <w:color w:val="auto"/>
              </w:rPr>
            </w:pPr>
            <w:r>
              <w:rPr>
                <w:rFonts w:hint="default" w:ascii="Times New Roman" w:hAnsi="Times New Roman" w:eastAsia="宋体" w:cs="Times New Roman"/>
                <w:color w:val="auto"/>
              </w:rPr>
              <w:t>pH</w:t>
            </w:r>
            <w:r>
              <w:rPr>
                <w:rFonts w:hint="default" w:ascii="Times New Roman" w:hAnsi="Times New Roman" w:eastAsia="宋体" w:cs="Times New Roman"/>
                <w:color w:val="auto"/>
                <w:vertAlign w:val="subscript"/>
              </w:rPr>
              <w:t>i</w:t>
            </w:r>
            <w:r>
              <w:rPr>
                <w:rFonts w:hint="default" w:ascii="Times New Roman" w:hAnsi="Times New Roman" w:eastAsia="宋体" w:cs="Times New Roman"/>
                <w:color w:val="auto"/>
              </w:rPr>
              <w:t>－i监测点的水样pH监测值；</w:t>
            </w:r>
          </w:p>
          <w:p>
            <w:pPr>
              <w:ind w:firstLine="1050" w:firstLineChars="500"/>
              <w:rPr>
                <w:rFonts w:hint="default" w:ascii="Times New Roman" w:hAnsi="Times New Roman" w:eastAsia="宋体" w:cs="Times New Roman"/>
                <w:color w:val="auto"/>
              </w:rPr>
            </w:pPr>
            <w:r>
              <w:rPr>
                <w:rFonts w:hint="default" w:ascii="Times New Roman" w:hAnsi="Times New Roman" w:eastAsia="宋体" w:cs="Times New Roman"/>
                <w:color w:val="auto"/>
              </w:rPr>
              <w:t>pH</w:t>
            </w:r>
            <w:r>
              <w:rPr>
                <w:rFonts w:hint="default" w:ascii="Times New Roman" w:hAnsi="Times New Roman" w:eastAsia="宋体" w:cs="Times New Roman"/>
                <w:color w:val="auto"/>
                <w:vertAlign w:val="subscript"/>
              </w:rPr>
              <w:t>min</w:t>
            </w:r>
            <w:r>
              <w:rPr>
                <w:rFonts w:hint="default" w:ascii="Times New Roman" w:hAnsi="Times New Roman" w:eastAsia="宋体" w:cs="Times New Roman"/>
                <w:color w:val="auto"/>
              </w:rPr>
              <w:t>－评价标准值的下限值；</w:t>
            </w:r>
          </w:p>
          <w:p>
            <w:pPr>
              <w:ind w:firstLine="1050" w:firstLineChars="500"/>
              <w:rPr>
                <w:rFonts w:hint="default" w:ascii="Times New Roman" w:hAnsi="Times New Roman" w:eastAsia="宋体" w:cs="Times New Roman"/>
                <w:color w:val="auto"/>
              </w:rPr>
            </w:pPr>
            <w:r>
              <w:rPr>
                <w:rFonts w:hint="default" w:ascii="Times New Roman" w:hAnsi="Times New Roman" w:eastAsia="宋体" w:cs="Times New Roman"/>
                <w:color w:val="auto"/>
              </w:rPr>
              <w:t>pH</w:t>
            </w:r>
            <w:r>
              <w:rPr>
                <w:rFonts w:hint="default" w:ascii="Times New Roman" w:hAnsi="Times New Roman" w:eastAsia="宋体" w:cs="Times New Roman"/>
                <w:color w:val="auto"/>
                <w:vertAlign w:val="subscript"/>
              </w:rPr>
              <w:t>max</w:t>
            </w:r>
            <w:r>
              <w:rPr>
                <w:rFonts w:hint="default" w:ascii="Times New Roman" w:hAnsi="Times New Roman" w:eastAsia="宋体" w:cs="Times New Roman"/>
                <w:color w:val="auto"/>
              </w:rPr>
              <w:t>－评价标准值的上限值。</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2 \* GB3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②</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评价标准</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采用《地下水质量标准》(GB/T14848-2017)中</w:t>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3 \* ROMAN  \* MERGEFORMAT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III</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类标准。</w:t>
            </w:r>
          </w:p>
          <w:p>
            <w:pPr>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 3 \* GB3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③</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评价结果及分析</w:t>
            </w:r>
          </w:p>
          <w:p>
            <w:pPr>
              <w:adjustRightInd w:val="0"/>
              <w:snapToGrid w:val="0"/>
              <w:spacing w:line="360" w:lineRule="auto"/>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监测结果及分析结果见</w:t>
            </w:r>
            <w:r>
              <w:rPr>
                <w:rFonts w:hint="eastAsia" w:ascii="Times New Roman" w:hAnsi="Times New Roman" w:eastAsia="宋体" w:cs="Times New Roman"/>
                <w:color w:val="auto"/>
                <w:lang w:val="en-US" w:eastAsia="zh-CN"/>
              </w:rPr>
              <w:t>24</w:t>
            </w:r>
            <w:r>
              <w:rPr>
                <w:rFonts w:hint="default" w:ascii="Times New Roman" w:hAnsi="Times New Roman" w:eastAsia="宋体" w:cs="Times New Roman"/>
                <w:color w:val="auto"/>
              </w:rPr>
              <w:t>。</w:t>
            </w:r>
          </w:p>
          <w:p>
            <w:pPr>
              <w:spacing w:line="240" w:lineRule="auto"/>
              <w:ind w:firstLine="422" w:firstLineChars="200"/>
              <w:jc w:val="center"/>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表</w:t>
            </w:r>
            <w:r>
              <w:rPr>
                <w:rFonts w:hint="eastAsia" w:ascii="宋体" w:hAnsi="宋体" w:eastAsia="宋体" w:cs="宋体"/>
                <w:b/>
                <w:bCs/>
                <w:color w:val="auto"/>
                <w:sz w:val="21"/>
                <w:szCs w:val="21"/>
                <w:lang w:val="en-US" w:eastAsia="zh-CN"/>
              </w:rPr>
              <w:t>24</w:t>
            </w:r>
            <w:r>
              <w:rPr>
                <w:rFonts w:hint="default" w:ascii="宋体" w:hAnsi="宋体" w:eastAsia="宋体" w:cs="宋体"/>
                <w:b/>
                <w:bCs/>
                <w:color w:val="auto"/>
                <w:sz w:val="21"/>
                <w:szCs w:val="21"/>
                <w:lang w:val="en-US" w:eastAsia="zh-CN"/>
              </w:rPr>
              <w:t xml:space="preserve"> 地下水水质监测一览表</w:t>
            </w:r>
          </w:p>
          <w:tbl>
            <w:tblPr>
              <w:tblStyle w:val="19"/>
              <w:tblpPr w:leftFromText="180" w:rightFromText="180" w:vertAnchor="text" w:horzAnchor="page" w:tblpXSpec="center" w:tblpY="59"/>
              <w:tblOverlap w:val="never"/>
              <w:tblW w:w="788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57"/>
              <w:gridCol w:w="1554"/>
              <w:gridCol w:w="1245"/>
              <w:gridCol w:w="1365"/>
              <w:gridCol w:w="12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检测点位</w:t>
                  </w:r>
                </w:p>
                <w:p>
                  <w:pPr>
                    <w:spacing w:line="240" w:lineRule="auto"/>
                    <w:ind w:firstLine="210" w:firstLineChars="100"/>
                    <w:jc w:val="center"/>
                    <w:rPr>
                      <w:rFonts w:hint="default" w:ascii="Times New Roman" w:hAnsi="Times New Roman" w:eastAsia="宋体" w:cs="Times New Roman"/>
                      <w:color w:val="000000"/>
                      <w:sz w:val="21"/>
                      <w:szCs w:val="21"/>
                      <w:highlight w:val="none"/>
                    </w:rPr>
                  </w:pPr>
                </w:p>
                <w:p>
                  <w:pPr>
                    <w:spacing w:line="240" w:lineRule="auto"/>
                    <w:ind w:firstLine="210" w:firstLineChars="10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检测项目</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000000"/>
                      <w:sz w:val="21"/>
                      <w:szCs w:val="21"/>
                      <w:highlight w:val="none"/>
                      <w:lang w:eastAsia="zh-CN"/>
                    </w:rPr>
                  </w:pPr>
                  <w:r>
                    <w:rPr>
                      <w:rFonts w:hint="eastAsia" w:eastAsia="宋体" w:cs="Times New Roman"/>
                      <w:color w:val="000000"/>
                      <w:sz w:val="21"/>
                      <w:szCs w:val="21"/>
                      <w:highlight w:val="none"/>
                      <w:lang w:val="en-US" w:eastAsia="zh-CN"/>
                    </w:rPr>
                    <w:t>1#</w:t>
                  </w:r>
                  <w:r>
                    <w:rPr>
                      <w:rFonts w:hint="eastAsia" w:eastAsia="宋体" w:cs="Times New Roman"/>
                      <w:color w:val="000000"/>
                      <w:sz w:val="21"/>
                      <w:szCs w:val="21"/>
                      <w:highlight w:val="none"/>
                      <w:lang w:eastAsia="zh-CN"/>
                    </w:rPr>
                    <w:t>复丰村</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eastAsia" w:eastAsia="宋体" w:cs="Times New Roman"/>
                      <w:color w:val="000000"/>
                      <w:sz w:val="21"/>
                      <w:szCs w:val="21"/>
                      <w:highlight w:val="none"/>
                      <w:lang w:val="en-US" w:eastAsia="zh-CN"/>
                    </w:rPr>
                    <w:t>2#</w:t>
                  </w:r>
                  <w:r>
                    <w:rPr>
                      <w:rFonts w:hint="eastAsia" w:eastAsia="宋体" w:cs="Times New Roman"/>
                      <w:color w:val="000000"/>
                      <w:sz w:val="21"/>
                      <w:szCs w:val="21"/>
                      <w:highlight w:val="none"/>
                      <w:lang w:eastAsia="zh-CN"/>
                    </w:rPr>
                    <w:t>项目区</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eastAsia" w:eastAsia="宋体" w:cs="Times New Roman"/>
                      <w:color w:val="000000"/>
                      <w:sz w:val="21"/>
                      <w:szCs w:val="21"/>
                      <w:highlight w:val="none"/>
                      <w:lang w:val="en-US" w:eastAsia="zh-CN"/>
                    </w:rPr>
                    <w:t>3#</w:t>
                  </w:r>
                  <w:r>
                    <w:rPr>
                      <w:rFonts w:hint="eastAsia" w:ascii="Times New Roman" w:hAnsi="Times New Roman" w:eastAsia="宋体" w:cs="Times New Roman"/>
                      <w:color w:val="000000"/>
                      <w:sz w:val="21"/>
                      <w:szCs w:val="21"/>
                      <w:highlight w:val="none"/>
                      <w:lang w:val="en-US" w:eastAsia="zh-CN"/>
                    </w:rPr>
                    <w:t>蔺家圪旦</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标准限值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钾（mg/L）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4.5</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4.0</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2.0</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钠（mg/L）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238</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206</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154</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钙（mg/L）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165</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128</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87.8</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镁（mg/L）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45.0</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57.0</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65.9</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碳酸盐（mg/L）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重碳酸盐（mg/L）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1700</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494</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494</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氯化物（mg/L）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116</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323</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178</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硫酸盐（mg/L）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726</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272</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333</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pH</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7.50</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7.64</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7.70</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6.5～8.5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总硬度（以CaCO</w:t>
                  </w:r>
                  <w:r>
                    <w:rPr>
                      <w:rFonts w:hint="default" w:ascii="Times New Roman" w:hAnsi="Times New Roman" w:eastAsia="宋体" w:cs="Times New Roman"/>
                      <w:color w:val="000000"/>
                      <w:sz w:val="21"/>
                      <w:szCs w:val="21"/>
                      <w:highlight w:val="none"/>
                      <w:vertAlign w:val="subscript"/>
                    </w:rPr>
                    <w:t>3</w:t>
                  </w:r>
                  <w:r>
                    <w:rPr>
                      <w:rFonts w:hint="default" w:ascii="Times New Roman" w:hAnsi="Times New Roman" w:eastAsia="宋体" w:cs="Times New Roman"/>
                      <w:color w:val="000000"/>
                      <w:sz w:val="21"/>
                      <w:szCs w:val="21"/>
                      <w:highlight w:val="none"/>
                    </w:rPr>
                    <w:t>计）(mg/L)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480</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561</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559</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溶解性总固体（mg/L）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1666</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1598</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1300</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耗氧量（COD</w:t>
                  </w:r>
                  <w:r>
                    <w:rPr>
                      <w:rFonts w:hint="default" w:ascii="Times New Roman" w:hAnsi="Times New Roman" w:eastAsia="宋体" w:cs="Times New Roman"/>
                      <w:color w:val="000000"/>
                      <w:sz w:val="21"/>
                      <w:szCs w:val="21"/>
                      <w:highlight w:val="none"/>
                      <w:vertAlign w:val="subscript"/>
                    </w:rPr>
                    <w:t>Mn</w:t>
                  </w:r>
                  <w:r>
                    <w:rPr>
                      <w:rFonts w:hint="default" w:ascii="Times New Roman" w:hAnsi="Times New Roman" w:eastAsia="宋体" w:cs="Times New Roman"/>
                      <w:color w:val="000000"/>
                      <w:sz w:val="21"/>
                      <w:szCs w:val="21"/>
                      <w:highlight w:val="none"/>
                    </w:rPr>
                    <w:t>法，以O</w:t>
                  </w:r>
                  <w:r>
                    <w:rPr>
                      <w:rFonts w:hint="default" w:ascii="Times New Roman" w:hAnsi="Times New Roman" w:eastAsia="宋体" w:cs="Times New Roman"/>
                      <w:color w:val="000000"/>
                      <w:sz w:val="21"/>
                      <w:szCs w:val="21"/>
                      <w:highlight w:val="none"/>
                      <w:vertAlign w:val="subscript"/>
                    </w:rPr>
                    <w:t>2</w:t>
                  </w:r>
                  <w:r>
                    <w:rPr>
                      <w:rFonts w:hint="default" w:ascii="Times New Roman" w:hAnsi="Times New Roman" w:eastAsia="宋体" w:cs="Times New Roman"/>
                      <w:color w:val="000000"/>
                      <w:sz w:val="21"/>
                      <w:szCs w:val="21"/>
                      <w:highlight w:val="none"/>
                    </w:rPr>
                    <w:t>计）(mg/L)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1.4</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1.2</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1.7</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氨氮（mg/L）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3.76</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2.77</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3.26</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硝酸盐氮(以N计)(mg/L)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0.19</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1.71</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0.66</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亚硝酸盐（mg/L）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0.009</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0.007</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0.010</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挥发性酚类（mg/L）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0.002L</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0.002L</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0.002L</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氰化物（mg/L）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0.001L</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0.001L</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0.001L</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氟化物（mg/L）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0.05</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0.05</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0.06</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铁（mg/L）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0.94</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0.52</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1.33</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锰（mg/L）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3.88</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0.71</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0.80</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砷（mg/L）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8.0×10-4</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9.0×10-4L</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8.0×10-4L</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汞（mg/L）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4.00×10-5L</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4.00×10-5L</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4.00×10-5L</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铬（六价）(mg/L)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0.004L</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0.004L</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0.004L</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铅（mg/L）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3×10-3</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1×10-3L</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1×10-3L</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镉（mg/L）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1.0×10-4L</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1.0×10-4L</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1.0×10-4L</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总大肠菌群</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菌落总数</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29</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41</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22</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2457"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石油类（mg/L）</w:t>
                  </w:r>
                </w:p>
              </w:tc>
              <w:tc>
                <w:tcPr>
                  <w:tcW w:w="1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0.01L</w:t>
                  </w:r>
                </w:p>
              </w:tc>
              <w:tc>
                <w:tcPr>
                  <w:tcW w:w="124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0.01L</w:t>
                  </w:r>
                </w:p>
              </w:tc>
              <w:tc>
                <w:tcPr>
                  <w:tcW w:w="136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0.01L</w:t>
                  </w:r>
                </w:p>
              </w:tc>
              <w:tc>
                <w:tcPr>
                  <w:tcW w:w="126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w:t>
                  </w:r>
                </w:p>
              </w:tc>
            </w:tr>
          </w:tbl>
          <w:p>
            <w:pPr>
              <w:spacing w:line="240" w:lineRule="auto"/>
              <w:ind w:firstLine="422" w:firstLineChars="200"/>
              <w:jc w:val="center"/>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表</w:t>
            </w:r>
            <w:r>
              <w:rPr>
                <w:rFonts w:hint="eastAsia" w:ascii="宋体" w:hAnsi="宋体" w:eastAsia="宋体" w:cs="宋体"/>
                <w:b/>
                <w:bCs/>
                <w:color w:val="auto"/>
                <w:sz w:val="21"/>
                <w:szCs w:val="21"/>
                <w:lang w:val="en-US" w:eastAsia="zh-CN"/>
              </w:rPr>
              <w:t>25</w:t>
            </w:r>
            <w:r>
              <w:rPr>
                <w:rFonts w:hint="default" w:ascii="宋体" w:hAnsi="宋体" w:eastAsia="宋体" w:cs="宋体"/>
                <w:b/>
                <w:bCs/>
                <w:color w:val="auto"/>
                <w:sz w:val="21"/>
                <w:szCs w:val="21"/>
                <w:lang w:val="en-US" w:eastAsia="zh-CN"/>
              </w:rPr>
              <w:t xml:space="preserve"> 地下水现状监测分析结果和评价结果一览表</w:t>
            </w:r>
          </w:p>
          <w:tbl>
            <w:tblPr>
              <w:tblStyle w:val="19"/>
              <w:tblpPr w:leftFromText="180" w:rightFromText="180" w:vertAnchor="text" w:horzAnchor="page" w:tblpXSpec="center" w:tblpY="59"/>
              <w:tblOverlap w:val="never"/>
              <w:tblW w:w="79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Layout w:type="fixed"/>
              <w:tblCellMar>
                <w:top w:w="0" w:type="dxa"/>
                <w:left w:w="0" w:type="dxa"/>
                <w:bottom w:w="0" w:type="dxa"/>
                <w:right w:w="0" w:type="dxa"/>
              </w:tblCellMar>
            </w:tblPr>
            <w:tblGrid>
              <w:gridCol w:w="2554"/>
              <w:gridCol w:w="1043"/>
              <w:gridCol w:w="1271"/>
              <w:gridCol w:w="1515"/>
              <w:gridCol w:w="15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ind w:firstLine="1680" w:firstLineChars="8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检测点位</w:t>
                  </w:r>
                </w:p>
                <w:p>
                  <w:pPr>
                    <w:spacing w:line="240" w:lineRule="auto"/>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检测项目</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eastAsia="zh-CN"/>
                    </w:rPr>
                  </w:pPr>
                  <w:r>
                    <w:rPr>
                      <w:rFonts w:hint="eastAsia" w:eastAsia="宋体" w:cs="Times New Roman"/>
                      <w:color w:val="auto"/>
                      <w:sz w:val="21"/>
                      <w:szCs w:val="21"/>
                      <w:highlight w:val="none"/>
                      <w:lang w:val="en-US" w:eastAsia="zh-CN"/>
                    </w:rPr>
                    <w:t>1#</w:t>
                  </w:r>
                  <w:r>
                    <w:rPr>
                      <w:rFonts w:hint="eastAsia" w:eastAsia="宋体" w:cs="Times New Roman"/>
                      <w:color w:val="auto"/>
                      <w:sz w:val="21"/>
                      <w:szCs w:val="21"/>
                      <w:highlight w:val="none"/>
                      <w:lang w:eastAsia="zh-CN"/>
                    </w:rPr>
                    <w:t>复丰村</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2#</w:t>
                  </w:r>
                  <w:r>
                    <w:rPr>
                      <w:rFonts w:hint="eastAsia" w:eastAsia="宋体" w:cs="Times New Roman"/>
                      <w:color w:val="auto"/>
                      <w:sz w:val="21"/>
                      <w:szCs w:val="21"/>
                      <w:highlight w:val="none"/>
                      <w:lang w:eastAsia="zh-CN"/>
                    </w:rPr>
                    <w:t>项目区</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3#</w:t>
                  </w:r>
                  <w:r>
                    <w:rPr>
                      <w:rFonts w:hint="eastAsia" w:ascii="Times New Roman" w:hAnsi="Times New Roman" w:eastAsia="宋体" w:cs="Times New Roman"/>
                      <w:color w:val="auto"/>
                      <w:sz w:val="21"/>
                      <w:szCs w:val="21"/>
                      <w:highlight w:val="none"/>
                      <w:lang w:val="en-US" w:eastAsia="zh-CN"/>
                    </w:rPr>
                    <w:t>蔺家圪旦</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标准限值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钾（mg/L）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钠（mg/L）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1.190</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1.030</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0.770</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钙（mg/L）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镁（mg/L）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碳酸盐（mg/L）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重碳酸盐（mg/L）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氯化物（mg/L）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0.464</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1.292</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0.712</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硫酸盐（mg/L）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2.904</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1.088</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1.332</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0.333</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0.427</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0.467</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6.5～8.5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总硬度（以CaCO</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计）(mg/L)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1.067</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1.247</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1.242</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溶解性总固体（mg/L）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666</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598</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300</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耗氧量（COD</w:t>
                  </w:r>
                  <w:r>
                    <w:rPr>
                      <w:rFonts w:hint="default" w:ascii="Times New Roman" w:hAnsi="Times New Roman" w:eastAsia="宋体" w:cs="Times New Roman"/>
                      <w:color w:val="auto"/>
                      <w:sz w:val="21"/>
                      <w:szCs w:val="21"/>
                      <w:highlight w:val="none"/>
                      <w:vertAlign w:val="subscript"/>
                    </w:rPr>
                    <w:t>Mn</w:t>
                  </w:r>
                  <w:r>
                    <w:rPr>
                      <w:rFonts w:hint="default" w:ascii="Times New Roman" w:hAnsi="Times New Roman" w:eastAsia="宋体" w:cs="Times New Roman"/>
                      <w:color w:val="auto"/>
                      <w:sz w:val="21"/>
                      <w:szCs w:val="21"/>
                      <w:highlight w:val="none"/>
                    </w:rPr>
                    <w:t>法，以O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计）(mg/L)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0.467</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0.400</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0.567</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氨氮（mg/L）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7.52</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5.54</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6.52</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硝酸盐氮(以N计)(mg/L)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0.0095</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0.0855</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0.033</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亚硝酸盐（mg/L）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0.009</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0.007</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0.010</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挥发性酚类（mg/L）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氰化物（mg/L）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氟化物（mg/L）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0.06</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铁（mg/L）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3.133</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1.733</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4.433</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锰（mg/L）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00"/>
                      <w:sz w:val="21"/>
                      <w:szCs w:val="21"/>
                      <w:highlight w:val="none"/>
                    </w:rPr>
                    <w:t>38</w:t>
                  </w:r>
                  <w:r>
                    <w:rPr>
                      <w:rFonts w:hint="eastAsia" w:ascii="Times New Roman" w:hAnsi="Times New Roman" w:eastAsia="宋体" w:cs="Times New Roman"/>
                      <w:color w:val="000000"/>
                      <w:sz w:val="21"/>
                      <w:szCs w:val="21"/>
                      <w:highlight w:val="none"/>
                      <w:lang w:val="en-US" w:eastAsia="zh-CN"/>
                    </w:rPr>
                    <w:t>.</w:t>
                  </w:r>
                  <w:r>
                    <w:rPr>
                      <w:rFonts w:hint="default" w:ascii="Times New Roman" w:hAnsi="Times New Roman" w:eastAsia="宋体" w:cs="Times New Roman"/>
                      <w:color w:val="000000"/>
                      <w:sz w:val="21"/>
                      <w:szCs w:val="21"/>
                      <w:highlight w:val="none"/>
                    </w:rPr>
                    <w:t>8</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00"/>
                      <w:sz w:val="21"/>
                      <w:szCs w:val="21"/>
                      <w:highlight w:val="none"/>
                    </w:rPr>
                    <w:t>7</w:t>
                  </w:r>
                  <w:r>
                    <w:rPr>
                      <w:rFonts w:hint="eastAsia" w:ascii="Times New Roman" w:hAnsi="Times New Roman" w:eastAsia="宋体" w:cs="Times New Roman"/>
                      <w:color w:val="000000"/>
                      <w:sz w:val="21"/>
                      <w:szCs w:val="21"/>
                      <w:highlight w:val="none"/>
                      <w:lang w:val="en-US" w:eastAsia="zh-CN"/>
                    </w:rPr>
                    <w:t>.</w:t>
                  </w:r>
                  <w:r>
                    <w:rPr>
                      <w:rFonts w:hint="default" w:ascii="Times New Roman" w:hAnsi="Times New Roman" w:eastAsia="宋体" w:cs="Times New Roman"/>
                      <w:color w:val="000000"/>
                      <w:sz w:val="21"/>
                      <w:szCs w:val="21"/>
                      <w:highlight w:val="none"/>
                    </w:rPr>
                    <w:t>1</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0000FF"/>
                      <w:sz w:val="21"/>
                      <w:szCs w:val="21"/>
                      <w:highlight w:val="none"/>
                      <w:lang w:eastAsia="zh-CN"/>
                    </w:rPr>
                  </w:pPr>
                  <w:r>
                    <w:rPr>
                      <w:rFonts w:hint="default" w:ascii="Times New Roman" w:hAnsi="Times New Roman" w:eastAsia="宋体" w:cs="Times New Roman"/>
                      <w:color w:val="000000"/>
                      <w:sz w:val="21"/>
                      <w:szCs w:val="21"/>
                      <w:highlight w:val="none"/>
                    </w:rPr>
                    <w:t>8</w:t>
                  </w:r>
                  <w:r>
                    <w:rPr>
                      <w:rFonts w:hint="eastAsia" w:ascii="Times New Roman" w:hAnsi="Times New Roman" w:eastAsia="宋体" w:cs="Times New Roman"/>
                      <w:color w:val="000000"/>
                      <w:sz w:val="21"/>
                      <w:szCs w:val="21"/>
                      <w:highlight w:val="none"/>
                      <w:lang w:val="en-US" w:eastAsia="zh-CN"/>
                    </w:rPr>
                    <w:t>.</w:t>
                  </w:r>
                  <w:r>
                    <w:rPr>
                      <w:rFonts w:hint="default" w:ascii="Times New Roman" w:hAnsi="Times New Roman" w:eastAsia="宋体" w:cs="Times New Roman"/>
                      <w:color w:val="000000"/>
                      <w:sz w:val="21"/>
                      <w:szCs w:val="21"/>
                      <w:highlight w:val="none"/>
                    </w:rPr>
                    <w:t>0</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砷（mg/L）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汞（mg/L）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铬（六价）(mg/L)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铅（mg/L）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镉（mg/L）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总大肠菌群</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菌落总数</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rPr>
                    <w:t>29</w:t>
                  </w:r>
                  <w:r>
                    <w:rPr>
                      <w:rFonts w:hint="eastAsia" w:ascii="Times New Roman" w:hAnsi="Times New Roman" w:eastAsia="宋体" w:cs="Times New Roman"/>
                      <w:color w:val="auto"/>
                      <w:sz w:val="21"/>
                      <w:szCs w:val="21"/>
                      <w:highlight w:val="none"/>
                      <w:lang w:val="en-US" w:eastAsia="zh-CN"/>
                    </w:rPr>
                    <w:t>0</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rPr>
                    <w:t>41</w:t>
                  </w:r>
                  <w:r>
                    <w:rPr>
                      <w:rFonts w:hint="eastAsia" w:ascii="Times New Roman" w:hAnsi="Times New Roman" w:eastAsia="宋体" w:cs="Times New Roman"/>
                      <w:color w:val="auto"/>
                      <w:sz w:val="21"/>
                      <w:szCs w:val="21"/>
                      <w:highlight w:val="none"/>
                      <w:lang w:val="en-US" w:eastAsia="zh-CN"/>
                    </w:rPr>
                    <w:t>0</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rPr>
                    <w:t>22</w:t>
                  </w:r>
                  <w:r>
                    <w:rPr>
                      <w:rFonts w:hint="eastAsia" w:ascii="Times New Roman" w:hAnsi="Times New Roman" w:eastAsia="宋体" w:cs="Times New Roman"/>
                      <w:color w:val="auto"/>
                      <w:sz w:val="21"/>
                      <w:szCs w:val="21"/>
                      <w:highlight w:val="none"/>
                      <w:lang w:val="en-US" w:eastAsia="zh-CN"/>
                    </w:rPr>
                    <w:t>0</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4" w:space="0"/>
                </w:tblBorders>
                <w:tblCellMar>
                  <w:top w:w="0" w:type="dxa"/>
                  <w:left w:w="0" w:type="dxa"/>
                  <w:bottom w:w="0" w:type="dxa"/>
                  <w:right w:w="0" w:type="dxa"/>
                </w:tblCellMar>
              </w:tblPrEx>
              <w:trPr>
                <w:trHeight w:val="369" w:hRule="atLeast"/>
                <w:jc w:val="center"/>
              </w:trPr>
              <w:tc>
                <w:tcPr>
                  <w:tcW w:w="2554"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石油类（mg/L）</w:t>
                  </w:r>
                </w:p>
              </w:tc>
              <w:tc>
                <w:tcPr>
                  <w:tcW w:w="1043"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71"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15" w:type="dxa"/>
                  <w:tcBorders>
                    <w:tl2br w:val="nil"/>
                    <w:tr2bl w:val="nil"/>
                  </w:tcBorders>
                  <w:noWrap w:val="0"/>
                  <w:tcMar>
                    <w:top w:w="15" w:type="dxa"/>
                    <w:left w:w="15" w:type="dxa"/>
                    <w:right w:w="15" w:type="dxa"/>
                  </w:tcMar>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575" w:type="dxa"/>
                  <w:tcBorders>
                    <w:tl2br w:val="nil"/>
                    <w:tr2bl w:val="nil"/>
                  </w:tcBorders>
                  <w:noWrap w:val="0"/>
                  <w:tcMar>
                    <w:top w:w="15" w:type="dxa"/>
                    <w:left w:w="15" w:type="dxa"/>
                    <w:right w:w="15"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bl>
          <w:p>
            <w:pPr>
              <w:ind w:firstLine="420" w:firstLineChars="200"/>
              <w:rPr>
                <w:rFonts w:hint="default" w:ascii="Times New Roman" w:hAnsi="Times New Roman" w:eastAsia="宋体" w:cs="Times New Roman"/>
                <w:color w:val="0000FF"/>
                <w:highlight w:val="none"/>
                <w:lang w:val="en-US" w:eastAsia="zh-CN"/>
              </w:rPr>
            </w:pPr>
            <w:r>
              <w:rPr>
                <w:rFonts w:hint="default" w:ascii="Times New Roman" w:hAnsi="Times New Roman" w:eastAsia="宋体" w:cs="Times New Roman"/>
                <w:color w:val="auto"/>
              </w:rPr>
              <w:t>由以上监测结果可知，</w:t>
            </w:r>
            <w:r>
              <w:rPr>
                <w:rFonts w:hint="eastAsia" w:ascii="Times New Roman" w:hAnsi="Times New Roman" w:eastAsia="宋体" w:cs="Times New Roman"/>
                <w:color w:val="auto"/>
                <w:lang w:val="en-US" w:eastAsia="zh-CN"/>
              </w:rPr>
              <w:t>1#复丰村、</w:t>
            </w:r>
            <w:r>
              <w:rPr>
                <w:rFonts w:hint="eastAsia" w:cs="Times New Roman"/>
                <w:color w:val="auto"/>
                <w:lang w:val="en-US" w:eastAsia="zh-CN"/>
              </w:rPr>
              <w:t>2</w:t>
            </w:r>
            <w:r>
              <w:rPr>
                <w:rFonts w:hint="eastAsia" w:ascii="Times New Roman" w:hAnsi="Times New Roman" w:eastAsia="宋体" w:cs="Times New Roman"/>
                <w:color w:val="auto"/>
                <w:lang w:val="en-US" w:eastAsia="zh-CN"/>
              </w:rPr>
              <w:t>#</w:t>
            </w:r>
            <w:r>
              <w:rPr>
                <w:rFonts w:hint="eastAsia" w:cs="Times New Roman"/>
                <w:color w:val="auto"/>
                <w:lang w:val="en-US" w:eastAsia="zh-CN"/>
              </w:rPr>
              <w:t>项目区</w:t>
            </w:r>
            <w:r>
              <w:rPr>
                <w:rFonts w:hint="eastAsia" w:ascii="Times New Roman" w:hAnsi="Times New Roman" w:eastAsia="宋体" w:cs="Times New Roman"/>
                <w:color w:val="auto"/>
                <w:lang w:val="en-US" w:eastAsia="zh-CN"/>
              </w:rPr>
              <w:t>的钠；</w:t>
            </w:r>
            <w:r>
              <w:rPr>
                <w:rFonts w:hint="eastAsia" w:cs="Times New Roman"/>
                <w:color w:val="auto"/>
                <w:lang w:val="en-US" w:eastAsia="zh-CN"/>
              </w:rPr>
              <w:t>2</w:t>
            </w:r>
            <w:r>
              <w:rPr>
                <w:rFonts w:hint="eastAsia" w:ascii="Times New Roman" w:hAnsi="Times New Roman" w:eastAsia="宋体" w:cs="Times New Roman"/>
                <w:color w:val="auto"/>
                <w:lang w:val="en-US" w:eastAsia="zh-CN"/>
              </w:rPr>
              <w:t>#</w:t>
            </w:r>
            <w:r>
              <w:rPr>
                <w:rFonts w:hint="eastAsia" w:cs="Times New Roman"/>
                <w:color w:val="auto"/>
                <w:lang w:val="en-US" w:eastAsia="zh-CN"/>
              </w:rPr>
              <w:t>项目区</w:t>
            </w:r>
            <w:r>
              <w:rPr>
                <w:rFonts w:hint="eastAsia" w:ascii="Times New Roman" w:hAnsi="Times New Roman" w:eastAsia="宋体" w:cs="Times New Roman"/>
                <w:color w:val="auto"/>
                <w:lang w:val="en-US" w:eastAsia="zh-CN"/>
              </w:rPr>
              <w:t>的氯化物；1#复丰村、2#项目区、3#蔺家圪旦的硫酸盐、</w:t>
            </w:r>
            <w:r>
              <w:rPr>
                <w:rFonts w:hint="default" w:ascii="Times New Roman" w:hAnsi="Times New Roman" w:eastAsia="宋体" w:cs="Times New Roman"/>
                <w:color w:val="auto"/>
              </w:rPr>
              <w:t>总硬度、溶解性总固体、氨氮、</w:t>
            </w:r>
            <w:r>
              <w:rPr>
                <w:rFonts w:hint="eastAsia" w:ascii="Times New Roman" w:hAnsi="Times New Roman" w:eastAsia="宋体" w:cs="Times New Roman"/>
                <w:color w:val="auto"/>
                <w:lang w:eastAsia="zh-CN"/>
              </w:rPr>
              <w:t>铁、</w:t>
            </w:r>
            <w:r>
              <w:rPr>
                <w:rFonts w:hint="default" w:ascii="Times New Roman" w:hAnsi="Times New Roman" w:eastAsia="宋体" w:cs="Times New Roman"/>
                <w:color w:val="auto"/>
              </w:rPr>
              <w:t>锰超过《地下水质量标准》（GB/T 14848-2017）III类标准外，其它均满足III类标准的要求。其中硫酸盐、氯化物、</w:t>
            </w:r>
            <w:r>
              <w:rPr>
                <w:rFonts w:hint="eastAsia" w:ascii="Times New Roman" w:hAnsi="Times New Roman" w:eastAsia="宋体" w:cs="Times New Roman"/>
                <w:color w:val="auto"/>
                <w:lang w:eastAsia="zh-CN"/>
              </w:rPr>
              <w:t>钠、铁、</w:t>
            </w:r>
            <w:r>
              <w:rPr>
                <w:rFonts w:hint="default" w:ascii="Times New Roman" w:hAnsi="Times New Roman" w:eastAsia="宋体" w:cs="Times New Roman"/>
                <w:color w:val="auto"/>
              </w:rPr>
              <w:t>锰、溶解性总固体</w:t>
            </w:r>
            <w:r>
              <w:rPr>
                <w:rFonts w:hint="eastAsia" w:cs="Times New Roman"/>
                <w:color w:val="auto"/>
                <w:lang w:eastAsia="zh-CN"/>
              </w:rPr>
              <w:t>、</w:t>
            </w:r>
            <w:r>
              <w:rPr>
                <w:rFonts w:hint="default" w:ascii="Times New Roman" w:hAnsi="Times New Roman" w:eastAsia="宋体" w:cs="Times New Roman"/>
                <w:color w:val="auto"/>
              </w:rPr>
              <w:t>总硬度的水质标准指数大于1，</w:t>
            </w:r>
            <w:r>
              <w:rPr>
                <w:rFonts w:hint="eastAsia" w:cs="Times New Roman"/>
                <w:color w:val="auto"/>
                <w:lang w:eastAsia="zh-CN"/>
              </w:rPr>
              <w:t>超标原因主要是地质原因造成的</w:t>
            </w:r>
            <w:r>
              <w:rPr>
                <w:rFonts w:hint="default" w:ascii="Times New Roman" w:hAnsi="Times New Roman" w:eastAsia="宋体" w:cs="Times New Roman"/>
                <w:color w:val="auto"/>
              </w:rPr>
              <w:t>。</w:t>
            </w:r>
            <w:r>
              <w:rPr>
                <w:rFonts w:hint="eastAsia" w:ascii="Times New Roman" w:hAnsi="Times New Roman" w:eastAsia="宋体" w:cs="Times New Roman"/>
                <w:color w:val="0000FF"/>
                <w:highlight w:val="none"/>
                <w:lang w:val="en-US" w:eastAsia="zh-CN"/>
              </w:rPr>
              <w:t>氨氮超标的原因是本项目位于巴彦淖尔市五原县天吉泰复丰村，长期进行的农业施肥、灌溉等导致农药化肥进入潜层地下水，使得区域地质环境中氨氮长期积累，本底值超标。</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Cs w:val="21"/>
              </w:rPr>
            </w:pPr>
            <w:r>
              <w:rPr>
                <w:rFonts w:hint="eastAsia" w:cs="Times New Roman"/>
                <w:b/>
                <w:bCs/>
                <w:color w:val="auto"/>
                <w:szCs w:val="21"/>
                <w:lang w:val="en-US" w:eastAsia="zh-CN"/>
              </w:rPr>
              <w:t>3</w:t>
            </w:r>
            <w:r>
              <w:rPr>
                <w:rFonts w:hint="default" w:ascii="Times New Roman" w:hAnsi="Times New Roman" w:eastAsia="宋体" w:cs="Times New Roman"/>
                <w:b/>
                <w:bCs/>
                <w:color w:val="auto"/>
                <w:szCs w:val="21"/>
              </w:rPr>
              <w:t>、声环境</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本项目</w:t>
            </w:r>
            <w:r>
              <w:rPr>
                <w:rFonts w:hint="default" w:ascii="Times New Roman" w:hAnsi="Times New Roman" w:eastAsia="宋体" w:cs="Times New Roman"/>
                <w:color w:val="auto"/>
                <w:szCs w:val="21"/>
              </w:rPr>
              <w:t>厂界外周边50 米范围内</w:t>
            </w:r>
            <w:r>
              <w:rPr>
                <w:rFonts w:hint="eastAsia" w:cs="Times New Roman"/>
                <w:color w:val="auto"/>
                <w:szCs w:val="21"/>
                <w:lang w:val="en-US" w:eastAsia="zh-CN"/>
              </w:rPr>
              <w:t>不</w:t>
            </w:r>
            <w:r>
              <w:rPr>
                <w:rFonts w:hint="default" w:ascii="Times New Roman" w:hAnsi="Times New Roman" w:eastAsia="宋体" w:cs="Times New Roman"/>
                <w:color w:val="auto"/>
                <w:szCs w:val="21"/>
              </w:rPr>
              <w:t>存在声环境保护目标，</w:t>
            </w:r>
            <w:r>
              <w:rPr>
                <w:rFonts w:hint="eastAsia" w:cs="Times New Roman"/>
                <w:color w:val="auto"/>
                <w:szCs w:val="21"/>
                <w:lang w:val="en-US" w:eastAsia="zh-CN"/>
              </w:rPr>
              <w:t>无需监测噪声现状。</w:t>
            </w:r>
          </w:p>
          <w:p>
            <w:pPr>
              <w:spacing w:line="360" w:lineRule="auto"/>
              <w:ind w:firstLine="420" w:firstLineChars="200"/>
              <w:rPr>
                <w:rFonts w:hint="default" w:ascii="Times New Roman" w:hAnsi="Times New Roman" w:eastAsia="宋体" w:cs="Times New Roman"/>
                <w:color w:val="auto"/>
                <w:szCs w:val="21"/>
              </w:rPr>
            </w:pPr>
          </w:p>
          <w:p>
            <w:pPr>
              <w:spacing w:line="360" w:lineRule="auto"/>
              <w:rPr>
                <w:rFonts w:hint="default" w:ascii="Times New Roman" w:hAnsi="Times New Roman" w:eastAsia="宋体" w:cs="Times New Roman"/>
                <w:color w:val="auto"/>
                <w:szCs w:val="21"/>
              </w:rPr>
            </w:pPr>
          </w:p>
          <w:p>
            <w:pPr>
              <w:spacing w:line="360" w:lineRule="auto"/>
              <w:rPr>
                <w:rFonts w:hint="default" w:ascii="Times New Roman" w:hAnsi="Times New Roman" w:eastAsia="宋体" w:cs="Times New Roman"/>
                <w:color w:val="auto"/>
                <w:szCs w:val="21"/>
              </w:rPr>
            </w:pPr>
          </w:p>
          <w:p>
            <w:pPr>
              <w:spacing w:line="360" w:lineRule="auto"/>
              <w:rPr>
                <w:rFonts w:hint="default" w:ascii="Times New Roman" w:hAnsi="Times New Roman" w:eastAsia="宋体" w:cs="Times New Roman"/>
                <w:color w:val="auto"/>
                <w:szCs w:val="21"/>
              </w:rPr>
            </w:pPr>
          </w:p>
          <w:p>
            <w:pPr>
              <w:spacing w:line="360" w:lineRule="auto"/>
              <w:rPr>
                <w:rFonts w:hint="default" w:ascii="Times New Roman" w:hAnsi="Times New Roman" w:eastAsia="宋体" w:cs="Times New Roman"/>
                <w:color w:val="auto"/>
                <w:szCs w:val="21"/>
              </w:rPr>
            </w:pPr>
          </w:p>
          <w:p>
            <w:pPr>
              <w:spacing w:line="360" w:lineRule="auto"/>
              <w:rPr>
                <w:rFonts w:hint="default" w:ascii="Times New Roman" w:hAnsi="Times New Roman" w:eastAsia="宋体" w:cs="Times New Roman"/>
                <w:color w:val="auto"/>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99" w:hRule="atLeast"/>
          <w:jc w:val="center"/>
        </w:trPr>
        <w:tc>
          <w:tcPr>
            <w:tcW w:w="405" w:type="dxa"/>
            <w:noWrap w:val="0"/>
            <w:vAlign w:val="center"/>
          </w:tcPr>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环境</w:t>
            </w:r>
          </w:p>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保护</w:t>
            </w:r>
          </w:p>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目标</w:t>
            </w:r>
          </w:p>
        </w:tc>
        <w:tc>
          <w:tcPr>
            <w:tcW w:w="8118" w:type="dxa"/>
            <w:noWrap w:val="0"/>
            <w:vAlign w:val="center"/>
          </w:tcPr>
          <w:p>
            <w:pPr>
              <w:bidi w:val="0"/>
              <w:rPr>
                <w:rFonts w:hint="default" w:ascii="Times New Roman" w:hAnsi="Times New Roman" w:eastAsia="宋体" w:cs="Times New Roman"/>
                <w:b/>
                <w:bCs/>
                <w:color w:val="auto"/>
                <w:lang w:eastAsia="zh-CN"/>
              </w:rPr>
            </w:pPr>
            <w:r>
              <w:rPr>
                <w:rFonts w:hint="default" w:ascii="Times New Roman" w:hAnsi="Times New Roman" w:eastAsia="宋体" w:cs="Times New Roman"/>
                <w:b/>
                <w:bCs/>
                <w:color w:val="auto"/>
                <w:lang w:eastAsia="zh-CN"/>
              </w:rPr>
              <w:t>（1）大气环境</w:t>
            </w:r>
          </w:p>
          <w:p>
            <w:pPr>
              <w:bidi w:val="0"/>
              <w:ind w:firstLine="420" w:firstLineChars="20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本项目厂界外500米范围</w:t>
            </w:r>
            <w:r>
              <w:rPr>
                <w:rFonts w:hint="default" w:ascii="Times New Roman" w:hAnsi="Times New Roman" w:eastAsia="宋体" w:cs="Times New Roman"/>
                <w:color w:val="auto"/>
                <w:lang w:val="en-US" w:eastAsia="zh-CN"/>
              </w:rPr>
              <w:t>无</w:t>
            </w:r>
            <w:r>
              <w:rPr>
                <w:rFonts w:hint="default" w:ascii="Times New Roman" w:hAnsi="Times New Roman" w:eastAsia="宋体" w:cs="Times New Roman"/>
                <w:color w:val="auto"/>
                <w:lang w:eastAsia="zh-CN"/>
              </w:rPr>
              <w:t>自然保护区、风景名胜区、居住区、文化区和农村地区中人群较集中的区域等保护目标。</w:t>
            </w:r>
          </w:p>
          <w:p>
            <w:pPr>
              <w:bidi w:val="0"/>
              <w:rPr>
                <w:rFonts w:hint="default" w:ascii="Times New Roman" w:hAnsi="Times New Roman" w:eastAsia="宋体" w:cs="Times New Roman"/>
                <w:b/>
                <w:bCs/>
                <w:color w:val="auto"/>
                <w:lang w:eastAsia="zh-CN"/>
              </w:rPr>
            </w:pPr>
            <w:r>
              <w:rPr>
                <w:rFonts w:hint="default" w:ascii="Times New Roman" w:hAnsi="Times New Roman" w:eastAsia="宋体" w:cs="Times New Roman"/>
                <w:b/>
                <w:bCs/>
                <w:color w:val="auto"/>
                <w:lang w:eastAsia="zh-CN"/>
              </w:rPr>
              <w:t>（2）声环境</w:t>
            </w:r>
          </w:p>
          <w:p>
            <w:pPr>
              <w:bidi w:val="0"/>
              <w:ind w:firstLine="420" w:firstLineChars="20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本项目厂界外50米范围内无声环境保护目标。</w:t>
            </w:r>
          </w:p>
          <w:p>
            <w:pPr>
              <w:bidi w:val="0"/>
              <w:rPr>
                <w:rFonts w:hint="default" w:ascii="Times New Roman" w:hAnsi="Times New Roman" w:eastAsia="宋体" w:cs="Times New Roman"/>
                <w:b/>
                <w:bCs/>
                <w:color w:val="auto"/>
                <w:lang w:eastAsia="zh-CN"/>
              </w:rPr>
            </w:pPr>
            <w:r>
              <w:rPr>
                <w:rFonts w:hint="default" w:ascii="Times New Roman" w:hAnsi="Times New Roman" w:eastAsia="宋体" w:cs="Times New Roman"/>
                <w:b/>
                <w:bCs/>
                <w:color w:val="auto"/>
                <w:lang w:eastAsia="zh-CN"/>
              </w:rPr>
              <w:t>（3）地下水环境</w:t>
            </w:r>
          </w:p>
          <w:p>
            <w:pPr>
              <w:bidi w:val="0"/>
              <w:ind w:firstLine="420" w:firstLineChars="20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本项目厂界外500米范围内无地下水集中式饮用水水源和热水、矿泉水、温泉等特殊地下水资源。</w:t>
            </w:r>
          </w:p>
          <w:p>
            <w:pPr>
              <w:bidi w:val="0"/>
              <w:rPr>
                <w:rFonts w:hint="default" w:ascii="Times New Roman" w:hAnsi="Times New Roman" w:eastAsia="宋体" w:cs="Times New Roman"/>
                <w:b/>
                <w:bCs/>
                <w:color w:val="auto"/>
                <w:lang w:eastAsia="zh-CN"/>
              </w:rPr>
            </w:pPr>
            <w:r>
              <w:rPr>
                <w:rFonts w:hint="default" w:ascii="Times New Roman" w:hAnsi="Times New Roman" w:eastAsia="宋体" w:cs="Times New Roman"/>
                <w:b/>
                <w:bCs/>
                <w:color w:val="auto"/>
                <w:lang w:eastAsia="zh-CN"/>
              </w:rPr>
              <w:t>（4）</w:t>
            </w:r>
            <w:r>
              <w:rPr>
                <w:rFonts w:hint="eastAsia" w:cs="Times New Roman"/>
                <w:b/>
                <w:bCs/>
                <w:color w:val="auto"/>
                <w:lang w:val="en-US" w:eastAsia="zh-CN"/>
              </w:rPr>
              <w:t>土壤</w:t>
            </w:r>
            <w:r>
              <w:rPr>
                <w:rFonts w:hint="default" w:ascii="Times New Roman" w:hAnsi="Times New Roman" w:eastAsia="宋体" w:cs="Times New Roman"/>
                <w:b/>
                <w:bCs/>
                <w:color w:val="auto"/>
                <w:lang w:eastAsia="zh-CN"/>
              </w:rPr>
              <w:t>环境</w:t>
            </w:r>
          </w:p>
          <w:p>
            <w:pPr>
              <w:bidi w:val="0"/>
              <w:ind w:firstLine="420" w:firstLineChars="20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土壤</w:t>
            </w:r>
            <w:r>
              <w:rPr>
                <w:rFonts w:hint="default" w:ascii="Times New Roman" w:hAnsi="Times New Roman" w:eastAsia="宋体" w:cs="Times New Roman"/>
                <w:color w:val="auto"/>
                <w:highlight w:val="none"/>
                <w:lang w:eastAsia="zh-CN"/>
              </w:rPr>
              <w:t>环境保护目标主要为</w:t>
            </w:r>
            <w:r>
              <w:rPr>
                <w:rFonts w:hint="eastAsia" w:cs="Times New Roman"/>
                <w:color w:val="auto"/>
                <w:highlight w:val="none"/>
                <w:lang w:val="en-US" w:eastAsia="zh-CN"/>
              </w:rPr>
              <w:t>厂界外0.05km范围内无土壤环境保护目标。</w:t>
            </w:r>
          </w:p>
          <w:p>
            <w:pPr>
              <w:bidi w:val="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本项目主要环境保护对象及其保护目标见表</w:t>
            </w:r>
            <w:r>
              <w:rPr>
                <w:rFonts w:hint="eastAsia" w:cs="Times New Roman"/>
                <w:color w:val="auto"/>
                <w:lang w:val="en-US" w:eastAsia="zh-CN"/>
              </w:rPr>
              <w:t>26</w:t>
            </w:r>
            <w:r>
              <w:rPr>
                <w:rFonts w:hint="default" w:ascii="Times New Roman" w:hAnsi="Times New Roman" w:eastAsia="宋体" w:cs="Times New Roman"/>
                <w:color w:val="auto"/>
                <w:highlight w:val="none"/>
                <w:lang w:eastAsia="zh-CN"/>
              </w:rPr>
              <w:t>。</w:t>
            </w:r>
          </w:p>
          <w:p>
            <w:pPr>
              <w:spacing w:line="240" w:lineRule="auto"/>
              <w:ind w:firstLine="422" w:firstLineChars="200"/>
              <w:jc w:val="center"/>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表</w:t>
            </w:r>
            <w:r>
              <w:rPr>
                <w:rFonts w:hint="eastAsia" w:ascii="宋体" w:hAnsi="宋体" w:eastAsia="宋体" w:cs="宋体"/>
                <w:b/>
                <w:bCs/>
                <w:color w:val="auto"/>
                <w:sz w:val="21"/>
                <w:szCs w:val="21"/>
                <w:lang w:val="en-US" w:eastAsia="zh-CN"/>
              </w:rPr>
              <w:t xml:space="preserve">26 </w:t>
            </w:r>
            <w:r>
              <w:rPr>
                <w:rFonts w:hint="default" w:ascii="宋体" w:hAnsi="宋体" w:eastAsia="宋体" w:cs="宋体"/>
                <w:b/>
                <w:bCs/>
                <w:color w:val="auto"/>
                <w:sz w:val="21"/>
                <w:szCs w:val="21"/>
                <w:lang w:val="en-US" w:eastAsia="zh-CN"/>
              </w:rPr>
              <w:t>环境保护目标一览表</w:t>
            </w:r>
          </w:p>
          <w:tbl>
            <w:tblPr>
              <w:tblStyle w:val="19"/>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955"/>
              <w:gridCol w:w="1118"/>
              <w:gridCol w:w="1119"/>
              <w:gridCol w:w="1091"/>
              <w:gridCol w:w="1283"/>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blHeader/>
                <w:jc w:val="center"/>
              </w:trPr>
              <w:tc>
                <w:tcPr>
                  <w:tcW w:w="851"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
                      <w:bCs w:val="0"/>
                      <w:snapToGrid w:val="0"/>
                      <w:color w:val="auto"/>
                      <w:kern w:val="24"/>
                      <w:sz w:val="21"/>
                      <w:szCs w:val="21"/>
                      <w:highlight w:val="none"/>
                    </w:rPr>
                  </w:pPr>
                  <w:r>
                    <w:rPr>
                      <w:rFonts w:hint="default" w:ascii="Times New Roman" w:hAnsi="Times New Roman" w:eastAsia="宋体" w:cs="Times New Roman"/>
                      <w:b/>
                      <w:bCs w:val="0"/>
                      <w:snapToGrid w:val="0"/>
                      <w:color w:val="auto"/>
                      <w:kern w:val="24"/>
                      <w:sz w:val="21"/>
                      <w:szCs w:val="21"/>
                      <w:highlight w:val="none"/>
                    </w:rPr>
                    <w:t>环境</w:t>
                  </w:r>
                </w:p>
                <w:p>
                  <w:pPr>
                    <w:pStyle w:val="50"/>
                    <w:spacing w:line="240" w:lineRule="auto"/>
                    <w:ind w:left="-105" w:leftChars="-50" w:right="-105" w:rightChars="-50" w:firstLine="0" w:firstLineChars="0"/>
                    <w:jc w:val="center"/>
                    <w:rPr>
                      <w:rFonts w:hint="default" w:ascii="Times New Roman" w:hAnsi="Times New Roman" w:eastAsia="宋体" w:cs="Times New Roman"/>
                      <w:b/>
                      <w:bCs w:val="0"/>
                      <w:snapToGrid w:val="0"/>
                      <w:color w:val="auto"/>
                      <w:kern w:val="24"/>
                      <w:sz w:val="21"/>
                      <w:szCs w:val="21"/>
                      <w:highlight w:val="none"/>
                    </w:rPr>
                  </w:pPr>
                  <w:r>
                    <w:rPr>
                      <w:rFonts w:hint="default" w:ascii="Times New Roman" w:hAnsi="Times New Roman" w:eastAsia="宋体" w:cs="Times New Roman"/>
                      <w:b/>
                      <w:bCs w:val="0"/>
                      <w:snapToGrid w:val="0"/>
                      <w:color w:val="auto"/>
                      <w:kern w:val="24"/>
                      <w:sz w:val="21"/>
                      <w:szCs w:val="21"/>
                      <w:highlight w:val="none"/>
                    </w:rPr>
                    <w:t>要素</w:t>
                  </w:r>
                </w:p>
              </w:tc>
              <w:tc>
                <w:tcPr>
                  <w:tcW w:w="95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
                      <w:bCs w:val="0"/>
                      <w:snapToGrid w:val="0"/>
                      <w:color w:val="auto"/>
                      <w:kern w:val="24"/>
                      <w:sz w:val="21"/>
                      <w:szCs w:val="21"/>
                      <w:highlight w:val="none"/>
                      <w:lang w:eastAsia="zh-CN"/>
                    </w:rPr>
                  </w:pPr>
                  <w:r>
                    <w:rPr>
                      <w:rFonts w:hint="default" w:ascii="Times New Roman" w:hAnsi="Times New Roman" w:eastAsia="宋体" w:cs="Times New Roman"/>
                      <w:b/>
                      <w:bCs w:val="0"/>
                      <w:snapToGrid w:val="0"/>
                      <w:color w:val="auto"/>
                      <w:kern w:val="24"/>
                      <w:sz w:val="21"/>
                      <w:szCs w:val="21"/>
                      <w:highlight w:val="none"/>
                      <w:lang w:val="en-US" w:eastAsia="zh-CN"/>
                    </w:rPr>
                    <w:t>距离</w:t>
                  </w:r>
                </w:p>
              </w:tc>
              <w:tc>
                <w:tcPr>
                  <w:tcW w:w="1118"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
                      <w:bCs w:val="0"/>
                      <w:snapToGrid w:val="0"/>
                      <w:color w:val="auto"/>
                      <w:kern w:val="24"/>
                      <w:sz w:val="21"/>
                      <w:szCs w:val="21"/>
                      <w:highlight w:val="none"/>
                      <w:lang w:val="en-US" w:eastAsia="zh-CN"/>
                    </w:rPr>
                  </w:pPr>
                  <w:r>
                    <w:rPr>
                      <w:rFonts w:hint="default" w:ascii="Times New Roman" w:hAnsi="Times New Roman" w:eastAsia="宋体" w:cs="Times New Roman"/>
                      <w:b/>
                      <w:bCs w:val="0"/>
                      <w:snapToGrid w:val="0"/>
                      <w:color w:val="auto"/>
                      <w:kern w:val="24"/>
                      <w:sz w:val="21"/>
                      <w:szCs w:val="21"/>
                      <w:highlight w:val="none"/>
                      <w:lang w:val="en-US" w:eastAsia="zh-CN"/>
                    </w:rPr>
                    <w:t>方位</w:t>
                  </w:r>
                </w:p>
              </w:tc>
              <w:tc>
                <w:tcPr>
                  <w:tcW w:w="111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
                      <w:bCs w:val="0"/>
                      <w:snapToGrid w:val="0"/>
                      <w:color w:val="auto"/>
                      <w:kern w:val="24"/>
                      <w:sz w:val="21"/>
                      <w:szCs w:val="21"/>
                      <w:highlight w:val="none"/>
                      <w:lang w:val="en-US" w:eastAsia="zh-CN"/>
                    </w:rPr>
                  </w:pPr>
                  <w:r>
                    <w:rPr>
                      <w:rFonts w:hint="default" w:ascii="Times New Roman" w:hAnsi="Times New Roman" w:eastAsia="宋体" w:cs="Times New Roman"/>
                      <w:b/>
                      <w:bCs w:val="0"/>
                      <w:snapToGrid w:val="0"/>
                      <w:color w:val="auto"/>
                      <w:kern w:val="24"/>
                      <w:sz w:val="21"/>
                      <w:szCs w:val="21"/>
                      <w:highlight w:val="none"/>
                      <w:lang w:val="en-US" w:eastAsia="zh-CN"/>
                    </w:rPr>
                    <w:t>保护对象</w:t>
                  </w:r>
                </w:p>
              </w:tc>
              <w:tc>
                <w:tcPr>
                  <w:tcW w:w="1091" w:type="dxa"/>
                  <w:tcBorders>
                    <w:tl2br w:val="nil"/>
                    <w:tr2bl w:val="nil"/>
                  </w:tcBorders>
                  <w:noWrap w:val="0"/>
                  <w:vAlign w:val="center"/>
                </w:tcPr>
                <w:p>
                  <w:pPr>
                    <w:pStyle w:val="50"/>
                    <w:spacing w:line="240" w:lineRule="auto"/>
                    <w:ind w:firstLine="0" w:firstLineChars="0"/>
                    <w:jc w:val="center"/>
                    <w:rPr>
                      <w:rFonts w:hint="default" w:ascii="Times New Roman" w:hAnsi="Times New Roman" w:eastAsia="宋体" w:cs="Times New Roman"/>
                      <w:b/>
                      <w:bCs w:val="0"/>
                      <w:snapToGrid w:val="0"/>
                      <w:color w:val="auto"/>
                      <w:kern w:val="24"/>
                      <w:sz w:val="21"/>
                      <w:szCs w:val="21"/>
                      <w:highlight w:val="none"/>
                    </w:rPr>
                  </w:pPr>
                  <w:r>
                    <w:rPr>
                      <w:rFonts w:hint="default" w:ascii="Times New Roman" w:hAnsi="Times New Roman" w:eastAsia="宋体" w:cs="Times New Roman"/>
                      <w:b/>
                      <w:bCs w:val="0"/>
                      <w:snapToGrid w:val="0"/>
                      <w:color w:val="auto"/>
                      <w:kern w:val="24"/>
                      <w:sz w:val="21"/>
                      <w:szCs w:val="21"/>
                      <w:highlight w:val="none"/>
                    </w:rPr>
                    <w:t>保护</w:t>
                  </w:r>
                </w:p>
                <w:p>
                  <w:pPr>
                    <w:pStyle w:val="50"/>
                    <w:spacing w:line="240" w:lineRule="auto"/>
                    <w:ind w:firstLine="0" w:firstLineChars="0"/>
                    <w:jc w:val="center"/>
                    <w:rPr>
                      <w:rFonts w:hint="default" w:ascii="Times New Roman" w:hAnsi="Times New Roman" w:eastAsia="宋体" w:cs="Times New Roman"/>
                      <w:b/>
                      <w:bCs w:val="0"/>
                      <w:snapToGrid w:val="0"/>
                      <w:color w:val="auto"/>
                      <w:kern w:val="24"/>
                      <w:sz w:val="21"/>
                      <w:szCs w:val="21"/>
                      <w:highlight w:val="none"/>
                    </w:rPr>
                  </w:pPr>
                  <w:r>
                    <w:rPr>
                      <w:rFonts w:hint="default" w:ascii="Times New Roman" w:hAnsi="Times New Roman" w:eastAsia="宋体" w:cs="Times New Roman"/>
                      <w:b/>
                      <w:bCs w:val="0"/>
                      <w:snapToGrid w:val="0"/>
                      <w:color w:val="auto"/>
                      <w:kern w:val="24"/>
                      <w:sz w:val="21"/>
                      <w:szCs w:val="21"/>
                      <w:highlight w:val="none"/>
                    </w:rPr>
                    <w:t>内容</w:t>
                  </w:r>
                </w:p>
              </w:tc>
              <w:tc>
                <w:tcPr>
                  <w:tcW w:w="1283" w:type="dxa"/>
                  <w:tcBorders>
                    <w:tl2br w:val="nil"/>
                    <w:tr2bl w:val="nil"/>
                  </w:tcBorders>
                  <w:noWrap w:val="0"/>
                  <w:tcMar>
                    <w:top w:w="28" w:type="dxa"/>
                    <w:left w:w="28" w:type="dxa"/>
                    <w:bottom w:w="28" w:type="dxa"/>
                    <w:right w:w="28" w:type="dxa"/>
                  </w:tcMar>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
                      <w:bCs w:val="0"/>
                      <w:snapToGrid w:val="0"/>
                      <w:color w:val="auto"/>
                      <w:kern w:val="24"/>
                      <w:sz w:val="21"/>
                      <w:szCs w:val="21"/>
                      <w:highlight w:val="none"/>
                    </w:rPr>
                  </w:pPr>
                  <w:r>
                    <w:rPr>
                      <w:rFonts w:hint="default" w:ascii="Times New Roman" w:hAnsi="Times New Roman" w:eastAsia="宋体" w:cs="Times New Roman"/>
                      <w:b/>
                      <w:bCs w:val="0"/>
                      <w:snapToGrid w:val="0"/>
                      <w:color w:val="auto"/>
                      <w:kern w:val="24"/>
                      <w:sz w:val="21"/>
                      <w:szCs w:val="21"/>
                      <w:highlight w:val="none"/>
                    </w:rPr>
                    <w:t>环境功能区</w:t>
                  </w:r>
                </w:p>
              </w:tc>
              <w:tc>
                <w:tcPr>
                  <w:tcW w:w="1521" w:type="dxa"/>
                  <w:tcBorders>
                    <w:tl2br w:val="nil"/>
                    <w:tr2bl w:val="nil"/>
                  </w:tcBorders>
                  <w:noWrap w:val="0"/>
                  <w:vAlign w:val="center"/>
                </w:tcPr>
                <w:p>
                  <w:pPr>
                    <w:pStyle w:val="50"/>
                    <w:spacing w:line="240" w:lineRule="auto"/>
                    <w:ind w:right="-105" w:rightChars="-50" w:firstLine="0" w:firstLineChars="0"/>
                    <w:jc w:val="center"/>
                    <w:rPr>
                      <w:rFonts w:hint="default" w:ascii="Times New Roman" w:hAnsi="Times New Roman" w:eastAsia="宋体" w:cs="Times New Roman"/>
                      <w:b/>
                      <w:bCs w:val="0"/>
                      <w:snapToGrid w:val="0"/>
                      <w:color w:val="auto"/>
                      <w:kern w:val="24"/>
                      <w:sz w:val="21"/>
                      <w:szCs w:val="21"/>
                      <w:highlight w:val="none"/>
                      <w:lang w:val="en-US" w:eastAsia="zh-CN"/>
                    </w:rPr>
                  </w:pPr>
                  <w:r>
                    <w:rPr>
                      <w:rFonts w:hint="default" w:ascii="Times New Roman" w:hAnsi="Times New Roman" w:eastAsia="宋体" w:cs="Times New Roman"/>
                      <w:b/>
                      <w:bCs w:val="0"/>
                      <w:snapToGrid w:val="0"/>
                      <w:color w:val="auto"/>
                      <w:kern w:val="24"/>
                      <w:sz w:val="21"/>
                      <w:szCs w:val="21"/>
                      <w:highlight w:val="none"/>
                      <w:lang w:val="en-US" w:eastAsia="zh-CN"/>
                    </w:rPr>
                    <w:t>保护目标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blHeader/>
                <w:jc w:val="center"/>
              </w:trPr>
              <w:tc>
                <w:tcPr>
                  <w:tcW w:w="851"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bCs/>
                      <w:snapToGrid w:val="0"/>
                      <w:color w:val="auto"/>
                      <w:kern w:val="24"/>
                      <w:sz w:val="21"/>
                      <w:szCs w:val="21"/>
                      <w:highlight w:val="none"/>
                    </w:rPr>
                    <w:t>大气</w:t>
                  </w:r>
                </w:p>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bCs/>
                      <w:snapToGrid w:val="0"/>
                      <w:color w:val="auto"/>
                      <w:kern w:val="24"/>
                      <w:sz w:val="21"/>
                      <w:szCs w:val="21"/>
                      <w:highlight w:val="none"/>
                    </w:rPr>
                    <w:t>环境</w:t>
                  </w:r>
                </w:p>
              </w:tc>
              <w:tc>
                <w:tcPr>
                  <w:tcW w:w="3192" w:type="dxa"/>
                  <w:gridSpan w:val="3"/>
                  <w:tcBorders>
                    <w:tl2br w:val="nil"/>
                    <w:tr2bl w:val="nil"/>
                  </w:tcBorders>
                  <w:noWrap w:val="0"/>
                  <w:vAlign w:val="center"/>
                </w:tcPr>
                <w:p>
                  <w:pPr>
                    <w:pStyle w:val="50"/>
                    <w:spacing w:line="240" w:lineRule="auto"/>
                    <w:ind w:right="-105" w:rightChars="-5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厂界范围外扩500m</w:t>
                  </w:r>
                  <w:r>
                    <w:rPr>
                      <w:rFonts w:hint="default" w:ascii="Times New Roman" w:hAnsi="Times New Roman" w:eastAsia="宋体" w:cs="Times New Roman"/>
                      <w:bCs/>
                      <w:snapToGrid w:val="0"/>
                      <w:color w:val="auto"/>
                      <w:kern w:val="24"/>
                      <w:sz w:val="21"/>
                      <w:szCs w:val="21"/>
                      <w:highlight w:val="none"/>
                    </w:rPr>
                    <w:t>范围内无</w:t>
                  </w:r>
                  <w:r>
                    <w:rPr>
                      <w:rFonts w:hint="eastAsia" w:ascii="Times New Roman" w:hAnsi="Times New Roman" w:eastAsia="宋体" w:cs="Times New Roman"/>
                      <w:bCs/>
                      <w:snapToGrid w:val="0"/>
                      <w:color w:val="auto"/>
                      <w:kern w:val="24"/>
                      <w:sz w:val="21"/>
                      <w:szCs w:val="21"/>
                      <w:highlight w:val="none"/>
                      <w:lang w:val="en-US" w:eastAsia="zh-CN"/>
                    </w:rPr>
                    <w:t>大气环境</w:t>
                  </w:r>
                  <w:r>
                    <w:rPr>
                      <w:rFonts w:hint="default" w:ascii="Times New Roman" w:hAnsi="Times New Roman" w:eastAsia="宋体" w:cs="Times New Roman"/>
                      <w:bCs/>
                      <w:snapToGrid w:val="0"/>
                      <w:color w:val="auto"/>
                      <w:kern w:val="24"/>
                      <w:sz w:val="21"/>
                      <w:szCs w:val="21"/>
                      <w:highlight w:val="none"/>
                    </w:rPr>
                    <w:t>保护目标</w:t>
                  </w:r>
                </w:p>
              </w:tc>
              <w:tc>
                <w:tcPr>
                  <w:tcW w:w="1091" w:type="dxa"/>
                  <w:tcBorders>
                    <w:tl2br w:val="nil"/>
                    <w:tr2bl w:val="nil"/>
                  </w:tcBorders>
                  <w:noWrap w:val="0"/>
                  <w:vAlign w:val="center"/>
                </w:tcPr>
                <w:p>
                  <w:pPr>
                    <w:pStyle w:val="50"/>
                    <w:spacing w:line="240" w:lineRule="auto"/>
                    <w:ind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bCs/>
                      <w:snapToGrid w:val="0"/>
                      <w:color w:val="auto"/>
                      <w:kern w:val="24"/>
                      <w:sz w:val="21"/>
                      <w:szCs w:val="21"/>
                      <w:highlight w:val="none"/>
                    </w:rPr>
                    <w:t>不对周围环境空气质量产生明显影响</w:t>
                  </w:r>
                </w:p>
              </w:tc>
              <w:tc>
                <w:tcPr>
                  <w:tcW w:w="1283" w:type="dxa"/>
                  <w:tcBorders>
                    <w:tl2br w:val="nil"/>
                    <w:tr2bl w:val="nil"/>
                  </w:tcBorders>
                  <w:noWrap w:val="0"/>
                  <w:tcMar>
                    <w:top w:w="28" w:type="dxa"/>
                    <w:left w:w="28" w:type="dxa"/>
                    <w:bottom w:w="28" w:type="dxa"/>
                    <w:right w:w="28" w:type="dxa"/>
                  </w:tcMar>
                  <w:vAlign w:val="center"/>
                </w:tcPr>
                <w:p>
                  <w:pPr>
                    <w:pStyle w:val="50"/>
                    <w:spacing w:line="240" w:lineRule="auto"/>
                    <w:ind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bCs/>
                      <w:snapToGrid w:val="0"/>
                      <w:color w:val="auto"/>
                      <w:kern w:val="24"/>
                      <w:sz w:val="21"/>
                      <w:szCs w:val="21"/>
                      <w:highlight w:val="none"/>
                    </w:rPr>
                    <w:t>GB3095-2012二级标准</w:t>
                  </w:r>
                </w:p>
              </w:tc>
              <w:tc>
                <w:tcPr>
                  <w:tcW w:w="1521" w:type="dxa"/>
                  <w:tcBorders>
                    <w:tl2br w:val="nil"/>
                    <w:tr2bl w:val="nil"/>
                  </w:tcBorders>
                  <w:noWrap w:val="0"/>
                  <w:vAlign w:val="center"/>
                </w:tcPr>
                <w:p>
                  <w:pPr>
                    <w:pStyle w:val="50"/>
                    <w:spacing w:line="240" w:lineRule="auto"/>
                    <w:ind w:firstLine="0" w:firstLineChars="0"/>
                    <w:jc w:val="center"/>
                    <w:rPr>
                      <w:rFonts w:hint="default" w:ascii="Times New Roman" w:hAnsi="Times New Roman" w:eastAsia="宋体" w:cs="Times New Roman"/>
                      <w:bCs/>
                      <w:snapToGrid w:val="0"/>
                      <w:color w:val="auto"/>
                      <w:kern w:val="24"/>
                      <w:sz w:val="21"/>
                      <w:szCs w:val="21"/>
                      <w:highlight w:val="none"/>
                      <w:lang w:val="en-US" w:eastAsia="zh-CN"/>
                    </w:rPr>
                  </w:pPr>
                  <w:r>
                    <w:rPr>
                      <w:rFonts w:hint="default" w:ascii="Times New Roman" w:hAnsi="Times New Roman" w:eastAsia="宋体" w:cs="Times New Roman"/>
                      <w:bCs/>
                      <w:snapToGrid w:val="0"/>
                      <w:color w:val="auto"/>
                      <w:kern w:val="24"/>
                      <w:sz w:val="21"/>
                      <w:szCs w:val="21"/>
                      <w:highlight w:val="none"/>
                      <w:lang w:val="en-US" w:eastAsia="zh-CN"/>
                    </w:rPr>
                    <w:t>大气环境不受污染影响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851"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bCs/>
                      <w:snapToGrid w:val="0"/>
                      <w:color w:val="auto"/>
                      <w:kern w:val="24"/>
                      <w:sz w:val="21"/>
                      <w:szCs w:val="21"/>
                      <w:highlight w:val="none"/>
                    </w:rPr>
                    <w:t>地下水环境</w:t>
                  </w:r>
                </w:p>
              </w:tc>
              <w:tc>
                <w:tcPr>
                  <w:tcW w:w="3192" w:type="dxa"/>
                  <w:gridSpan w:val="3"/>
                  <w:tcBorders>
                    <w:tl2br w:val="nil"/>
                    <w:tr2bl w:val="nil"/>
                  </w:tcBorders>
                  <w:noWrap w:val="0"/>
                  <w:vAlign w:val="center"/>
                </w:tcPr>
                <w:p>
                  <w:pPr>
                    <w:pStyle w:val="50"/>
                    <w:spacing w:line="240" w:lineRule="auto"/>
                    <w:ind w:right="-105" w:rightChars="-50"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color w:val="auto"/>
                      <w:sz w:val="21"/>
                      <w:szCs w:val="21"/>
                      <w:highlight w:val="none"/>
                    </w:rPr>
                    <w:t>厂界范围外扩500m</w:t>
                  </w:r>
                  <w:r>
                    <w:rPr>
                      <w:rFonts w:hint="default" w:ascii="Times New Roman" w:hAnsi="Times New Roman" w:eastAsia="宋体" w:cs="Times New Roman"/>
                      <w:bCs/>
                      <w:snapToGrid w:val="0"/>
                      <w:color w:val="auto"/>
                      <w:kern w:val="24"/>
                      <w:sz w:val="21"/>
                      <w:szCs w:val="21"/>
                      <w:highlight w:val="none"/>
                    </w:rPr>
                    <w:t>范围内无地下水保护目标</w:t>
                  </w:r>
                </w:p>
              </w:tc>
              <w:tc>
                <w:tcPr>
                  <w:tcW w:w="1091" w:type="dxa"/>
                  <w:tcBorders>
                    <w:tl2br w:val="nil"/>
                    <w:tr2bl w:val="nil"/>
                  </w:tcBorders>
                  <w:noWrap w:val="0"/>
                  <w:vAlign w:val="center"/>
                </w:tcPr>
                <w:p>
                  <w:pPr>
                    <w:pStyle w:val="50"/>
                    <w:spacing w:line="240" w:lineRule="auto"/>
                    <w:ind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color w:val="auto"/>
                      <w:sz w:val="21"/>
                      <w:highlight w:val="none"/>
                    </w:rPr>
                    <w:t>正常工况地下水环境不受污染影响</w:t>
                  </w:r>
                </w:p>
              </w:tc>
              <w:tc>
                <w:tcPr>
                  <w:tcW w:w="1283" w:type="dxa"/>
                  <w:tcBorders>
                    <w:tl2br w:val="nil"/>
                    <w:tr2bl w:val="nil"/>
                  </w:tcBorders>
                  <w:noWrap w:val="0"/>
                  <w:tcMar>
                    <w:top w:w="28" w:type="dxa"/>
                    <w:left w:w="28" w:type="dxa"/>
                    <w:bottom w:w="28" w:type="dxa"/>
                    <w:right w:w="28" w:type="dxa"/>
                  </w:tcMar>
                  <w:vAlign w:val="center"/>
                </w:tcPr>
                <w:p>
                  <w:pPr>
                    <w:spacing w:line="0" w:lineRule="atLeast"/>
                    <w:jc w:val="center"/>
                    <w:rPr>
                      <w:rFonts w:hint="default" w:ascii="Times New Roman" w:hAnsi="Times New Roman" w:eastAsia="宋体" w:cs="Times New Roman"/>
                      <w:bCs/>
                      <w:snapToGrid w:val="0"/>
                      <w:color w:val="auto"/>
                      <w:kern w:val="24"/>
                      <w:szCs w:val="21"/>
                      <w:highlight w:val="none"/>
                    </w:rPr>
                  </w:pPr>
                  <w:r>
                    <w:rPr>
                      <w:rFonts w:hint="default" w:ascii="Times New Roman" w:hAnsi="Times New Roman" w:eastAsia="宋体" w:cs="Times New Roman"/>
                      <w:bCs/>
                      <w:snapToGrid w:val="0"/>
                      <w:color w:val="auto"/>
                      <w:kern w:val="24"/>
                      <w:szCs w:val="21"/>
                      <w:highlight w:val="none"/>
                    </w:rPr>
                    <w:t>GB/T14848-</w:t>
                  </w:r>
                </w:p>
                <w:p>
                  <w:pPr>
                    <w:pStyle w:val="50"/>
                    <w:spacing w:line="240" w:lineRule="auto"/>
                    <w:ind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bCs/>
                      <w:snapToGrid w:val="0"/>
                      <w:color w:val="auto"/>
                      <w:kern w:val="24"/>
                      <w:sz w:val="21"/>
                      <w:szCs w:val="21"/>
                      <w:highlight w:val="none"/>
                    </w:rPr>
                    <w:t>2017中Ⅲ类区</w:t>
                  </w:r>
                </w:p>
              </w:tc>
              <w:tc>
                <w:tcPr>
                  <w:tcW w:w="1521" w:type="dxa"/>
                  <w:tcBorders>
                    <w:tl2br w:val="nil"/>
                    <w:tr2bl w:val="nil"/>
                  </w:tcBorders>
                  <w:noWrap w:val="0"/>
                  <w:vAlign w:val="center"/>
                </w:tcPr>
                <w:p>
                  <w:pPr>
                    <w:pStyle w:val="50"/>
                    <w:spacing w:line="240" w:lineRule="auto"/>
                    <w:ind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color w:val="auto"/>
                      <w:sz w:val="21"/>
                      <w:szCs w:val="21"/>
                      <w:highlight w:val="none"/>
                    </w:rPr>
                    <w:t>地下水环境不受污染影响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851"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bCs/>
                      <w:snapToGrid w:val="0"/>
                      <w:color w:val="auto"/>
                      <w:kern w:val="24"/>
                      <w:sz w:val="21"/>
                      <w:szCs w:val="21"/>
                      <w:highlight w:val="none"/>
                    </w:rPr>
                    <w:t>声环境</w:t>
                  </w:r>
                </w:p>
              </w:tc>
              <w:tc>
                <w:tcPr>
                  <w:tcW w:w="3192" w:type="dxa"/>
                  <w:gridSpan w:val="3"/>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color w:val="auto"/>
                      <w:sz w:val="21"/>
                      <w:szCs w:val="21"/>
                      <w:highlight w:val="none"/>
                    </w:rPr>
                    <w:t>厂界范围外扩50m</w:t>
                  </w:r>
                  <w:r>
                    <w:rPr>
                      <w:rFonts w:hint="default" w:ascii="Times New Roman" w:hAnsi="Times New Roman" w:eastAsia="宋体" w:cs="Times New Roman"/>
                      <w:bCs/>
                      <w:snapToGrid w:val="0"/>
                      <w:color w:val="auto"/>
                      <w:kern w:val="24"/>
                      <w:sz w:val="21"/>
                      <w:szCs w:val="21"/>
                      <w:highlight w:val="none"/>
                    </w:rPr>
                    <w:t>范围内无声环境保护目标</w:t>
                  </w:r>
                </w:p>
              </w:tc>
              <w:tc>
                <w:tcPr>
                  <w:tcW w:w="1091" w:type="dxa"/>
                  <w:tcBorders>
                    <w:tl2br w:val="nil"/>
                    <w:tr2bl w:val="nil"/>
                  </w:tcBorders>
                  <w:noWrap w:val="0"/>
                  <w:vAlign w:val="center"/>
                </w:tcPr>
                <w:p>
                  <w:pPr>
                    <w:pStyle w:val="50"/>
                    <w:spacing w:line="240" w:lineRule="auto"/>
                    <w:ind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bCs/>
                      <w:snapToGrid w:val="0"/>
                      <w:color w:val="auto"/>
                      <w:kern w:val="24"/>
                      <w:sz w:val="21"/>
                      <w:szCs w:val="21"/>
                      <w:highlight w:val="none"/>
                    </w:rPr>
                    <w:t>厂界噪声达标</w:t>
                  </w:r>
                </w:p>
              </w:tc>
              <w:tc>
                <w:tcPr>
                  <w:tcW w:w="1283" w:type="dxa"/>
                  <w:tcBorders>
                    <w:tl2br w:val="nil"/>
                    <w:tr2bl w:val="nil"/>
                  </w:tcBorders>
                  <w:noWrap w:val="0"/>
                  <w:tcMar>
                    <w:top w:w="28" w:type="dxa"/>
                    <w:left w:w="28" w:type="dxa"/>
                    <w:bottom w:w="28" w:type="dxa"/>
                    <w:right w:w="28" w:type="dxa"/>
                  </w:tcMar>
                  <w:vAlign w:val="center"/>
                </w:tcPr>
                <w:p>
                  <w:pPr>
                    <w:pStyle w:val="50"/>
                    <w:spacing w:line="240" w:lineRule="auto"/>
                    <w:ind w:firstLine="0" w:firstLineChars="0"/>
                    <w:jc w:val="center"/>
                    <w:rPr>
                      <w:rFonts w:hint="default" w:ascii="Times New Roman" w:hAnsi="Times New Roman" w:eastAsia="宋体" w:cs="Times New Roman"/>
                      <w:bCs/>
                      <w:snapToGrid w:val="0"/>
                      <w:color w:val="auto"/>
                      <w:kern w:val="24"/>
                      <w:sz w:val="21"/>
                      <w:szCs w:val="21"/>
                      <w:highlight w:val="none"/>
                    </w:rPr>
                  </w:pPr>
                  <w:r>
                    <w:rPr>
                      <w:rFonts w:hint="default" w:ascii="Times New Roman" w:hAnsi="Times New Roman" w:eastAsia="宋体" w:cs="Times New Roman"/>
                      <w:snapToGrid w:val="0"/>
                      <w:color w:val="auto"/>
                      <w:kern w:val="24"/>
                      <w:sz w:val="21"/>
                      <w:szCs w:val="21"/>
                      <w:highlight w:val="none"/>
                    </w:rPr>
                    <w:t>GB3096-2008中</w:t>
                  </w:r>
                  <w:r>
                    <w:rPr>
                      <w:rFonts w:hint="eastAsia" w:cs="Times New Roman"/>
                      <w:snapToGrid w:val="0"/>
                      <w:color w:val="auto"/>
                      <w:kern w:val="24"/>
                      <w:sz w:val="21"/>
                      <w:szCs w:val="21"/>
                      <w:highlight w:val="none"/>
                      <w:lang w:val="en-US" w:eastAsia="zh-CN"/>
                    </w:rPr>
                    <w:t>2</w:t>
                  </w:r>
                  <w:r>
                    <w:rPr>
                      <w:rFonts w:hint="default" w:ascii="Times New Roman" w:hAnsi="Times New Roman" w:eastAsia="宋体" w:cs="Times New Roman"/>
                      <w:snapToGrid w:val="0"/>
                      <w:color w:val="auto"/>
                      <w:kern w:val="24"/>
                      <w:sz w:val="21"/>
                      <w:szCs w:val="21"/>
                      <w:highlight w:val="none"/>
                    </w:rPr>
                    <w:t>类标准</w:t>
                  </w:r>
                </w:p>
              </w:tc>
              <w:tc>
                <w:tcPr>
                  <w:tcW w:w="1521" w:type="dxa"/>
                  <w:tcBorders>
                    <w:tl2br w:val="nil"/>
                    <w:tr2bl w:val="nil"/>
                  </w:tcBorders>
                  <w:noWrap w:val="0"/>
                  <w:vAlign w:val="center"/>
                </w:tcPr>
                <w:p>
                  <w:pPr>
                    <w:pStyle w:val="50"/>
                    <w:spacing w:line="240" w:lineRule="auto"/>
                    <w:ind w:firstLine="0" w:firstLineChars="0"/>
                    <w:jc w:val="center"/>
                    <w:rPr>
                      <w:rFonts w:hint="default" w:ascii="Times New Roman" w:hAnsi="Times New Roman" w:eastAsia="宋体" w:cs="Times New Roman"/>
                      <w:bCs/>
                      <w:snapToGrid w:val="0"/>
                      <w:color w:val="auto"/>
                      <w:kern w:val="24"/>
                      <w:sz w:val="21"/>
                      <w:szCs w:val="21"/>
                      <w:highlight w:val="none"/>
                      <w:lang w:val="en-US" w:eastAsia="zh-CN"/>
                    </w:rPr>
                  </w:pPr>
                  <w:r>
                    <w:rPr>
                      <w:rFonts w:hint="default" w:ascii="Times New Roman" w:hAnsi="Times New Roman" w:eastAsia="宋体" w:cs="Times New Roman"/>
                      <w:bCs/>
                      <w:snapToGrid w:val="0"/>
                      <w:color w:val="auto"/>
                      <w:kern w:val="24"/>
                      <w:sz w:val="21"/>
                      <w:szCs w:val="21"/>
                      <w:highlight w:val="none"/>
                      <w:lang w:val="en-US" w:eastAsia="zh-CN"/>
                    </w:rPr>
                    <w:t>声环境质量达标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851"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highlight w:val="none"/>
                      <w:lang w:val="en-US" w:eastAsia="zh-CN"/>
                    </w:rPr>
                  </w:pPr>
                  <w:r>
                    <w:rPr>
                      <w:rFonts w:hint="eastAsia" w:cs="Times New Roman"/>
                      <w:bCs/>
                      <w:snapToGrid w:val="0"/>
                      <w:color w:val="auto"/>
                      <w:kern w:val="24"/>
                      <w:sz w:val="21"/>
                      <w:szCs w:val="21"/>
                      <w:highlight w:val="none"/>
                      <w:lang w:val="en-US" w:eastAsia="zh-CN"/>
                    </w:rPr>
                    <w:t>土壤环境</w:t>
                  </w:r>
                </w:p>
              </w:tc>
              <w:tc>
                <w:tcPr>
                  <w:tcW w:w="7087" w:type="dxa"/>
                  <w:gridSpan w:val="6"/>
                  <w:tcBorders>
                    <w:tl2br w:val="nil"/>
                    <w:tr2bl w:val="nil"/>
                  </w:tcBorders>
                  <w:noWrap w:val="0"/>
                  <w:vAlign w:val="center"/>
                </w:tcPr>
                <w:p>
                  <w:pPr>
                    <w:pStyle w:val="50"/>
                    <w:spacing w:line="240" w:lineRule="auto"/>
                    <w:ind w:firstLine="0" w:firstLineChars="0"/>
                    <w:jc w:val="center"/>
                    <w:rPr>
                      <w:rFonts w:hint="default" w:ascii="Times New Roman" w:hAnsi="Times New Roman" w:eastAsia="宋体" w:cs="Times New Roman"/>
                      <w:bCs/>
                      <w:snapToGrid w:val="0"/>
                      <w:color w:val="auto"/>
                      <w:kern w:val="24"/>
                      <w:sz w:val="21"/>
                      <w:szCs w:val="21"/>
                      <w:highlight w:val="none"/>
                      <w:lang w:val="en-US" w:eastAsia="zh-CN"/>
                    </w:rPr>
                  </w:pPr>
                  <w:r>
                    <w:rPr>
                      <w:rFonts w:hint="default" w:ascii="Times New Roman" w:hAnsi="Times New Roman" w:eastAsia="宋体" w:cs="Times New Roman"/>
                      <w:color w:val="auto"/>
                      <w:sz w:val="21"/>
                      <w:szCs w:val="21"/>
                      <w:highlight w:val="none"/>
                    </w:rPr>
                    <w:t>厂界外0.05km范围内（无敏感目标）</w:t>
                  </w:r>
                </w:p>
              </w:tc>
            </w:tr>
          </w:tbl>
          <w:p>
            <w:pPr>
              <w:spacing w:line="360" w:lineRule="auto"/>
              <w:ind w:right="90"/>
              <w:rPr>
                <w:rFonts w:hint="default" w:ascii="Times New Roman" w:hAnsi="Times New Roman" w:eastAsia="宋体" w:cs="Times New Roman"/>
                <w:b/>
                <w:bCs/>
                <w:color w:val="auto"/>
                <w:szCs w:val="21"/>
                <w:lang w:eastAsia="zh-CN"/>
              </w:rPr>
            </w:pPr>
          </w:p>
          <w:p>
            <w:pPr>
              <w:spacing w:line="360" w:lineRule="auto"/>
              <w:ind w:right="90"/>
              <w:rPr>
                <w:rFonts w:hint="default" w:ascii="Times New Roman" w:hAnsi="Times New Roman" w:eastAsia="宋体" w:cs="Times New Roman"/>
                <w:b/>
                <w:bCs/>
                <w:color w:val="auto"/>
                <w:szCs w:val="21"/>
                <w:lang w:eastAsia="zh-CN"/>
              </w:rPr>
            </w:pPr>
          </w:p>
          <w:p>
            <w:pPr>
              <w:spacing w:line="360" w:lineRule="auto"/>
              <w:ind w:right="90"/>
              <w:rPr>
                <w:rFonts w:hint="default" w:ascii="Times New Roman" w:hAnsi="Times New Roman" w:eastAsia="宋体" w:cs="Times New Roman"/>
                <w:b/>
                <w:bCs/>
                <w:color w:val="auto"/>
                <w:szCs w:val="21"/>
                <w:lang w:eastAsia="zh-CN"/>
              </w:rPr>
            </w:pPr>
          </w:p>
          <w:p>
            <w:pPr>
              <w:spacing w:line="360" w:lineRule="auto"/>
              <w:ind w:right="90"/>
              <w:rPr>
                <w:rFonts w:hint="default" w:ascii="Times New Roman" w:hAnsi="Times New Roman" w:eastAsia="宋体" w:cs="Times New Roman"/>
                <w:b/>
                <w:bCs/>
                <w:color w:val="auto"/>
                <w:szCs w:val="21"/>
                <w:lang w:eastAsia="zh-CN"/>
              </w:rPr>
            </w:pPr>
          </w:p>
          <w:p>
            <w:pPr>
              <w:spacing w:line="360" w:lineRule="auto"/>
              <w:ind w:right="90"/>
              <w:rPr>
                <w:rFonts w:hint="default" w:ascii="Times New Roman" w:hAnsi="Times New Roman" w:eastAsia="宋体" w:cs="Times New Roman"/>
                <w:b/>
                <w:bCs/>
                <w:color w:val="auto"/>
                <w:szCs w:val="21"/>
                <w:lang w:eastAsia="zh-CN"/>
              </w:rPr>
            </w:pPr>
          </w:p>
          <w:p>
            <w:pPr>
              <w:spacing w:line="360" w:lineRule="auto"/>
              <w:ind w:right="90"/>
              <w:rPr>
                <w:rFonts w:hint="default" w:ascii="Times New Roman" w:hAnsi="Times New Roman" w:eastAsia="宋体" w:cs="Times New Roman"/>
                <w:b/>
                <w:bCs/>
                <w:color w:val="auto"/>
                <w:szCs w:val="21"/>
                <w:lang w:eastAsia="zh-CN"/>
              </w:rPr>
            </w:pPr>
          </w:p>
          <w:p>
            <w:pPr>
              <w:spacing w:line="360" w:lineRule="auto"/>
              <w:ind w:right="90"/>
              <w:rPr>
                <w:rFonts w:hint="default" w:ascii="Times New Roman" w:hAnsi="Times New Roman" w:eastAsia="宋体" w:cs="Times New Roman"/>
                <w:b/>
                <w:bCs/>
                <w:color w:val="auto"/>
                <w:szCs w:val="21"/>
                <w:lang w:eastAsia="zh-CN"/>
              </w:rPr>
            </w:pPr>
          </w:p>
          <w:p>
            <w:pPr>
              <w:spacing w:line="360" w:lineRule="auto"/>
              <w:ind w:right="90"/>
              <w:rPr>
                <w:rFonts w:hint="default" w:ascii="Times New Roman" w:hAnsi="Times New Roman" w:eastAsia="宋体" w:cs="Times New Roman"/>
                <w:b/>
                <w:bCs/>
                <w:color w:val="auto"/>
                <w:szCs w:val="21"/>
                <w:lang w:eastAsia="zh-CN"/>
              </w:rPr>
            </w:pPr>
          </w:p>
          <w:p>
            <w:pPr>
              <w:spacing w:line="360" w:lineRule="auto"/>
              <w:ind w:right="90"/>
              <w:rPr>
                <w:rFonts w:hint="default" w:ascii="Times New Roman" w:hAnsi="Times New Roman" w:eastAsia="宋体" w:cs="Times New Roman"/>
                <w:b/>
                <w:bCs/>
                <w:color w:val="auto"/>
                <w:szCs w:val="21"/>
                <w:lang w:eastAsia="zh-CN"/>
              </w:rPr>
            </w:pPr>
          </w:p>
          <w:p>
            <w:pPr>
              <w:spacing w:line="360" w:lineRule="auto"/>
              <w:ind w:right="90"/>
              <w:rPr>
                <w:rFonts w:hint="default" w:ascii="Times New Roman" w:hAnsi="Times New Roman" w:eastAsia="宋体" w:cs="Times New Roman"/>
                <w:b/>
                <w:bCs/>
                <w:color w:val="auto"/>
                <w:szCs w:val="21"/>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405" w:type="dxa"/>
            <w:noWrap w:val="0"/>
            <w:tcMar>
              <w:left w:w="28" w:type="dxa"/>
              <w:right w:w="28" w:type="dxa"/>
            </w:tcMar>
            <w:vAlign w:val="center"/>
          </w:tcPr>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污染</w:t>
            </w:r>
          </w:p>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物排</w:t>
            </w:r>
          </w:p>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放控</w:t>
            </w:r>
          </w:p>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制标</w:t>
            </w:r>
          </w:p>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准</w:t>
            </w:r>
          </w:p>
        </w:tc>
        <w:tc>
          <w:tcPr>
            <w:tcW w:w="8118" w:type="dxa"/>
            <w:noWrap w:val="0"/>
            <w:vAlign w:val="center"/>
          </w:tcPr>
          <w:p>
            <w:pPr>
              <w:bidi w:val="0"/>
              <w:rPr>
                <w:rFonts w:hint="default" w:ascii="Times New Roman" w:hAnsi="Times New Roman" w:eastAsia="宋体" w:cs="Times New Roman"/>
                <w:b/>
                <w:bCs/>
                <w:color w:val="auto"/>
                <w:highlight w:val="none"/>
                <w:lang w:val="en-US" w:eastAsia="zh-CN"/>
              </w:rPr>
            </w:pPr>
            <w:r>
              <w:rPr>
                <w:rFonts w:hint="eastAsia" w:cs="Times New Roman"/>
                <w:b/>
                <w:bCs/>
                <w:color w:val="auto"/>
                <w:highlight w:val="none"/>
                <w:lang w:eastAsia="zh-CN"/>
              </w:rPr>
              <w:t>（</w:t>
            </w:r>
            <w:r>
              <w:rPr>
                <w:rFonts w:hint="eastAsia" w:cs="Times New Roman"/>
                <w:b/>
                <w:bCs/>
                <w:color w:val="auto"/>
                <w:highlight w:val="none"/>
                <w:lang w:val="en-US" w:eastAsia="zh-CN"/>
              </w:rPr>
              <w:t>1</w:t>
            </w:r>
            <w:r>
              <w:rPr>
                <w:rFonts w:hint="eastAsia" w:cs="Times New Roman"/>
                <w:b/>
                <w:bCs/>
                <w:color w:val="auto"/>
                <w:highlight w:val="none"/>
                <w:lang w:eastAsia="zh-CN"/>
              </w:rPr>
              <w:t>）</w:t>
            </w:r>
            <w:r>
              <w:rPr>
                <w:rFonts w:hint="eastAsia" w:cs="Times New Roman"/>
                <w:b/>
                <w:bCs/>
                <w:color w:val="auto"/>
                <w:highlight w:val="none"/>
                <w:lang w:val="en-US" w:eastAsia="zh-CN"/>
              </w:rPr>
              <w:t>废气排放标准</w:t>
            </w:r>
          </w:p>
          <w:p>
            <w:pPr>
              <w:bidi w:val="0"/>
              <w:ind w:firstLine="42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颗粒有机肥</w:t>
            </w:r>
            <w:r>
              <w:rPr>
                <w:rFonts w:hint="default" w:ascii="Times New Roman" w:hAnsi="Times New Roman" w:eastAsia="宋体" w:cs="Times New Roman"/>
                <w:color w:val="auto"/>
                <w:highlight w:val="none"/>
                <w:lang w:val="en-US" w:eastAsia="zh-CN"/>
              </w:rPr>
              <w:t>烘干冷却过程中产生的粉尘与热风炉烟气合并后采用1套多管旋风除尘器+碱法脱硫除尘设施处理后经15m排气筒排放，满足《大气污染物综合排放标准》（GB16297-1996）及《工业炉窑大气污染物排放标准》（GB9078-1996）</w:t>
            </w:r>
            <w:r>
              <w:rPr>
                <w:rFonts w:hint="eastAsia" w:ascii="Times New Roman" w:hAnsi="Times New Roman" w:eastAsia="宋体" w:cs="Times New Roman"/>
                <w:color w:val="auto"/>
                <w:highlight w:val="none"/>
                <w:lang w:val="en-US" w:eastAsia="zh-CN"/>
              </w:rPr>
              <w:t>，其中颗粒物、二样化硫、烟气黑度满足</w:t>
            </w:r>
            <w:r>
              <w:rPr>
                <w:rFonts w:hint="default" w:ascii="Times New Roman" w:hAnsi="Times New Roman" w:eastAsia="宋体" w:cs="Times New Roman"/>
                <w:color w:val="auto"/>
                <w:highlight w:val="none"/>
                <w:lang w:val="en-US" w:eastAsia="zh-CN"/>
              </w:rPr>
              <w:t>《工业炉窑大气污染物排放标准》（GB9078-1996）</w:t>
            </w:r>
            <w:r>
              <w:rPr>
                <w:rFonts w:hint="eastAsia" w:ascii="Times New Roman" w:hAnsi="Times New Roman" w:eastAsia="宋体" w:cs="Times New Roman"/>
                <w:color w:val="auto"/>
                <w:highlight w:val="none"/>
                <w:lang w:val="en-US" w:eastAsia="zh-CN"/>
              </w:rPr>
              <w:t>表2中干燥炉、窑（GB9078-1996）二级标准，氮氧化物满足《大气污染物综合排放标准》（GB16297-</w:t>
            </w:r>
          </w:p>
          <w:p>
            <w:pPr>
              <w:bidi w:val="0"/>
              <w:ind w:firstLine="420" w:firstLineChars="20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1996）表2二级标准</w:t>
            </w:r>
            <w:r>
              <w:rPr>
                <w:rFonts w:hint="eastAsia" w:cs="Times New Roman"/>
                <w:color w:val="auto"/>
                <w:highlight w:val="none"/>
                <w:lang w:val="en-US" w:eastAsia="zh-CN"/>
              </w:rPr>
              <w:t>。</w:t>
            </w:r>
          </w:p>
          <w:p>
            <w:pPr>
              <w:bidi w:val="0"/>
              <w:ind w:firstLine="42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无组织排放的粉尘执行《大气污染物综合排放标准》（GB16297-1996）中无组织排放监控浓度限值。无组织排放的氨气执行《恶臭污染物排放标准》（GB14554-93）中恶臭污染物厂界标准值二级标准。</w:t>
            </w:r>
          </w:p>
          <w:p>
            <w:pPr>
              <w:bidi w:val="0"/>
              <w:ind w:firstLine="42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生物质锅炉烟气经</w:t>
            </w:r>
            <w:r>
              <w:rPr>
                <w:rFonts w:hint="eastAsia" w:ascii="Times New Roman" w:hAnsi="Times New Roman" w:eastAsia="宋体" w:cs="Times New Roman"/>
                <w:color w:val="0000FF"/>
                <w:kern w:val="2"/>
                <w:sz w:val="21"/>
                <w:szCs w:val="21"/>
                <w:highlight w:val="none"/>
                <w:lang w:val="en-US" w:eastAsia="zh-CN" w:bidi="ar-SA"/>
              </w:rPr>
              <w:t>布袋除尘器处理（除尘效率为90%）+水浴除尘（除尘效率为80%）后经35m排气筒排放</w:t>
            </w:r>
            <w:r>
              <w:rPr>
                <w:rFonts w:hint="eastAsia" w:ascii="Times New Roman" w:hAnsi="Times New Roman" w:eastAsia="宋体" w:cs="Times New Roman"/>
                <w:color w:val="auto"/>
                <w:highlight w:val="none"/>
                <w:lang w:val="en-US" w:eastAsia="zh-CN"/>
              </w:rPr>
              <w:t>，满足《锅炉大气污染物排放标准》（GB13271-2014）表 2 新建燃煤锅炉大气污染物排放浓度限值。</w:t>
            </w:r>
          </w:p>
          <w:p>
            <w:pPr>
              <w:spacing w:line="240" w:lineRule="auto"/>
              <w:ind w:firstLine="422" w:firstLineChars="200"/>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表27　污染物排放执行标准表</w:t>
            </w:r>
          </w:p>
          <w:tbl>
            <w:tblPr>
              <w:tblStyle w:val="19"/>
              <w:tblW w:w="7905" w:type="dxa"/>
              <w:tblInd w:w="-12"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585"/>
              <w:gridCol w:w="2035"/>
              <w:gridCol w:w="1620"/>
              <w:gridCol w:w="971"/>
              <w:gridCol w:w="1437"/>
              <w:gridCol w:w="747"/>
              <w:gridCol w:w="510"/>
            </w:tblGrid>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85" w:type="dxa"/>
                  <w:tcBorders>
                    <w:tl2br w:val="nil"/>
                    <w:tr2bl w:val="nil"/>
                  </w:tcBorders>
                  <w:noWrap w:val="0"/>
                  <w:vAlign w:val="center"/>
                </w:tcPr>
                <w:p>
                  <w:pPr>
                    <w:pStyle w:val="54"/>
                    <w:jc w:val="center"/>
                    <w:rPr>
                      <w:color w:val="auto"/>
                    </w:rPr>
                  </w:pPr>
                  <w:r>
                    <w:rPr>
                      <w:rFonts w:hint="eastAsia" w:cs="宋体"/>
                      <w:color w:val="auto"/>
                    </w:rPr>
                    <w:t>类别</w:t>
                  </w:r>
                </w:p>
              </w:tc>
              <w:tc>
                <w:tcPr>
                  <w:tcW w:w="2035" w:type="dxa"/>
                  <w:tcBorders>
                    <w:tl2br w:val="nil"/>
                    <w:tr2bl w:val="nil"/>
                  </w:tcBorders>
                  <w:noWrap w:val="0"/>
                  <w:vAlign w:val="center"/>
                </w:tcPr>
                <w:p>
                  <w:pPr>
                    <w:pStyle w:val="54"/>
                    <w:jc w:val="center"/>
                    <w:rPr>
                      <w:color w:val="auto"/>
                    </w:rPr>
                  </w:pPr>
                  <w:r>
                    <w:rPr>
                      <w:rFonts w:hint="eastAsia" w:cs="宋体"/>
                      <w:color w:val="auto"/>
                    </w:rPr>
                    <w:t>标准名称及级（类）别</w:t>
                  </w:r>
                </w:p>
              </w:tc>
              <w:tc>
                <w:tcPr>
                  <w:tcW w:w="1620" w:type="dxa"/>
                  <w:tcBorders>
                    <w:tl2br w:val="nil"/>
                    <w:tr2bl w:val="nil"/>
                  </w:tcBorders>
                  <w:noWrap w:val="0"/>
                  <w:vAlign w:val="center"/>
                </w:tcPr>
                <w:p>
                  <w:pPr>
                    <w:pStyle w:val="54"/>
                    <w:jc w:val="center"/>
                    <w:rPr>
                      <w:color w:val="auto"/>
                    </w:rPr>
                  </w:pPr>
                  <w:r>
                    <w:rPr>
                      <w:rFonts w:hint="eastAsia" w:cs="宋体"/>
                      <w:color w:val="auto"/>
                    </w:rPr>
                    <w:t>污染</w:t>
                  </w:r>
                </w:p>
                <w:p>
                  <w:pPr>
                    <w:pStyle w:val="54"/>
                    <w:jc w:val="center"/>
                    <w:rPr>
                      <w:color w:val="auto"/>
                    </w:rPr>
                  </w:pPr>
                  <w:r>
                    <w:rPr>
                      <w:rFonts w:hint="eastAsia" w:cs="宋体"/>
                      <w:color w:val="auto"/>
                    </w:rPr>
                    <w:t>因子</w:t>
                  </w:r>
                </w:p>
              </w:tc>
              <w:tc>
                <w:tcPr>
                  <w:tcW w:w="2408" w:type="dxa"/>
                  <w:gridSpan w:val="2"/>
                  <w:tcBorders>
                    <w:tl2br w:val="nil"/>
                    <w:tr2bl w:val="nil"/>
                  </w:tcBorders>
                  <w:noWrap w:val="0"/>
                  <w:vAlign w:val="center"/>
                </w:tcPr>
                <w:p>
                  <w:pPr>
                    <w:pStyle w:val="54"/>
                    <w:jc w:val="center"/>
                    <w:rPr>
                      <w:color w:val="auto"/>
                    </w:rPr>
                  </w:pPr>
                  <w:r>
                    <w:rPr>
                      <w:rFonts w:hint="eastAsia" w:cs="宋体"/>
                      <w:color w:val="auto"/>
                    </w:rPr>
                    <w:t>标准值</w:t>
                  </w:r>
                </w:p>
              </w:tc>
              <w:tc>
                <w:tcPr>
                  <w:tcW w:w="1257" w:type="dxa"/>
                  <w:gridSpan w:val="2"/>
                  <w:tcBorders>
                    <w:tl2br w:val="nil"/>
                    <w:tr2bl w:val="nil"/>
                  </w:tcBorders>
                  <w:noWrap w:val="0"/>
                  <w:vAlign w:val="center"/>
                </w:tcPr>
                <w:p>
                  <w:pPr>
                    <w:pStyle w:val="54"/>
                    <w:jc w:val="center"/>
                    <w:rPr>
                      <w:color w:val="auto"/>
                    </w:rPr>
                  </w:pPr>
                  <w:r>
                    <w:rPr>
                      <w:rFonts w:hint="eastAsia" w:cs="宋体"/>
                      <w:color w:val="auto"/>
                    </w:rPr>
                    <w:t>污染物排放监控位置</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85" w:type="dxa"/>
                  <w:vMerge w:val="restart"/>
                  <w:tcBorders>
                    <w:tl2br w:val="nil"/>
                    <w:tr2bl w:val="nil"/>
                  </w:tcBorders>
                  <w:noWrap w:val="0"/>
                  <w:vAlign w:val="center"/>
                </w:tcPr>
                <w:p>
                  <w:pPr>
                    <w:pStyle w:val="54"/>
                    <w:jc w:val="center"/>
                    <w:rPr>
                      <w:color w:val="auto"/>
                    </w:rPr>
                  </w:pPr>
                </w:p>
              </w:tc>
              <w:tc>
                <w:tcPr>
                  <w:tcW w:w="2035" w:type="dxa"/>
                  <w:vMerge w:val="restart"/>
                  <w:tcBorders>
                    <w:tl2br w:val="nil"/>
                    <w:tr2bl w:val="nil"/>
                  </w:tcBorders>
                  <w:noWrap w:val="0"/>
                  <w:vAlign w:val="center"/>
                </w:tcPr>
                <w:p>
                  <w:pPr>
                    <w:pStyle w:val="54"/>
                    <w:jc w:val="center"/>
                    <w:rPr>
                      <w:color w:val="auto"/>
                    </w:rPr>
                  </w:pPr>
                  <w:r>
                    <w:rPr>
                      <w:rFonts w:hint="eastAsia" w:cs="宋体"/>
                      <w:color w:val="auto"/>
                    </w:rPr>
                    <w:t>《恶臭污染物排放标准》（</w:t>
                  </w:r>
                  <w:r>
                    <w:rPr>
                      <w:color w:val="auto"/>
                    </w:rPr>
                    <w:t>GB14554-93</w:t>
                  </w:r>
                  <w:r>
                    <w:rPr>
                      <w:rFonts w:hint="eastAsia" w:cs="宋体"/>
                      <w:color w:val="auto"/>
                    </w:rPr>
                    <w:t>）</w:t>
                  </w:r>
                </w:p>
                <w:p>
                  <w:pPr>
                    <w:pStyle w:val="54"/>
                    <w:jc w:val="center"/>
                    <w:rPr>
                      <w:color w:val="auto"/>
                    </w:rPr>
                  </w:pPr>
                  <w:r>
                    <w:rPr>
                      <w:rFonts w:hint="eastAsia" w:cs="宋体"/>
                      <w:color w:val="auto"/>
                    </w:rPr>
                    <w:t>二级标准</w:t>
                  </w:r>
                </w:p>
              </w:tc>
              <w:tc>
                <w:tcPr>
                  <w:tcW w:w="1620" w:type="dxa"/>
                  <w:tcBorders>
                    <w:tl2br w:val="nil"/>
                    <w:tr2bl w:val="nil"/>
                  </w:tcBorders>
                  <w:noWrap w:val="0"/>
                  <w:vAlign w:val="center"/>
                </w:tcPr>
                <w:p>
                  <w:pPr>
                    <w:pStyle w:val="54"/>
                    <w:jc w:val="center"/>
                    <w:rPr>
                      <w:color w:val="auto"/>
                    </w:rPr>
                  </w:pPr>
                  <w:r>
                    <w:rPr>
                      <w:color w:val="auto"/>
                    </w:rPr>
                    <w:t>NH</w:t>
                  </w:r>
                  <w:r>
                    <w:rPr>
                      <w:color w:val="auto"/>
                      <w:vertAlign w:val="subscript"/>
                    </w:rPr>
                    <w:t>3</w:t>
                  </w:r>
                </w:p>
              </w:tc>
              <w:tc>
                <w:tcPr>
                  <w:tcW w:w="2408" w:type="dxa"/>
                  <w:gridSpan w:val="2"/>
                  <w:tcBorders>
                    <w:tl2br w:val="nil"/>
                    <w:tr2bl w:val="nil"/>
                  </w:tcBorders>
                  <w:noWrap w:val="0"/>
                  <w:vAlign w:val="center"/>
                </w:tcPr>
                <w:p>
                  <w:pPr>
                    <w:pStyle w:val="54"/>
                    <w:jc w:val="center"/>
                    <w:rPr>
                      <w:color w:val="auto"/>
                    </w:rPr>
                  </w:pPr>
                  <w:r>
                    <w:rPr>
                      <w:color w:val="auto"/>
                    </w:rPr>
                    <w:t>1.5mg/m</w:t>
                  </w:r>
                  <w:r>
                    <w:rPr>
                      <w:color w:val="auto"/>
                      <w:vertAlign w:val="superscript"/>
                    </w:rPr>
                    <w:t>3</w:t>
                  </w:r>
                </w:p>
              </w:tc>
              <w:tc>
                <w:tcPr>
                  <w:tcW w:w="1257" w:type="dxa"/>
                  <w:gridSpan w:val="2"/>
                  <w:vMerge w:val="restart"/>
                  <w:tcBorders>
                    <w:tl2br w:val="nil"/>
                    <w:tr2bl w:val="nil"/>
                  </w:tcBorders>
                  <w:noWrap w:val="0"/>
                  <w:vAlign w:val="center"/>
                </w:tcPr>
                <w:p>
                  <w:pPr>
                    <w:pStyle w:val="54"/>
                    <w:jc w:val="center"/>
                    <w:rPr>
                      <w:color w:val="auto"/>
                    </w:rPr>
                  </w:pPr>
                  <w:r>
                    <w:rPr>
                      <w:rFonts w:hint="eastAsia" w:cs="宋体"/>
                      <w:color w:val="auto"/>
                    </w:rPr>
                    <w:t>无组织</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585" w:type="dxa"/>
                  <w:vMerge w:val="continue"/>
                  <w:tcBorders>
                    <w:tl2br w:val="nil"/>
                    <w:tr2bl w:val="nil"/>
                  </w:tcBorders>
                  <w:noWrap w:val="0"/>
                  <w:vAlign w:val="center"/>
                </w:tcPr>
                <w:p>
                  <w:pPr>
                    <w:pStyle w:val="54"/>
                    <w:jc w:val="center"/>
                    <w:rPr>
                      <w:color w:val="auto"/>
                    </w:rPr>
                  </w:pPr>
                </w:p>
              </w:tc>
              <w:tc>
                <w:tcPr>
                  <w:tcW w:w="2035" w:type="dxa"/>
                  <w:vMerge w:val="continue"/>
                  <w:tcBorders>
                    <w:tl2br w:val="nil"/>
                    <w:tr2bl w:val="nil"/>
                  </w:tcBorders>
                  <w:noWrap w:val="0"/>
                  <w:vAlign w:val="center"/>
                </w:tcPr>
                <w:p>
                  <w:pPr>
                    <w:pStyle w:val="54"/>
                    <w:jc w:val="center"/>
                    <w:rPr>
                      <w:color w:val="auto"/>
                    </w:rPr>
                  </w:pPr>
                </w:p>
              </w:tc>
              <w:tc>
                <w:tcPr>
                  <w:tcW w:w="1620" w:type="dxa"/>
                  <w:tcBorders>
                    <w:tl2br w:val="nil"/>
                    <w:tr2bl w:val="nil"/>
                  </w:tcBorders>
                  <w:noWrap w:val="0"/>
                  <w:vAlign w:val="center"/>
                </w:tcPr>
                <w:p>
                  <w:pPr>
                    <w:pStyle w:val="54"/>
                    <w:jc w:val="center"/>
                    <w:rPr>
                      <w:color w:val="auto"/>
                    </w:rPr>
                  </w:pPr>
                  <w:r>
                    <w:rPr>
                      <w:rFonts w:hint="eastAsia" w:cs="宋体"/>
                      <w:color w:val="auto"/>
                    </w:rPr>
                    <w:t>臭气浓度</w:t>
                  </w:r>
                </w:p>
              </w:tc>
              <w:tc>
                <w:tcPr>
                  <w:tcW w:w="2408" w:type="dxa"/>
                  <w:gridSpan w:val="2"/>
                  <w:tcBorders>
                    <w:tl2br w:val="nil"/>
                    <w:tr2bl w:val="nil"/>
                  </w:tcBorders>
                  <w:noWrap w:val="0"/>
                  <w:vAlign w:val="center"/>
                </w:tcPr>
                <w:p>
                  <w:pPr>
                    <w:pStyle w:val="54"/>
                    <w:jc w:val="center"/>
                    <w:rPr>
                      <w:color w:val="auto"/>
                    </w:rPr>
                  </w:pPr>
                  <w:r>
                    <w:rPr>
                      <w:color w:val="auto"/>
                    </w:rPr>
                    <w:t>20</w:t>
                  </w:r>
                  <w:r>
                    <w:rPr>
                      <w:rFonts w:hint="eastAsia" w:cs="宋体"/>
                      <w:color w:val="auto"/>
                    </w:rPr>
                    <w:t>（无量纲）</w:t>
                  </w:r>
                </w:p>
              </w:tc>
              <w:tc>
                <w:tcPr>
                  <w:tcW w:w="1257" w:type="dxa"/>
                  <w:gridSpan w:val="2"/>
                  <w:vMerge w:val="continue"/>
                  <w:tcBorders>
                    <w:tl2br w:val="nil"/>
                    <w:tr2bl w:val="nil"/>
                  </w:tcBorders>
                  <w:noWrap w:val="0"/>
                  <w:vAlign w:val="center"/>
                </w:tcPr>
                <w:p>
                  <w:pPr>
                    <w:pStyle w:val="54"/>
                    <w:jc w:val="center"/>
                    <w:rPr>
                      <w:color w:val="auto"/>
                    </w:rPr>
                  </w:pP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585" w:type="dxa"/>
                  <w:vMerge w:val="continue"/>
                  <w:tcBorders>
                    <w:tl2br w:val="nil"/>
                    <w:tr2bl w:val="nil"/>
                  </w:tcBorders>
                  <w:noWrap w:val="0"/>
                  <w:vAlign w:val="center"/>
                </w:tcPr>
                <w:p>
                  <w:pPr>
                    <w:pStyle w:val="54"/>
                    <w:jc w:val="center"/>
                    <w:rPr>
                      <w:color w:val="auto"/>
                    </w:rPr>
                  </w:pPr>
                </w:p>
              </w:tc>
              <w:tc>
                <w:tcPr>
                  <w:tcW w:w="2035" w:type="dxa"/>
                  <w:vMerge w:val="restart"/>
                  <w:tcBorders>
                    <w:tl2br w:val="nil"/>
                    <w:tr2bl w:val="nil"/>
                  </w:tcBorders>
                  <w:noWrap w:val="0"/>
                  <w:vAlign w:val="center"/>
                </w:tcPr>
                <w:p>
                  <w:pPr>
                    <w:pStyle w:val="54"/>
                    <w:jc w:val="center"/>
                    <w:rPr>
                      <w:rFonts w:hint="eastAsia" w:eastAsia="宋体"/>
                      <w:color w:val="auto"/>
                      <w:lang w:eastAsia="zh-CN"/>
                    </w:rPr>
                  </w:pPr>
                  <w:r>
                    <w:rPr>
                      <w:rFonts w:hint="eastAsia"/>
                      <w:color w:val="auto"/>
                      <w:lang w:eastAsia="zh-CN"/>
                    </w:rPr>
                    <w:t>《</w:t>
                  </w:r>
                  <w:r>
                    <w:rPr>
                      <w:rFonts w:hint="eastAsia"/>
                      <w:color w:val="auto"/>
                      <w:lang w:val="en-US" w:eastAsia="zh-CN"/>
                    </w:rPr>
                    <w:t>锅炉大气污染物排放标准</w:t>
                  </w:r>
                  <w:r>
                    <w:rPr>
                      <w:rFonts w:hint="eastAsia"/>
                      <w:color w:val="auto"/>
                      <w:lang w:eastAsia="zh-CN"/>
                    </w:rPr>
                    <w:t>》（</w:t>
                  </w:r>
                  <w:r>
                    <w:rPr>
                      <w:rFonts w:hint="eastAsia"/>
                      <w:color w:val="auto"/>
                      <w:lang w:val="en-US" w:eastAsia="zh-CN"/>
                    </w:rPr>
                    <w:t>GB13271-2014</w:t>
                  </w:r>
                  <w:r>
                    <w:rPr>
                      <w:rFonts w:hint="eastAsia"/>
                      <w:color w:val="auto"/>
                      <w:lang w:eastAsia="zh-CN"/>
                    </w:rPr>
                    <w:t>）</w:t>
                  </w:r>
                </w:p>
              </w:tc>
              <w:tc>
                <w:tcPr>
                  <w:tcW w:w="1620" w:type="dxa"/>
                  <w:tcBorders>
                    <w:tl2br w:val="nil"/>
                    <w:tr2bl w:val="nil"/>
                  </w:tcBorders>
                  <w:noWrap w:val="0"/>
                  <w:vAlign w:val="center"/>
                </w:tcPr>
                <w:p>
                  <w:pPr>
                    <w:pStyle w:val="54"/>
                    <w:jc w:val="center"/>
                    <w:rPr>
                      <w:rFonts w:hint="default" w:eastAsia="宋体" w:cs="宋体"/>
                      <w:color w:val="auto"/>
                      <w:lang w:val="en-US" w:eastAsia="zh-CN"/>
                    </w:rPr>
                  </w:pPr>
                  <w:r>
                    <w:rPr>
                      <w:rFonts w:hint="eastAsia" w:cs="宋体"/>
                      <w:color w:val="auto"/>
                      <w:lang w:val="en-US" w:eastAsia="zh-CN"/>
                    </w:rPr>
                    <w:t>颗粒物</w:t>
                  </w:r>
                </w:p>
              </w:tc>
              <w:tc>
                <w:tcPr>
                  <w:tcW w:w="2408" w:type="dxa"/>
                  <w:gridSpan w:val="2"/>
                  <w:tcBorders>
                    <w:tl2br w:val="nil"/>
                    <w:tr2bl w:val="nil"/>
                  </w:tcBorders>
                  <w:noWrap w:val="0"/>
                  <w:vAlign w:val="center"/>
                </w:tcPr>
                <w:p>
                  <w:pPr>
                    <w:pStyle w:val="54"/>
                    <w:jc w:val="center"/>
                    <w:rPr>
                      <w:rFonts w:hint="default" w:eastAsia="宋体"/>
                      <w:color w:val="auto"/>
                      <w:lang w:val="en-US" w:eastAsia="zh-CN"/>
                    </w:rPr>
                  </w:pPr>
                  <w:r>
                    <w:rPr>
                      <w:rFonts w:hint="eastAsia"/>
                      <w:color w:val="auto"/>
                      <w:lang w:val="en-US" w:eastAsia="zh-CN"/>
                    </w:rPr>
                    <w:t>50</w:t>
                  </w:r>
                  <w:r>
                    <w:rPr>
                      <w:color w:val="auto"/>
                    </w:rPr>
                    <w:t>mg/m</w:t>
                  </w:r>
                  <w:r>
                    <w:rPr>
                      <w:color w:val="auto"/>
                      <w:vertAlign w:val="superscript"/>
                    </w:rPr>
                    <w:t>3</w:t>
                  </w:r>
                </w:p>
              </w:tc>
              <w:tc>
                <w:tcPr>
                  <w:tcW w:w="1257" w:type="dxa"/>
                  <w:gridSpan w:val="2"/>
                  <w:vMerge w:val="restart"/>
                  <w:tcBorders>
                    <w:tl2br w:val="nil"/>
                    <w:tr2bl w:val="nil"/>
                  </w:tcBorders>
                  <w:noWrap w:val="0"/>
                  <w:vAlign w:val="center"/>
                </w:tcPr>
                <w:p>
                  <w:pPr>
                    <w:pStyle w:val="54"/>
                    <w:jc w:val="center"/>
                    <w:rPr>
                      <w:color w:val="auto"/>
                    </w:rPr>
                  </w:pPr>
                  <w:r>
                    <w:rPr>
                      <w:rFonts w:hint="eastAsia" w:cs="宋体"/>
                      <w:color w:val="auto"/>
                    </w:rPr>
                    <w:t>烟囱或烟道</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585" w:type="dxa"/>
                  <w:vMerge w:val="continue"/>
                  <w:tcBorders>
                    <w:tl2br w:val="nil"/>
                    <w:tr2bl w:val="nil"/>
                  </w:tcBorders>
                  <w:noWrap w:val="0"/>
                  <w:vAlign w:val="center"/>
                </w:tcPr>
                <w:p>
                  <w:pPr>
                    <w:pStyle w:val="54"/>
                    <w:jc w:val="center"/>
                    <w:rPr>
                      <w:color w:val="auto"/>
                    </w:rPr>
                  </w:pPr>
                </w:p>
              </w:tc>
              <w:tc>
                <w:tcPr>
                  <w:tcW w:w="2035" w:type="dxa"/>
                  <w:vMerge w:val="continue"/>
                  <w:tcBorders>
                    <w:tl2br w:val="nil"/>
                    <w:tr2bl w:val="nil"/>
                  </w:tcBorders>
                  <w:noWrap w:val="0"/>
                  <w:vAlign w:val="center"/>
                </w:tcPr>
                <w:p>
                  <w:pPr>
                    <w:pStyle w:val="54"/>
                    <w:jc w:val="center"/>
                    <w:rPr>
                      <w:color w:val="auto"/>
                    </w:rPr>
                  </w:pPr>
                </w:p>
              </w:tc>
              <w:tc>
                <w:tcPr>
                  <w:tcW w:w="1620" w:type="dxa"/>
                  <w:tcBorders>
                    <w:tl2br w:val="nil"/>
                    <w:tr2bl w:val="nil"/>
                  </w:tcBorders>
                  <w:noWrap w:val="0"/>
                  <w:vAlign w:val="center"/>
                </w:tcPr>
                <w:p>
                  <w:pPr>
                    <w:pStyle w:val="54"/>
                    <w:jc w:val="center"/>
                    <w:rPr>
                      <w:rFonts w:hint="default" w:eastAsia="宋体" w:cs="宋体"/>
                      <w:color w:val="auto"/>
                      <w:lang w:val="en-US" w:eastAsia="zh-CN"/>
                    </w:rPr>
                  </w:pPr>
                  <w:r>
                    <w:rPr>
                      <w:rFonts w:hint="eastAsia" w:cs="宋体"/>
                      <w:color w:val="auto"/>
                      <w:lang w:val="en-US" w:eastAsia="zh-CN"/>
                    </w:rPr>
                    <w:t>二氧化硫</w:t>
                  </w:r>
                </w:p>
              </w:tc>
              <w:tc>
                <w:tcPr>
                  <w:tcW w:w="2408" w:type="dxa"/>
                  <w:gridSpan w:val="2"/>
                  <w:tcBorders>
                    <w:tl2br w:val="nil"/>
                    <w:tr2bl w:val="nil"/>
                  </w:tcBorders>
                  <w:noWrap w:val="0"/>
                  <w:vAlign w:val="center"/>
                </w:tcPr>
                <w:p>
                  <w:pPr>
                    <w:pStyle w:val="54"/>
                    <w:jc w:val="center"/>
                    <w:rPr>
                      <w:rFonts w:hint="default" w:eastAsia="宋体" w:cs="宋体"/>
                      <w:color w:val="auto"/>
                      <w:lang w:val="en-US" w:eastAsia="zh-CN"/>
                    </w:rPr>
                  </w:pPr>
                  <w:r>
                    <w:rPr>
                      <w:rFonts w:hint="eastAsia" w:cs="宋体"/>
                      <w:color w:val="auto"/>
                      <w:lang w:val="en-US" w:eastAsia="zh-CN"/>
                    </w:rPr>
                    <w:t>300</w:t>
                  </w:r>
                  <w:r>
                    <w:rPr>
                      <w:color w:val="auto"/>
                    </w:rPr>
                    <w:t>mg/m</w:t>
                  </w:r>
                  <w:r>
                    <w:rPr>
                      <w:color w:val="auto"/>
                      <w:vertAlign w:val="superscript"/>
                    </w:rPr>
                    <w:t>3</w:t>
                  </w:r>
                </w:p>
              </w:tc>
              <w:tc>
                <w:tcPr>
                  <w:tcW w:w="1257" w:type="dxa"/>
                  <w:gridSpan w:val="2"/>
                  <w:vMerge w:val="continue"/>
                  <w:tcBorders>
                    <w:tl2br w:val="nil"/>
                    <w:tr2bl w:val="nil"/>
                  </w:tcBorders>
                  <w:noWrap w:val="0"/>
                  <w:vAlign w:val="center"/>
                </w:tcPr>
                <w:p>
                  <w:pPr>
                    <w:pStyle w:val="54"/>
                    <w:jc w:val="center"/>
                    <w:rPr>
                      <w:rFonts w:hint="eastAsia" w:cs="宋体"/>
                      <w:color w:val="auto"/>
                    </w:rPr>
                  </w:pP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585" w:type="dxa"/>
                  <w:vMerge w:val="continue"/>
                  <w:tcBorders>
                    <w:tl2br w:val="nil"/>
                    <w:tr2bl w:val="nil"/>
                  </w:tcBorders>
                  <w:noWrap w:val="0"/>
                  <w:vAlign w:val="center"/>
                </w:tcPr>
                <w:p>
                  <w:pPr>
                    <w:pStyle w:val="54"/>
                    <w:jc w:val="center"/>
                    <w:rPr>
                      <w:rFonts w:hint="eastAsia" w:cs="宋体"/>
                      <w:color w:val="auto"/>
                    </w:rPr>
                  </w:pPr>
                </w:p>
              </w:tc>
              <w:tc>
                <w:tcPr>
                  <w:tcW w:w="2035" w:type="dxa"/>
                  <w:vMerge w:val="continue"/>
                  <w:tcBorders>
                    <w:tl2br w:val="nil"/>
                    <w:tr2bl w:val="nil"/>
                  </w:tcBorders>
                  <w:noWrap w:val="0"/>
                  <w:vAlign w:val="center"/>
                </w:tcPr>
                <w:p>
                  <w:pPr>
                    <w:pStyle w:val="54"/>
                    <w:jc w:val="center"/>
                    <w:rPr>
                      <w:rFonts w:hint="eastAsia" w:cs="宋体"/>
                      <w:color w:val="auto"/>
                    </w:rPr>
                  </w:pPr>
                </w:p>
              </w:tc>
              <w:tc>
                <w:tcPr>
                  <w:tcW w:w="1620" w:type="dxa"/>
                  <w:tcBorders>
                    <w:tl2br w:val="nil"/>
                    <w:tr2bl w:val="nil"/>
                  </w:tcBorders>
                  <w:noWrap w:val="0"/>
                  <w:vAlign w:val="center"/>
                </w:tcPr>
                <w:p>
                  <w:pPr>
                    <w:pStyle w:val="54"/>
                    <w:jc w:val="center"/>
                    <w:rPr>
                      <w:rFonts w:hint="eastAsia" w:eastAsia="宋体" w:cs="宋体"/>
                      <w:color w:val="auto"/>
                      <w:lang w:val="en-US" w:eastAsia="zh-CN"/>
                    </w:rPr>
                  </w:pPr>
                  <w:r>
                    <w:rPr>
                      <w:rFonts w:hint="eastAsia" w:cs="宋体"/>
                      <w:color w:val="auto"/>
                      <w:lang w:val="en-US" w:eastAsia="zh-CN"/>
                    </w:rPr>
                    <w:t>氮氧化物</w:t>
                  </w:r>
                </w:p>
              </w:tc>
              <w:tc>
                <w:tcPr>
                  <w:tcW w:w="2408" w:type="dxa"/>
                  <w:gridSpan w:val="2"/>
                  <w:tcBorders>
                    <w:tl2br w:val="nil"/>
                    <w:tr2bl w:val="nil"/>
                  </w:tcBorders>
                  <w:noWrap w:val="0"/>
                  <w:vAlign w:val="center"/>
                </w:tcPr>
                <w:p>
                  <w:pPr>
                    <w:pStyle w:val="54"/>
                    <w:jc w:val="center"/>
                    <w:rPr>
                      <w:rFonts w:hint="eastAsia" w:cs="宋体"/>
                      <w:color w:val="auto"/>
                    </w:rPr>
                  </w:pPr>
                  <w:r>
                    <w:rPr>
                      <w:rFonts w:hint="eastAsia" w:cs="宋体"/>
                      <w:color w:val="auto"/>
                      <w:lang w:val="en-US" w:eastAsia="zh-CN"/>
                    </w:rPr>
                    <w:t>300</w:t>
                  </w:r>
                  <w:r>
                    <w:rPr>
                      <w:color w:val="auto"/>
                    </w:rPr>
                    <w:t>mg/m</w:t>
                  </w:r>
                  <w:r>
                    <w:rPr>
                      <w:color w:val="auto"/>
                      <w:vertAlign w:val="superscript"/>
                    </w:rPr>
                    <w:t>3</w:t>
                  </w:r>
                </w:p>
              </w:tc>
              <w:tc>
                <w:tcPr>
                  <w:tcW w:w="1257" w:type="dxa"/>
                  <w:gridSpan w:val="2"/>
                  <w:vMerge w:val="continue"/>
                  <w:tcBorders>
                    <w:tl2br w:val="nil"/>
                    <w:tr2bl w:val="nil"/>
                  </w:tcBorders>
                  <w:noWrap w:val="0"/>
                  <w:vAlign w:val="center"/>
                </w:tcPr>
                <w:p>
                  <w:pPr>
                    <w:pStyle w:val="54"/>
                    <w:jc w:val="center"/>
                    <w:rPr>
                      <w:rFonts w:hint="eastAsia" w:cs="宋体"/>
                      <w:color w:val="auto"/>
                    </w:rPr>
                  </w:pP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585" w:type="dxa"/>
                  <w:vMerge w:val="continue"/>
                  <w:tcBorders>
                    <w:tl2br w:val="nil"/>
                    <w:tr2bl w:val="nil"/>
                  </w:tcBorders>
                  <w:noWrap w:val="0"/>
                  <w:vAlign w:val="center"/>
                </w:tcPr>
                <w:p>
                  <w:pPr>
                    <w:pStyle w:val="54"/>
                    <w:jc w:val="center"/>
                    <w:rPr>
                      <w:color w:val="auto"/>
                    </w:rPr>
                  </w:pPr>
                </w:p>
              </w:tc>
              <w:tc>
                <w:tcPr>
                  <w:tcW w:w="2035" w:type="dxa"/>
                  <w:tcBorders>
                    <w:tl2br w:val="nil"/>
                    <w:tr2bl w:val="nil"/>
                  </w:tcBorders>
                  <w:noWrap w:val="0"/>
                  <w:vAlign w:val="center"/>
                </w:tcPr>
                <w:p>
                  <w:pPr>
                    <w:pStyle w:val="54"/>
                    <w:jc w:val="center"/>
                    <w:rPr>
                      <w:color w:val="auto"/>
                    </w:rPr>
                  </w:pPr>
                  <w:r>
                    <w:rPr>
                      <w:rFonts w:hint="eastAsia" w:cs="宋体"/>
                      <w:color w:val="auto"/>
                    </w:rPr>
                    <w:t>《大气污染物综合排放标准》（</w:t>
                  </w:r>
                  <w:r>
                    <w:rPr>
                      <w:color w:val="auto"/>
                    </w:rPr>
                    <w:t>GB16297-</w:t>
                  </w:r>
                </w:p>
                <w:p>
                  <w:pPr>
                    <w:pStyle w:val="54"/>
                    <w:jc w:val="center"/>
                    <w:rPr>
                      <w:color w:val="auto"/>
                    </w:rPr>
                  </w:pPr>
                  <w:r>
                    <w:rPr>
                      <w:color w:val="auto"/>
                    </w:rPr>
                    <w:t>1996</w:t>
                  </w:r>
                  <w:r>
                    <w:rPr>
                      <w:rFonts w:hint="eastAsia" w:cs="宋体"/>
                      <w:color w:val="auto"/>
                    </w:rPr>
                    <w:t>）表</w:t>
                  </w:r>
                  <w:r>
                    <w:rPr>
                      <w:color w:val="auto"/>
                    </w:rPr>
                    <w:t>2</w:t>
                  </w:r>
                </w:p>
              </w:tc>
              <w:tc>
                <w:tcPr>
                  <w:tcW w:w="1620" w:type="dxa"/>
                  <w:tcBorders>
                    <w:tl2br w:val="nil"/>
                    <w:tr2bl w:val="nil"/>
                  </w:tcBorders>
                  <w:noWrap w:val="0"/>
                  <w:vAlign w:val="center"/>
                </w:tcPr>
                <w:p>
                  <w:pPr>
                    <w:pStyle w:val="54"/>
                    <w:jc w:val="center"/>
                    <w:rPr>
                      <w:color w:val="auto"/>
                    </w:rPr>
                  </w:pPr>
                  <w:r>
                    <w:rPr>
                      <w:rFonts w:hint="eastAsia" w:cs="宋体"/>
                      <w:color w:val="auto"/>
                      <w:lang w:val="en-US" w:eastAsia="zh-CN"/>
                    </w:rPr>
                    <w:t>颗粒物</w:t>
                  </w:r>
                </w:p>
              </w:tc>
              <w:tc>
                <w:tcPr>
                  <w:tcW w:w="2408" w:type="dxa"/>
                  <w:gridSpan w:val="2"/>
                  <w:tcBorders>
                    <w:tl2br w:val="nil"/>
                    <w:tr2bl w:val="nil"/>
                  </w:tcBorders>
                  <w:noWrap w:val="0"/>
                  <w:vAlign w:val="center"/>
                </w:tcPr>
                <w:p>
                  <w:pPr>
                    <w:pStyle w:val="54"/>
                    <w:jc w:val="center"/>
                    <w:rPr>
                      <w:rFonts w:hint="default" w:eastAsia="宋体" w:cs="宋体"/>
                      <w:color w:val="auto"/>
                      <w:lang w:val="en-US" w:eastAsia="zh-CN"/>
                    </w:rPr>
                  </w:pPr>
                  <w:r>
                    <w:rPr>
                      <w:rFonts w:hint="eastAsia" w:cs="宋体"/>
                      <w:color w:val="auto"/>
                      <w:lang w:val="en-US" w:eastAsia="zh-CN"/>
                    </w:rPr>
                    <w:t>1.0</w:t>
                  </w:r>
                  <w:r>
                    <w:rPr>
                      <w:color w:val="auto"/>
                    </w:rPr>
                    <w:t>mg/m</w:t>
                  </w:r>
                  <w:r>
                    <w:rPr>
                      <w:color w:val="auto"/>
                      <w:vertAlign w:val="superscript"/>
                    </w:rPr>
                    <w:t>3</w:t>
                  </w:r>
                </w:p>
              </w:tc>
              <w:tc>
                <w:tcPr>
                  <w:tcW w:w="1257" w:type="dxa"/>
                  <w:gridSpan w:val="2"/>
                  <w:tcBorders>
                    <w:tl2br w:val="nil"/>
                    <w:tr2bl w:val="nil"/>
                  </w:tcBorders>
                  <w:noWrap w:val="0"/>
                  <w:vAlign w:val="center"/>
                </w:tcPr>
                <w:p>
                  <w:pPr>
                    <w:pStyle w:val="54"/>
                    <w:jc w:val="center"/>
                    <w:rPr>
                      <w:rFonts w:hint="default" w:eastAsia="宋体"/>
                      <w:color w:val="auto"/>
                      <w:lang w:val="en-US" w:eastAsia="zh-CN"/>
                    </w:rPr>
                  </w:pPr>
                  <w:r>
                    <w:rPr>
                      <w:rFonts w:hint="eastAsia" w:eastAsia="宋体"/>
                      <w:color w:val="auto"/>
                      <w:lang w:val="en-US" w:eastAsia="zh-CN"/>
                    </w:rPr>
                    <w:t>无组织</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585" w:type="dxa"/>
                  <w:vMerge w:val="continue"/>
                  <w:tcBorders>
                    <w:tl2br w:val="nil"/>
                    <w:tr2bl w:val="nil"/>
                  </w:tcBorders>
                  <w:noWrap w:val="0"/>
                  <w:vAlign w:val="center"/>
                </w:tcPr>
                <w:p>
                  <w:pPr>
                    <w:pStyle w:val="54"/>
                    <w:jc w:val="center"/>
                    <w:rPr>
                      <w:color w:val="auto"/>
                    </w:rPr>
                  </w:pPr>
                </w:p>
              </w:tc>
              <w:tc>
                <w:tcPr>
                  <w:tcW w:w="2035" w:type="dxa"/>
                  <w:vMerge w:val="restart"/>
                  <w:tcBorders>
                    <w:tl2br w:val="nil"/>
                    <w:tr2bl w:val="nil"/>
                  </w:tcBorders>
                  <w:noWrap w:val="0"/>
                  <w:vAlign w:val="center"/>
                </w:tcPr>
                <w:p>
                  <w:pPr>
                    <w:pStyle w:val="54"/>
                    <w:jc w:val="center"/>
                    <w:rPr>
                      <w:rFonts w:hint="eastAsia" w:eastAsia="宋体"/>
                      <w:color w:val="auto"/>
                      <w:lang w:eastAsia="zh-CN"/>
                    </w:rPr>
                  </w:pPr>
                  <w:r>
                    <w:rPr>
                      <w:rFonts w:hint="eastAsia" w:cs="宋体"/>
                      <w:color w:val="auto"/>
                    </w:rPr>
                    <w:t>《工业炉窑大气污染物排放标准》表2中干燥炉、窑（</w:t>
                  </w:r>
                  <w:r>
                    <w:rPr>
                      <w:color w:val="auto"/>
                    </w:rPr>
                    <w:t>GB</w:t>
                  </w:r>
                  <w:r>
                    <w:rPr>
                      <w:rFonts w:hint="eastAsia"/>
                      <w:color w:val="auto"/>
                    </w:rPr>
                    <w:t>9078</w:t>
                  </w:r>
                  <w:r>
                    <w:rPr>
                      <w:color w:val="auto"/>
                    </w:rPr>
                    <w:t>-</w:t>
                  </w:r>
                  <w:r>
                    <w:rPr>
                      <w:rFonts w:hint="eastAsia"/>
                      <w:color w:val="auto"/>
                    </w:rPr>
                    <w:t>1996</w:t>
                  </w:r>
                  <w:r>
                    <w:rPr>
                      <w:rFonts w:hint="eastAsia" w:ascii="宋体" w:hAnsi="宋体" w:cs="宋体"/>
                      <w:color w:val="auto"/>
                    </w:rPr>
                    <w:t>）</w:t>
                  </w:r>
                  <w:r>
                    <w:rPr>
                      <w:rFonts w:hint="eastAsia" w:ascii="宋体" w:hAnsi="宋体" w:cs="宋体"/>
                      <w:color w:val="auto"/>
                      <w:lang w:eastAsia="zh-CN"/>
                    </w:rPr>
                    <w:t>二级标准</w:t>
                  </w:r>
                </w:p>
              </w:tc>
              <w:tc>
                <w:tcPr>
                  <w:tcW w:w="1620" w:type="dxa"/>
                  <w:tcBorders>
                    <w:tl2br w:val="nil"/>
                    <w:tr2bl w:val="nil"/>
                  </w:tcBorders>
                  <w:noWrap w:val="0"/>
                  <w:vAlign w:val="center"/>
                </w:tcPr>
                <w:p>
                  <w:pPr>
                    <w:pStyle w:val="54"/>
                    <w:jc w:val="center"/>
                    <w:rPr>
                      <w:color w:val="auto"/>
                    </w:rPr>
                  </w:pPr>
                  <w:r>
                    <w:rPr>
                      <w:rFonts w:hint="eastAsia" w:cs="宋体"/>
                      <w:color w:val="auto"/>
                      <w:lang w:val="en-US" w:eastAsia="zh-CN"/>
                    </w:rPr>
                    <w:t>颗粒物</w:t>
                  </w:r>
                </w:p>
              </w:tc>
              <w:tc>
                <w:tcPr>
                  <w:tcW w:w="2408" w:type="dxa"/>
                  <w:gridSpan w:val="2"/>
                  <w:tcBorders>
                    <w:tl2br w:val="nil"/>
                    <w:tr2bl w:val="nil"/>
                  </w:tcBorders>
                  <w:noWrap w:val="0"/>
                  <w:vAlign w:val="center"/>
                </w:tcPr>
                <w:p>
                  <w:pPr>
                    <w:pStyle w:val="54"/>
                    <w:jc w:val="center"/>
                    <w:rPr>
                      <w:color w:val="auto"/>
                    </w:rPr>
                  </w:pPr>
                  <w:r>
                    <w:rPr>
                      <w:rFonts w:hint="eastAsia"/>
                      <w:color w:val="auto"/>
                    </w:rPr>
                    <w:t>200</w:t>
                  </w:r>
                  <w:r>
                    <w:rPr>
                      <w:color w:val="auto"/>
                    </w:rPr>
                    <w:t>mg/m</w:t>
                  </w:r>
                  <w:r>
                    <w:rPr>
                      <w:color w:val="auto"/>
                      <w:vertAlign w:val="superscript"/>
                    </w:rPr>
                    <w:t>3</w:t>
                  </w:r>
                </w:p>
              </w:tc>
              <w:tc>
                <w:tcPr>
                  <w:tcW w:w="1257" w:type="dxa"/>
                  <w:gridSpan w:val="2"/>
                  <w:vMerge w:val="restart"/>
                  <w:tcBorders>
                    <w:tl2br w:val="nil"/>
                    <w:tr2bl w:val="nil"/>
                  </w:tcBorders>
                  <w:noWrap w:val="0"/>
                  <w:vAlign w:val="center"/>
                </w:tcPr>
                <w:p>
                  <w:pPr>
                    <w:pStyle w:val="54"/>
                    <w:jc w:val="center"/>
                    <w:rPr>
                      <w:color w:val="auto"/>
                    </w:rPr>
                  </w:pPr>
                  <w:r>
                    <w:rPr>
                      <w:rFonts w:hint="eastAsia" w:cs="宋体"/>
                      <w:color w:val="auto"/>
                    </w:rPr>
                    <w:t>烟囱或烟道</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85" w:type="dxa"/>
                  <w:vMerge w:val="continue"/>
                  <w:tcBorders>
                    <w:tl2br w:val="nil"/>
                    <w:tr2bl w:val="nil"/>
                  </w:tcBorders>
                  <w:noWrap w:val="0"/>
                  <w:vAlign w:val="center"/>
                </w:tcPr>
                <w:p>
                  <w:pPr>
                    <w:pStyle w:val="54"/>
                    <w:jc w:val="center"/>
                    <w:rPr>
                      <w:color w:val="auto"/>
                    </w:rPr>
                  </w:pPr>
                </w:p>
              </w:tc>
              <w:tc>
                <w:tcPr>
                  <w:tcW w:w="2035" w:type="dxa"/>
                  <w:vMerge w:val="continue"/>
                  <w:tcBorders>
                    <w:tl2br w:val="nil"/>
                    <w:tr2bl w:val="nil"/>
                  </w:tcBorders>
                  <w:noWrap w:val="0"/>
                  <w:vAlign w:val="center"/>
                </w:tcPr>
                <w:p>
                  <w:pPr>
                    <w:pStyle w:val="54"/>
                    <w:jc w:val="center"/>
                    <w:rPr>
                      <w:rFonts w:cs="宋体"/>
                      <w:color w:val="auto"/>
                    </w:rPr>
                  </w:pPr>
                </w:p>
              </w:tc>
              <w:tc>
                <w:tcPr>
                  <w:tcW w:w="1620" w:type="dxa"/>
                  <w:tcBorders>
                    <w:tl2br w:val="nil"/>
                    <w:tr2bl w:val="nil"/>
                  </w:tcBorders>
                  <w:noWrap w:val="0"/>
                  <w:vAlign w:val="center"/>
                </w:tcPr>
                <w:p>
                  <w:pPr>
                    <w:pStyle w:val="54"/>
                    <w:jc w:val="center"/>
                    <w:rPr>
                      <w:rFonts w:cs="宋体"/>
                      <w:color w:val="auto"/>
                    </w:rPr>
                  </w:pPr>
                  <w:r>
                    <w:rPr>
                      <w:rFonts w:hint="eastAsia" w:cs="宋体"/>
                      <w:color w:val="auto"/>
                    </w:rPr>
                    <w:t>二氧化硫</w:t>
                  </w:r>
                </w:p>
              </w:tc>
              <w:tc>
                <w:tcPr>
                  <w:tcW w:w="2408" w:type="dxa"/>
                  <w:gridSpan w:val="2"/>
                  <w:tcBorders>
                    <w:tl2br w:val="nil"/>
                    <w:tr2bl w:val="nil"/>
                  </w:tcBorders>
                  <w:noWrap w:val="0"/>
                  <w:vAlign w:val="center"/>
                </w:tcPr>
                <w:p>
                  <w:pPr>
                    <w:pStyle w:val="54"/>
                    <w:jc w:val="center"/>
                    <w:rPr>
                      <w:color w:val="auto"/>
                    </w:rPr>
                  </w:pPr>
                  <w:r>
                    <w:rPr>
                      <w:rFonts w:hint="eastAsia"/>
                      <w:color w:val="auto"/>
                    </w:rPr>
                    <w:t>850</w:t>
                  </w:r>
                  <w:r>
                    <w:rPr>
                      <w:color w:val="auto"/>
                    </w:rPr>
                    <w:t>mg/m</w:t>
                  </w:r>
                  <w:r>
                    <w:rPr>
                      <w:color w:val="auto"/>
                      <w:vertAlign w:val="superscript"/>
                    </w:rPr>
                    <w:t>3</w:t>
                  </w:r>
                </w:p>
              </w:tc>
              <w:tc>
                <w:tcPr>
                  <w:tcW w:w="1257" w:type="dxa"/>
                  <w:gridSpan w:val="2"/>
                  <w:vMerge w:val="continue"/>
                  <w:tcBorders>
                    <w:tl2br w:val="nil"/>
                    <w:tr2bl w:val="nil"/>
                  </w:tcBorders>
                  <w:noWrap w:val="0"/>
                  <w:vAlign w:val="center"/>
                </w:tcPr>
                <w:p>
                  <w:pPr>
                    <w:pStyle w:val="54"/>
                    <w:jc w:val="center"/>
                    <w:rPr>
                      <w:rFonts w:cs="宋体"/>
                      <w:color w:val="auto"/>
                    </w:rPr>
                  </w:pP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85" w:type="dxa"/>
                  <w:vMerge w:val="continue"/>
                  <w:tcBorders>
                    <w:tl2br w:val="nil"/>
                    <w:tr2bl w:val="nil"/>
                  </w:tcBorders>
                  <w:noWrap w:val="0"/>
                  <w:vAlign w:val="center"/>
                </w:tcPr>
                <w:p>
                  <w:pPr>
                    <w:pStyle w:val="54"/>
                    <w:jc w:val="center"/>
                    <w:rPr>
                      <w:color w:val="auto"/>
                    </w:rPr>
                  </w:pPr>
                </w:p>
              </w:tc>
              <w:tc>
                <w:tcPr>
                  <w:tcW w:w="2035" w:type="dxa"/>
                  <w:vMerge w:val="continue"/>
                  <w:tcBorders>
                    <w:tl2br w:val="nil"/>
                    <w:tr2bl w:val="nil"/>
                  </w:tcBorders>
                  <w:noWrap w:val="0"/>
                  <w:vAlign w:val="center"/>
                </w:tcPr>
                <w:p>
                  <w:pPr>
                    <w:pStyle w:val="54"/>
                    <w:jc w:val="center"/>
                    <w:rPr>
                      <w:rFonts w:cs="宋体"/>
                      <w:color w:val="auto"/>
                    </w:rPr>
                  </w:pPr>
                </w:p>
              </w:tc>
              <w:tc>
                <w:tcPr>
                  <w:tcW w:w="1620" w:type="dxa"/>
                  <w:tcBorders>
                    <w:tl2br w:val="nil"/>
                    <w:tr2bl w:val="nil"/>
                  </w:tcBorders>
                  <w:noWrap w:val="0"/>
                  <w:vAlign w:val="center"/>
                </w:tcPr>
                <w:p>
                  <w:pPr>
                    <w:pStyle w:val="54"/>
                    <w:jc w:val="center"/>
                    <w:rPr>
                      <w:rFonts w:hint="eastAsia" w:eastAsia="宋体" w:cs="宋体"/>
                      <w:color w:val="auto"/>
                      <w:lang w:eastAsia="zh-CN"/>
                    </w:rPr>
                  </w:pPr>
                  <w:r>
                    <w:rPr>
                      <w:rFonts w:hint="eastAsia" w:cs="宋体"/>
                      <w:color w:val="auto"/>
                      <w:lang w:eastAsia="zh-CN"/>
                    </w:rPr>
                    <w:t>烟气黑度</w:t>
                  </w:r>
                </w:p>
              </w:tc>
              <w:tc>
                <w:tcPr>
                  <w:tcW w:w="2408" w:type="dxa"/>
                  <w:gridSpan w:val="2"/>
                  <w:tcBorders>
                    <w:tl2br w:val="nil"/>
                    <w:tr2bl w:val="nil"/>
                  </w:tcBorders>
                  <w:noWrap w:val="0"/>
                  <w:vAlign w:val="center"/>
                </w:tcPr>
                <w:p>
                  <w:pPr>
                    <w:pStyle w:val="54"/>
                    <w:jc w:val="center"/>
                    <w:rPr>
                      <w:rFonts w:hint="eastAsia" w:eastAsia="宋体"/>
                      <w:color w:val="auto"/>
                      <w:lang w:val="en-US" w:eastAsia="zh-CN"/>
                    </w:rPr>
                  </w:pPr>
                  <w:r>
                    <w:rPr>
                      <w:rFonts w:hint="eastAsia"/>
                      <w:color w:val="auto"/>
                      <w:lang w:val="en-US" w:eastAsia="zh-CN"/>
                    </w:rPr>
                    <w:t>1</w:t>
                  </w:r>
                </w:p>
              </w:tc>
              <w:tc>
                <w:tcPr>
                  <w:tcW w:w="1257" w:type="dxa"/>
                  <w:gridSpan w:val="2"/>
                  <w:vMerge w:val="continue"/>
                  <w:tcBorders>
                    <w:tl2br w:val="nil"/>
                    <w:tr2bl w:val="nil"/>
                  </w:tcBorders>
                  <w:noWrap w:val="0"/>
                  <w:vAlign w:val="center"/>
                </w:tcPr>
                <w:p>
                  <w:pPr>
                    <w:pStyle w:val="54"/>
                    <w:jc w:val="center"/>
                    <w:rPr>
                      <w:rFonts w:cs="宋体"/>
                      <w:color w:val="auto"/>
                    </w:rPr>
                  </w:pP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85" w:type="dxa"/>
                  <w:vMerge w:val="continue"/>
                  <w:tcBorders>
                    <w:tl2br w:val="nil"/>
                    <w:tr2bl w:val="nil"/>
                  </w:tcBorders>
                  <w:noWrap w:val="0"/>
                  <w:vAlign w:val="center"/>
                </w:tcPr>
                <w:p>
                  <w:pPr>
                    <w:pStyle w:val="54"/>
                    <w:jc w:val="center"/>
                    <w:rPr>
                      <w:color w:val="auto"/>
                    </w:rPr>
                  </w:pPr>
                </w:p>
              </w:tc>
              <w:tc>
                <w:tcPr>
                  <w:tcW w:w="2035" w:type="dxa"/>
                  <w:vMerge w:val="restart"/>
                  <w:tcBorders>
                    <w:tl2br w:val="nil"/>
                    <w:tr2bl w:val="nil"/>
                  </w:tcBorders>
                  <w:noWrap w:val="0"/>
                  <w:vAlign w:val="center"/>
                </w:tcPr>
                <w:p>
                  <w:pPr>
                    <w:pStyle w:val="54"/>
                    <w:jc w:val="center"/>
                    <w:rPr>
                      <w:color w:val="auto"/>
                    </w:rPr>
                  </w:pPr>
                  <w:r>
                    <w:rPr>
                      <w:rFonts w:hint="eastAsia" w:cs="宋体"/>
                      <w:color w:val="auto"/>
                    </w:rPr>
                    <w:t>《大气污染物综合排放标准》（</w:t>
                  </w:r>
                  <w:r>
                    <w:rPr>
                      <w:color w:val="auto"/>
                    </w:rPr>
                    <w:t>GB16297-</w:t>
                  </w:r>
                </w:p>
                <w:p>
                  <w:pPr>
                    <w:pStyle w:val="54"/>
                    <w:jc w:val="center"/>
                    <w:rPr>
                      <w:rFonts w:cs="宋体"/>
                      <w:color w:val="auto"/>
                    </w:rPr>
                  </w:pPr>
                  <w:r>
                    <w:rPr>
                      <w:color w:val="auto"/>
                    </w:rPr>
                    <w:t>1996</w:t>
                  </w:r>
                  <w:r>
                    <w:rPr>
                      <w:rFonts w:hint="eastAsia" w:cs="宋体"/>
                      <w:color w:val="auto"/>
                    </w:rPr>
                    <w:t>）表</w:t>
                  </w:r>
                  <w:r>
                    <w:rPr>
                      <w:color w:val="auto"/>
                    </w:rPr>
                    <w:t>2</w:t>
                  </w:r>
                  <w:r>
                    <w:rPr>
                      <w:rFonts w:hint="eastAsia" w:cs="宋体"/>
                      <w:color w:val="auto"/>
                    </w:rPr>
                    <w:t>二级标准</w:t>
                  </w:r>
                </w:p>
              </w:tc>
              <w:tc>
                <w:tcPr>
                  <w:tcW w:w="1620" w:type="dxa"/>
                  <w:vMerge w:val="restart"/>
                  <w:tcBorders>
                    <w:tl2br w:val="nil"/>
                    <w:tr2bl w:val="nil"/>
                  </w:tcBorders>
                  <w:noWrap w:val="0"/>
                  <w:vAlign w:val="center"/>
                </w:tcPr>
                <w:p>
                  <w:pPr>
                    <w:pStyle w:val="54"/>
                    <w:jc w:val="center"/>
                    <w:rPr>
                      <w:rFonts w:hint="eastAsia" w:cs="宋体"/>
                      <w:color w:val="auto"/>
                      <w:lang w:eastAsia="zh-CN"/>
                    </w:rPr>
                  </w:pPr>
                  <w:r>
                    <w:rPr>
                      <w:color w:val="auto"/>
                    </w:rPr>
                    <w:t>氮氧化物</w:t>
                  </w:r>
                </w:p>
              </w:tc>
              <w:tc>
                <w:tcPr>
                  <w:tcW w:w="2408" w:type="dxa"/>
                  <w:gridSpan w:val="2"/>
                  <w:tcBorders>
                    <w:tl2br w:val="nil"/>
                    <w:tr2bl w:val="nil"/>
                  </w:tcBorders>
                  <w:noWrap w:val="0"/>
                  <w:vAlign w:val="center"/>
                </w:tcPr>
                <w:p>
                  <w:pPr>
                    <w:pStyle w:val="54"/>
                    <w:jc w:val="center"/>
                    <w:rPr>
                      <w:rFonts w:hint="eastAsia" w:ascii="Times New Roman" w:hAnsi="Times New Roman" w:eastAsia="宋体" w:cs="宋体"/>
                      <w:color w:val="auto"/>
                      <w:kern w:val="2"/>
                      <w:sz w:val="21"/>
                      <w:szCs w:val="21"/>
                      <w:lang w:val="en-US" w:eastAsia="zh-CN" w:bidi="ar-SA"/>
                    </w:rPr>
                  </w:pPr>
                  <w:r>
                    <w:rPr>
                      <w:rFonts w:hint="eastAsia" w:cs="宋体"/>
                      <w:color w:val="auto"/>
                    </w:rPr>
                    <w:t>最高允许排放浓度：</w:t>
                  </w:r>
                  <w:r>
                    <w:rPr>
                      <w:rFonts w:hint="eastAsia"/>
                      <w:color w:val="auto"/>
                    </w:rPr>
                    <w:t>240</w:t>
                  </w:r>
                  <w:r>
                    <w:rPr>
                      <w:color w:val="auto"/>
                    </w:rPr>
                    <w:t>mg/m</w:t>
                  </w:r>
                  <w:r>
                    <w:rPr>
                      <w:color w:val="auto"/>
                      <w:vertAlign w:val="superscript"/>
                    </w:rPr>
                    <w:t>3</w:t>
                  </w:r>
                </w:p>
              </w:tc>
              <w:tc>
                <w:tcPr>
                  <w:tcW w:w="1257" w:type="dxa"/>
                  <w:gridSpan w:val="2"/>
                  <w:vMerge w:val="continue"/>
                  <w:tcBorders>
                    <w:tl2br w:val="nil"/>
                    <w:tr2bl w:val="nil"/>
                  </w:tcBorders>
                  <w:noWrap w:val="0"/>
                  <w:vAlign w:val="center"/>
                </w:tcPr>
                <w:p>
                  <w:pPr>
                    <w:pStyle w:val="54"/>
                    <w:jc w:val="center"/>
                    <w:rPr>
                      <w:rFonts w:cs="宋体"/>
                      <w:color w:val="auto"/>
                    </w:rPr>
                  </w:pP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PrEx>
              <w:trPr>
                <w:trHeight w:val="469" w:hRule="atLeast"/>
              </w:trPr>
              <w:tc>
                <w:tcPr>
                  <w:tcW w:w="585" w:type="dxa"/>
                  <w:vMerge w:val="continue"/>
                  <w:tcBorders>
                    <w:tl2br w:val="nil"/>
                    <w:tr2bl w:val="nil"/>
                  </w:tcBorders>
                  <w:noWrap w:val="0"/>
                  <w:vAlign w:val="center"/>
                </w:tcPr>
                <w:p>
                  <w:pPr>
                    <w:pStyle w:val="54"/>
                    <w:jc w:val="center"/>
                    <w:rPr>
                      <w:color w:val="auto"/>
                    </w:rPr>
                  </w:pPr>
                </w:p>
              </w:tc>
              <w:tc>
                <w:tcPr>
                  <w:tcW w:w="2035" w:type="dxa"/>
                  <w:vMerge w:val="continue"/>
                  <w:tcBorders>
                    <w:tl2br w:val="nil"/>
                    <w:tr2bl w:val="nil"/>
                  </w:tcBorders>
                  <w:noWrap w:val="0"/>
                  <w:vAlign w:val="center"/>
                </w:tcPr>
                <w:p>
                  <w:pPr>
                    <w:pStyle w:val="54"/>
                    <w:jc w:val="center"/>
                    <w:rPr>
                      <w:rFonts w:cs="宋体"/>
                      <w:color w:val="auto"/>
                    </w:rPr>
                  </w:pPr>
                </w:p>
              </w:tc>
              <w:tc>
                <w:tcPr>
                  <w:tcW w:w="1620" w:type="dxa"/>
                  <w:vMerge w:val="continue"/>
                  <w:tcBorders>
                    <w:tl2br w:val="nil"/>
                    <w:tr2bl w:val="nil"/>
                  </w:tcBorders>
                  <w:noWrap w:val="0"/>
                  <w:vAlign w:val="center"/>
                </w:tcPr>
                <w:p>
                  <w:pPr>
                    <w:pStyle w:val="54"/>
                    <w:jc w:val="center"/>
                    <w:rPr>
                      <w:rFonts w:hint="eastAsia" w:cs="宋体"/>
                      <w:color w:val="auto"/>
                      <w:lang w:eastAsia="zh-CN"/>
                    </w:rPr>
                  </w:pPr>
                </w:p>
              </w:tc>
              <w:tc>
                <w:tcPr>
                  <w:tcW w:w="2408" w:type="dxa"/>
                  <w:gridSpan w:val="2"/>
                  <w:tcBorders>
                    <w:tl2br w:val="nil"/>
                    <w:tr2bl w:val="nil"/>
                  </w:tcBorders>
                  <w:noWrap w:val="0"/>
                  <w:vAlign w:val="center"/>
                </w:tcPr>
                <w:p>
                  <w:pPr>
                    <w:pStyle w:val="54"/>
                    <w:jc w:val="center"/>
                    <w:rPr>
                      <w:color w:val="auto"/>
                    </w:rPr>
                  </w:pPr>
                  <w:r>
                    <w:rPr>
                      <w:rFonts w:hint="eastAsia" w:cs="宋体"/>
                      <w:color w:val="auto"/>
                    </w:rPr>
                    <w:t>最高允许排放速率：</w:t>
                  </w:r>
                  <w:r>
                    <w:rPr>
                      <w:color w:val="auto"/>
                    </w:rPr>
                    <w:t>15m</w:t>
                  </w:r>
                </w:p>
                <w:p>
                  <w:pPr>
                    <w:pStyle w:val="54"/>
                    <w:jc w:val="center"/>
                    <w:rPr>
                      <w:rFonts w:hint="eastAsia" w:ascii="Times New Roman" w:hAnsi="Times New Roman" w:eastAsia="宋体" w:cs="宋体"/>
                      <w:color w:val="auto"/>
                      <w:kern w:val="2"/>
                      <w:sz w:val="21"/>
                      <w:szCs w:val="21"/>
                      <w:lang w:val="en-US" w:eastAsia="zh-CN" w:bidi="ar-SA"/>
                    </w:rPr>
                  </w:pPr>
                  <w:r>
                    <w:rPr>
                      <w:rFonts w:hint="eastAsia" w:cs="宋体"/>
                      <w:color w:val="auto"/>
                    </w:rPr>
                    <w:t>排气筒，</w:t>
                  </w:r>
                  <w:r>
                    <w:rPr>
                      <w:rFonts w:hint="eastAsia"/>
                      <w:color w:val="auto"/>
                    </w:rPr>
                    <w:t>0.</w:t>
                  </w:r>
                  <w:r>
                    <w:rPr>
                      <w:rFonts w:hint="eastAsia"/>
                      <w:color w:val="auto"/>
                      <w:lang w:val="en-US" w:eastAsia="zh-CN"/>
                    </w:rPr>
                    <w:t>7</w:t>
                  </w:r>
                  <w:r>
                    <w:rPr>
                      <w:rFonts w:hint="eastAsia"/>
                      <w:color w:val="auto"/>
                    </w:rPr>
                    <w:t>7</w:t>
                  </w:r>
                  <w:r>
                    <w:rPr>
                      <w:color w:val="auto"/>
                    </w:rPr>
                    <w:t>kg/h</w:t>
                  </w:r>
                </w:p>
              </w:tc>
              <w:tc>
                <w:tcPr>
                  <w:tcW w:w="1257" w:type="dxa"/>
                  <w:gridSpan w:val="2"/>
                  <w:vMerge w:val="continue"/>
                  <w:tcBorders>
                    <w:tl2br w:val="nil"/>
                    <w:tr2bl w:val="nil"/>
                  </w:tcBorders>
                  <w:noWrap w:val="0"/>
                  <w:vAlign w:val="center"/>
                </w:tcPr>
                <w:p>
                  <w:pPr>
                    <w:pStyle w:val="54"/>
                    <w:jc w:val="center"/>
                    <w:rPr>
                      <w:rFonts w:cs="宋体"/>
                      <w:color w:val="auto"/>
                    </w:rPr>
                  </w:pP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85" w:type="dxa"/>
                  <w:vMerge w:val="restart"/>
                  <w:tcBorders>
                    <w:tl2br w:val="nil"/>
                    <w:tr2bl w:val="nil"/>
                  </w:tcBorders>
                  <w:noWrap w:val="0"/>
                  <w:vAlign w:val="center"/>
                </w:tcPr>
                <w:p>
                  <w:pPr>
                    <w:pStyle w:val="54"/>
                    <w:jc w:val="center"/>
                    <w:rPr>
                      <w:color w:val="auto"/>
                    </w:rPr>
                  </w:pPr>
                  <w:r>
                    <w:rPr>
                      <w:rFonts w:hint="eastAsia" w:cs="宋体"/>
                      <w:color w:val="auto"/>
                    </w:rPr>
                    <w:t>噪声</w:t>
                  </w:r>
                </w:p>
              </w:tc>
              <w:tc>
                <w:tcPr>
                  <w:tcW w:w="4626" w:type="dxa"/>
                  <w:gridSpan w:val="3"/>
                  <w:vMerge w:val="restart"/>
                  <w:tcBorders>
                    <w:tl2br w:val="nil"/>
                    <w:tr2bl w:val="nil"/>
                  </w:tcBorders>
                  <w:noWrap w:val="0"/>
                  <w:vAlign w:val="center"/>
                </w:tcPr>
                <w:p>
                  <w:pPr>
                    <w:pStyle w:val="54"/>
                    <w:jc w:val="center"/>
                    <w:rPr>
                      <w:color w:val="auto"/>
                    </w:rPr>
                  </w:pPr>
                  <w:r>
                    <w:rPr>
                      <w:rFonts w:hint="eastAsia" w:cs="宋体"/>
                      <w:color w:val="auto"/>
                    </w:rPr>
                    <w:t>运营期厂界执行《工业企业厂界环境噪声排放标准》（</w:t>
                  </w:r>
                  <w:r>
                    <w:rPr>
                      <w:color w:val="auto"/>
                    </w:rPr>
                    <w:t>GB12348-2008</w:t>
                  </w:r>
                  <w:r>
                    <w:rPr>
                      <w:rFonts w:hint="eastAsia" w:cs="宋体"/>
                      <w:color w:val="auto"/>
                    </w:rPr>
                    <w:t>）</w:t>
                  </w:r>
                  <w:r>
                    <w:rPr>
                      <w:color w:val="auto"/>
                    </w:rPr>
                    <w:t>2</w:t>
                  </w:r>
                  <w:r>
                    <w:rPr>
                      <w:rFonts w:hint="eastAsia" w:cs="宋体"/>
                      <w:color w:val="auto"/>
                    </w:rPr>
                    <w:t>类标准</w:t>
                  </w:r>
                </w:p>
              </w:tc>
              <w:tc>
                <w:tcPr>
                  <w:tcW w:w="1437" w:type="dxa"/>
                  <w:vMerge w:val="restart"/>
                  <w:tcBorders>
                    <w:tl2br w:val="nil"/>
                    <w:tr2bl w:val="nil"/>
                  </w:tcBorders>
                  <w:noWrap w:val="0"/>
                  <w:vAlign w:val="center"/>
                </w:tcPr>
                <w:p>
                  <w:pPr>
                    <w:pStyle w:val="54"/>
                    <w:jc w:val="center"/>
                    <w:rPr>
                      <w:color w:val="auto"/>
                    </w:rPr>
                  </w:pPr>
                  <w:r>
                    <w:rPr>
                      <w:color w:val="auto"/>
                    </w:rPr>
                    <w:t>dB(A)</w:t>
                  </w:r>
                </w:p>
              </w:tc>
              <w:tc>
                <w:tcPr>
                  <w:tcW w:w="747" w:type="dxa"/>
                  <w:tcBorders>
                    <w:tl2br w:val="nil"/>
                    <w:tr2bl w:val="nil"/>
                  </w:tcBorders>
                  <w:noWrap w:val="0"/>
                  <w:vAlign w:val="center"/>
                </w:tcPr>
                <w:p>
                  <w:pPr>
                    <w:pStyle w:val="54"/>
                    <w:jc w:val="center"/>
                    <w:rPr>
                      <w:color w:val="auto"/>
                    </w:rPr>
                  </w:pPr>
                  <w:r>
                    <w:rPr>
                      <w:rFonts w:hint="eastAsia" w:cs="宋体"/>
                      <w:color w:val="auto"/>
                    </w:rPr>
                    <w:t>昼间</w:t>
                  </w:r>
                </w:p>
              </w:tc>
              <w:tc>
                <w:tcPr>
                  <w:tcW w:w="510" w:type="dxa"/>
                  <w:tcBorders>
                    <w:tl2br w:val="nil"/>
                    <w:tr2bl w:val="nil"/>
                  </w:tcBorders>
                  <w:noWrap w:val="0"/>
                  <w:vAlign w:val="center"/>
                </w:tcPr>
                <w:p>
                  <w:pPr>
                    <w:pStyle w:val="54"/>
                    <w:jc w:val="center"/>
                    <w:rPr>
                      <w:color w:val="auto"/>
                    </w:rPr>
                  </w:pPr>
                  <w:r>
                    <w:rPr>
                      <w:color w:val="auto"/>
                    </w:rPr>
                    <w:t>60</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85" w:type="dxa"/>
                  <w:vMerge w:val="continue"/>
                  <w:tcBorders>
                    <w:tl2br w:val="nil"/>
                    <w:tr2bl w:val="nil"/>
                  </w:tcBorders>
                  <w:noWrap w:val="0"/>
                  <w:vAlign w:val="center"/>
                </w:tcPr>
                <w:p>
                  <w:pPr>
                    <w:pStyle w:val="54"/>
                    <w:jc w:val="center"/>
                    <w:rPr>
                      <w:color w:val="auto"/>
                    </w:rPr>
                  </w:pPr>
                </w:p>
              </w:tc>
              <w:tc>
                <w:tcPr>
                  <w:tcW w:w="4626" w:type="dxa"/>
                  <w:gridSpan w:val="3"/>
                  <w:vMerge w:val="continue"/>
                  <w:tcBorders>
                    <w:tl2br w:val="nil"/>
                    <w:tr2bl w:val="nil"/>
                  </w:tcBorders>
                  <w:noWrap w:val="0"/>
                  <w:vAlign w:val="center"/>
                </w:tcPr>
                <w:p>
                  <w:pPr>
                    <w:pStyle w:val="54"/>
                    <w:jc w:val="center"/>
                    <w:rPr>
                      <w:color w:val="auto"/>
                    </w:rPr>
                  </w:pPr>
                </w:p>
              </w:tc>
              <w:tc>
                <w:tcPr>
                  <w:tcW w:w="1437" w:type="dxa"/>
                  <w:vMerge w:val="continue"/>
                  <w:tcBorders>
                    <w:tl2br w:val="nil"/>
                    <w:tr2bl w:val="nil"/>
                  </w:tcBorders>
                  <w:noWrap w:val="0"/>
                  <w:vAlign w:val="center"/>
                </w:tcPr>
                <w:p>
                  <w:pPr>
                    <w:pStyle w:val="54"/>
                    <w:jc w:val="center"/>
                    <w:rPr>
                      <w:color w:val="auto"/>
                    </w:rPr>
                  </w:pPr>
                </w:p>
              </w:tc>
              <w:tc>
                <w:tcPr>
                  <w:tcW w:w="747" w:type="dxa"/>
                  <w:tcBorders>
                    <w:tl2br w:val="nil"/>
                    <w:tr2bl w:val="nil"/>
                  </w:tcBorders>
                  <w:noWrap w:val="0"/>
                  <w:vAlign w:val="center"/>
                </w:tcPr>
                <w:p>
                  <w:pPr>
                    <w:pStyle w:val="54"/>
                    <w:jc w:val="center"/>
                    <w:rPr>
                      <w:color w:val="auto"/>
                    </w:rPr>
                  </w:pPr>
                  <w:r>
                    <w:rPr>
                      <w:rFonts w:hint="eastAsia" w:cs="宋体"/>
                      <w:color w:val="auto"/>
                    </w:rPr>
                    <w:t>夜间</w:t>
                  </w:r>
                </w:p>
              </w:tc>
              <w:tc>
                <w:tcPr>
                  <w:tcW w:w="510" w:type="dxa"/>
                  <w:tcBorders>
                    <w:tl2br w:val="nil"/>
                    <w:tr2bl w:val="nil"/>
                  </w:tcBorders>
                  <w:noWrap w:val="0"/>
                  <w:vAlign w:val="center"/>
                </w:tcPr>
                <w:p>
                  <w:pPr>
                    <w:pStyle w:val="54"/>
                    <w:jc w:val="center"/>
                    <w:rPr>
                      <w:color w:val="auto"/>
                    </w:rPr>
                  </w:pPr>
                  <w:r>
                    <w:rPr>
                      <w:color w:val="auto"/>
                    </w:rPr>
                    <w:t>50</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85" w:type="dxa"/>
                  <w:vMerge w:val="continue"/>
                  <w:tcBorders>
                    <w:tl2br w:val="nil"/>
                    <w:tr2bl w:val="nil"/>
                  </w:tcBorders>
                  <w:noWrap w:val="0"/>
                  <w:vAlign w:val="center"/>
                </w:tcPr>
                <w:p>
                  <w:pPr>
                    <w:pStyle w:val="54"/>
                    <w:jc w:val="center"/>
                    <w:rPr>
                      <w:color w:val="auto"/>
                    </w:rPr>
                  </w:pPr>
                </w:p>
              </w:tc>
              <w:tc>
                <w:tcPr>
                  <w:tcW w:w="4626" w:type="dxa"/>
                  <w:gridSpan w:val="3"/>
                  <w:vMerge w:val="restart"/>
                  <w:tcBorders>
                    <w:tl2br w:val="nil"/>
                    <w:tr2bl w:val="nil"/>
                  </w:tcBorders>
                  <w:noWrap w:val="0"/>
                  <w:vAlign w:val="center"/>
                </w:tcPr>
                <w:p>
                  <w:pPr>
                    <w:pStyle w:val="54"/>
                    <w:jc w:val="center"/>
                    <w:rPr>
                      <w:color w:val="auto"/>
                    </w:rPr>
                  </w:pPr>
                  <w:r>
                    <w:rPr>
                      <w:rFonts w:hint="eastAsia" w:cs="宋体"/>
                      <w:color w:val="auto"/>
                    </w:rPr>
                    <w:t>施工期执行《建筑施工场界环境噪声排放标准》（</w:t>
                  </w:r>
                  <w:r>
                    <w:rPr>
                      <w:color w:val="auto"/>
                    </w:rPr>
                    <w:t>GB12523-2011</w:t>
                  </w:r>
                  <w:r>
                    <w:rPr>
                      <w:rFonts w:hint="eastAsia" w:cs="宋体"/>
                      <w:color w:val="auto"/>
                    </w:rPr>
                    <w:t>）</w:t>
                  </w:r>
                </w:p>
              </w:tc>
              <w:tc>
                <w:tcPr>
                  <w:tcW w:w="1437" w:type="dxa"/>
                  <w:vMerge w:val="restart"/>
                  <w:tcBorders>
                    <w:tl2br w:val="nil"/>
                    <w:tr2bl w:val="nil"/>
                  </w:tcBorders>
                  <w:noWrap w:val="0"/>
                  <w:vAlign w:val="center"/>
                </w:tcPr>
                <w:p>
                  <w:pPr>
                    <w:pStyle w:val="54"/>
                    <w:jc w:val="center"/>
                    <w:rPr>
                      <w:color w:val="auto"/>
                    </w:rPr>
                  </w:pPr>
                  <w:r>
                    <w:rPr>
                      <w:color w:val="auto"/>
                    </w:rPr>
                    <w:t>dB(A)</w:t>
                  </w:r>
                </w:p>
              </w:tc>
              <w:tc>
                <w:tcPr>
                  <w:tcW w:w="747" w:type="dxa"/>
                  <w:tcBorders>
                    <w:tl2br w:val="nil"/>
                    <w:tr2bl w:val="nil"/>
                  </w:tcBorders>
                  <w:noWrap w:val="0"/>
                  <w:vAlign w:val="center"/>
                </w:tcPr>
                <w:p>
                  <w:pPr>
                    <w:pStyle w:val="54"/>
                    <w:jc w:val="center"/>
                    <w:rPr>
                      <w:color w:val="auto"/>
                    </w:rPr>
                  </w:pPr>
                  <w:r>
                    <w:rPr>
                      <w:rFonts w:hint="eastAsia" w:cs="宋体"/>
                      <w:color w:val="auto"/>
                    </w:rPr>
                    <w:t>昼间</w:t>
                  </w:r>
                </w:p>
              </w:tc>
              <w:tc>
                <w:tcPr>
                  <w:tcW w:w="510" w:type="dxa"/>
                  <w:tcBorders>
                    <w:tl2br w:val="nil"/>
                    <w:tr2bl w:val="nil"/>
                  </w:tcBorders>
                  <w:noWrap w:val="0"/>
                  <w:vAlign w:val="center"/>
                </w:tcPr>
                <w:p>
                  <w:pPr>
                    <w:pStyle w:val="54"/>
                    <w:jc w:val="center"/>
                    <w:rPr>
                      <w:color w:val="auto"/>
                    </w:rPr>
                  </w:pPr>
                  <w:r>
                    <w:rPr>
                      <w:color w:val="auto"/>
                    </w:rPr>
                    <w:t>70</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85" w:type="dxa"/>
                  <w:vMerge w:val="continue"/>
                  <w:tcBorders>
                    <w:tl2br w:val="nil"/>
                    <w:tr2bl w:val="nil"/>
                  </w:tcBorders>
                  <w:noWrap w:val="0"/>
                  <w:vAlign w:val="center"/>
                </w:tcPr>
                <w:p>
                  <w:pPr>
                    <w:pStyle w:val="54"/>
                    <w:jc w:val="center"/>
                    <w:rPr>
                      <w:color w:val="auto"/>
                    </w:rPr>
                  </w:pPr>
                </w:p>
              </w:tc>
              <w:tc>
                <w:tcPr>
                  <w:tcW w:w="4626" w:type="dxa"/>
                  <w:gridSpan w:val="3"/>
                  <w:vMerge w:val="continue"/>
                  <w:tcBorders>
                    <w:tl2br w:val="nil"/>
                    <w:tr2bl w:val="nil"/>
                  </w:tcBorders>
                  <w:noWrap w:val="0"/>
                  <w:vAlign w:val="center"/>
                </w:tcPr>
                <w:p>
                  <w:pPr>
                    <w:pStyle w:val="54"/>
                    <w:jc w:val="center"/>
                    <w:rPr>
                      <w:color w:val="auto"/>
                    </w:rPr>
                  </w:pPr>
                </w:p>
              </w:tc>
              <w:tc>
                <w:tcPr>
                  <w:tcW w:w="1437" w:type="dxa"/>
                  <w:vMerge w:val="continue"/>
                  <w:tcBorders>
                    <w:tl2br w:val="nil"/>
                    <w:tr2bl w:val="nil"/>
                  </w:tcBorders>
                  <w:noWrap w:val="0"/>
                  <w:vAlign w:val="center"/>
                </w:tcPr>
                <w:p>
                  <w:pPr>
                    <w:pStyle w:val="54"/>
                    <w:jc w:val="center"/>
                    <w:rPr>
                      <w:color w:val="auto"/>
                    </w:rPr>
                  </w:pPr>
                </w:p>
              </w:tc>
              <w:tc>
                <w:tcPr>
                  <w:tcW w:w="747" w:type="dxa"/>
                  <w:tcBorders>
                    <w:tl2br w:val="nil"/>
                    <w:tr2bl w:val="nil"/>
                  </w:tcBorders>
                  <w:noWrap w:val="0"/>
                  <w:vAlign w:val="center"/>
                </w:tcPr>
                <w:p>
                  <w:pPr>
                    <w:pStyle w:val="54"/>
                    <w:jc w:val="center"/>
                    <w:rPr>
                      <w:color w:val="auto"/>
                    </w:rPr>
                  </w:pPr>
                  <w:r>
                    <w:rPr>
                      <w:rFonts w:hint="eastAsia" w:cs="宋体"/>
                      <w:color w:val="auto"/>
                    </w:rPr>
                    <w:t>夜间</w:t>
                  </w:r>
                </w:p>
              </w:tc>
              <w:tc>
                <w:tcPr>
                  <w:tcW w:w="510" w:type="dxa"/>
                  <w:tcBorders>
                    <w:tl2br w:val="nil"/>
                    <w:tr2bl w:val="nil"/>
                  </w:tcBorders>
                  <w:noWrap w:val="0"/>
                  <w:vAlign w:val="center"/>
                </w:tcPr>
                <w:p>
                  <w:pPr>
                    <w:pStyle w:val="54"/>
                    <w:jc w:val="center"/>
                    <w:rPr>
                      <w:color w:val="auto"/>
                    </w:rPr>
                  </w:pPr>
                  <w:r>
                    <w:rPr>
                      <w:color w:val="auto"/>
                    </w:rPr>
                    <w:t>5</w:t>
                  </w:r>
                  <w:r>
                    <w:rPr>
                      <w:rFonts w:hint="eastAsia"/>
                      <w:color w:val="auto"/>
                    </w:rPr>
                    <w:t>5</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85" w:type="dxa"/>
                  <w:tcBorders>
                    <w:tl2br w:val="nil"/>
                    <w:tr2bl w:val="nil"/>
                  </w:tcBorders>
                  <w:noWrap w:val="0"/>
                  <w:vAlign w:val="center"/>
                </w:tcPr>
                <w:p>
                  <w:pPr>
                    <w:pStyle w:val="54"/>
                    <w:jc w:val="center"/>
                    <w:rPr>
                      <w:color w:val="auto"/>
                    </w:rPr>
                  </w:pPr>
                  <w:r>
                    <w:rPr>
                      <w:rFonts w:hint="eastAsia" w:cs="宋体"/>
                      <w:color w:val="auto"/>
                    </w:rPr>
                    <w:t>固体废物</w:t>
                  </w:r>
                </w:p>
              </w:tc>
              <w:tc>
                <w:tcPr>
                  <w:tcW w:w="7320" w:type="dxa"/>
                  <w:gridSpan w:val="6"/>
                  <w:tcBorders>
                    <w:tl2br w:val="nil"/>
                    <w:tr2bl w:val="nil"/>
                  </w:tcBorders>
                  <w:noWrap w:val="0"/>
                  <w:vAlign w:val="center"/>
                </w:tcPr>
                <w:p>
                  <w:pPr>
                    <w:pStyle w:val="54"/>
                    <w:jc w:val="center"/>
                    <w:rPr>
                      <w:color w:val="auto"/>
                    </w:rPr>
                  </w:pPr>
                  <w:r>
                    <w:rPr>
                      <w:rFonts w:hint="eastAsia" w:cs="宋体"/>
                      <w:color w:val="auto"/>
                    </w:rPr>
                    <w:t>《一般固体废弃物贮存、处置场污染控制标准》（</w:t>
                  </w:r>
                  <w:r>
                    <w:rPr>
                      <w:color w:val="auto"/>
                    </w:rPr>
                    <w:t>GB18599-2001</w:t>
                  </w:r>
                  <w:r>
                    <w:rPr>
                      <w:rFonts w:hint="eastAsia" w:cs="宋体"/>
                      <w:color w:val="auto"/>
                    </w:rPr>
                    <w:t>）及修改公告（公告</w:t>
                  </w:r>
                  <w:r>
                    <w:rPr>
                      <w:color w:val="auto"/>
                    </w:rPr>
                    <w:t>2013</w:t>
                  </w:r>
                  <w:r>
                    <w:rPr>
                      <w:rFonts w:hint="eastAsia" w:cs="宋体"/>
                      <w:color w:val="auto"/>
                    </w:rPr>
                    <w:t>年第</w:t>
                  </w:r>
                  <w:r>
                    <w:rPr>
                      <w:color w:val="auto"/>
                    </w:rPr>
                    <w:t>36</w:t>
                  </w:r>
                  <w:r>
                    <w:rPr>
                      <w:rFonts w:hint="eastAsia" w:cs="宋体"/>
                      <w:color w:val="auto"/>
                    </w:rPr>
                    <w:t>号）中的标准。其中，本项目产生的生活垃圾执行《中华人民共和国固体废物污染环境防治法》（2016年11月7日修正版）中的有关规定。</w:t>
                  </w:r>
                </w:p>
              </w:tc>
            </w:tr>
          </w:tbl>
          <w:p>
            <w:pPr>
              <w:keepNext w:val="0"/>
              <w:keepLines w:val="0"/>
              <w:pageBreakBefore w:val="0"/>
              <w:widowControl w:val="0"/>
              <w:kinsoku/>
              <w:wordWrap/>
              <w:overflowPunct/>
              <w:topLinePunct w:val="0"/>
              <w:autoSpaceDE/>
              <w:autoSpaceDN/>
              <w:bidi w:val="0"/>
              <w:adjustRightInd/>
              <w:snapToGrid/>
              <w:spacing w:before="157" w:beforeLines="50"/>
              <w:textAlignment w:val="auto"/>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lang w:eastAsia="zh-CN"/>
              </w:rPr>
              <w:t>（</w:t>
            </w:r>
            <w:r>
              <w:rPr>
                <w:rFonts w:hint="default" w:ascii="Times New Roman" w:hAnsi="Times New Roman" w:eastAsia="宋体" w:cs="Times New Roman"/>
                <w:b/>
                <w:bCs/>
                <w:color w:val="auto"/>
                <w:highlight w:val="none"/>
                <w:lang w:eastAsia="zh-CN"/>
              </w:rPr>
              <w:t>2）废水排放标准</w:t>
            </w:r>
          </w:p>
          <w:p>
            <w:pPr>
              <w:bidi w:val="0"/>
              <w:ind w:firstLine="42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本项目无生产废水排放；生活污水</w:t>
            </w:r>
            <w:r>
              <w:rPr>
                <w:rFonts w:hint="eastAsia" w:cs="Times New Roman"/>
                <w:color w:val="auto"/>
                <w:highlight w:val="none"/>
                <w:lang w:val="en-US" w:eastAsia="zh-CN"/>
              </w:rPr>
              <w:t>排入企业现有化粪池</w:t>
            </w:r>
            <w:r>
              <w:rPr>
                <w:rFonts w:hint="default" w:ascii="Times New Roman" w:hAnsi="Times New Roman" w:eastAsia="宋体" w:cs="Times New Roman"/>
                <w:color w:val="auto"/>
                <w:highlight w:val="none"/>
                <w:lang w:val="en-US" w:eastAsia="zh-CN"/>
              </w:rPr>
              <w:t>。</w:t>
            </w:r>
          </w:p>
          <w:p>
            <w:pPr>
              <w:bidi w:val="0"/>
              <w:rPr>
                <w:rFonts w:hint="default" w:ascii="Times New Roman" w:hAnsi="Times New Roman" w:eastAsia="宋体" w:cs="Times New Roman"/>
                <w:b/>
                <w:bCs/>
                <w:color w:val="auto"/>
                <w:lang w:eastAsia="zh-CN"/>
              </w:rPr>
            </w:pPr>
            <w:r>
              <w:rPr>
                <w:rFonts w:hint="default" w:ascii="Times New Roman" w:hAnsi="Times New Roman" w:eastAsia="宋体" w:cs="Times New Roman"/>
                <w:b/>
                <w:bCs/>
                <w:color w:val="auto"/>
                <w:lang w:eastAsia="zh-CN"/>
              </w:rPr>
              <w:t>（3）噪声排放标准</w:t>
            </w:r>
          </w:p>
          <w:p>
            <w:pPr>
              <w:bidi w:val="0"/>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本项目执行《</w:t>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"http://www.sepa.gov.cn/info/bgw/bgg/200809/W020080918372397572656.pdf" \t "_self"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工业企业厂界环境噪声排放标准》(GB12348-2008)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中的</w:t>
            </w:r>
            <w:r>
              <w:rPr>
                <w:rFonts w:hint="eastAsia" w:cs="Times New Roman"/>
                <w:color w:val="auto"/>
                <w:lang w:val="en-US" w:eastAsia="zh-CN"/>
              </w:rPr>
              <w:t>2</w:t>
            </w:r>
            <w:r>
              <w:rPr>
                <w:rFonts w:hint="default" w:ascii="Times New Roman" w:hAnsi="Times New Roman" w:eastAsia="宋体" w:cs="Times New Roman"/>
                <w:color w:val="auto"/>
              </w:rPr>
              <w:t>类标准。具体限值见表</w:t>
            </w:r>
            <w:r>
              <w:rPr>
                <w:rFonts w:hint="eastAsia" w:cs="Times New Roman"/>
                <w:color w:val="auto"/>
                <w:lang w:val="en-US" w:eastAsia="zh-CN"/>
              </w:rPr>
              <w:t>28</w:t>
            </w:r>
            <w:r>
              <w:rPr>
                <w:rFonts w:hint="default" w:ascii="Times New Roman" w:hAnsi="Times New Roman" w:eastAsia="宋体" w:cs="Times New Roman"/>
                <w:color w:val="auto"/>
              </w:rPr>
              <w:t>。</w:t>
            </w:r>
          </w:p>
          <w:p>
            <w:pPr>
              <w:pStyle w:val="4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b/>
                <w:bCs/>
                <w:color w:val="auto"/>
                <w:kern w:val="2"/>
                <w:sz w:val="21"/>
                <w:szCs w:val="21"/>
                <w:lang w:val="en-US" w:eastAsia="zh-CN" w:bidi="ar-SA"/>
              </w:rPr>
            </w:pPr>
            <w:r>
              <w:rPr>
                <w:rFonts w:hint="default" w:ascii="宋体" w:hAnsi="宋体" w:eastAsia="宋体" w:cs="宋体"/>
                <w:b/>
                <w:bCs/>
                <w:color w:val="auto"/>
                <w:kern w:val="2"/>
                <w:sz w:val="21"/>
                <w:szCs w:val="21"/>
                <w:lang w:val="en-US" w:eastAsia="zh-CN" w:bidi="ar-SA"/>
              </w:rPr>
              <w:t>表</w:t>
            </w:r>
            <w:r>
              <w:rPr>
                <w:rFonts w:hint="eastAsia" w:ascii="宋体" w:hAnsi="宋体" w:eastAsia="宋体" w:cs="宋体"/>
                <w:b/>
                <w:bCs/>
                <w:color w:val="auto"/>
                <w:kern w:val="2"/>
                <w:sz w:val="21"/>
                <w:szCs w:val="21"/>
                <w:lang w:val="en-US" w:eastAsia="zh-CN" w:bidi="ar-SA"/>
              </w:rPr>
              <w:t xml:space="preserve">28 </w:t>
            </w:r>
            <w:r>
              <w:rPr>
                <w:rFonts w:hint="default" w:ascii="宋体" w:hAnsi="宋体" w:eastAsia="宋体" w:cs="宋体"/>
                <w:b/>
                <w:bCs/>
                <w:color w:val="auto"/>
                <w:kern w:val="2"/>
                <w:sz w:val="21"/>
                <w:szCs w:val="21"/>
                <w:lang w:val="en-US" w:eastAsia="zh-CN" w:bidi="ar-SA"/>
              </w:rPr>
              <w:t>《工业企业厂界环境噪声排放标准》(GB12348-2008)</w:t>
            </w:r>
          </w:p>
          <w:tbl>
            <w:tblPr>
              <w:tblStyle w:val="19"/>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584"/>
              <w:gridCol w:w="2621"/>
              <w:gridCol w:w="2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670" w:type="dxa"/>
                  <w:vMerge w:val="restart"/>
                  <w:tcBorders>
                    <w:tl2br w:val="nil"/>
                    <w:tr2bl w:val="nil"/>
                  </w:tcBorders>
                  <w:noWrap w:val="0"/>
                  <w:vAlign w:val="center"/>
                </w:tcPr>
                <w:p>
                  <w:pPr>
                    <w:tabs>
                      <w:tab w:val="left" w:pos="0"/>
                    </w:tabs>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类别</w:t>
                  </w:r>
                </w:p>
              </w:tc>
              <w:tc>
                <w:tcPr>
                  <w:tcW w:w="5532" w:type="dxa"/>
                  <w:gridSpan w:val="2"/>
                  <w:tcBorders>
                    <w:tl2br w:val="nil"/>
                    <w:tr2bl w:val="nil"/>
                  </w:tcBorders>
                  <w:noWrap w:val="0"/>
                  <w:vAlign w:val="center"/>
                </w:tcPr>
                <w:p>
                  <w:pPr>
                    <w:tabs>
                      <w:tab w:val="left" w:pos="0"/>
                    </w:tabs>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等效声级Leq</w:t>
                  </w:r>
                  <w:r>
                    <w:rPr>
                      <w:rFonts w:hint="default" w:ascii="Times New Roman" w:hAnsi="Times New Roman" w:eastAsia="宋体" w:cs="Times New Roman"/>
                      <w:b/>
                      <w:bCs/>
                      <w:color w:val="auto"/>
                      <w:kern w:val="0"/>
                      <w:sz w:val="21"/>
                      <w:szCs w:val="21"/>
                    </w:rPr>
                    <w:t>[ 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70" w:type="dxa"/>
                  <w:vMerge w:val="continue"/>
                  <w:tcBorders>
                    <w:tl2br w:val="nil"/>
                    <w:tr2bl w:val="nil"/>
                  </w:tcBorders>
                  <w:noWrap w:val="0"/>
                  <w:vAlign w:val="center"/>
                </w:tcPr>
                <w:p>
                  <w:pPr>
                    <w:widowControl/>
                    <w:jc w:val="left"/>
                    <w:rPr>
                      <w:rFonts w:hint="default" w:ascii="Times New Roman" w:hAnsi="Times New Roman" w:eastAsia="宋体" w:cs="Times New Roman"/>
                      <w:b/>
                      <w:bCs/>
                      <w:color w:val="auto"/>
                      <w:sz w:val="21"/>
                      <w:szCs w:val="21"/>
                    </w:rPr>
                  </w:pPr>
                </w:p>
              </w:tc>
              <w:tc>
                <w:tcPr>
                  <w:tcW w:w="2708" w:type="dxa"/>
                  <w:tcBorders>
                    <w:tl2br w:val="nil"/>
                    <w:tr2bl w:val="nil"/>
                  </w:tcBorders>
                  <w:noWrap w:val="0"/>
                  <w:vAlign w:val="center"/>
                </w:tcPr>
                <w:p>
                  <w:pPr>
                    <w:tabs>
                      <w:tab w:val="left" w:pos="0"/>
                    </w:tabs>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昼   间</w:t>
                  </w:r>
                </w:p>
              </w:tc>
              <w:tc>
                <w:tcPr>
                  <w:tcW w:w="2824" w:type="dxa"/>
                  <w:tcBorders>
                    <w:tl2br w:val="nil"/>
                    <w:tr2bl w:val="nil"/>
                  </w:tcBorders>
                  <w:noWrap w:val="0"/>
                  <w:vAlign w:val="center"/>
                </w:tcPr>
                <w:p>
                  <w:pPr>
                    <w:tabs>
                      <w:tab w:val="left" w:pos="0"/>
                    </w:tabs>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夜   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70" w:type="dxa"/>
                  <w:tcBorders>
                    <w:tl2br w:val="nil"/>
                    <w:tr2bl w:val="nil"/>
                  </w:tcBorders>
                  <w:noWrap w:val="0"/>
                  <w:vAlign w:val="center"/>
                </w:tcPr>
                <w:p>
                  <w:pPr>
                    <w:tabs>
                      <w:tab w:val="left" w:pos="0"/>
                    </w:tabs>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rPr>
                    <w:t>类</w:t>
                  </w:r>
                </w:p>
              </w:tc>
              <w:tc>
                <w:tcPr>
                  <w:tcW w:w="2708" w:type="dxa"/>
                  <w:tcBorders>
                    <w:tl2br w:val="nil"/>
                    <w:tr2bl w:val="nil"/>
                  </w:tcBorders>
                  <w:noWrap w:val="0"/>
                  <w:vAlign w:val="center"/>
                </w:tcPr>
                <w:p>
                  <w:pPr>
                    <w:tabs>
                      <w:tab w:val="left" w:pos="0"/>
                    </w:tabs>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r>
                    <w:rPr>
                      <w:rFonts w:hint="eastAsia" w:cs="Times New Roman"/>
                      <w:color w:val="auto"/>
                      <w:sz w:val="21"/>
                      <w:szCs w:val="21"/>
                      <w:lang w:val="en-US" w:eastAsia="zh-CN"/>
                    </w:rPr>
                    <w:t>0</w:t>
                  </w:r>
                </w:p>
              </w:tc>
              <w:tc>
                <w:tcPr>
                  <w:tcW w:w="2824" w:type="dxa"/>
                  <w:tcBorders>
                    <w:tl2br w:val="nil"/>
                    <w:tr2bl w:val="nil"/>
                  </w:tcBorders>
                  <w:noWrap w:val="0"/>
                  <w:vAlign w:val="center"/>
                </w:tcPr>
                <w:p>
                  <w:pPr>
                    <w:tabs>
                      <w:tab w:val="left" w:pos="0"/>
                    </w:tabs>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r>
                    <w:rPr>
                      <w:rFonts w:hint="eastAsia" w:cs="Times New Roman"/>
                      <w:color w:val="auto"/>
                      <w:sz w:val="21"/>
                      <w:szCs w:val="21"/>
                      <w:lang w:val="en-US" w:eastAsia="zh-CN"/>
                    </w:rPr>
                    <w:t>0</w:t>
                  </w:r>
                </w:p>
              </w:tc>
            </w:tr>
          </w:tbl>
          <w:p>
            <w:pPr>
              <w:bidi w:val="0"/>
              <w:rPr>
                <w:rFonts w:hint="default" w:ascii="Times New Roman" w:hAnsi="Times New Roman" w:eastAsia="宋体" w:cs="Times New Roman"/>
                <w:b/>
                <w:bCs/>
                <w:color w:val="auto"/>
                <w:szCs w:val="21"/>
                <w:lang w:eastAsia="zh-CN"/>
              </w:rPr>
            </w:pPr>
            <w:r>
              <w:rPr>
                <w:rFonts w:hint="default" w:ascii="Times New Roman" w:hAnsi="Times New Roman" w:eastAsia="宋体" w:cs="Times New Roman"/>
                <w:b/>
                <w:bCs/>
                <w:color w:val="auto"/>
                <w:lang w:eastAsia="zh-CN"/>
              </w:rPr>
              <w:t>（4）固体废物存储、处置标准</w:t>
            </w:r>
          </w:p>
          <w:p>
            <w:pPr>
              <w:tabs>
                <w:tab w:val="left" w:pos="0"/>
              </w:tabs>
              <w:spacing w:line="360" w:lineRule="auto"/>
              <w:ind w:firstLine="420" w:firstLineChars="200"/>
              <w:rPr>
                <w:rFonts w:hint="default" w:ascii="Times New Roman" w:hAnsi="Times New Roman" w:eastAsia="宋体" w:cs="Times New Roman"/>
                <w:color w:val="auto"/>
                <w:szCs w:val="21"/>
                <w:highlight w:val="none"/>
                <w:lang w:bidi="zh-CN"/>
              </w:rPr>
            </w:pPr>
            <w:r>
              <w:rPr>
                <w:rFonts w:hint="default" w:ascii="Times New Roman" w:hAnsi="Times New Roman" w:eastAsia="宋体" w:cs="Times New Roman"/>
                <w:color w:val="auto"/>
                <w:szCs w:val="21"/>
              </w:rPr>
              <w:t>本项目一般固体废弃物排放执行《一般工业固体废物贮存、处置场污染控制标准》(GB18599-2001)的相关要求及2013修改单中的要求；</w:t>
            </w:r>
            <w:r>
              <w:rPr>
                <w:rFonts w:hint="default" w:ascii="Times New Roman" w:hAnsi="Times New Roman" w:eastAsia="宋体" w:cs="Times New Roman"/>
                <w:color w:val="auto"/>
                <w:szCs w:val="21"/>
                <w:lang w:bidi="zh-CN"/>
              </w:rPr>
              <w:t>危险废物贮存场所执行《危险废物贮存污染控制标准》（GB18597-2001）及</w:t>
            </w:r>
            <w:r>
              <w:rPr>
                <w:rFonts w:hint="default" w:ascii="Times New Roman" w:hAnsi="Times New Roman" w:eastAsia="宋体" w:cs="Times New Roman"/>
                <w:color w:val="auto"/>
                <w:szCs w:val="21"/>
                <w:highlight w:val="none"/>
                <w:lang w:bidi="zh-CN"/>
              </w:rPr>
              <w:t>其修改单的要求。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9" w:hRule="atLeast"/>
          <w:jc w:val="center"/>
        </w:trPr>
        <w:tc>
          <w:tcPr>
            <w:tcW w:w="405" w:type="dxa"/>
            <w:noWrap w:val="0"/>
            <w:vAlign w:val="center"/>
          </w:tcPr>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总量</w:t>
            </w:r>
          </w:p>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控制</w:t>
            </w:r>
          </w:p>
          <w:p>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指标</w:t>
            </w:r>
          </w:p>
        </w:tc>
        <w:tc>
          <w:tcPr>
            <w:tcW w:w="8118" w:type="dxa"/>
            <w:noWrap w:val="0"/>
            <w:vAlign w:val="center"/>
          </w:tcPr>
          <w:p>
            <w:pPr>
              <w:ind w:firstLine="420" w:firstLineChars="200"/>
              <w:rPr>
                <w:rFonts w:hint="default" w:ascii="Times New Roman" w:hAnsi="Times New Roman" w:eastAsia="宋体" w:cs="Times New Roman"/>
                <w:color w:val="auto"/>
                <w:lang w:val="en-US" w:eastAsia="zh-CN"/>
              </w:rPr>
            </w:pPr>
            <w:r>
              <w:rPr>
                <w:rFonts w:hint="default" w:ascii="Times New Roman" w:hAnsi="Times New Roman" w:cs="Times New Roman"/>
                <w:color w:val="auto"/>
              </w:rPr>
              <w:t>本项目设置1台6t/h生物质蒸汽锅炉，生产以200天计，每天燃烧12h，风机风量为3000m</w:t>
            </w:r>
            <w:r>
              <w:rPr>
                <w:rFonts w:hint="default" w:ascii="Times New Roman" w:hAnsi="Times New Roman" w:cs="Times New Roman"/>
                <w:color w:val="auto"/>
                <w:vertAlign w:val="superscript"/>
              </w:rPr>
              <w:t>3</w:t>
            </w:r>
            <w:r>
              <w:rPr>
                <w:rFonts w:hint="default" w:ascii="Times New Roman" w:hAnsi="Times New Roman" w:cs="Times New Roman"/>
                <w:color w:val="auto"/>
              </w:rPr>
              <w:t>/h，生物质燃料用量为1000t/a。工业废气产生量按6240.28Nm</w:t>
            </w:r>
            <w:r>
              <w:rPr>
                <w:rFonts w:hint="default" w:ascii="Times New Roman" w:hAnsi="Times New Roman" w:cs="Times New Roman"/>
                <w:color w:val="auto"/>
                <w:vertAlign w:val="superscript"/>
              </w:rPr>
              <w:t>3</w:t>
            </w:r>
            <w:r>
              <w:rPr>
                <w:rFonts w:hint="default" w:ascii="Times New Roman" w:hAnsi="Times New Roman" w:cs="Times New Roman"/>
                <w:color w:val="auto"/>
              </w:rPr>
              <w:t>/t燃料、颗粒物按37.6kg/t燃料、NOx1.02kg/t燃料、SO</w:t>
            </w:r>
            <w:r>
              <w:rPr>
                <w:rFonts w:hint="default" w:ascii="Times New Roman" w:hAnsi="Times New Roman" w:cs="Times New Roman"/>
                <w:color w:val="auto"/>
                <w:vertAlign w:val="subscript"/>
              </w:rPr>
              <w:t>2</w:t>
            </w:r>
            <w:r>
              <w:rPr>
                <w:rFonts w:hint="default" w:ascii="Times New Roman" w:hAnsi="Times New Roman" w:cs="Times New Roman"/>
                <w:color w:val="auto"/>
              </w:rPr>
              <w:t>17Skg/t燃料计，生物质成型燃料含硫率按0.1%计，则SO</w:t>
            </w:r>
            <w:r>
              <w:rPr>
                <w:rFonts w:hint="default" w:ascii="Times New Roman" w:hAnsi="Times New Roman" w:cs="Times New Roman"/>
                <w:color w:val="auto"/>
                <w:vertAlign w:val="subscript"/>
              </w:rPr>
              <w:t>2</w:t>
            </w:r>
            <w:r>
              <w:rPr>
                <w:rFonts w:hint="default" w:ascii="Times New Roman" w:hAnsi="Times New Roman" w:cs="Times New Roman"/>
                <w:color w:val="auto"/>
              </w:rPr>
              <w:t>排放量：</w:t>
            </w:r>
            <w:r>
              <w:rPr>
                <w:rFonts w:hint="eastAsia" w:ascii="Times New Roman" w:hAnsi="Times New Roman" w:cs="Times New Roman"/>
                <w:color w:val="auto"/>
                <w:lang w:val="en-US" w:eastAsia="zh-CN"/>
              </w:rPr>
              <w:t>17</w:t>
            </w:r>
            <w:r>
              <w:rPr>
                <w:rFonts w:hint="default" w:ascii="Times New Roman" w:hAnsi="Times New Roman" w:cs="Times New Roman"/>
                <w:color w:val="auto"/>
              </w:rPr>
              <w:t>×1</w:t>
            </w:r>
            <w:r>
              <w:rPr>
                <w:rFonts w:hint="eastAsia" w:ascii="Times New Roman" w:hAnsi="Times New Roman" w:cs="Times New Roman"/>
                <w:color w:val="auto"/>
                <w:lang w:val="en-US" w:eastAsia="zh-CN"/>
              </w:rPr>
              <w:t>000</w:t>
            </w:r>
            <w:r>
              <w:rPr>
                <w:rFonts w:hint="default" w:ascii="Times New Roman" w:hAnsi="Times New Roman" w:cs="Times New Roman"/>
                <w:color w:val="auto"/>
              </w:rPr>
              <w:t>×</w:t>
            </w:r>
            <w:r>
              <w:rPr>
                <w:rFonts w:hint="eastAsia" w:ascii="Times New Roman" w:hAnsi="Times New Roman" w:cs="Times New Roman"/>
                <w:color w:val="auto"/>
                <w:lang w:val="en-US" w:eastAsia="zh-CN"/>
              </w:rPr>
              <w:t>0.1%</w:t>
            </w:r>
            <w:r>
              <w:rPr>
                <w:rFonts w:hint="default" w:ascii="Times New Roman" w:hAnsi="Times New Roman" w:cs="Times New Roman"/>
                <w:color w:val="auto"/>
              </w:rPr>
              <w:t>×</w:t>
            </w:r>
            <w:r>
              <w:rPr>
                <w:rFonts w:hint="eastAsia" w:ascii="Times New Roman" w:hAnsi="Times New Roman" w:cs="Times New Roman"/>
                <w:color w:val="auto"/>
                <w:lang w:val="en-US" w:eastAsia="zh-CN"/>
              </w:rPr>
              <w:t>10</w:t>
            </w:r>
            <w:r>
              <w:rPr>
                <w:rFonts w:hint="eastAsia" w:ascii="Times New Roman" w:hAnsi="Times New Roman" w:cs="Times New Roman"/>
                <w:color w:val="auto"/>
                <w:vertAlign w:val="superscript"/>
                <w:lang w:val="en-US" w:eastAsia="zh-CN"/>
              </w:rPr>
              <w:t>-3</w:t>
            </w:r>
            <w:r>
              <w:rPr>
                <w:rFonts w:hint="default" w:ascii="Times New Roman" w:hAnsi="Times New Roman" w:cs="Times New Roman"/>
                <w:color w:val="auto"/>
              </w:rPr>
              <w:t>=</w:t>
            </w:r>
            <w:r>
              <w:rPr>
                <w:rFonts w:hint="eastAsia" w:ascii="Times New Roman" w:hAnsi="Times New Roman" w:cs="Times New Roman"/>
                <w:color w:val="auto"/>
                <w:lang w:val="en-US" w:eastAsia="zh-CN"/>
              </w:rPr>
              <w:t>0.017</w:t>
            </w:r>
            <w:r>
              <w:rPr>
                <w:rFonts w:hint="default" w:ascii="Times New Roman" w:hAnsi="Times New Roman" w:cs="Times New Roman"/>
                <w:color w:val="auto"/>
              </w:rPr>
              <w:t>t/a；NO</w:t>
            </w:r>
            <w:r>
              <w:rPr>
                <w:rFonts w:hint="default" w:ascii="Times New Roman" w:hAnsi="Times New Roman" w:cs="Times New Roman"/>
                <w:color w:val="auto"/>
                <w:vertAlign w:val="subscript"/>
              </w:rPr>
              <w:t>X</w:t>
            </w:r>
            <w:r>
              <w:rPr>
                <w:rFonts w:hint="default" w:ascii="Times New Roman" w:hAnsi="Times New Roman" w:cs="Times New Roman"/>
                <w:color w:val="auto"/>
              </w:rPr>
              <w:t>排放量：</w:t>
            </w:r>
            <w:r>
              <w:rPr>
                <w:rFonts w:hint="eastAsia" w:ascii="Times New Roman" w:hAnsi="Times New Roman" w:cs="Times New Roman"/>
                <w:color w:val="auto"/>
                <w:lang w:val="en-US" w:eastAsia="zh-CN"/>
              </w:rPr>
              <w:t>1.02</w:t>
            </w:r>
            <w:r>
              <w:rPr>
                <w:rFonts w:hint="default" w:ascii="Times New Roman" w:hAnsi="Times New Roman" w:cs="Times New Roman"/>
                <w:color w:val="auto"/>
              </w:rPr>
              <w:t>×</w:t>
            </w:r>
            <w:r>
              <w:rPr>
                <w:rFonts w:hint="eastAsia" w:ascii="Times New Roman" w:hAnsi="Times New Roman" w:cs="Times New Roman"/>
                <w:color w:val="auto"/>
                <w:lang w:val="en-US" w:eastAsia="zh-CN"/>
              </w:rPr>
              <w:t>1000</w:t>
            </w:r>
            <w:r>
              <w:rPr>
                <w:rFonts w:hint="default" w:ascii="Times New Roman" w:hAnsi="Times New Roman" w:cs="Times New Roman"/>
                <w:color w:val="auto"/>
              </w:rPr>
              <w:t>×</w:t>
            </w:r>
            <w:r>
              <w:rPr>
                <w:rFonts w:hint="eastAsia" w:ascii="Times New Roman" w:hAnsi="Times New Roman" w:cs="Times New Roman"/>
                <w:color w:val="auto"/>
                <w:lang w:val="en-US" w:eastAsia="zh-CN"/>
              </w:rPr>
              <w:t>10</w:t>
            </w:r>
            <w:r>
              <w:rPr>
                <w:rFonts w:hint="eastAsia" w:ascii="Times New Roman" w:hAnsi="Times New Roman" w:cs="Times New Roman"/>
                <w:color w:val="auto"/>
                <w:vertAlign w:val="superscript"/>
                <w:lang w:val="en-US" w:eastAsia="zh-CN"/>
              </w:rPr>
              <w:t>-3</w:t>
            </w:r>
            <w:r>
              <w:rPr>
                <w:rFonts w:hint="default" w:ascii="Times New Roman" w:hAnsi="Times New Roman" w:cs="Times New Roman"/>
                <w:color w:val="auto"/>
              </w:rPr>
              <w:t>=</w:t>
            </w:r>
            <w:r>
              <w:rPr>
                <w:rFonts w:hint="eastAsia" w:ascii="Times New Roman" w:hAnsi="Times New Roman" w:cs="Times New Roman"/>
                <w:color w:val="auto"/>
                <w:lang w:val="en-US" w:eastAsia="zh-CN"/>
              </w:rPr>
              <w:t>1.02</w:t>
            </w:r>
            <w:r>
              <w:rPr>
                <w:rFonts w:hint="default" w:ascii="Times New Roman" w:hAnsi="Times New Roman" w:cs="Times New Roman"/>
                <w:color w:val="auto"/>
              </w:rPr>
              <w:t>t/a</w:t>
            </w:r>
            <w:r>
              <w:rPr>
                <w:rFonts w:hint="eastAsia" w:ascii="Times New Roman" w:hAnsi="Times New Roman" w:cs="Times New Roman"/>
                <w:color w:val="auto"/>
                <w:lang w:eastAsia="zh-CN"/>
              </w:rPr>
              <w:t>；颗粒物</w:t>
            </w:r>
            <w:r>
              <w:rPr>
                <w:rFonts w:hint="default" w:ascii="Times New Roman" w:hAnsi="Times New Roman" w:cs="Times New Roman"/>
                <w:color w:val="auto"/>
                <w:lang w:eastAsia="zh-CN"/>
              </w:rPr>
              <w:t>排放量为：</w:t>
            </w:r>
            <w:r>
              <w:rPr>
                <w:rFonts w:hint="eastAsia" w:ascii="Times New Roman" w:hAnsi="Times New Roman" w:cs="Times New Roman"/>
                <w:color w:val="auto"/>
                <w:lang w:val="en-US" w:eastAsia="zh-CN"/>
              </w:rPr>
              <w:t>37.6</w:t>
            </w:r>
            <w:r>
              <w:rPr>
                <w:rFonts w:hint="default" w:ascii="Times New Roman" w:hAnsi="Times New Roman" w:cs="Times New Roman"/>
                <w:color w:val="auto"/>
              </w:rPr>
              <w:t>×</w:t>
            </w:r>
            <w:r>
              <w:rPr>
                <w:rFonts w:hint="eastAsia" w:ascii="Times New Roman" w:hAnsi="Times New Roman" w:cs="Times New Roman"/>
                <w:color w:val="auto"/>
                <w:lang w:val="en-US" w:eastAsia="zh-CN"/>
              </w:rPr>
              <w:t>1000</w:t>
            </w:r>
            <w:r>
              <w:rPr>
                <w:rFonts w:hint="default" w:ascii="Times New Roman" w:hAnsi="Times New Roman" w:cs="Times New Roman"/>
                <w:color w:val="auto"/>
              </w:rPr>
              <w:t>×</w:t>
            </w:r>
            <w:r>
              <w:rPr>
                <w:rFonts w:hint="eastAsia" w:ascii="Times New Roman" w:hAnsi="Times New Roman" w:cs="Times New Roman"/>
                <w:color w:val="auto"/>
                <w:lang w:val="en-US" w:eastAsia="zh-CN"/>
              </w:rPr>
              <w:t>10%</w:t>
            </w:r>
            <w:r>
              <w:rPr>
                <w:rFonts w:hint="default" w:ascii="Times New Roman" w:hAnsi="Times New Roman" w:cs="Times New Roman"/>
                <w:color w:val="auto"/>
              </w:rPr>
              <w:t>×</w:t>
            </w:r>
            <w:r>
              <w:rPr>
                <w:rFonts w:hint="eastAsia" w:ascii="Times New Roman" w:hAnsi="Times New Roman" w:cs="Times New Roman"/>
                <w:color w:val="auto"/>
                <w:lang w:val="en-US" w:eastAsia="zh-CN"/>
              </w:rPr>
              <w:t>20%</w:t>
            </w:r>
            <w:r>
              <w:rPr>
                <w:rFonts w:hint="default" w:ascii="Times New Roman" w:hAnsi="Times New Roman" w:cs="Times New Roman"/>
                <w:color w:val="auto"/>
              </w:rPr>
              <w:t>×</w:t>
            </w:r>
            <w:r>
              <w:rPr>
                <w:rFonts w:hint="eastAsia" w:ascii="Times New Roman" w:hAnsi="Times New Roman" w:cs="Times New Roman"/>
                <w:color w:val="auto"/>
                <w:lang w:val="en-US" w:eastAsia="zh-CN"/>
              </w:rPr>
              <w:t>10</w:t>
            </w:r>
            <w:r>
              <w:rPr>
                <w:rFonts w:hint="eastAsia"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0.752</w:t>
            </w:r>
            <w:r>
              <w:rPr>
                <w:rFonts w:hint="default" w:ascii="Times New Roman" w:hAnsi="Times New Roman" w:cs="Times New Roman"/>
                <w:color w:val="auto"/>
              </w:rPr>
              <w:t>t/a</w:t>
            </w:r>
          </w:p>
          <w:p>
            <w:pPr>
              <w:ind w:firstLine="420" w:firstLineChars="200"/>
              <w:rPr>
                <w:rFonts w:hint="default" w:ascii="Times New Roman" w:hAnsi="Times New Roman" w:cs="Times New Roman"/>
                <w:color w:val="auto"/>
              </w:rPr>
            </w:pPr>
            <w:r>
              <w:rPr>
                <w:rFonts w:hint="default" w:ascii="Times New Roman" w:hAnsi="Times New Roman" w:cs="Times New Roman"/>
                <w:color w:val="auto"/>
              </w:rPr>
              <w:t>本项目配备一台热风炉，用于产品烘干工序供热。热风炉燃用精煤（硫份0.57%、灰份12.83%），耗煤量约3t/d（600t/a），生产期以200天计，每天工作10小时，风机风量为9000m</w:t>
            </w:r>
            <w:r>
              <w:rPr>
                <w:rFonts w:hint="default" w:ascii="Times New Roman" w:hAnsi="Times New Roman" w:cs="Times New Roman"/>
                <w:color w:val="auto"/>
                <w:vertAlign w:val="superscript"/>
              </w:rPr>
              <w:t>3</w:t>
            </w:r>
            <w:r>
              <w:rPr>
                <w:rFonts w:hint="default" w:ascii="Times New Roman" w:hAnsi="Times New Roman" w:cs="Times New Roman"/>
                <w:color w:val="auto"/>
              </w:rPr>
              <w:t>/h。</w:t>
            </w:r>
          </w:p>
          <w:p>
            <w:pPr>
              <w:ind w:firstLine="420" w:firstLineChars="200"/>
              <w:rPr>
                <w:rFonts w:hint="default" w:ascii="Times New Roman" w:hAnsi="Times New Roman" w:cs="Times New Roman"/>
                <w:color w:val="auto"/>
              </w:rPr>
            </w:pPr>
            <w:r>
              <w:rPr>
                <w:rFonts w:hint="default" w:ascii="Times New Roman" w:hAnsi="Times New Roman" w:cs="Times New Roman"/>
                <w:color w:val="auto"/>
              </w:rPr>
              <w:t>热风炉排污系数为10</w:t>
            </w:r>
            <w:r>
              <w:rPr>
                <w:rFonts w:hint="eastAsia" w:ascii="Times New Roman" w:hAnsi="Times New Roman" w:cs="Times New Roman"/>
                <w:color w:val="auto"/>
                <w:lang w:val="en-US" w:eastAsia="zh-CN"/>
              </w:rPr>
              <w:t>290</w:t>
            </w:r>
            <w:r>
              <w:rPr>
                <w:rFonts w:hint="default"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rPr>
              <w:t>/t(煤)，二氧化硫的</w:t>
            </w:r>
            <w:r>
              <w:rPr>
                <w:rFonts w:hint="eastAsia" w:cs="Times New Roman"/>
                <w:color w:val="auto"/>
                <w:lang w:val="en-US" w:eastAsia="zh-CN"/>
              </w:rPr>
              <w:t>产生量</w:t>
            </w:r>
            <w:r>
              <w:rPr>
                <w:rFonts w:hint="default" w:ascii="Times New Roman" w:hAnsi="Times New Roman" w:cs="Times New Roman"/>
                <w:color w:val="auto"/>
              </w:rPr>
              <w:t>为16Skg/t—原料（S表示煤的含硫率，0.57%），颗粒物产生量为1.</w:t>
            </w:r>
            <w:r>
              <w:rPr>
                <w:rFonts w:hint="eastAsia" w:ascii="Times New Roman" w:hAnsi="Times New Roman" w:cs="Times New Roman"/>
                <w:color w:val="auto"/>
                <w:lang w:val="en-US" w:eastAsia="zh-CN"/>
              </w:rPr>
              <w:t>25</w:t>
            </w:r>
            <w:r>
              <w:rPr>
                <w:rFonts w:hint="default" w:ascii="Times New Roman" w:hAnsi="Times New Roman" w:cs="Times New Roman"/>
                <w:color w:val="auto"/>
              </w:rPr>
              <w:t>Akg/t原料（A表示煤的灰分，12.83%），氮氧化物产生量为2.</w:t>
            </w:r>
            <w:r>
              <w:rPr>
                <w:rFonts w:hint="eastAsia" w:ascii="Times New Roman" w:hAnsi="Times New Roman" w:cs="Times New Roman"/>
                <w:color w:val="auto"/>
                <w:lang w:val="en-US" w:eastAsia="zh-CN"/>
              </w:rPr>
              <w:t>94</w:t>
            </w:r>
            <w:r>
              <w:rPr>
                <w:rFonts w:hint="default" w:ascii="Times New Roman" w:hAnsi="Times New Roman" w:cs="Times New Roman"/>
                <w:color w:val="auto"/>
              </w:rPr>
              <w:t>kg/t—原料。</w:t>
            </w:r>
          </w:p>
          <w:p>
            <w:pPr>
              <w:ind w:firstLine="420" w:firstLineChars="200"/>
              <w:rPr>
                <w:rFonts w:hint="default" w:ascii="Times New Roman" w:hAnsi="Times New Roman" w:eastAsia="宋体" w:cs="Times New Roman"/>
                <w:color w:val="auto"/>
                <w:lang w:val="en-US" w:eastAsia="zh-CN"/>
              </w:rPr>
            </w:pPr>
            <w:r>
              <w:rPr>
                <w:rFonts w:hint="default" w:ascii="Times New Roman" w:hAnsi="Times New Roman" w:cs="Times New Roman"/>
                <w:color w:val="auto"/>
              </w:rPr>
              <w:t>SO</w:t>
            </w:r>
            <w:r>
              <w:rPr>
                <w:rFonts w:hint="default" w:ascii="Times New Roman" w:hAnsi="Times New Roman" w:cs="Times New Roman"/>
                <w:color w:val="auto"/>
                <w:vertAlign w:val="subscript"/>
              </w:rPr>
              <w:t>2</w:t>
            </w:r>
            <w:r>
              <w:rPr>
                <w:rFonts w:hint="default" w:ascii="Times New Roman" w:hAnsi="Times New Roman" w:cs="Times New Roman"/>
                <w:color w:val="auto"/>
              </w:rPr>
              <w:t>排放量：</w:t>
            </w:r>
            <w:r>
              <w:rPr>
                <w:rFonts w:hint="eastAsia" w:ascii="Times New Roman" w:hAnsi="Times New Roman" w:cs="Times New Roman"/>
                <w:color w:val="auto"/>
                <w:lang w:val="en-US" w:eastAsia="zh-CN"/>
              </w:rPr>
              <w:t>600</w:t>
            </w:r>
            <w:r>
              <w:rPr>
                <w:rFonts w:hint="default" w:ascii="Times New Roman" w:hAnsi="Times New Roman" w:cs="Times New Roman"/>
                <w:color w:val="auto"/>
              </w:rPr>
              <w:t>×16×0.57×</w:t>
            </w:r>
            <w:r>
              <w:rPr>
                <w:rFonts w:hint="eastAsia" w:ascii="Times New Roman" w:hAnsi="Times New Roman" w:cs="Times New Roman"/>
                <w:color w:val="auto"/>
                <w:lang w:val="en-US" w:eastAsia="zh-CN"/>
              </w:rPr>
              <w:t>30%</w:t>
            </w:r>
            <w:r>
              <w:rPr>
                <w:rFonts w:hint="default" w:ascii="Times New Roman" w:hAnsi="Times New Roman" w:cs="Times New Roman"/>
                <w:color w:val="auto"/>
              </w:rPr>
              <w:t>×</w:t>
            </w:r>
            <w:r>
              <w:rPr>
                <w:rFonts w:hint="eastAsia" w:ascii="Times New Roman" w:hAnsi="Times New Roman" w:cs="Times New Roman"/>
                <w:color w:val="auto"/>
                <w:lang w:val="en-US" w:eastAsia="zh-CN"/>
              </w:rPr>
              <w:t>10</w:t>
            </w:r>
            <w:r>
              <w:rPr>
                <w:rFonts w:hint="eastAsia" w:ascii="Times New Roman" w:hAnsi="Times New Roman" w:cs="Times New Roman"/>
                <w:color w:val="auto"/>
                <w:vertAlign w:val="superscript"/>
                <w:lang w:val="en-US" w:eastAsia="zh-CN"/>
              </w:rPr>
              <w:t>-3</w:t>
            </w:r>
            <w:r>
              <w:rPr>
                <w:rFonts w:hint="default" w:ascii="Times New Roman" w:hAnsi="Times New Roman" w:cs="Times New Roman"/>
                <w:color w:val="auto"/>
              </w:rPr>
              <w:t>=</w:t>
            </w:r>
            <w:r>
              <w:rPr>
                <w:rFonts w:hint="eastAsia" w:ascii="Times New Roman" w:hAnsi="Times New Roman" w:cs="Times New Roman"/>
                <w:color w:val="auto"/>
                <w:lang w:val="en-US" w:eastAsia="zh-CN"/>
              </w:rPr>
              <w:t>1.642</w:t>
            </w:r>
            <w:r>
              <w:rPr>
                <w:rFonts w:hint="default" w:ascii="Times New Roman" w:hAnsi="Times New Roman" w:cs="Times New Roman"/>
                <w:color w:val="auto"/>
              </w:rPr>
              <w:t>t/a；NO</w:t>
            </w:r>
            <w:r>
              <w:rPr>
                <w:rFonts w:hint="default" w:ascii="Times New Roman" w:hAnsi="Times New Roman" w:cs="Times New Roman"/>
                <w:color w:val="auto"/>
                <w:vertAlign w:val="subscript"/>
              </w:rPr>
              <w:t>X</w:t>
            </w:r>
            <w:r>
              <w:rPr>
                <w:rFonts w:hint="default" w:ascii="Times New Roman" w:hAnsi="Times New Roman" w:cs="Times New Roman"/>
                <w:color w:val="auto"/>
              </w:rPr>
              <w:t>排放量：2.</w:t>
            </w:r>
            <w:r>
              <w:rPr>
                <w:rFonts w:hint="eastAsia" w:ascii="Times New Roman" w:hAnsi="Times New Roman" w:cs="Times New Roman"/>
                <w:color w:val="auto"/>
                <w:lang w:val="en-US" w:eastAsia="zh-CN"/>
              </w:rPr>
              <w:t>94</w:t>
            </w:r>
            <w:r>
              <w:rPr>
                <w:rFonts w:hint="default" w:ascii="Times New Roman" w:hAnsi="Times New Roman" w:cs="Times New Roman"/>
                <w:color w:val="auto"/>
              </w:rPr>
              <w:t>×</w:t>
            </w:r>
            <w:r>
              <w:rPr>
                <w:rFonts w:hint="eastAsia" w:ascii="Times New Roman" w:hAnsi="Times New Roman" w:cs="Times New Roman"/>
                <w:color w:val="auto"/>
                <w:lang w:val="en-US" w:eastAsia="zh-CN"/>
              </w:rPr>
              <w:t>600</w:t>
            </w:r>
            <w:r>
              <w:rPr>
                <w:rFonts w:hint="default" w:ascii="Times New Roman" w:hAnsi="Times New Roman" w:cs="Times New Roman"/>
                <w:color w:val="auto"/>
              </w:rPr>
              <w:t>×</w:t>
            </w:r>
            <w:r>
              <w:rPr>
                <w:rFonts w:hint="eastAsia" w:ascii="Times New Roman" w:hAnsi="Times New Roman" w:cs="Times New Roman"/>
                <w:color w:val="auto"/>
                <w:lang w:val="en-US" w:eastAsia="zh-CN"/>
              </w:rPr>
              <w:t>10</w:t>
            </w:r>
            <w:r>
              <w:rPr>
                <w:rFonts w:hint="eastAsia" w:ascii="Times New Roman" w:hAnsi="Times New Roman" w:cs="Times New Roman"/>
                <w:color w:val="auto"/>
                <w:vertAlign w:val="superscript"/>
                <w:lang w:val="en-US" w:eastAsia="zh-CN"/>
              </w:rPr>
              <w:t>-3</w:t>
            </w:r>
            <w:r>
              <w:rPr>
                <w:rFonts w:hint="default" w:ascii="Times New Roman" w:hAnsi="Times New Roman" w:cs="Times New Roman"/>
                <w:color w:val="auto"/>
              </w:rPr>
              <w:t>=</w:t>
            </w:r>
            <w:r>
              <w:rPr>
                <w:rFonts w:hint="eastAsia" w:ascii="Times New Roman" w:hAnsi="Times New Roman" w:cs="Times New Roman"/>
                <w:color w:val="auto"/>
                <w:lang w:val="en-US" w:eastAsia="zh-CN"/>
              </w:rPr>
              <w:t>1.764</w:t>
            </w:r>
            <w:r>
              <w:rPr>
                <w:rFonts w:hint="default" w:ascii="Times New Roman" w:hAnsi="Times New Roman" w:cs="Times New Roman"/>
                <w:color w:val="auto"/>
              </w:rPr>
              <w:t>t/a</w:t>
            </w:r>
            <w:r>
              <w:rPr>
                <w:rFonts w:hint="default" w:ascii="Times New Roman" w:hAnsi="Times New Roman" w:cs="Times New Roman"/>
                <w:color w:val="auto"/>
                <w:lang w:eastAsia="zh-CN"/>
              </w:rPr>
              <w:t>，</w:t>
            </w:r>
            <w:r>
              <w:rPr>
                <w:rFonts w:hint="eastAsia" w:ascii="Times New Roman" w:hAnsi="Times New Roman" w:cs="Times New Roman"/>
                <w:color w:val="auto"/>
                <w:lang w:eastAsia="zh-CN"/>
              </w:rPr>
              <w:t>颗粒物</w:t>
            </w:r>
            <w:r>
              <w:rPr>
                <w:rFonts w:hint="default" w:ascii="Times New Roman" w:hAnsi="Times New Roman" w:cs="Times New Roman"/>
                <w:color w:val="auto"/>
                <w:lang w:eastAsia="zh-CN"/>
              </w:rPr>
              <w:t>排放量为：</w:t>
            </w:r>
            <w:r>
              <w:rPr>
                <w:rFonts w:hint="eastAsia" w:ascii="Times New Roman" w:hAnsi="Times New Roman" w:cs="Times New Roman"/>
                <w:color w:val="auto"/>
                <w:lang w:val="en-US" w:eastAsia="zh-CN"/>
              </w:rPr>
              <w:t>600</w:t>
            </w:r>
            <w:r>
              <w:rPr>
                <w:rFonts w:hint="default" w:ascii="Times New Roman" w:hAnsi="Times New Roman" w:cs="Times New Roman"/>
                <w:color w:val="auto"/>
              </w:rPr>
              <w:t>×</w:t>
            </w: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25</w:t>
            </w:r>
            <w:r>
              <w:rPr>
                <w:rFonts w:hint="default" w:ascii="Times New Roman" w:hAnsi="Times New Roman" w:cs="Times New Roman"/>
                <w:color w:val="auto"/>
              </w:rPr>
              <w:t>×</w:t>
            </w:r>
            <w:r>
              <w:rPr>
                <w:rFonts w:hint="eastAsia" w:ascii="Times New Roman" w:hAnsi="Times New Roman" w:cs="Times New Roman"/>
                <w:color w:val="auto"/>
                <w:lang w:val="en-US" w:eastAsia="zh-CN"/>
              </w:rPr>
              <w:t>12.83</w:t>
            </w:r>
            <w:r>
              <w:rPr>
                <w:rFonts w:hint="default" w:ascii="Times New Roman" w:hAnsi="Times New Roman" w:cs="Times New Roman"/>
                <w:color w:val="auto"/>
              </w:rPr>
              <w:t>×</w:t>
            </w:r>
            <w:r>
              <w:rPr>
                <w:rFonts w:hint="eastAsia" w:ascii="Times New Roman" w:hAnsi="Times New Roman" w:cs="Times New Roman"/>
                <w:color w:val="auto"/>
                <w:lang w:val="en-US" w:eastAsia="zh-CN"/>
              </w:rPr>
              <w:t>4</w:t>
            </w:r>
            <w:r>
              <w:rPr>
                <w:rFonts w:hint="default" w:ascii="Times New Roman" w:hAnsi="Times New Roman" w:cs="Times New Roman"/>
                <w:color w:val="auto"/>
                <w:lang w:val="en-US" w:eastAsia="zh-CN"/>
              </w:rPr>
              <w:t>%</w:t>
            </w:r>
            <w:r>
              <w:rPr>
                <w:rFonts w:hint="default" w:ascii="Times New Roman" w:hAnsi="Times New Roman" w:cs="Times New Roman"/>
                <w:color w:val="auto"/>
              </w:rPr>
              <w:t>×</w:t>
            </w:r>
            <w:r>
              <w:rPr>
                <w:rFonts w:hint="eastAsia" w:ascii="Times New Roman" w:hAnsi="Times New Roman" w:cs="Times New Roman"/>
                <w:color w:val="auto"/>
                <w:lang w:val="en-US" w:eastAsia="zh-CN"/>
              </w:rPr>
              <w:t>10</w:t>
            </w:r>
            <w:r>
              <w:rPr>
                <w:rFonts w:hint="eastAsia"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0.385</w:t>
            </w:r>
            <w:r>
              <w:rPr>
                <w:rFonts w:hint="default" w:ascii="Times New Roman" w:hAnsi="Times New Roman" w:cs="Times New Roman"/>
                <w:color w:val="auto"/>
              </w:rPr>
              <w:t>t/a</w:t>
            </w:r>
          </w:p>
          <w:p>
            <w:pPr>
              <w:ind w:firstLine="420" w:firstLineChars="200"/>
              <w:rPr>
                <w:rFonts w:hint="default"/>
                <w:color w:val="auto"/>
                <w:lang w:eastAsia="zh-CN"/>
              </w:rPr>
            </w:pPr>
            <w:r>
              <w:rPr>
                <w:rFonts w:hint="default" w:ascii="Times New Roman" w:hAnsi="Times New Roman" w:cs="Times New Roman"/>
                <w:color w:val="auto"/>
              </w:rPr>
              <w:t>因此，本项目申请指标为SO</w:t>
            </w:r>
            <w:r>
              <w:rPr>
                <w:rFonts w:hint="default" w:ascii="Times New Roman" w:hAnsi="Times New Roman" w:cs="Times New Roman"/>
                <w:color w:val="auto"/>
                <w:vertAlign w:val="subscript"/>
              </w:rPr>
              <w:t>2</w:t>
            </w:r>
            <w:r>
              <w:rPr>
                <w:rFonts w:hint="eastAsia" w:ascii="Times New Roman" w:hAnsi="Times New Roman" w:cs="Times New Roman"/>
                <w:color w:val="auto"/>
                <w:lang w:val="en-US" w:eastAsia="zh-CN"/>
              </w:rPr>
              <w:t>1.659</w:t>
            </w:r>
            <w:r>
              <w:rPr>
                <w:rFonts w:hint="default" w:ascii="Times New Roman" w:hAnsi="Times New Roman" w:cs="Times New Roman"/>
                <w:color w:val="auto"/>
              </w:rPr>
              <w:t>t/a，NOx</w:t>
            </w:r>
            <w:r>
              <w:rPr>
                <w:rFonts w:hint="eastAsia" w:ascii="Times New Roman" w:hAnsi="Times New Roman" w:cs="Times New Roman"/>
                <w:color w:val="auto"/>
                <w:lang w:val="en-US" w:eastAsia="zh-CN"/>
              </w:rPr>
              <w:t>2.784</w:t>
            </w:r>
            <w:r>
              <w:rPr>
                <w:rFonts w:hint="default" w:ascii="Times New Roman" w:hAnsi="Times New Roman" w:cs="Times New Roman"/>
                <w:color w:val="auto"/>
              </w:rPr>
              <w:t>t/a</w:t>
            </w:r>
            <w:r>
              <w:rPr>
                <w:rFonts w:hint="default" w:ascii="Times New Roman" w:hAnsi="Times New Roman" w:cs="Times New Roman"/>
                <w:color w:val="auto"/>
                <w:lang w:eastAsia="zh-CN"/>
              </w:rPr>
              <w:t>，</w:t>
            </w:r>
            <w:r>
              <w:rPr>
                <w:rFonts w:hint="eastAsia" w:ascii="Times New Roman" w:hAnsi="Times New Roman" w:cs="Times New Roman"/>
                <w:color w:val="auto"/>
                <w:lang w:eastAsia="zh-CN"/>
              </w:rPr>
              <w:t>颗粒物</w:t>
            </w:r>
            <w:r>
              <w:rPr>
                <w:rFonts w:hint="default" w:ascii="Times New Roman" w:hAnsi="Times New Roman" w:cs="Times New Roman"/>
                <w:color w:val="auto"/>
                <w:lang w:eastAsia="zh-CN"/>
              </w:rPr>
              <w:t>排放量为</w:t>
            </w:r>
            <w:r>
              <w:rPr>
                <w:rFonts w:hint="eastAsia" w:ascii="Times New Roman" w:hAnsi="Times New Roman" w:cs="Times New Roman"/>
                <w:color w:val="auto"/>
                <w:lang w:val="en-US" w:eastAsia="zh-CN"/>
              </w:rPr>
              <w:t>0.385</w:t>
            </w:r>
            <w:r>
              <w:rPr>
                <w:rFonts w:hint="default" w:ascii="Times New Roman" w:hAnsi="Times New Roman" w:cs="Times New Roman"/>
                <w:color w:val="auto"/>
              </w:rPr>
              <w:t>t/a。</w:t>
            </w:r>
            <w:r>
              <w:rPr>
                <w:rFonts w:hint="eastAsia" w:ascii="Times New Roman" w:hAnsi="Times New Roman" w:eastAsia="宋体" w:cs="Times New Roman"/>
                <w:color w:val="auto"/>
                <w:lang w:val="en-US" w:eastAsia="zh-CN"/>
              </w:rPr>
              <w:t>生活污水排入化粪池，环卫部门定期清掏</w:t>
            </w:r>
            <w:r>
              <w:rPr>
                <w:rFonts w:hint="default" w:ascii="Times New Roman" w:hAnsi="Times New Roman" w:cs="Times New Roman"/>
                <w:color w:val="auto"/>
              </w:rPr>
              <w:t>，不需申请COD和氨氮总量控制指标。</w:t>
            </w:r>
          </w:p>
          <w:p>
            <w:pPr>
              <w:bidi w:val="0"/>
              <w:ind w:firstLine="420" w:firstLineChars="200"/>
              <w:rPr>
                <w:rFonts w:hint="default" w:ascii="Times New Roman" w:hAnsi="Times New Roman" w:eastAsia="宋体" w:cs="Times New Roman"/>
                <w:color w:val="auto"/>
                <w:lang w:eastAsia="zh-CN"/>
              </w:rPr>
            </w:pPr>
          </w:p>
          <w:p>
            <w:pPr>
              <w:bidi w:val="0"/>
              <w:rPr>
                <w:rFonts w:hint="default" w:ascii="Times New Roman" w:hAnsi="Times New Roman" w:eastAsia="宋体" w:cs="Times New Roman"/>
                <w:color w:val="auto"/>
                <w:lang w:eastAsia="zh-CN"/>
              </w:rPr>
            </w:pPr>
          </w:p>
        </w:tc>
      </w:tr>
    </w:tbl>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rPr>
          <w:rFonts w:ascii="Times New Roman" w:hAnsi="Times New Roman" w:eastAsia="黑体"/>
          <w:snapToGrid w:val="0"/>
          <w:color w:val="auto"/>
          <w:sz w:val="30"/>
          <w:szCs w:val="30"/>
        </w:rPr>
      </w:pPr>
      <w:r>
        <w:rPr>
          <w:rFonts w:ascii="Times New Roman" w:hAnsi="Times New Roman" w:eastAsia="黑体"/>
          <w:snapToGrid w:val="0"/>
          <w:color w:val="auto"/>
          <w:sz w:val="36"/>
          <w:szCs w:val="36"/>
        </w:rPr>
        <w:br w:type="page"/>
      </w:r>
      <w:r>
        <w:rPr>
          <w:rFonts w:hint="eastAsia" w:ascii="黑体" w:hAnsi="黑体" w:eastAsia="黑体" w:cs="黑体"/>
          <w:color w:val="auto"/>
          <w:kern w:val="2"/>
          <w:sz w:val="30"/>
          <w:szCs w:val="30"/>
          <w:lang w:val="en-US" w:eastAsia="zh-CN" w:bidi="ar-SA"/>
        </w:rPr>
        <w:t>四、主要环境影响和保护措施</w:t>
      </w:r>
    </w:p>
    <w:tbl>
      <w:tblPr>
        <w:tblStyle w:val="19"/>
        <w:tblW w:w="555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1"/>
        <w:gridCol w:w="84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485" w:type="pct"/>
            <w:noWrap w:val="0"/>
            <w:tcMar>
              <w:left w:w="28" w:type="dxa"/>
              <w:right w:w="28" w:type="dxa"/>
            </w:tcMar>
            <w:vAlign w:val="center"/>
          </w:tcPr>
          <w:p>
            <w:pPr>
              <w:pStyle w:val="16"/>
              <w:adjustRightInd w:val="0"/>
              <w:snapToGrid w:val="0"/>
              <w:spacing w:before="0" w:beforeAutospacing="0" w:after="0" w:afterAutospacing="0"/>
              <w:jc w:val="center"/>
              <w:rPr>
                <w:rFonts w:ascii="Times New Roman" w:hAnsi="Times New Roman"/>
                <w:color w:val="auto"/>
                <w:kern w:val="2"/>
                <w:sz w:val="21"/>
                <w:szCs w:val="21"/>
              </w:rPr>
            </w:pPr>
            <w:r>
              <w:rPr>
                <w:rFonts w:ascii="Times New Roman" w:hAnsi="Times New Roman"/>
                <w:color w:val="auto"/>
                <w:kern w:val="2"/>
                <w:sz w:val="21"/>
                <w:szCs w:val="21"/>
              </w:rPr>
              <w:t>施工</w:t>
            </w:r>
          </w:p>
          <w:p>
            <w:pPr>
              <w:pStyle w:val="16"/>
              <w:adjustRightInd w:val="0"/>
              <w:snapToGrid w:val="0"/>
              <w:spacing w:before="0" w:beforeAutospacing="0" w:after="0" w:afterAutospacing="0"/>
              <w:jc w:val="center"/>
              <w:rPr>
                <w:rFonts w:ascii="Times New Roman" w:hAnsi="Times New Roman"/>
                <w:color w:val="auto"/>
                <w:kern w:val="2"/>
                <w:sz w:val="21"/>
                <w:szCs w:val="21"/>
              </w:rPr>
            </w:pPr>
            <w:r>
              <w:rPr>
                <w:rFonts w:ascii="Times New Roman" w:hAnsi="Times New Roman"/>
                <w:color w:val="auto"/>
                <w:kern w:val="2"/>
                <w:sz w:val="21"/>
                <w:szCs w:val="21"/>
              </w:rPr>
              <w:t>期环</w:t>
            </w:r>
          </w:p>
          <w:p>
            <w:pPr>
              <w:pStyle w:val="16"/>
              <w:adjustRightInd w:val="0"/>
              <w:snapToGrid w:val="0"/>
              <w:spacing w:before="0" w:beforeAutospacing="0" w:after="0" w:afterAutospacing="0"/>
              <w:jc w:val="center"/>
              <w:rPr>
                <w:rFonts w:ascii="Times New Roman" w:hAnsi="Times New Roman"/>
                <w:color w:val="auto"/>
                <w:kern w:val="2"/>
                <w:sz w:val="21"/>
                <w:szCs w:val="21"/>
              </w:rPr>
            </w:pPr>
            <w:r>
              <w:rPr>
                <w:rFonts w:ascii="Times New Roman" w:hAnsi="Times New Roman"/>
                <w:color w:val="auto"/>
                <w:kern w:val="2"/>
                <w:sz w:val="21"/>
                <w:szCs w:val="21"/>
              </w:rPr>
              <w:t>境保</w:t>
            </w:r>
          </w:p>
          <w:p>
            <w:pPr>
              <w:pStyle w:val="16"/>
              <w:adjustRightInd w:val="0"/>
              <w:snapToGrid w:val="0"/>
              <w:spacing w:before="0" w:beforeAutospacing="0" w:after="0" w:afterAutospacing="0"/>
              <w:jc w:val="center"/>
              <w:rPr>
                <w:rFonts w:ascii="Times New Roman" w:hAnsi="Times New Roman"/>
                <w:color w:val="auto"/>
                <w:kern w:val="2"/>
                <w:sz w:val="21"/>
                <w:szCs w:val="21"/>
              </w:rPr>
            </w:pPr>
            <w:r>
              <w:rPr>
                <w:rFonts w:ascii="Times New Roman" w:hAnsi="Times New Roman"/>
                <w:color w:val="auto"/>
                <w:kern w:val="2"/>
                <w:sz w:val="21"/>
                <w:szCs w:val="21"/>
              </w:rPr>
              <w:t>护措</w:t>
            </w:r>
          </w:p>
          <w:p>
            <w:pPr>
              <w:pStyle w:val="16"/>
              <w:adjustRightInd w:val="0"/>
              <w:snapToGrid w:val="0"/>
              <w:spacing w:before="0" w:beforeAutospacing="0" w:after="0" w:afterAutospacing="0"/>
              <w:jc w:val="center"/>
              <w:rPr>
                <w:rFonts w:ascii="Times New Roman" w:hAnsi="Times New Roman"/>
                <w:bCs/>
                <w:color w:val="auto"/>
                <w:kern w:val="2"/>
                <w:sz w:val="21"/>
                <w:szCs w:val="21"/>
              </w:rPr>
            </w:pPr>
            <w:r>
              <w:rPr>
                <w:rFonts w:ascii="Times New Roman" w:hAnsi="Times New Roman"/>
                <w:color w:val="auto"/>
                <w:kern w:val="2"/>
                <w:sz w:val="21"/>
                <w:szCs w:val="21"/>
              </w:rPr>
              <w:t>施</w:t>
            </w:r>
          </w:p>
        </w:tc>
        <w:tc>
          <w:tcPr>
            <w:tcW w:w="4514" w:type="pct"/>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b/>
                <w:bCs/>
                <w:color w:val="auto"/>
                <w:szCs w:val="21"/>
                <w:highlight w:val="none"/>
              </w:rPr>
            </w:pPr>
            <w:r>
              <w:rPr>
                <w:b/>
                <w:bCs/>
                <w:color w:val="auto"/>
                <w:szCs w:val="21"/>
                <w:highlight w:val="none"/>
              </w:rPr>
              <w:t>1、大气环境影响分析</w:t>
            </w:r>
          </w:p>
          <w:p>
            <w:pPr>
              <w:autoSpaceDE w:val="0"/>
              <w:autoSpaceDN w:val="0"/>
              <w:adjustRightInd w:val="0"/>
              <w:spacing w:line="360" w:lineRule="auto"/>
              <w:ind w:firstLine="420" w:firstLineChars="200"/>
              <w:rPr>
                <w:rFonts w:cs="Times New Roman"/>
                <w:color w:val="auto"/>
              </w:rPr>
            </w:pPr>
            <w:r>
              <w:rPr>
                <w:rFonts w:cs="Times New Roman"/>
                <w:color w:val="auto"/>
              </w:rPr>
              <w:t>项目施工期的大气污染主要为施工过程产生的扬尘、机械及运输车辆尾气。</w:t>
            </w:r>
          </w:p>
          <w:p>
            <w:pPr>
              <w:autoSpaceDE w:val="0"/>
              <w:autoSpaceDN w:val="0"/>
              <w:adjustRightInd w:val="0"/>
              <w:spacing w:line="360" w:lineRule="auto"/>
              <w:ind w:firstLine="420" w:firstLineChars="200"/>
              <w:rPr>
                <w:rFonts w:cs="Times New Roman"/>
                <w:color w:val="auto"/>
              </w:rPr>
            </w:pPr>
            <w:r>
              <w:rPr>
                <w:rFonts w:cs="Times New Roman"/>
                <w:color w:val="auto"/>
              </w:rPr>
              <w:t>（1）扬尘</w:t>
            </w:r>
          </w:p>
          <w:p>
            <w:pPr>
              <w:autoSpaceDE w:val="0"/>
              <w:autoSpaceDN w:val="0"/>
              <w:adjustRightInd w:val="0"/>
              <w:spacing w:line="360" w:lineRule="auto"/>
              <w:ind w:firstLine="420" w:firstLineChars="200"/>
              <w:rPr>
                <w:rFonts w:cs="Times New Roman"/>
                <w:color w:val="auto"/>
              </w:rPr>
            </w:pPr>
            <w:r>
              <w:rPr>
                <w:rFonts w:cs="Times New Roman"/>
                <w:color w:val="auto"/>
              </w:rPr>
              <w:t>施工期场地内扬尘主要由以下因素产生：施工场地内建材的运输等；干燥有风的天气，运输车辆在施工场地内的道路和裸露施工地面行使。施工期间应该配备洒水车，定期洒水，湿润地表减少扬尘。</w:t>
            </w:r>
          </w:p>
          <w:p>
            <w:pPr>
              <w:autoSpaceDE w:val="0"/>
              <w:autoSpaceDN w:val="0"/>
              <w:adjustRightInd w:val="0"/>
              <w:spacing w:line="360" w:lineRule="auto"/>
              <w:ind w:firstLine="420" w:firstLineChars="200"/>
              <w:rPr>
                <w:rFonts w:cs="Times New Roman"/>
                <w:color w:val="auto"/>
              </w:rPr>
            </w:pPr>
            <w:r>
              <w:rPr>
                <w:rFonts w:cs="Times New Roman"/>
                <w:color w:val="auto"/>
              </w:rPr>
              <w:t>（2）施工机械废气</w:t>
            </w:r>
          </w:p>
          <w:p>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cs="Times New Roman"/>
                <w:color w:val="auto"/>
              </w:rPr>
            </w:pPr>
            <w:r>
              <w:rPr>
                <w:rFonts w:cs="Times New Roman"/>
                <w:color w:val="auto"/>
              </w:rPr>
              <w:t>本项目施工过程用到的机械，主要有运输车辆，都会产生一定量废气，主要污染物为NO</w:t>
            </w:r>
            <w:r>
              <w:rPr>
                <w:rFonts w:cs="Times New Roman"/>
                <w:color w:val="auto"/>
                <w:vertAlign w:val="subscript"/>
              </w:rPr>
              <w:t>x</w:t>
            </w:r>
            <w:r>
              <w:rPr>
                <w:rFonts w:cs="Times New Roman"/>
                <w:color w:val="auto"/>
              </w:rPr>
              <w:t>、CO、THC等，考虑其产生量较小，属间断性、分散性排放，对周边大气环境影响较小。</w:t>
            </w:r>
          </w:p>
          <w:p>
            <w:pPr>
              <w:keepNext w:val="0"/>
              <w:keepLines w:val="0"/>
              <w:pageBreakBefore w:val="0"/>
              <w:widowControl w:val="0"/>
              <w:kinsoku/>
              <w:wordWrap/>
              <w:overflowPunct/>
              <w:topLinePunct w:val="0"/>
              <w:autoSpaceDE/>
              <w:autoSpaceDN/>
              <w:bidi w:val="0"/>
              <w:spacing w:line="360" w:lineRule="auto"/>
              <w:textAlignment w:val="auto"/>
              <w:rPr>
                <w:b/>
                <w:bCs/>
                <w:color w:val="auto"/>
                <w:szCs w:val="21"/>
                <w:highlight w:val="none"/>
              </w:rPr>
            </w:pPr>
            <w:r>
              <w:rPr>
                <w:b/>
                <w:bCs/>
                <w:color w:val="auto"/>
                <w:szCs w:val="21"/>
                <w:highlight w:val="none"/>
              </w:rPr>
              <w:t>2、水环境影响分析</w:t>
            </w:r>
          </w:p>
          <w:p>
            <w:pPr>
              <w:autoSpaceDE w:val="0"/>
              <w:autoSpaceDN w:val="0"/>
              <w:adjustRightInd w:val="0"/>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施工期的废水排放主要来自于建筑施工人员的生活污水。因本工程施工现场不设施工营地，也无工地食堂和工地宿舍，故施工期生活污水主要是施工人员产生的粪便污水，施工人员按最大高峰期为15人计，施工期人员人均日用水量为60L，施工期为</w:t>
            </w:r>
            <w:r>
              <w:rPr>
                <w:rFonts w:hint="eastAsia" w:ascii="Times New Roman" w:hAnsi="Times New Roman" w:eastAsia="宋体" w:cs="Times New Roman"/>
                <w:color w:val="auto"/>
              </w:rPr>
              <w:t>2</w:t>
            </w:r>
            <w:r>
              <w:rPr>
                <w:rFonts w:ascii="Times New Roman" w:hAnsi="Times New Roman" w:eastAsia="宋体" w:cs="Times New Roman"/>
                <w:color w:val="auto"/>
              </w:rPr>
              <w:t>个月（</w:t>
            </w:r>
            <w:r>
              <w:rPr>
                <w:rFonts w:hint="eastAsia" w:ascii="Times New Roman" w:hAnsi="Times New Roman" w:eastAsia="宋体" w:cs="Times New Roman"/>
                <w:color w:val="auto"/>
              </w:rPr>
              <w:t>6</w:t>
            </w:r>
            <w:r>
              <w:rPr>
                <w:rFonts w:ascii="Times New Roman" w:hAnsi="Times New Roman" w:eastAsia="宋体" w:cs="Times New Roman"/>
                <w:color w:val="auto"/>
              </w:rPr>
              <w:t>0天），则用水量为0.9t/d，</w:t>
            </w:r>
            <w:r>
              <w:rPr>
                <w:rFonts w:hint="eastAsia" w:ascii="Times New Roman" w:hAnsi="Times New Roman" w:eastAsia="宋体" w:cs="Times New Roman"/>
                <w:color w:val="auto"/>
              </w:rPr>
              <w:t>54</w:t>
            </w:r>
            <w:r>
              <w:rPr>
                <w:rFonts w:ascii="Times New Roman" w:hAnsi="Times New Roman" w:eastAsia="宋体" w:cs="Times New Roman"/>
                <w:color w:val="auto"/>
              </w:rPr>
              <w:t>t/a；生活污水排放系数取0.8，则污水排放量约为0.72t/d，</w:t>
            </w:r>
            <w:r>
              <w:rPr>
                <w:rFonts w:hint="eastAsia" w:ascii="Times New Roman" w:hAnsi="Times New Roman" w:eastAsia="宋体" w:cs="Times New Roman"/>
                <w:color w:val="auto"/>
              </w:rPr>
              <w:t>43.2</w:t>
            </w:r>
            <w:r>
              <w:rPr>
                <w:rFonts w:ascii="Times New Roman" w:hAnsi="Times New Roman" w:eastAsia="宋体" w:cs="Times New Roman"/>
                <w:color w:val="auto"/>
              </w:rPr>
              <w:t>t/a。施工废水经沉淀后用于降尘洒水。</w:t>
            </w:r>
          </w:p>
          <w:p>
            <w:pPr>
              <w:keepNext w:val="0"/>
              <w:keepLines w:val="0"/>
              <w:pageBreakBefore w:val="0"/>
              <w:widowControl w:val="0"/>
              <w:numPr>
                <w:ilvl w:val="0"/>
                <w:numId w:val="0"/>
              </w:numPr>
              <w:kinsoku/>
              <w:wordWrap/>
              <w:overflowPunct/>
              <w:topLinePunct w:val="0"/>
              <w:autoSpaceDE/>
              <w:autoSpaceDN/>
              <w:bidi w:val="0"/>
              <w:spacing w:line="360" w:lineRule="auto"/>
              <w:ind w:leftChars="0"/>
              <w:textAlignment w:val="auto"/>
              <w:rPr>
                <w:b/>
                <w:bCs/>
                <w:color w:val="auto"/>
                <w:szCs w:val="21"/>
                <w:highlight w:val="none"/>
              </w:rPr>
            </w:pPr>
            <w:r>
              <w:rPr>
                <w:rFonts w:hint="eastAsia"/>
                <w:b/>
                <w:bCs/>
                <w:color w:val="auto"/>
                <w:szCs w:val="21"/>
                <w:highlight w:val="none"/>
                <w:lang w:val="en-US" w:eastAsia="zh-CN"/>
              </w:rPr>
              <w:t>3、</w:t>
            </w:r>
            <w:r>
              <w:rPr>
                <w:b/>
                <w:bCs/>
                <w:color w:val="auto"/>
                <w:szCs w:val="21"/>
                <w:highlight w:val="none"/>
              </w:rPr>
              <w:t>声环境影响分析</w:t>
            </w:r>
          </w:p>
          <w:p>
            <w:pPr>
              <w:autoSpaceDE w:val="0"/>
              <w:autoSpaceDN w:val="0"/>
              <w:spacing w:line="360" w:lineRule="auto"/>
              <w:ind w:firstLine="420" w:firstLineChars="200"/>
              <w:rPr>
                <w:rFonts w:cs="Times New Roman"/>
                <w:color w:val="auto"/>
              </w:rPr>
            </w:pPr>
            <w:r>
              <w:rPr>
                <w:rFonts w:cs="Times New Roman"/>
                <w:color w:val="auto"/>
              </w:rPr>
              <w:t>施工期的噪声主要有施工场地噪声和材料运输的交通噪声。根据项目建设性质及建设内容，施工期间使用的施工机械类型较多，不同阶段施工机械也不相同，结构阶段主要为汽车起重机、水泥泵车、振捣棒、电焊机等，装修阶段主要为电焊机、起重机等，而且一般设备的运作都是间歇性的。因此，这些设备将会对周围环境噪声产生严重的影响，夜间施工的噪声尤为突出，不容忽视。</w:t>
            </w:r>
          </w:p>
          <w:p>
            <w:pPr>
              <w:autoSpaceDE w:val="0"/>
              <w:autoSpaceDN w:val="0"/>
              <w:spacing w:line="360" w:lineRule="auto"/>
              <w:ind w:firstLine="420" w:firstLineChars="200"/>
              <w:rPr>
                <w:rFonts w:ascii="Times New Roman" w:hAnsi="Times New Roman" w:eastAsia="宋体" w:cs="Times New Roman"/>
                <w:color w:val="auto"/>
                <w:lang w:val="en-US" w:eastAsia="zh-CN"/>
              </w:rPr>
            </w:pPr>
            <w:r>
              <w:rPr>
                <w:rFonts w:ascii="Times New Roman" w:hAnsi="Times New Roman" w:eastAsia="宋体" w:cs="Times New Roman"/>
                <w:color w:val="auto"/>
                <w:lang w:val="en-US" w:eastAsia="zh-CN"/>
              </w:rPr>
              <w:t>根据类比，各施工阶段的主要噪声源及其声级见表2</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lang w:val="en-US" w:eastAsia="zh-CN"/>
              </w:rPr>
              <w:t>。</w:t>
            </w:r>
          </w:p>
          <w:p>
            <w:pPr>
              <w:pStyle w:val="62"/>
              <w:ind w:firstLine="241"/>
              <w:rPr>
                <w:rFonts w:hint="default" w:ascii="宋体" w:hAnsi="宋体" w:eastAsia="宋体" w:cs="宋体"/>
                <w:b/>
                <w:bCs/>
                <w:color w:val="auto"/>
                <w:kern w:val="2"/>
                <w:sz w:val="21"/>
                <w:szCs w:val="21"/>
                <w:lang w:val="en-US" w:eastAsia="zh-CN" w:bidi="ar-SA"/>
              </w:rPr>
            </w:pPr>
            <w:r>
              <w:rPr>
                <w:rFonts w:hint="default" w:ascii="宋体" w:hAnsi="宋体" w:eastAsia="宋体" w:cs="宋体"/>
                <w:b/>
                <w:bCs/>
                <w:color w:val="auto"/>
                <w:kern w:val="2"/>
                <w:sz w:val="21"/>
                <w:szCs w:val="21"/>
                <w:lang w:val="en-US" w:eastAsia="zh-CN" w:bidi="ar-SA"/>
              </w:rPr>
              <w:t>表2</w:t>
            </w:r>
            <w:r>
              <w:rPr>
                <w:rFonts w:hint="eastAsia" w:ascii="宋体" w:hAnsi="宋体" w:eastAsia="宋体" w:cs="宋体"/>
                <w:b/>
                <w:bCs/>
                <w:color w:val="auto"/>
                <w:kern w:val="2"/>
                <w:sz w:val="21"/>
                <w:szCs w:val="21"/>
                <w:lang w:val="en-US" w:eastAsia="zh-CN" w:bidi="ar-SA"/>
              </w:rPr>
              <w:t>9</w:t>
            </w:r>
            <w:r>
              <w:rPr>
                <w:rFonts w:hint="default" w:ascii="宋体" w:hAnsi="宋体" w:eastAsia="宋体" w:cs="宋体"/>
                <w:b/>
                <w:bCs/>
                <w:color w:val="auto"/>
                <w:kern w:val="2"/>
                <w:sz w:val="21"/>
                <w:szCs w:val="21"/>
                <w:lang w:val="en-US" w:eastAsia="zh-CN" w:bidi="ar-SA"/>
              </w:rPr>
              <w:t xml:space="preserve"> 各施工阶段主要噪声源状况</w:t>
            </w:r>
          </w:p>
          <w:tbl>
            <w:tblPr>
              <w:tblStyle w:val="19"/>
              <w:tblW w:w="8230" w:type="dxa"/>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28" w:type="dxa"/>
                <w:bottom w:w="0" w:type="dxa"/>
                <w:right w:w="28" w:type="dxa"/>
              </w:tblCellMar>
            </w:tblPr>
            <w:tblGrid>
              <w:gridCol w:w="1322"/>
              <w:gridCol w:w="3682"/>
              <w:gridCol w:w="3226"/>
            </w:tblGrid>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施工阶段</w:t>
                  </w: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声源</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噪声源dB(A)</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restart"/>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地坪与结构阶段</w:t>
                  </w: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混凝土输送</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90～100</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continue"/>
                  <w:tcBorders>
                    <w:tl2br w:val="nil"/>
                    <w:tr2bl w:val="nil"/>
                  </w:tcBorders>
                  <w:noWrap w:val="0"/>
                  <w:vAlign w:val="center"/>
                </w:tcPr>
                <w:p>
                  <w:pPr>
                    <w:spacing w:line="240" w:lineRule="auto"/>
                    <w:jc w:val="center"/>
                    <w:rPr>
                      <w:rFonts w:cs="Times New Roman"/>
                      <w:color w:val="auto"/>
                      <w:sz w:val="21"/>
                    </w:rPr>
                  </w:pP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捣振器</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100～105</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continue"/>
                  <w:tcBorders>
                    <w:tl2br w:val="nil"/>
                    <w:tr2bl w:val="nil"/>
                  </w:tcBorders>
                  <w:noWrap w:val="0"/>
                  <w:vAlign w:val="center"/>
                </w:tcPr>
                <w:p>
                  <w:pPr>
                    <w:spacing w:line="240" w:lineRule="auto"/>
                    <w:jc w:val="center"/>
                    <w:rPr>
                      <w:rFonts w:cs="Times New Roman"/>
                      <w:color w:val="auto"/>
                      <w:sz w:val="21"/>
                    </w:rPr>
                  </w:pP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电锯</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100～110</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continue"/>
                  <w:tcBorders>
                    <w:tl2br w:val="nil"/>
                    <w:tr2bl w:val="nil"/>
                  </w:tcBorders>
                  <w:noWrap w:val="0"/>
                  <w:vAlign w:val="center"/>
                </w:tcPr>
                <w:p>
                  <w:pPr>
                    <w:spacing w:line="240" w:lineRule="auto"/>
                    <w:jc w:val="center"/>
                    <w:rPr>
                      <w:rFonts w:cs="Times New Roman"/>
                      <w:color w:val="auto"/>
                      <w:sz w:val="21"/>
                    </w:rPr>
                  </w:pP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电动机</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90～95</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continue"/>
                  <w:tcBorders>
                    <w:tl2br w:val="nil"/>
                    <w:tr2bl w:val="nil"/>
                  </w:tcBorders>
                  <w:noWrap w:val="0"/>
                  <w:vAlign w:val="center"/>
                </w:tcPr>
                <w:p>
                  <w:pPr>
                    <w:spacing w:line="240" w:lineRule="auto"/>
                    <w:jc w:val="center"/>
                    <w:rPr>
                      <w:rFonts w:cs="Times New Roman"/>
                      <w:color w:val="auto"/>
                      <w:sz w:val="21"/>
                    </w:rPr>
                  </w:pP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空压机</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75～85</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continue"/>
                  <w:tcBorders>
                    <w:tl2br w:val="nil"/>
                    <w:tr2bl w:val="nil"/>
                  </w:tcBorders>
                  <w:noWrap w:val="0"/>
                  <w:vAlign w:val="center"/>
                </w:tcPr>
                <w:p>
                  <w:pPr>
                    <w:spacing w:line="240" w:lineRule="auto"/>
                    <w:jc w:val="center"/>
                    <w:rPr>
                      <w:rFonts w:cs="Times New Roman"/>
                      <w:color w:val="auto"/>
                      <w:sz w:val="21"/>
                    </w:rPr>
                  </w:pP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运输车</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70～90</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restart"/>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装修、安装阶段</w:t>
                  </w: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电钻</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100～115</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continue"/>
                  <w:tcBorders>
                    <w:tl2br w:val="nil"/>
                    <w:tr2bl w:val="nil"/>
                  </w:tcBorders>
                  <w:noWrap w:val="0"/>
                  <w:vAlign w:val="center"/>
                </w:tcPr>
                <w:p>
                  <w:pPr>
                    <w:spacing w:line="240" w:lineRule="auto"/>
                    <w:jc w:val="center"/>
                    <w:rPr>
                      <w:rFonts w:cs="Times New Roman"/>
                      <w:color w:val="auto"/>
                      <w:sz w:val="21"/>
                    </w:rPr>
                  </w:pP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电锤</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100～105</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continue"/>
                  <w:tcBorders>
                    <w:tl2br w:val="nil"/>
                    <w:tr2bl w:val="nil"/>
                  </w:tcBorders>
                  <w:noWrap w:val="0"/>
                  <w:vAlign w:val="center"/>
                </w:tcPr>
                <w:p>
                  <w:pPr>
                    <w:spacing w:line="240" w:lineRule="auto"/>
                    <w:jc w:val="center"/>
                    <w:rPr>
                      <w:rFonts w:cs="Times New Roman"/>
                      <w:color w:val="auto"/>
                      <w:sz w:val="21"/>
                    </w:rPr>
                  </w:pP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手工锯</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100～105</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continue"/>
                  <w:tcBorders>
                    <w:tl2br w:val="nil"/>
                    <w:tr2bl w:val="nil"/>
                  </w:tcBorders>
                  <w:noWrap w:val="0"/>
                  <w:vAlign w:val="center"/>
                </w:tcPr>
                <w:p>
                  <w:pPr>
                    <w:spacing w:line="240" w:lineRule="auto"/>
                    <w:jc w:val="center"/>
                    <w:rPr>
                      <w:rFonts w:cs="Times New Roman"/>
                      <w:color w:val="auto"/>
                      <w:sz w:val="21"/>
                    </w:rPr>
                  </w:pP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多功能木工刨</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90～100</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continue"/>
                  <w:tcBorders>
                    <w:tl2br w:val="nil"/>
                    <w:tr2bl w:val="nil"/>
                  </w:tcBorders>
                  <w:noWrap w:val="0"/>
                  <w:vAlign w:val="center"/>
                </w:tcPr>
                <w:p>
                  <w:pPr>
                    <w:spacing w:line="240" w:lineRule="auto"/>
                    <w:jc w:val="center"/>
                    <w:rPr>
                      <w:rFonts w:cs="Times New Roman"/>
                      <w:color w:val="auto"/>
                      <w:sz w:val="21"/>
                    </w:rPr>
                  </w:pP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混凝土搅拌机</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90～100</w:t>
                  </w:r>
                </w:p>
              </w:tc>
            </w:tr>
            <w:tr>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2" w:type="dxa"/>
                  <w:vMerge w:val="continue"/>
                  <w:tcBorders>
                    <w:tl2br w:val="nil"/>
                    <w:tr2bl w:val="nil"/>
                  </w:tcBorders>
                  <w:noWrap w:val="0"/>
                  <w:vAlign w:val="center"/>
                </w:tcPr>
                <w:p>
                  <w:pPr>
                    <w:spacing w:line="240" w:lineRule="auto"/>
                    <w:jc w:val="center"/>
                    <w:rPr>
                      <w:rFonts w:cs="Times New Roman"/>
                      <w:color w:val="auto"/>
                      <w:sz w:val="21"/>
                    </w:rPr>
                  </w:pPr>
                </w:p>
              </w:tc>
              <w:tc>
                <w:tcPr>
                  <w:tcW w:w="3682"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运输车辆</w:t>
                  </w:r>
                </w:p>
              </w:tc>
              <w:tc>
                <w:tcPr>
                  <w:tcW w:w="3226" w:type="dxa"/>
                  <w:tcBorders>
                    <w:tl2br w:val="nil"/>
                    <w:tr2bl w:val="nil"/>
                  </w:tcBorders>
                  <w:noWrap w:val="0"/>
                  <w:vAlign w:val="center"/>
                </w:tcPr>
                <w:p>
                  <w:pPr>
                    <w:spacing w:line="240" w:lineRule="auto"/>
                    <w:jc w:val="center"/>
                    <w:rPr>
                      <w:rFonts w:cs="Times New Roman"/>
                      <w:color w:val="auto"/>
                      <w:sz w:val="21"/>
                    </w:rPr>
                  </w:pPr>
                  <w:r>
                    <w:rPr>
                      <w:rFonts w:cs="Times New Roman"/>
                      <w:color w:val="auto"/>
                      <w:sz w:val="21"/>
                    </w:rPr>
                    <w:t>70～90</w:t>
                  </w:r>
                </w:p>
              </w:tc>
            </w:tr>
          </w:tbl>
          <w:p>
            <w:pPr>
              <w:autoSpaceDE w:val="0"/>
              <w:autoSpaceDN w:val="0"/>
              <w:spacing w:line="360" w:lineRule="auto"/>
              <w:ind w:firstLine="420" w:firstLineChars="200"/>
              <w:rPr>
                <w:rFonts w:cs="Times New Roman"/>
                <w:color w:val="auto"/>
              </w:rPr>
            </w:pPr>
            <w:r>
              <w:rPr>
                <w:rFonts w:cs="Times New Roman"/>
                <w:color w:val="auto"/>
              </w:rPr>
              <w:t>从上表可以看出，施工设备属强噪声源。并且施工设备大部分置于室外，对外环境影响较大。</w:t>
            </w:r>
          </w:p>
          <w:p>
            <w:pPr>
              <w:keepNext w:val="0"/>
              <w:keepLines w:val="0"/>
              <w:pageBreakBefore w:val="0"/>
              <w:widowControl w:val="0"/>
              <w:kinsoku/>
              <w:wordWrap/>
              <w:overflowPunct/>
              <w:topLinePunct w:val="0"/>
              <w:autoSpaceDE/>
              <w:autoSpaceDN/>
              <w:bidi w:val="0"/>
              <w:spacing w:line="360" w:lineRule="auto"/>
              <w:textAlignment w:val="auto"/>
              <w:rPr>
                <w:b/>
                <w:bCs/>
                <w:color w:val="auto"/>
                <w:szCs w:val="21"/>
                <w:highlight w:val="none"/>
              </w:rPr>
            </w:pPr>
            <w:r>
              <w:rPr>
                <w:b/>
                <w:bCs/>
                <w:color w:val="auto"/>
                <w:szCs w:val="21"/>
                <w:highlight w:val="none"/>
              </w:rPr>
              <w:t>4、固体废物影响分析</w:t>
            </w:r>
          </w:p>
          <w:p>
            <w:pPr>
              <w:autoSpaceDE w:val="0"/>
              <w:autoSpaceDN w:val="0"/>
              <w:adjustRightInd w:val="0"/>
              <w:spacing w:line="360" w:lineRule="auto"/>
              <w:ind w:firstLine="420" w:firstLineChars="200"/>
              <w:rPr>
                <w:rFonts w:cs="Times New Roman"/>
                <w:color w:val="auto"/>
              </w:rPr>
            </w:pPr>
            <w:r>
              <w:rPr>
                <w:rFonts w:cs="Times New Roman"/>
                <w:color w:val="auto"/>
              </w:rPr>
              <w:t>本项目施工期产生的固体废弃物主要为各种建筑垃圾，以及施工人员生活垃圾。这些固体废弃物如不进行妥善处理，将会对周围环境产生一定影响。</w:t>
            </w:r>
          </w:p>
          <w:p>
            <w:pPr>
              <w:autoSpaceDE w:val="0"/>
              <w:autoSpaceDN w:val="0"/>
              <w:adjustRightInd w:val="0"/>
              <w:spacing w:line="360" w:lineRule="auto"/>
              <w:ind w:firstLine="420" w:firstLineChars="200"/>
              <w:rPr>
                <w:rFonts w:cs="Times New Roman"/>
                <w:color w:val="auto"/>
              </w:rPr>
            </w:pPr>
            <w:r>
              <w:rPr>
                <w:rFonts w:cs="Times New Roman"/>
                <w:color w:val="auto"/>
              </w:rPr>
              <w:t>（1）建筑垃圾</w:t>
            </w:r>
          </w:p>
          <w:p>
            <w:pPr>
              <w:autoSpaceDE w:val="0"/>
              <w:autoSpaceDN w:val="0"/>
              <w:adjustRightInd w:val="0"/>
              <w:spacing w:line="360" w:lineRule="auto"/>
              <w:ind w:firstLine="420" w:firstLineChars="200"/>
              <w:rPr>
                <w:rFonts w:cs="Times New Roman"/>
                <w:color w:val="auto"/>
              </w:rPr>
            </w:pPr>
            <w:r>
              <w:rPr>
                <w:rFonts w:cs="Times New Roman"/>
                <w:color w:val="auto"/>
              </w:rPr>
              <w:t>施工期建筑垃圾产生量采用建筑面积发展预测，预测模型为：</w:t>
            </w:r>
          </w:p>
          <w:p>
            <w:pPr>
              <w:autoSpaceDE w:val="0"/>
              <w:autoSpaceDN w:val="0"/>
              <w:adjustRightInd w:val="0"/>
              <w:spacing w:line="360" w:lineRule="auto"/>
              <w:ind w:firstLine="420" w:firstLineChars="200"/>
              <w:rPr>
                <w:rFonts w:cs="Times New Roman"/>
                <w:color w:val="auto"/>
              </w:rPr>
            </w:pPr>
            <w:r>
              <w:rPr>
                <w:rFonts w:cs="Times New Roman"/>
                <w:color w:val="auto"/>
              </w:rPr>
              <w:t>JS=QS×CS</w:t>
            </w:r>
          </w:p>
          <w:p>
            <w:pPr>
              <w:autoSpaceDE w:val="0"/>
              <w:autoSpaceDN w:val="0"/>
              <w:adjustRightInd w:val="0"/>
              <w:spacing w:line="360" w:lineRule="auto"/>
              <w:ind w:firstLine="420" w:firstLineChars="200"/>
              <w:rPr>
                <w:rFonts w:cs="Times New Roman"/>
                <w:color w:val="auto"/>
              </w:rPr>
            </w:pPr>
            <w:r>
              <w:rPr>
                <w:rFonts w:cs="Times New Roman"/>
                <w:color w:val="auto"/>
              </w:rPr>
              <w:t>式中：JS—建筑垃圾产生量（t），</w:t>
            </w:r>
          </w:p>
          <w:p>
            <w:pPr>
              <w:autoSpaceDE w:val="0"/>
              <w:autoSpaceDN w:val="0"/>
              <w:adjustRightInd w:val="0"/>
              <w:spacing w:line="360" w:lineRule="auto"/>
              <w:ind w:firstLine="420" w:firstLineChars="200"/>
              <w:rPr>
                <w:rFonts w:cs="Times New Roman"/>
                <w:color w:val="auto"/>
              </w:rPr>
            </w:pPr>
            <w:r>
              <w:rPr>
                <w:rFonts w:cs="Times New Roman"/>
                <w:color w:val="auto"/>
              </w:rPr>
              <w:t>QS—建筑面积（m</w:t>
            </w:r>
            <w:r>
              <w:rPr>
                <w:rFonts w:cs="Times New Roman"/>
                <w:color w:val="auto"/>
                <w:vertAlign w:val="superscript"/>
              </w:rPr>
              <w:t>2</w:t>
            </w:r>
            <w:r>
              <w:rPr>
                <w:rFonts w:cs="Times New Roman"/>
                <w:color w:val="auto"/>
              </w:rPr>
              <w:t>），</w:t>
            </w:r>
          </w:p>
          <w:p>
            <w:pPr>
              <w:autoSpaceDE w:val="0"/>
              <w:autoSpaceDN w:val="0"/>
              <w:adjustRightInd w:val="0"/>
              <w:spacing w:line="360" w:lineRule="auto"/>
              <w:ind w:firstLine="420" w:firstLineChars="200"/>
              <w:rPr>
                <w:rFonts w:cs="Times New Roman"/>
                <w:color w:val="auto"/>
              </w:rPr>
            </w:pPr>
            <w:r>
              <w:rPr>
                <w:rFonts w:cs="Times New Roman"/>
                <w:color w:val="auto"/>
              </w:rPr>
              <w:t>CS—平均每平方米建筑面积垃圾产生量（t/m</w:t>
            </w:r>
            <w:r>
              <w:rPr>
                <w:rFonts w:cs="Times New Roman"/>
                <w:color w:val="auto"/>
                <w:vertAlign w:val="superscript"/>
              </w:rPr>
              <w:t>2</w:t>
            </w:r>
            <w:r>
              <w:rPr>
                <w:rFonts w:cs="Times New Roman"/>
                <w:color w:val="auto"/>
              </w:rPr>
              <w:t>）。</w:t>
            </w:r>
          </w:p>
          <w:p>
            <w:pPr>
              <w:autoSpaceDE w:val="0"/>
              <w:autoSpaceDN w:val="0"/>
              <w:adjustRightInd w:val="0"/>
              <w:spacing w:line="360" w:lineRule="auto"/>
              <w:ind w:firstLine="420" w:firstLineChars="200"/>
              <w:rPr>
                <w:rFonts w:cs="Times New Roman"/>
                <w:color w:val="auto"/>
              </w:rPr>
            </w:pPr>
            <w:r>
              <w:rPr>
                <w:rFonts w:cs="Times New Roman"/>
                <w:color w:val="auto"/>
              </w:rPr>
              <w:t>按10kg/m</w:t>
            </w:r>
            <w:r>
              <w:rPr>
                <w:rFonts w:cs="Times New Roman"/>
                <w:color w:val="auto"/>
                <w:vertAlign w:val="superscript"/>
              </w:rPr>
              <w:t>2</w:t>
            </w:r>
            <w:r>
              <w:rPr>
                <w:rFonts w:cs="Times New Roman"/>
                <w:color w:val="auto"/>
              </w:rPr>
              <w:t>的单位建筑垃圾产生量进行估算，本项目总建筑面积约</w:t>
            </w:r>
            <w:r>
              <w:rPr>
                <w:rFonts w:hint="eastAsia" w:cs="Times New Roman"/>
                <w:color w:val="auto"/>
                <w:lang w:val="en-US" w:eastAsia="zh-CN"/>
              </w:rPr>
              <w:t>3</w:t>
            </w:r>
            <w:r>
              <w:rPr>
                <w:rFonts w:cs="Times New Roman"/>
                <w:color w:val="auto"/>
              </w:rPr>
              <w:t>000m</w:t>
            </w:r>
            <w:r>
              <w:rPr>
                <w:rFonts w:cs="Times New Roman"/>
                <w:color w:val="auto"/>
                <w:vertAlign w:val="superscript"/>
              </w:rPr>
              <w:t>2</w:t>
            </w:r>
            <w:r>
              <w:rPr>
                <w:rFonts w:cs="Times New Roman"/>
                <w:color w:val="auto"/>
              </w:rPr>
              <w:t>，则施工期产生建筑垃圾总量约</w:t>
            </w:r>
            <w:r>
              <w:rPr>
                <w:rFonts w:hint="eastAsia" w:cs="Times New Roman"/>
                <w:color w:val="auto"/>
                <w:lang w:val="en-US" w:eastAsia="zh-CN"/>
              </w:rPr>
              <w:t>3</w:t>
            </w:r>
            <w:r>
              <w:rPr>
                <w:rFonts w:cs="Times New Roman"/>
                <w:color w:val="auto"/>
              </w:rPr>
              <w:t>0t，统一运往指定收集地点。</w:t>
            </w:r>
          </w:p>
          <w:p>
            <w:pPr>
              <w:autoSpaceDE w:val="0"/>
              <w:autoSpaceDN w:val="0"/>
              <w:adjustRightInd w:val="0"/>
              <w:spacing w:line="360" w:lineRule="auto"/>
              <w:ind w:firstLine="420" w:firstLineChars="200"/>
              <w:rPr>
                <w:rFonts w:cs="Times New Roman"/>
                <w:color w:val="auto"/>
              </w:rPr>
            </w:pPr>
            <w:r>
              <w:rPr>
                <w:rFonts w:cs="Times New Roman"/>
                <w:color w:val="auto"/>
              </w:rPr>
              <w:t>（2）生活垃圾</w:t>
            </w:r>
          </w:p>
          <w:p>
            <w:pPr>
              <w:autoSpaceDE w:val="0"/>
              <w:autoSpaceDN w:val="0"/>
              <w:adjustRightInd w:val="0"/>
              <w:spacing w:line="360" w:lineRule="auto"/>
              <w:ind w:firstLine="420" w:firstLineChars="200"/>
              <w:rPr>
                <w:rFonts w:ascii="宋体" w:hAnsi="宋体"/>
                <w:color w:val="auto"/>
                <w:szCs w:val="24"/>
              </w:rPr>
            </w:pPr>
            <w:r>
              <w:rPr>
                <w:rFonts w:cs="Times New Roman"/>
                <w:color w:val="auto"/>
              </w:rPr>
              <w:t>本项目施工期定员15人，生活垃圾产生量按0.5kg/人•d计，则施工人员生活垃圾日产生量约为7.5kg，施工期为</w:t>
            </w:r>
            <w:r>
              <w:rPr>
                <w:rFonts w:hint="eastAsia" w:cs="Times New Roman"/>
                <w:color w:val="auto"/>
              </w:rPr>
              <w:t>2</w:t>
            </w:r>
            <w:r>
              <w:rPr>
                <w:rFonts w:cs="Times New Roman"/>
                <w:color w:val="auto"/>
              </w:rPr>
              <w:t>个月，则生活垃圾总量为0.</w:t>
            </w:r>
            <w:r>
              <w:rPr>
                <w:rFonts w:hint="eastAsia" w:cs="Times New Roman"/>
                <w:color w:val="auto"/>
              </w:rPr>
              <w:t>45</w:t>
            </w:r>
            <w:r>
              <w:rPr>
                <w:rFonts w:cs="Times New Roman"/>
                <w:color w:val="auto"/>
              </w:rPr>
              <w:t>t，收集后统一交由环卫部门处理。</w:t>
            </w:r>
          </w:p>
          <w:p>
            <w:pPr>
              <w:keepNext w:val="0"/>
              <w:keepLines w:val="0"/>
              <w:pageBreakBefore w:val="0"/>
              <w:widowControl w:val="0"/>
              <w:kinsoku/>
              <w:wordWrap/>
              <w:overflowPunct/>
              <w:topLinePunct w:val="0"/>
              <w:autoSpaceDE/>
              <w:autoSpaceDN/>
              <w:bidi w:val="0"/>
              <w:spacing w:line="360" w:lineRule="auto"/>
              <w:textAlignment w:val="auto"/>
              <w:rPr>
                <w:b/>
                <w:bCs/>
                <w:color w:val="auto"/>
                <w:szCs w:val="21"/>
                <w:highlight w:val="none"/>
              </w:rPr>
            </w:pPr>
            <w:r>
              <w:rPr>
                <w:b/>
                <w:bCs/>
                <w:color w:val="auto"/>
                <w:szCs w:val="21"/>
                <w:highlight w:val="none"/>
              </w:rPr>
              <w:t>5、生态环境影响分析</w:t>
            </w:r>
          </w:p>
          <w:p>
            <w:pPr>
              <w:ind w:firstLine="420" w:firstLineChars="200"/>
              <w:rPr>
                <w:color w:val="002060"/>
                <w:sz w:val="24"/>
              </w:rPr>
            </w:pPr>
            <w:r>
              <w:rPr>
                <w:rFonts w:hint="eastAsia" w:ascii="Times New Roman" w:hAnsi="Times New Roman" w:eastAsia="宋体" w:cs="Times New Roman"/>
                <w:color w:val="0000FF"/>
                <w:kern w:val="2"/>
                <w:sz w:val="21"/>
                <w:szCs w:val="21"/>
                <w:highlight w:val="none"/>
                <w:lang w:val="en-US" w:eastAsia="zh-CN" w:bidi="ar-SA"/>
              </w:rPr>
              <w:t>本项目在原有厂区内扩建生产车间，因此，本项目对周围生态影响较小。</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81" w:hRule="atLeast"/>
          <w:jc w:val="center"/>
        </w:trPr>
        <w:tc>
          <w:tcPr>
            <w:tcW w:w="485" w:type="pct"/>
            <w:noWrap w:val="0"/>
            <w:tcMar>
              <w:left w:w="28" w:type="dxa"/>
              <w:right w:w="28" w:type="dxa"/>
            </w:tcMar>
            <w:vAlign w:val="center"/>
          </w:tcPr>
          <w:p>
            <w:pPr>
              <w:adjustRightInd w:val="0"/>
              <w:snapToGrid w:val="0"/>
              <w:jc w:val="center"/>
              <w:rPr>
                <w:bCs/>
                <w:color w:val="auto"/>
                <w:szCs w:val="21"/>
              </w:rPr>
            </w:pPr>
            <w:r>
              <w:rPr>
                <w:bCs/>
                <w:color w:val="auto"/>
                <w:szCs w:val="21"/>
              </w:rPr>
              <w:t>运营</w:t>
            </w:r>
          </w:p>
          <w:p>
            <w:pPr>
              <w:adjustRightInd w:val="0"/>
              <w:snapToGrid w:val="0"/>
              <w:jc w:val="center"/>
              <w:rPr>
                <w:bCs/>
                <w:color w:val="auto"/>
                <w:szCs w:val="21"/>
              </w:rPr>
            </w:pPr>
            <w:r>
              <w:rPr>
                <w:bCs/>
                <w:color w:val="auto"/>
                <w:szCs w:val="21"/>
              </w:rPr>
              <w:t>期环</w:t>
            </w:r>
          </w:p>
          <w:p>
            <w:pPr>
              <w:adjustRightInd w:val="0"/>
              <w:snapToGrid w:val="0"/>
              <w:jc w:val="center"/>
              <w:rPr>
                <w:bCs/>
                <w:color w:val="auto"/>
                <w:szCs w:val="21"/>
              </w:rPr>
            </w:pPr>
            <w:r>
              <w:rPr>
                <w:bCs/>
                <w:color w:val="auto"/>
                <w:szCs w:val="21"/>
              </w:rPr>
              <w:t>境影</w:t>
            </w:r>
          </w:p>
          <w:p>
            <w:pPr>
              <w:adjustRightInd w:val="0"/>
              <w:snapToGrid w:val="0"/>
              <w:jc w:val="center"/>
              <w:rPr>
                <w:bCs/>
                <w:color w:val="auto"/>
                <w:szCs w:val="21"/>
              </w:rPr>
            </w:pPr>
            <w:r>
              <w:rPr>
                <w:bCs/>
                <w:color w:val="auto"/>
                <w:szCs w:val="21"/>
              </w:rPr>
              <w:t>响和</w:t>
            </w:r>
          </w:p>
          <w:p>
            <w:pPr>
              <w:adjustRightInd w:val="0"/>
              <w:snapToGrid w:val="0"/>
              <w:jc w:val="center"/>
              <w:rPr>
                <w:bCs/>
                <w:color w:val="auto"/>
                <w:szCs w:val="21"/>
              </w:rPr>
            </w:pPr>
            <w:r>
              <w:rPr>
                <w:bCs/>
                <w:color w:val="auto"/>
                <w:szCs w:val="21"/>
              </w:rPr>
              <w:t>保护</w:t>
            </w:r>
          </w:p>
          <w:p>
            <w:pPr>
              <w:adjustRightInd w:val="0"/>
              <w:snapToGrid w:val="0"/>
              <w:jc w:val="center"/>
              <w:rPr>
                <w:bCs/>
                <w:color w:val="auto"/>
                <w:szCs w:val="21"/>
              </w:rPr>
            </w:pPr>
            <w:r>
              <w:rPr>
                <w:bCs/>
                <w:color w:val="auto"/>
                <w:szCs w:val="21"/>
              </w:rPr>
              <w:t>措施</w:t>
            </w:r>
          </w:p>
        </w:tc>
        <w:tc>
          <w:tcPr>
            <w:tcW w:w="4514" w:type="pct"/>
            <w:noWrap w:val="0"/>
            <w:vAlign w:val="center"/>
          </w:tcPr>
          <w:p>
            <w:pPr>
              <w:spacing w:before="120" w:beforeLines="50" w:line="360" w:lineRule="auto"/>
              <w:rPr>
                <w:b/>
                <w:bCs/>
                <w:color w:val="auto"/>
                <w:szCs w:val="21"/>
              </w:rPr>
            </w:pPr>
            <w:r>
              <w:rPr>
                <w:b/>
                <w:bCs/>
                <w:color w:val="auto"/>
                <w:szCs w:val="21"/>
              </w:rPr>
              <w:t>1、大气环境影响分析</w:t>
            </w:r>
          </w:p>
          <w:p>
            <w:pPr>
              <w:adjustRightInd w:val="0"/>
              <w:snapToGrid w:val="0"/>
              <w:spacing w:line="360" w:lineRule="auto"/>
              <w:ind w:firstLine="422" w:firstLineChars="200"/>
              <w:rPr>
                <w:rFonts w:hint="eastAsia"/>
                <w:b/>
                <w:bCs/>
                <w:color w:val="auto"/>
                <w:szCs w:val="21"/>
                <w:highlight w:val="none"/>
                <w:vertAlign w:val="subscript"/>
                <w:lang w:val="en-US" w:eastAsia="zh-CN"/>
              </w:rPr>
            </w:pPr>
            <w:r>
              <w:rPr>
                <w:rFonts w:hint="eastAsia"/>
                <w:b/>
                <w:bCs/>
                <w:color w:val="auto"/>
                <w:szCs w:val="21"/>
                <w:highlight w:val="none"/>
                <w:lang w:val="en-US" w:eastAsia="zh-CN"/>
              </w:rPr>
              <w:t>配方肥</w:t>
            </w:r>
            <w:r>
              <w:rPr>
                <w:rFonts w:hint="eastAsia"/>
                <w:b/>
                <w:bCs/>
                <w:color w:val="auto"/>
                <w:szCs w:val="21"/>
                <w:highlight w:val="none"/>
              </w:rPr>
              <w:t>产生的废气主要为颗粒物和NH</w:t>
            </w:r>
            <w:r>
              <w:rPr>
                <w:rFonts w:hint="eastAsia"/>
                <w:b/>
                <w:bCs/>
                <w:color w:val="auto"/>
                <w:szCs w:val="21"/>
                <w:highlight w:val="none"/>
                <w:vertAlign w:val="subscript"/>
              </w:rPr>
              <w:t>3</w:t>
            </w:r>
          </w:p>
          <w:p>
            <w:pPr>
              <w:adjustRightInd w:val="0"/>
              <w:snapToGrid w:val="0"/>
              <w:spacing w:line="360" w:lineRule="auto"/>
              <w:ind w:firstLine="420" w:firstLineChars="200"/>
              <w:rPr>
                <w:rFonts w:hint="eastAsia"/>
                <w:color w:val="auto"/>
                <w:szCs w:val="21"/>
                <w:highlight w:val="none"/>
              </w:rPr>
            </w:pPr>
            <w:r>
              <w:rPr>
                <w:rFonts w:hint="eastAsia"/>
                <w:color w:val="auto"/>
                <w:szCs w:val="21"/>
                <w:highlight w:val="none"/>
              </w:rPr>
              <w:t>（1）颗粒物</w:t>
            </w:r>
          </w:p>
          <w:p>
            <w:pPr>
              <w:adjustRightInd w:val="0"/>
              <w:snapToGrid w:val="0"/>
              <w:spacing w:line="360" w:lineRule="auto"/>
              <w:ind w:firstLine="420" w:firstLineChars="200"/>
              <w:rPr>
                <w:rFonts w:hint="eastAsia"/>
                <w:color w:val="auto"/>
                <w:szCs w:val="21"/>
                <w:highlight w:val="none"/>
              </w:rPr>
            </w:pPr>
            <w:r>
              <w:rPr>
                <w:rFonts w:hint="eastAsia"/>
                <w:color w:val="auto"/>
                <w:szCs w:val="21"/>
                <w:highlight w:val="none"/>
              </w:rPr>
              <w:t>项目运营期，颗粒状物料包装出料过程中，会产生少量的粉尘。根据《第一次全国污染源普查 工业污染源产排污系数手册》（第五分册）中“掺和肥料 工业粉尘产生量为0.66kg/t-产品”，本项目固态配方肥的产生量为</w:t>
            </w:r>
            <w:r>
              <w:rPr>
                <w:rFonts w:hint="eastAsia"/>
                <w:color w:val="auto"/>
                <w:szCs w:val="21"/>
                <w:highlight w:val="none"/>
                <w:lang w:val="en-US" w:eastAsia="zh-CN"/>
              </w:rPr>
              <w:t>80</w:t>
            </w:r>
            <w:r>
              <w:rPr>
                <w:rFonts w:hint="eastAsia"/>
                <w:color w:val="auto"/>
                <w:szCs w:val="21"/>
                <w:highlight w:val="none"/>
              </w:rPr>
              <w:t>00t/a，经计算，粉尘产生量为</w:t>
            </w:r>
            <w:r>
              <w:rPr>
                <w:rFonts w:hint="eastAsia"/>
                <w:color w:val="auto"/>
                <w:szCs w:val="21"/>
                <w:highlight w:val="none"/>
                <w:lang w:val="en-US" w:eastAsia="zh-CN"/>
              </w:rPr>
              <w:t>5.28</w:t>
            </w:r>
            <w:r>
              <w:rPr>
                <w:rFonts w:hint="eastAsia"/>
                <w:color w:val="auto"/>
                <w:szCs w:val="21"/>
                <w:highlight w:val="none"/>
              </w:rPr>
              <w:t>t/a，本项目生产车间为封闭结构，出料机出料口与编织袋连接处为防尘布，可减少粉尘</w:t>
            </w:r>
            <w:r>
              <w:rPr>
                <w:rFonts w:hint="eastAsia"/>
                <w:color w:val="auto"/>
                <w:szCs w:val="21"/>
                <w:highlight w:val="none"/>
                <w:lang w:val="en-US" w:eastAsia="zh-CN"/>
              </w:rPr>
              <w:t>排放量</w:t>
            </w:r>
            <w:r>
              <w:rPr>
                <w:rFonts w:hint="eastAsia"/>
                <w:color w:val="auto"/>
                <w:szCs w:val="21"/>
                <w:highlight w:val="none"/>
              </w:rPr>
              <w:t>为90%，粉尘排放量为0.</w:t>
            </w:r>
            <w:r>
              <w:rPr>
                <w:rFonts w:hint="eastAsia"/>
                <w:color w:val="auto"/>
                <w:szCs w:val="21"/>
                <w:highlight w:val="none"/>
                <w:lang w:val="en-US" w:eastAsia="zh-CN"/>
              </w:rPr>
              <w:t>528</w:t>
            </w:r>
            <w:r>
              <w:rPr>
                <w:rFonts w:hint="eastAsia"/>
                <w:color w:val="auto"/>
                <w:szCs w:val="21"/>
                <w:highlight w:val="none"/>
              </w:rPr>
              <w:t>t/a。</w:t>
            </w:r>
          </w:p>
          <w:p>
            <w:pPr>
              <w:adjustRightInd w:val="0"/>
              <w:snapToGrid w:val="0"/>
              <w:spacing w:line="360" w:lineRule="auto"/>
              <w:ind w:firstLine="420" w:firstLineChars="200"/>
              <w:rPr>
                <w:rFonts w:hint="eastAsia"/>
                <w:color w:val="auto"/>
                <w:szCs w:val="21"/>
                <w:highlight w:val="none"/>
              </w:rPr>
            </w:pPr>
            <w:r>
              <w:rPr>
                <w:rFonts w:hint="eastAsia"/>
                <w:color w:val="auto"/>
                <w:szCs w:val="21"/>
                <w:highlight w:val="none"/>
              </w:rPr>
              <w:t>（2）氨气</w:t>
            </w:r>
          </w:p>
          <w:p>
            <w:pPr>
              <w:adjustRightInd w:val="0"/>
              <w:snapToGrid w:val="0"/>
              <w:spacing w:line="360" w:lineRule="auto"/>
              <w:ind w:firstLine="420" w:firstLineChars="200"/>
              <w:rPr>
                <w:rFonts w:hint="eastAsia"/>
                <w:color w:val="auto"/>
                <w:szCs w:val="21"/>
                <w:highlight w:val="none"/>
              </w:rPr>
            </w:pPr>
            <w:r>
              <w:rPr>
                <w:rFonts w:hint="eastAsia"/>
                <w:color w:val="auto"/>
                <w:szCs w:val="21"/>
                <w:highlight w:val="none"/>
              </w:rPr>
              <w:t>本项目原料尿素、磷酸二铵和腐植酸液在压板过滤、研磨和包装过程会产生少量氨气，因本项目物料生产温度较低，且生产过程投加少量水，氨气挥发量不大，本项目不进行定量分析。</w:t>
            </w:r>
          </w:p>
          <w:p>
            <w:pPr>
              <w:adjustRightInd w:val="0"/>
              <w:snapToGrid w:val="0"/>
              <w:spacing w:line="360" w:lineRule="auto"/>
              <w:ind w:firstLine="422" w:firstLineChars="200"/>
              <w:rPr>
                <w:rFonts w:hint="default" w:eastAsia="宋体"/>
                <w:b/>
                <w:bCs/>
                <w:color w:val="auto"/>
                <w:szCs w:val="21"/>
                <w:highlight w:val="none"/>
                <w:lang w:val="en-US" w:eastAsia="zh-CN"/>
              </w:rPr>
            </w:pPr>
            <w:r>
              <w:rPr>
                <w:rFonts w:hint="eastAsia"/>
                <w:b/>
                <w:bCs/>
                <w:color w:val="auto"/>
                <w:szCs w:val="21"/>
                <w:highlight w:val="none"/>
                <w:lang w:val="en-US" w:eastAsia="zh-CN"/>
              </w:rPr>
              <w:t>高端有机肥的废气主要为生物质锅炉产生的废气</w:t>
            </w:r>
          </w:p>
          <w:p>
            <w:pPr>
              <w:adjustRightInd w:val="0"/>
              <w:snapToGrid w:val="0"/>
              <w:spacing w:line="360" w:lineRule="auto"/>
              <w:ind w:firstLine="420" w:firstLineChars="200"/>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生物质锅炉的废气</w:t>
            </w:r>
          </w:p>
          <w:p>
            <w:pPr>
              <w:keepNext w:val="0"/>
              <w:keepLines w:val="0"/>
              <w:widowControl/>
              <w:suppressLineNumbers w:val="0"/>
              <w:ind w:firstLine="420" w:firstLineChars="200"/>
              <w:jc w:val="left"/>
              <w:rPr>
                <w:rFonts w:hint="default" w:ascii="Times New Roman" w:hAnsi="Times New Roman" w:cs="Times New Roman"/>
                <w:color w:val="auto"/>
                <w:sz w:val="21"/>
                <w:szCs w:val="21"/>
              </w:rPr>
            </w:pPr>
            <w:r>
              <w:rPr>
                <w:color w:val="auto"/>
                <w:sz w:val="21"/>
                <w:szCs w:val="21"/>
              </w:rPr>
              <w:t>本项目</w:t>
            </w:r>
            <w:r>
              <w:rPr>
                <w:rFonts w:hint="eastAsia"/>
                <w:color w:val="auto"/>
                <w:sz w:val="21"/>
                <w:szCs w:val="21"/>
              </w:rPr>
              <w:t>设置1台</w:t>
            </w:r>
            <w:r>
              <w:rPr>
                <w:rFonts w:hint="eastAsia"/>
                <w:color w:val="auto"/>
                <w:sz w:val="21"/>
                <w:szCs w:val="21"/>
                <w:lang w:val="en-US" w:eastAsia="zh-CN"/>
              </w:rPr>
              <w:t>6</w:t>
            </w:r>
            <w:r>
              <w:rPr>
                <w:color w:val="auto"/>
                <w:sz w:val="21"/>
                <w:szCs w:val="21"/>
              </w:rPr>
              <w:t>t/h生物质蒸汽锅炉</w:t>
            </w:r>
            <w:r>
              <w:rPr>
                <w:rFonts w:hint="eastAsia"/>
                <w:color w:val="auto"/>
                <w:sz w:val="21"/>
                <w:szCs w:val="21"/>
              </w:rPr>
              <w:t>，</w:t>
            </w:r>
            <w:r>
              <w:rPr>
                <w:rFonts w:hint="eastAsia"/>
                <w:color w:val="auto"/>
                <w:sz w:val="21"/>
                <w:szCs w:val="21"/>
                <w:lang w:val="en-US" w:eastAsia="zh-CN"/>
              </w:rPr>
              <w:t>生产以200天计，</w:t>
            </w:r>
            <w:r>
              <w:rPr>
                <w:rFonts w:hint="eastAsia"/>
                <w:color w:val="auto"/>
                <w:sz w:val="21"/>
                <w:szCs w:val="21"/>
              </w:rPr>
              <w:t>每天燃烧</w:t>
            </w:r>
            <w:r>
              <w:rPr>
                <w:rFonts w:hint="eastAsia"/>
                <w:color w:val="auto"/>
                <w:sz w:val="21"/>
                <w:szCs w:val="21"/>
                <w:lang w:val="en-US" w:eastAsia="zh-CN"/>
              </w:rPr>
              <w:t>1</w:t>
            </w:r>
            <w:r>
              <w:rPr>
                <w:rFonts w:hint="eastAsia"/>
                <w:color w:val="auto"/>
                <w:sz w:val="21"/>
                <w:szCs w:val="21"/>
              </w:rPr>
              <w:t>2</w:t>
            </w:r>
            <w:r>
              <w:rPr>
                <w:color w:val="auto"/>
                <w:sz w:val="21"/>
                <w:szCs w:val="21"/>
              </w:rPr>
              <w:t>h</w:t>
            </w:r>
            <w:r>
              <w:rPr>
                <w:rFonts w:hint="eastAsia"/>
                <w:color w:val="auto"/>
                <w:sz w:val="21"/>
                <w:szCs w:val="21"/>
                <w:lang w:eastAsia="zh-CN"/>
              </w:rPr>
              <w:t>，</w:t>
            </w:r>
            <w:r>
              <w:rPr>
                <w:rFonts w:hint="eastAsia" w:cs="宋体"/>
                <w:color w:val="auto"/>
                <w:sz w:val="21"/>
                <w:szCs w:val="21"/>
              </w:rPr>
              <w:t>风机风量为300</w:t>
            </w:r>
            <w:r>
              <w:rPr>
                <w:rFonts w:hint="eastAsia"/>
                <w:color w:val="auto"/>
                <w:sz w:val="21"/>
                <w:szCs w:val="21"/>
              </w:rPr>
              <w:t>0</w:t>
            </w:r>
            <w:r>
              <w:rPr>
                <w:color w:val="auto"/>
                <w:sz w:val="21"/>
                <w:szCs w:val="21"/>
              </w:rPr>
              <w:t>m</w:t>
            </w:r>
            <w:r>
              <w:rPr>
                <w:color w:val="auto"/>
                <w:sz w:val="21"/>
                <w:szCs w:val="21"/>
                <w:vertAlign w:val="superscript"/>
              </w:rPr>
              <w:t>3</w:t>
            </w:r>
            <w:r>
              <w:rPr>
                <w:color w:val="auto"/>
                <w:sz w:val="21"/>
                <w:szCs w:val="21"/>
              </w:rPr>
              <w:t>/h</w:t>
            </w:r>
            <w:r>
              <w:rPr>
                <w:rFonts w:hint="eastAsia"/>
                <w:color w:val="auto"/>
                <w:sz w:val="21"/>
                <w:szCs w:val="21"/>
                <w:lang w:eastAsia="zh-CN"/>
              </w:rPr>
              <w:t>，</w:t>
            </w:r>
            <w:r>
              <w:rPr>
                <w:rFonts w:hint="eastAsia"/>
                <w:color w:val="auto"/>
                <w:sz w:val="21"/>
                <w:szCs w:val="21"/>
              </w:rPr>
              <w:t>生物质</w:t>
            </w:r>
            <w:r>
              <w:rPr>
                <w:color w:val="auto"/>
                <w:sz w:val="21"/>
                <w:szCs w:val="21"/>
              </w:rPr>
              <w:t>燃料用量为</w:t>
            </w:r>
            <w:r>
              <w:rPr>
                <w:rFonts w:hint="eastAsia"/>
                <w:color w:val="auto"/>
                <w:sz w:val="21"/>
                <w:szCs w:val="21"/>
                <w:lang w:val="en-US" w:eastAsia="zh-CN"/>
              </w:rPr>
              <w:t>1000</w:t>
            </w:r>
            <w:r>
              <w:rPr>
                <w:color w:val="auto"/>
                <w:sz w:val="21"/>
                <w:szCs w:val="21"/>
              </w:rPr>
              <w:t>t/a。参考工业源产排污系数手册(下册)《4430工业锅炉（热力生产和供应行业）产排污系数表—生物质工业锅炉》中有关数据：工业废气产生量按6240.28Nm</w:t>
            </w:r>
            <w:r>
              <w:rPr>
                <w:color w:val="auto"/>
                <w:sz w:val="21"/>
                <w:szCs w:val="21"/>
                <w:vertAlign w:val="superscript"/>
              </w:rPr>
              <w:t>3</w:t>
            </w:r>
            <w:r>
              <w:rPr>
                <w:color w:val="auto"/>
                <w:sz w:val="21"/>
                <w:szCs w:val="21"/>
              </w:rPr>
              <w:t>/t燃料、颗粒物按37.6kg/t燃料、NO</w:t>
            </w:r>
            <w:r>
              <w:rPr>
                <w:color w:val="auto"/>
                <w:sz w:val="21"/>
                <w:szCs w:val="21"/>
                <w:vertAlign w:val="subscript"/>
              </w:rPr>
              <w:t>x</w:t>
            </w:r>
            <w:r>
              <w:rPr>
                <w:color w:val="auto"/>
                <w:sz w:val="21"/>
                <w:szCs w:val="21"/>
              </w:rPr>
              <w:t>1.02kg/t燃料、SO</w:t>
            </w:r>
            <w:r>
              <w:rPr>
                <w:color w:val="auto"/>
                <w:sz w:val="21"/>
                <w:szCs w:val="21"/>
                <w:vertAlign w:val="subscript"/>
              </w:rPr>
              <w:t>2</w:t>
            </w:r>
            <w:r>
              <w:rPr>
                <w:color w:val="auto"/>
                <w:sz w:val="21"/>
                <w:szCs w:val="21"/>
              </w:rPr>
              <w:t>17Skg/t燃料计，生物质成型燃料含硫率按0.1%计，则</w:t>
            </w:r>
            <w:r>
              <w:rPr>
                <w:rFonts w:hint="eastAsia"/>
                <w:color w:val="auto"/>
                <w:sz w:val="21"/>
                <w:szCs w:val="21"/>
              </w:rPr>
              <w:t>生物质</w:t>
            </w:r>
            <w:r>
              <w:rPr>
                <w:color w:val="auto"/>
                <w:sz w:val="21"/>
                <w:szCs w:val="21"/>
              </w:rPr>
              <w:t>锅炉年产生工业废气</w:t>
            </w:r>
            <w:r>
              <w:rPr>
                <w:rFonts w:hint="eastAsia"/>
                <w:color w:val="auto"/>
                <w:sz w:val="21"/>
                <w:szCs w:val="21"/>
                <w:lang w:val="en-US" w:eastAsia="zh-CN"/>
              </w:rPr>
              <w:t>624.028</w:t>
            </w:r>
            <w:r>
              <w:rPr>
                <w:color w:val="auto"/>
                <w:sz w:val="21"/>
                <w:szCs w:val="21"/>
              </w:rPr>
              <w:t>×10</w:t>
            </w:r>
            <w:r>
              <w:rPr>
                <w:color w:val="auto"/>
                <w:sz w:val="21"/>
                <w:szCs w:val="21"/>
                <w:vertAlign w:val="superscript"/>
              </w:rPr>
              <w:t>4</w:t>
            </w:r>
            <w:r>
              <w:rPr>
                <w:color w:val="auto"/>
                <w:sz w:val="21"/>
                <w:szCs w:val="21"/>
              </w:rPr>
              <w:t>Nm</w:t>
            </w:r>
            <w:r>
              <w:rPr>
                <w:color w:val="auto"/>
                <w:sz w:val="21"/>
                <w:szCs w:val="21"/>
                <w:vertAlign w:val="superscript"/>
              </w:rPr>
              <w:t>3</w:t>
            </w:r>
            <w:r>
              <w:rPr>
                <w:color w:val="auto"/>
                <w:sz w:val="21"/>
                <w:szCs w:val="21"/>
              </w:rPr>
              <w:t>/a（</w:t>
            </w:r>
            <w:r>
              <w:rPr>
                <w:rFonts w:hint="eastAsia"/>
                <w:color w:val="auto"/>
                <w:sz w:val="21"/>
                <w:szCs w:val="21"/>
                <w:lang w:val="en-US" w:eastAsia="zh-CN"/>
              </w:rPr>
              <w:t>2000.09</w:t>
            </w:r>
            <w:r>
              <w:rPr>
                <w:color w:val="auto"/>
                <w:sz w:val="21"/>
                <w:szCs w:val="21"/>
              </w:rPr>
              <w:t>Nm</w:t>
            </w:r>
            <w:r>
              <w:rPr>
                <w:color w:val="auto"/>
                <w:sz w:val="21"/>
                <w:szCs w:val="21"/>
                <w:vertAlign w:val="superscript"/>
              </w:rPr>
              <w:t>3</w:t>
            </w:r>
            <w:r>
              <w:rPr>
                <w:color w:val="auto"/>
                <w:sz w:val="21"/>
                <w:szCs w:val="21"/>
              </w:rPr>
              <w:t>/h），颗粒物产生量</w:t>
            </w:r>
            <w:r>
              <w:rPr>
                <w:rFonts w:hint="eastAsia"/>
                <w:color w:val="auto"/>
                <w:sz w:val="21"/>
                <w:szCs w:val="21"/>
                <w:lang w:val="en-US" w:eastAsia="zh-CN"/>
              </w:rPr>
              <w:t>37.6</w:t>
            </w:r>
            <w:r>
              <w:rPr>
                <w:color w:val="auto"/>
                <w:sz w:val="21"/>
                <w:szCs w:val="21"/>
              </w:rPr>
              <w:t>t/a（产生速率</w:t>
            </w:r>
            <w:r>
              <w:rPr>
                <w:rFonts w:hint="eastAsia"/>
                <w:color w:val="auto"/>
                <w:sz w:val="21"/>
                <w:szCs w:val="21"/>
                <w:lang w:val="en-US" w:eastAsia="zh-CN"/>
              </w:rPr>
              <w:t>12.05</w:t>
            </w:r>
            <w:r>
              <w:rPr>
                <w:color w:val="auto"/>
                <w:sz w:val="21"/>
                <w:szCs w:val="21"/>
              </w:rPr>
              <w:t>kg/h</w:t>
            </w:r>
            <w:r>
              <w:rPr>
                <w:rFonts w:hint="eastAsia"/>
                <w:color w:val="auto"/>
                <w:sz w:val="21"/>
                <w:szCs w:val="21"/>
                <w:lang w:eastAsia="zh-CN"/>
              </w:rPr>
              <w:t>，</w:t>
            </w:r>
            <w:r>
              <w:rPr>
                <w:rFonts w:hint="eastAsia"/>
                <w:color w:val="auto"/>
                <w:sz w:val="21"/>
                <w:szCs w:val="21"/>
                <w:lang w:val="en-US" w:eastAsia="zh-CN"/>
              </w:rPr>
              <w:t>产生浓度669.44</w:t>
            </w:r>
            <w:r>
              <w:rPr>
                <w:rFonts w:hint="default" w:ascii="Times New Roman" w:hAnsi="Times New Roman" w:cs="Times New Roman"/>
                <w:color w:val="auto"/>
                <w:sz w:val="21"/>
                <w:szCs w:val="21"/>
              </w:rPr>
              <w:t>mg/m</w:t>
            </w:r>
            <w:r>
              <w:rPr>
                <w:rFonts w:hint="default" w:ascii="Times New Roman" w:hAnsi="Times New Roman" w:cs="Times New Roman"/>
                <w:color w:val="auto"/>
                <w:sz w:val="21"/>
                <w:szCs w:val="21"/>
                <w:vertAlign w:val="superscript"/>
              </w:rPr>
              <w:t>3</w:t>
            </w:r>
            <w:r>
              <w:rPr>
                <w:color w:val="auto"/>
                <w:sz w:val="21"/>
                <w:szCs w:val="21"/>
              </w:rPr>
              <w:t>）、SO</w:t>
            </w:r>
            <w:r>
              <w:rPr>
                <w:color w:val="auto"/>
                <w:sz w:val="21"/>
                <w:szCs w:val="21"/>
                <w:vertAlign w:val="subscript"/>
              </w:rPr>
              <w:t>2</w:t>
            </w:r>
            <w:r>
              <w:rPr>
                <w:color w:val="auto"/>
                <w:sz w:val="21"/>
                <w:szCs w:val="21"/>
              </w:rPr>
              <w:t>产生量0.0</w:t>
            </w:r>
            <w:r>
              <w:rPr>
                <w:rFonts w:hint="eastAsia"/>
                <w:color w:val="auto"/>
                <w:sz w:val="21"/>
                <w:szCs w:val="21"/>
                <w:lang w:val="en-US" w:eastAsia="zh-CN"/>
              </w:rPr>
              <w:t>17</w:t>
            </w:r>
            <w:r>
              <w:rPr>
                <w:color w:val="auto"/>
                <w:sz w:val="21"/>
                <w:szCs w:val="21"/>
              </w:rPr>
              <w:t>t/a（产生速率0.0</w:t>
            </w:r>
            <w:r>
              <w:rPr>
                <w:rFonts w:hint="eastAsia"/>
                <w:color w:val="auto"/>
                <w:sz w:val="21"/>
                <w:szCs w:val="21"/>
                <w:lang w:val="en-US" w:eastAsia="zh-CN"/>
              </w:rPr>
              <w:t>054</w:t>
            </w:r>
            <w:r>
              <w:rPr>
                <w:color w:val="auto"/>
                <w:sz w:val="21"/>
                <w:szCs w:val="21"/>
              </w:rPr>
              <w:t>kg/h</w:t>
            </w:r>
            <w:r>
              <w:rPr>
                <w:rFonts w:hint="eastAsia"/>
                <w:color w:val="auto"/>
                <w:sz w:val="21"/>
                <w:szCs w:val="21"/>
                <w:lang w:eastAsia="zh-CN"/>
              </w:rPr>
              <w:t>，</w:t>
            </w:r>
            <w:r>
              <w:rPr>
                <w:rFonts w:hint="eastAsia"/>
                <w:color w:val="auto"/>
                <w:sz w:val="21"/>
                <w:szCs w:val="21"/>
                <w:lang w:val="en-US" w:eastAsia="zh-CN"/>
              </w:rPr>
              <w:t>产生浓度0.3</w:t>
            </w:r>
            <w:r>
              <w:rPr>
                <w:rFonts w:hint="default" w:ascii="Times New Roman" w:hAnsi="Times New Roman" w:cs="Times New Roman"/>
                <w:color w:val="auto"/>
                <w:sz w:val="21"/>
                <w:szCs w:val="21"/>
              </w:rPr>
              <w:t>mg/m</w:t>
            </w:r>
            <w:r>
              <w:rPr>
                <w:rFonts w:hint="default" w:ascii="Times New Roman" w:hAnsi="Times New Roman" w:cs="Times New Roman"/>
                <w:color w:val="auto"/>
                <w:sz w:val="21"/>
                <w:szCs w:val="21"/>
                <w:vertAlign w:val="superscript"/>
              </w:rPr>
              <w:t>3</w:t>
            </w:r>
            <w:r>
              <w:rPr>
                <w:color w:val="auto"/>
                <w:sz w:val="21"/>
                <w:szCs w:val="21"/>
              </w:rPr>
              <w:t>）、NO</w:t>
            </w:r>
            <w:r>
              <w:rPr>
                <w:color w:val="auto"/>
                <w:sz w:val="21"/>
                <w:szCs w:val="21"/>
                <w:vertAlign w:val="subscript"/>
              </w:rPr>
              <w:t>x</w:t>
            </w:r>
            <w:r>
              <w:rPr>
                <w:color w:val="auto"/>
                <w:sz w:val="21"/>
                <w:szCs w:val="21"/>
              </w:rPr>
              <w:t>产生量</w:t>
            </w:r>
            <w:r>
              <w:rPr>
                <w:rFonts w:hint="eastAsia"/>
                <w:color w:val="auto"/>
                <w:sz w:val="21"/>
                <w:szCs w:val="21"/>
                <w:lang w:val="en-US" w:eastAsia="zh-CN"/>
              </w:rPr>
              <w:t>1.02</w:t>
            </w:r>
            <w:r>
              <w:rPr>
                <w:color w:val="auto"/>
                <w:sz w:val="21"/>
                <w:szCs w:val="21"/>
              </w:rPr>
              <w:t>t/a（产生速率</w:t>
            </w:r>
            <w:r>
              <w:rPr>
                <w:rFonts w:hint="eastAsia"/>
                <w:color w:val="auto"/>
                <w:sz w:val="21"/>
                <w:szCs w:val="21"/>
                <w:lang w:val="en-US" w:eastAsia="zh-CN"/>
              </w:rPr>
              <w:t>0.3269</w:t>
            </w:r>
            <w:r>
              <w:rPr>
                <w:color w:val="auto"/>
                <w:sz w:val="21"/>
                <w:szCs w:val="21"/>
              </w:rPr>
              <w:t>kg/h</w:t>
            </w:r>
            <w:r>
              <w:rPr>
                <w:rFonts w:hint="eastAsia"/>
                <w:color w:val="auto"/>
                <w:sz w:val="21"/>
                <w:szCs w:val="21"/>
                <w:lang w:eastAsia="zh-CN"/>
              </w:rPr>
              <w:t>，</w:t>
            </w:r>
            <w:r>
              <w:rPr>
                <w:rFonts w:hint="eastAsia"/>
                <w:color w:val="auto"/>
                <w:sz w:val="21"/>
                <w:szCs w:val="21"/>
                <w:lang w:val="en-US" w:eastAsia="zh-CN"/>
              </w:rPr>
              <w:t>产生浓度18.16</w:t>
            </w:r>
            <w:r>
              <w:rPr>
                <w:rFonts w:hint="default" w:ascii="Times New Roman" w:hAnsi="Times New Roman" w:cs="Times New Roman"/>
                <w:color w:val="auto"/>
                <w:sz w:val="21"/>
                <w:szCs w:val="21"/>
              </w:rPr>
              <w:t>mg/m</w:t>
            </w:r>
            <w:r>
              <w:rPr>
                <w:rFonts w:hint="default" w:ascii="Times New Roman" w:hAnsi="Times New Roman" w:cs="Times New Roman"/>
                <w:color w:val="auto"/>
                <w:sz w:val="21"/>
                <w:szCs w:val="21"/>
                <w:vertAlign w:val="superscript"/>
              </w:rPr>
              <w:t>3</w:t>
            </w:r>
            <w:r>
              <w:rPr>
                <w:color w:val="auto"/>
                <w:sz w:val="21"/>
                <w:szCs w:val="21"/>
              </w:rPr>
              <w:t>）。</w:t>
            </w:r>
            <w:r>
              <w:rPr>
                <w:rFonts w:hint="eastAsia" w:ascii="Times New Roman" w:hAnsi="Times New Roman" w:eastAsia="宋体" w:cs="Times New Roman"/>
                <w:color w:val="0000FF"/>
                <w:kern w:val="2"/>
                <w:sz w:val="21"/>
                <w:szCs w:val="21"/>
                <w:highlight w:val="none"/>
                <w:lang w:val="en-US" w:eastAsia="zh-CN" w:bidi="ar-SA"/>
              </w:rPr>
              <w:t>本项目生物质锅炉烟气采用布袋除尘器处理（除尘效率为90%）+水浴除尘（除尘效率为80%）+3</w:t>
            </w:r>
            <w:r>
              <w:rPr>
                <w:rFonts w:hint="default" w:ascii="Times New Roman" w:hAnsi="Times New Roman" w:eastAsia="宋体" w:cs="Times New Roman"/>
                <w:color w:val="0000FF"/>
                <w:kern w:val="2"/>
                <w:sz w:val="21"/>
                <w:szCs w:val="21"/>
                <w:highlight w:val="none"/>
                <w:lang w:val="en-US" w:eastAsia="zh-CN" w:bidi="ar-SA"/>
              </w:rPr>
              <w:t>5</w:t>
            </w:r>
            <w:r>
              <w:rPr>
                <w:rFonts w:hint="eastAsia" w:ascii="Times New Roman" w:hAnsi="Times New Roman" w:eastAsia="宋体" w:cs="Times New Roman"/>
                <w:color w:val="0000FF"/>
                <w:kern w:val="2"/>
                <w:sz w:val="21"/>
                <w:szCs w:val="21"/>
                <w:highlight w:val="none"/>
                <w:lang w:val="en-US" w:eastAsia="zh-CN" w:bidi="ar-SA"/>
              </w:rPr>
              <w:t>米高烟囱，</w:t>
            </w:r>
            <w:r>
              <w:rPr>
                <w:color w:val="auto"/>
                <w:sz w:val="21"/>
                <w:szCs w:val="21"/>
                <w:highlight w:val="none"/>
              </w:rPr>
              <w:t>经处理后颗粒物排放量</w:t>
            </w:r>
            <w:r>
              <w:rPr>
                <w:rFonts w:hint="eastAsia"/>
                <w:color w:val="auto"/>
                <w:sz w:val="21"/>
                <w:szCs w:val="21"/>
                <w:highlight w:val="none"/>
                <w:lang w:val="en-US" w:eastAsia="zh-CN"/>
              </w:rPr>
              <w:t>0.752</w:t>
            </w:r>
            <w:r>
              <w:rPr>
                <w:color w:val="auto"/>
                <w:sz w:val="21"/>
                <w:szCs w:val="21"/>
                <w:highlight w:val="none"/>
              </w:rPr>
              <w:t>t/a、排放速率</w:t>
            </w:r>
            <w:r>
              <w:rPr>
                <w:rFonts w:hint="eastAsia"/>
                <w:color w:val="auto"/>
                <w:sz w:val="21"/>
                <w:szCs w:val="21"/>
                <w:highlight w:val="none"/>
                <w:lang w:val="en-US" w:eastAsia="zh-CN"/>
              </w:rPr>
              <w:t>0.313</w:t>
            </w:r>
            <w:r>
              <w:rPr>
                <w:color w:val="auto"/>
                <w:sz w:val="21"/>
                <w:szCs w:val="21"/>
                <w:highlight w:val="none"/>
              </w:rPr>
              <w:t>kg/h、排放浓度</w:t>
            </w:r>
            <w:r>
              <w:rPr>
                <w:rFonts w:hint="eastAsia"/>
                <w:color w:val="auto"/>
                <w:sz w:val="21"/>
                <w:szCs w:val="21"/>
                <w:highlight w:val="none"/>
                <w:lang w:val="en-US" w:eastAsia="zh-CN"/>
              </w:rPr>
              <w:t>13.39</w:t>
            </w:r>
            <w:r>
              <w:rPr>
                <w:color w:val="auto"/>
                <w:sz w:val="21"/>
                <w:szCs w:val="21"/>
                <w:highlight w:val="none"/>
              </w:rPr>
              <w:t>mg/m</w:t>
            </w:r>
            <w:r>
              <w:rPr>
                <w:color w:val="auto"/>
                <w:sz w:val="21"/>
                <w:szCs w:val="21"/>
                <w:highlight w:val="none"/>
                <w:vertAlign w:val="superscript"/>
              </w:rPr>
              <w:t>3</w:t>
            </w:r>
            <w:r>
              <w:rPr>
                <w:rFonts w:hint="eastAsia"/>
                <w:color w:val="auto"/>
                <w:sz w:val="21"/>
                <w:szCs w:val="21"/>
                <w:highlight w:val="none"/>
              </w:rPr>
              <w:t>；</w:t>
            </w: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排放量0.0</w:t>
            </w:r>
            <w:r>
              <w:rPr>
                <w:rFonts w:hint="eastAsia" w:cs="Times New Roman"/>
                <w:color w:val="auto"/>
                <w:sz w:val="21"/>
                <w:szCs w:val="21"/>
                <w:highlight w:val="none"/>
                <w:lang w:val="en-US" w:eastAsia="zh-CN"/>
              </w:rPr>
              <w:t>17</w:t>
            </w:r>
            <w:r>
              <w:rPr>
                <w:rFonts w:hint="default" w:ascii="Times New Roman" w:hAnsi="Times New Roman" w:cs="Times New Roman"/>
                <w:color w:val="auto"/>
                <w:sz w:val="21"/>
                <w:szCs w:val="21"/>
                <w:highlight w:val="none"/>
              </w:rPr>
              <w:t>t/a、排放速率</w:t>
            </w:r>
            <w:r>
              <w:rPr>
                <w:rFonts w:hint="default" w:ascii="Times New Roman" w:hAnsi="Times New Roman" w:cs="Times New Roman"/>
                <w:color w:val="auto"/>
                <w:sz w:val="21"/>
                <w:szCs w:val="21"/>
                <w:highlight w:val="none"/>
                <w:lang w:val="en-US" w:eastAsia="zh-CN"/>
              </w:rPr>
              <w:t>0.00</w:t>
            </w:r>
            <w:r>
              <w:rPr>
                <w:rFonts w:hint="eastAsia" w:cs="Times New Roman"/>
                <w:color w:val="auto"/>
                <w:sz w:val="21"/>
                <w:szCs w:val="21"/>
                <w:highlight w:val="none"/>
                <w:lang w:val="en-US" w:eastAsia="zh-CN"/>
              </w:rPr>
              <w:t>54</w:t>
            </w:r>
            <w:r>
              <w:rPr>
                <w:rFonts w:hint="default" w:ascii="Times New Roman" w:hAnsi="Times New Roman" w:cs="Times New Roman"/>
                <w:color w:val="auto"/>
                <w:sz w:val="21"/>
                <w:szCs w:val="21"/>
                <w:highlight w:val="none"/>
              </w:rPr>
              <w:t>kg/h、排放浓度</w:t>
            </w:r>
            <w:r>
              <w:rPr>
                <w:rFonts w:hint="default" w:ascii="Times New Roman" w:hAnsi="Times New Roman" w:cs="Times New Roman"/>
                <w:color w:val="auto"/>
                <w:sz w:val="21"/>
                <w:szCs w:val="21"/>
                <w:highlight w:val="none"/>
                <w:lang w:val="en-US" w:eastAsia="zh-CN"/>
              </w:rPr>
              <w:t>0.</w:t>
            </w:r>
            <w:r>
              <w:rPr>
                <w:rFonts w:hint="eastAsia"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mg/m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x</w:t>
            </w:r>
            <w:r>
              <w:rPr>
                <w:rFonts w:hint="default" w:ascii="Times New Roman" w:hAnsi="Times New Roman" w:cs="Times New Roman"/>
                <w:color w:val="auto"/>
                <w:sz w:val="21"/>
                <w:szCs w:val="21"/>
                <w:highlight w:val="none"/>
              </w:rPr>
              <w:t>排放量</w:t>
            </w:r>
            <w:r>
              <w:rPr>
                <w:rFonts w:hint="eastAsia" w:cs="Times New Roman"/>
                <w:color w:val="auto"/>
                <w:sz w:val="21"/>
                <w:szCs w:val="21"/>
                <w:highlight w:val="none"/>
                <w:lang w:val="en-US" w:eastAsia="zh-CN"/>
              </w:rPr>
              <w:t>1.02</w:t>
            </w:r>
            <w:r>
              <w:rPr>
                <w:rFonts w:hint="default" w:ascii="Times New Roman" w:hAnsi="Times New Roman" w:cs="Times New Roman"/>
                <w:color w:val="auto"/>
                <w:sz w:val="21"/>
                <w:szCs w:val="21"/>
                <w:highlight w:val="none"/>
              </w:rPr>
              <w:t>t/a、排放速率</w:t>
            </w:r>
            <w:r>
              <w:rPr>
                <w:rFonts w:hint="eastAsia" w:cs="Times New Roman"/>
                <w:color w:val="auto"/>
                <w:sz w:val="21"/>
                <w:szCs w:val="21"/>
                <w:highlight w:val="none"/>
                <w:lang w:val="en-US" w:eastAsia="zh-CN"/>
              </w:rPr>
              <w:t>0.3269</w:t>
            </w:r>
            <w:r>
              <w:rPr>
                <w:rFonts w:hint="default" w:ascii="Times New Roman" w:hAnsi="Times New Roman" w:cs="Times New Roman"/>
                <w:color w:val="auto"/>
                <w:sz w:val="21"/>
                <w:szCs w:val="21"/>
                <w:highlight w:val="none"/>
              </w:rPr>
              <w:t>kg/h、排放浓度</w:t>
            </w:r>
            <w:r>
              <w:rPr>
                <w:rFonts w:hint="eastAsia" w:cs="Times New Roman"/>
                <w:color w:val="auto"/>
                <w:sz w:val="21"/>
                <w:szCs w:val="21"/>
                <w:highlight w:val="none"/>
                <w:lang w:val="en-US" w:eastAsia="zh-CN"/>
              </w:rPr>
              <w:t>18.16</w:t>
            </w:r>
            <w:r>
              <w:rPr>
                <w:rFonts w:hint="default" w:ascii="Times New Roman" w:hAnsi="Times New Roman" w:cs="Times New Roman"/>
                <w:color w:val="auto"/>
                <w:sz w:val="21"/>
                <w:szCs w:val="21"/>
                <w:highlight w:val="none"/>
              </w:rPr>
              <w:t>mg/m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。本</w:t>
            </w:r>
            <w:r>
              <w:rPr>
                <w:rFonts w:hint="default" w:ascii="Times New Roman" w:hAnsi="Times New Roman" w:cs="Times New Roman"/>
                <w:color w:val="auto"/>
                <w:sz w:val="21"/>
                <w:szCs w:val="21"/>
              </w:rPr>
              <w:t>项目设置</w:t>
            </w:r>
            <w:r>
              <w:rPr>
                <w:rFonts w:hint="eastAsia" w:cs="Times New Roman"/>
                <w:color w:val="auto"/>
                <w:sz w:val="21"/>
                <w:szCs w:val="21"/>
                <w:lang w:val="en-US" w:eastAsia="zh-CN"/>
              </w:rPr>
              <w:t>35</w:t>
            </w:r>
            <w:r>
              <w:rPr>
                <w:rFonts w:hint="default" w:ascii="Times New Roman" w:hAnsi="Times New Roman" w:cs="Times New Roman"/>
                <w:color w:val="auto"/>
                <w:sz w:val="21"/>
                <w:szCs w:val="21"/>
              </w:rPr>
              <w:t>m高排气筒，能够满足《锅炉大气污染物排放标准》（GB13271－2014）表2燃煤锅炉标准。</w:t>
            </w:r>
          </w:p>
          <w:p>
            <w:pPr>
              <w:pStyle w:val="18"/>
              <w:ind w:left="0" w:leftChars="0" w:firstLine="422" w:firstLineChars="200"/>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颗粒有机肥的废气：</w:t>
            </w:r>
          </w:p>
          <w:p>
            <w:pPr>
              <w:adjustRightInd w:val="0"/>
              <w:snapToGrid w:val="0"/>
              <w:spacing w:line="360" w:lineRule="auto"/>
              <w:ind w:firstLine="420" w:firstLineChars="200"/>
              <w:rPr>
                <w:rFonts w:hint="default" w:eastAsia="宋体"/>
                <w:color w:val="auto"/>
                <w:highlight w:val="none"/>
                <w:lang w:val="en-US" w:eastAsia="zh-CN"/>
              </w:rPr>
            </w:pPr>
            <w:r>
              <w:rPr>
                <w:rFonts w:hint="eastAsia"/>
                <w:color w:val="auto"/>
                <w:highlight w:val="none"/>
                <w:lang w:val="en-US" w:eastAsia="zh-CN"/>
              </w:rPr>
              <w:t>有机肥造粒过程中产生的废气主要为</w:t>
            </w:r>
            <w:r>
              <w:rPr>
                <w:rFonts w:hint="eastAsia"/>
                <w:color w:val="auto"/>
                <w:highlight w:val="none"/>
              </w:rPr>
              <w:t>物料烘干</w:t>
            </w:r>
            <w:r>
              <w:rPr>
                <w:rFonts w:hint="eastAsia"/>
                <w:color w:val="auto"/>
                <w:highlight w:val="none"/>
                <w:lang w:eastAsia="zh-CN"/>
              </w:rPr>
              <w:t>、</w:t>
            </w:r>
            <w:r>
              <w:rPr>
                <w:rFonts w:hint="eastAsia"/>
                <w:color w:val="auto"/>
                <w:highlight w:val="none"/>
              </w:rPr>
              <w:t>冷却</w:t>
            </w:r>
            <w:r>
              <w:rPr>
                <w:rFonts w:hint="eastAsia"/>
                <w:color w:val="auto"/>
                <w:highlight w:val="none"/>
                <w:lang w:eastAsia="zh-CN"/>
              </w:rPr>
              <w:t>、</w:t>
            </w:r>
            <w:r>
              <w:rPr>
                <w:rFonts w:hint="eastAsia"/>
                <w:color w:val="auto"/>
                <w:highlight w:val="none"/>
                <w:lang w:val="en-US" w:eastAsia="zh-CN"/>
              </w:rPr>
              <w:t>筛分</w:t>
            </w:r>
            <w:r>
              <w:rPr>
                <w:rFonts w:hint="eastAsia"/>
                <w:color w:val="auto"/>
                <w:highlight w:val="none"/>
              </w:rPr>
              <w:t>过程会产生粉尘</w:t>
            </w:r>
            <w:r>
              <w:rPr>
                <w:rFonts w:hint="eastAsia"/>
                <w:color w:val="auto"/>
                <w:highlight w:val="none"/>
                <w:lang w:val="en-US" w:eastAsia="zh-CN"/>
              </w:rPr>
              <w:t>及燃煤热风炉废气。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color w:val="auto"/>
              </w:rPr>
            </w:pPr>
            <w:r>
              <w:rPr>
                <w:rFonts w:hint="eastAsia"/>
                <w:color w:val="auto"/>
              </w:rPr>
              <w:t>物料筛分和冷却过程收集的粉尘，根据生产经验，筛分、冷却工序粉尘产生量均为物料总用量的0.01%，即筛分粉尘和冷却粉尘产生收集量均为</w:t>
            </w:r>
            <w:r>
              <w:rPr>
                <w:rFonts w:hint="eastAsia"/>
                <w:color w:val="auto"/>
                <w:lang w:val="en-US" w:eastAsia="zh-CN"/>
              </w:rPr>
              <w:t>5</w:t>
            </w:r>
            <w:r>
              <w:rPr>
                <w:rFonts w:hint="eastAsia"/>
                <w:color w:val="auto"/>
              </w:rPr>
              <w:t>t/a。本项目筛分机械为密闭筛分，在密闭筛分过程中，产生的粉尘收集后作为粉状成品；冷却过程中产生的粉尘由集气罩收集后进入重力沉降室，收集后作为粉状成品。重力沉降室处理效率70%，重力沉降室收集的粉尘为</w:t>
            </w:r>
            <w:r>
              <w:rPr>
                <w:rFonts w:hint="eastAsia"/>
                <w:color w:val="auto"/>
                <w:lang w:val="en-US" w:eastAsia="zh-CN"/>
              </w:rPr>
              <w:t>3.5</w:t>
            </w:r>
            <w:r>
              <w:rPr>
                <w:rFonts w:hint="eastAsia"/>
                <w:color w:val="auto"/>
              </w:rPr>
              <w:t>t/a。未收集粉尘经密闭车间自然沉降，10%通过车间天窗无组织排放，即0.</w:t>
            </w:r>
            <w:r>
              <w:rPr>
                <w:rFonts w:hint="eastAsia"/>
                <w:color w:val="auto"/>
                <w:lang w:val="en-US" w:eastAsia="zh-CN"/>
              </w:rPr>
              <w:t>15</w:t>
            </w:r>
            <w:r>
              <w:rPr>
                <w:rFonts w:hint="eastAsia"/>
                <w:color w:val="auto"/>
              </w:rPr>
              <w:t>t/a，0.</w:t>
            </w:r>
            <w:r>
              <w:rPr>
                <w:rFonts w:hint="eastAsia"/>
                <w:color w:val="auto"/>
                <w:lang w:val="en-US" w:eastAsia="zh-CN"/>
              </w:rPr>
              <w:t>625</w:t>
            </w:r>
            <w:r>
              <w:rPr>
                <w:rFonts w:hint="eastAsia"/>
                <w:color w:val="auto"/>
              </w:rPr>
              <w:t>kg/h。</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color w:val="auto"/>
              </w:rPr>
            </w:pPr>
            <w:r>
              <w:rPr>
                <w:rFonts w:hint="eastAsia"/>
                <w:color w:val="auto"/>
              </w:rPr>
              <w:t>物料烘干过程会产生粉尘，类比同类型项目，烘干工序粉尘产生量为物料总用量的0.01%，项目进入烘干程序的物料量约为</w:t>
            </w:r>
            <w:r>
              <w:rPr>
                <w:rFonts w:hint="eastAsia"/>
                <w:color w:val="auto"/>
                <w:lang w:val="en-US" w:eastAsia="zh-CN"/>
              </w:rPr>
              <w:t>50000</w:t>
            </w:r>
            <w:r>
              <w:rPr>
                <w:rFonts w:hint="eastAsia"/>
                <w:color w:val="auto"/>
              </w:rPr>
              <w:t>t/a，则烘干粉尘的产生量约为</w:t>
            </w:r>
            <w:r>
              <w:rPr>
                <w:rFonts w:hint="eastAsia"/>
                <w:color w:val="auto"/>
                <w:lang w:val="en-US" w:eastAsia="zh-CN"/>
              </w:rPr>
              <w:t>5</w:t>
            </w:r>
            <w:r>
              <w:rPr>
                <w:rFonts w:hint="eastAsia"/>
                <w:color w:val="auto"/>
              </w:rPr>
              <w:t>t/a，</w:t>
            </w:r>
            <w:r>
              <w:rPr>
                <w:rFonts w:hint="eastAsia"/>
                <w:color w:val="auto"/>
                <w:lang w:val="en-US" w:eastAsia="zh-CN"/>
              </w:rPr>
              <w:t>2.5</w:t>
            </w:r>
            <w:r>
              <w:rPr>
                <w:rFonts w:hint="eastAsia"/>
                <w:color w:val="auto"/>
              </w:rPr>
              <w:t>kg/h，产生浓度为</w:t>
            </w:r>
            <w:r>
              <w:rPr>
                <w:rFonts w:hint="eastAsia"/>
                <w:color w:val="auto"/>
                <w:lang w:val="en-US" w:eastAsia="zh-CN"/>
              </w:rPr>
              <w:t>2.5</w:t>
            </w:r>
            <w:r>
              <w:rPr>
                <w:rFonts w:hint="eastAsia"/>
                <w:color w:val="auto"/>
              </w:rPr>
              <w:t>kg/h/</w:t>
            </w:r>
            <w:r>
              <w:rPr>
                <w:rFonts w:hint="eastAsia"/>
                <w:color w:val="auto"/>
                <w:lang w:val="en-US" w:eastAsia="zh-CN"/>
              </w:rPr>
              <w:t>9</w:t>
            </w:r>
            <w:r>
              <w:rPr>
                <w:rFonts w:hint="eastAsia"/>
                <w:color w:val="auto"/>
              </w:rPr>
              <w:t>000m</w:t>
            </w:r>
            <w:r>
              <w:rPr>
                <w:rFonts w:hint="eastAsia"/>
                <w:color w:val="auto"/>
                <w:vertAlign w:val="superscript"/>
              </w:rPr>
              <w:t>3</w:t>
            </w:r>
            <w:r>
              <w:rPr>
                <w:rFonts w:hint="eastAsia"/>
                <w:color w:val="auto"/>
              </w:rPr>
              <w:t>/h×10</w:t>
            </w:r>
            <w:r>
              <w:rPr>
                <w:rFonts w:hint="eastAsia"/>
                <w:color w:val="auto"/>
                <w:vertAlign w:val="superscript"/>
              </w:rPr>
              <w:t>6</w:t>
            </w:r>
            <w:r>
              <w:rPr>
                <w:rFonts w:hint="eastAsia"/>
                <w:color w:val="auto"/>
              </w:rPr>
              <w:t>=</w:t>
            </w:r>
            <w:r>
              <w:rPr>
                <w:rFonts w:hint="eastAsia"/>
                <w:color w:val="auto"/>
                <w:lang w:val="en-US" w:eastAsia="zh-CN"/>
              </w:rPr>
              <w:t>278</w:t>
            </w:r>
            <w:r>
              <w:rPr>
                <w:rFonts w:hint="eastAsia"/>
                <w:color w:val="auto"/>
              </w:rPr>
              <w:t>mg/m</w:t>
            </w:r>
            <w:r>
              <w:rPr>
                <w:rFonts w:hint="eastAsia"/>
                <w:color w:val="auto"/>
                <w:vertAlign w:val="superscript"/>
              </w:rPr>
              <w:t>3</w:t>
            </w:r>
            <w:r>
              <w:rPr>
                <w:rFonts w:hint="eastAsia"/>
                <w:color w:val="auto"/>
              </w:rPr>
              <w:t>。</w:t>
            </w:r>
          </w:p>
          <w:p>
            <w:pPr>
              <w:ind w:firstLine="420" w:firstLineChars="200"/>
              <w:rPr>
                <w:color w:val="auto"/>
                <w:highlight w:val="none"/>
              </w:rPr>
            </w:pPr>
            <w:r>
              <w:rPr>
                <w:rFonts w:hint="eastAsia" w:cs="宋体"/>
                <w:color w:val="auto"/>
                <w:kern w:val="0"/>
                <w:highlight w:val="none"/>
              </w:rPr>
              <w:t>本项目配备</w:t>
            </w:r>
            <w:r>
              <w:rPr>
                <w:rFonts w:hint="eastAsia" w:cs="宋体"/>
                <w:color w:val="auto"/>
                <w:kern w:val="0"/>
                <w:highlight w:val="none"/>
                <w:lang w:val="en-US" w:eastAsia="zh-CN"/>
              </w:rPr>
              <w:t>一台</w:t>
            </w:r>
            <w:r>
              <w:rPr>
                <w:rFonts w:hint="eastAsia" w:cs="宋体"/>
                <w:color w:val="auto"/>
                <w:kern w:val="0"/>
                <w:highlight w:val="none"/>
              </w:rPr>
              <w:t>热风炉，用于产品烘干工序供热。</w:t>
            </w:r>
            <w:r>
              <w:rPr>
                <w:rFonts w:hint="eastAsia" w:cs="宋体"/>
                <w:color w:val="auto"/>
                <w:highlight w:val="none"/>
              </w:rPr>
              <w:t>热风炉燃用精煤（硫份</w:t>
            </w:r>
            <w:r>
              <w:rPr>
                <w:rFonts w:hint="eastAsia"/>
                <w:color w:val="auto"/>
                <w:highlight w:val="none"/>
              </w:rPr>
              <w:t>0.57</w:t>
            </w:r>
            <w:r>
              <w:rPr>
                <w:color w:val="auto"/>
                <w:highlight w:val="none"/>
              </w:rPr>
              <w:t>%</w:t>
            </w:r>
            <w:r>
              <w:rPr>
                <w:rFonts w:hint="eastAsia" w:cs="宋体"/>
                <w:color w:val="auto"/>
                <w:highlight w:val="none"/>
              </w:rPr>
              <w:t>、灰份</w:t>
            </w:r>
            <w:r>
              <w:rPr>
                <w:rFonts w:hint="eastAsia"/>
                <w:color w:val="auto"/>
                <w:highlight w:val="none"/>
              </w:rPr>
              <w:t>12.83</w:t>
            </w:r>
            <w:r>
              <w:rPr>
                <w:color w:val="auto"/>
                <w:highlight w:val="none"/>
              </w:rPr>
              <w:t>%</w:t>
            </w:r>
            <w:r>
              <w:rPr>
                <w:rFonts w:hint="eastAsia" w:cs="宋体"/>
                <w:color w:val="auto"/>
                <w:highlight w:val="none"/>
              </w:rPr>
              <w:t>），</w:t>
            </w:r>
            <w:r>
              <w:rPr>
                <w:rFonts w:hint="eastAsia"/>
                <w:color w:val="auto"/>
                <w:highlight w:val="none"/>
              </w:rPr>
              <w:t>耗煤量约</w:t>
            </w:r>
            <w:r>
              <w:rPr>
                <w:rFonts w:hint="eastAsia"/>
                <w:color w:val="auto"/>
                <w:szCs w:val="24"/>
                <w:highlight w:val="none"/>
                <w:lang w:val="en-US" w:eastAsia="zh-CN"/>
              </w:rPr>
              <w:t>3</w:t>
            </w:r>
            <w:r>
              <w:rPr>
                <w:color w:val="auto"/>
                <w:szCs w:val="24"/>
                <w:highlight w:val="none"/>
              </w:rPr>
              <w:t>t/d</w:t>
            </w:r>
            <w:r>
              <w:rPr>
                <w:rFonts w:hint="eastAsia"/>
                <w:color w:val="auto"/>
                <w:szCs w:val="24"/>
                <w:highlight w:val="none"/>
              </w:rPr>
              <w:t>（</w:t>
            </w:r>
            <w:r>
              <w:rPr>
                <w:rFonts w:hint="eastAsia"/>
                <w:color w:val="auto"/>
                <w:szCs w:val="24"/>
                <w:highlight w:val="none"/>
                <w:lang w:val="en-US" w:eastAsia="zh-CN"/>
              </w:rPr>
              <w:t>600</w:t>
            </w:r>
            <w:r>
              <w:rPr>
                <w:color w:val="auto"/>
                <w:szCs w:val="24"/>
                <w:highlight w:val="none"/>
              </w:rPr>
              <w:t>t/a</w:t>
            </w:r>
            <w:r>
              <w:rPr>
                <w:rFonts w:hint="eastAsia"/>
                <w:color w:val="auto"/>
                <w:szCs w:val="24"/>
                <w:highlight w:val="none"/>
              </w:rPr>
              <w:t>）</w:t>
            </w:r>
            <w:r>
              <w:rPr>
                <w:rFonts w:hint="eastAsia"/>
                <w:color w:val="auto"/>
                <w:highlight w:val="none"/>
              </w:rPr>
              <w:t>，生产期以</w:t>
            </w:r>
            <w:r>
              <w:rPr>
                <w:rFonts w:hint="eastAsia"/>
                <w:color w:val="auto"/>
                <w:highlight w:val="none"/>
                <w:lang w:val="en-US" w:eastAsia="zh-CN"/>
              </w:rPr>
              <w:t>2</w:t>
            </w:r>
            <w:r>
              <w:rPr>
                <w:rFonts w:hint="eastAsia"/>
                <w:color w:val="auto"/>
                <w:highlight w:val="none"/>
              </w:rPr>
              <w:t>00天计，每天工作</w:t>
            </w:r>
            <w:r>
              <w:rPr>
                <w:rFonts w:hint="eastAsia"/>
                <w:color w:val="auto"/>
                <w:highlight w:val="none"/>
                <w:lang w:val="en-US" w:eastAsia="zh-CN"/>
              </w:rPr>
              <w:t>10</w:t>
            </w:r>
            <w:r>
              <w:rPr>
                <w:rFonts w:hint="eastAsia"/>
                <w:color w:val="auto"/>
                <w:highlight w:val="none"/>
              </w:rPr>
              <w:t>小时，</w:t>
            </w:r>
            <w:r>
              <w:rPr>
                <w:rFonts w:hint="eastAsia" w:cs="宋体"/>
                <w:color w:val="auto"/>
                <w:highlight w:val="none"/>
              </w:rPr>
              <w:t>风机风量为</w:t>
            </w:r>
            <w:r>
              <w:rPr>
                <w:rFonts w:hint="eastAsia" w:cs="宋体"/>
                <w:color w:val="auto"/>
                <w:highlight w:val="none"/>
                <w:lang w:val="en-US" w:eastAsia="zh-CN"/>
              </w:rPr>
              <w:t>9000</w:t>
            </w:r>
            <w:r>
              <w:rPr>
                <w:color w:val="auto"/>
                <w:highlight w:val="none"/>
              </w:rPr>
              <w:t>m</w:t>
            </w:r>
            <w:r>
              <w:rPr>
                <w:color w:val="auto"/>
                <w:highlight w:val="none"/>
                <w:vertAlign w:val="superscript"/>
              </w:rPr>
              <w:t>3</w:t>
            </w:r>
            <w:r>
              <w:rPr>
                <w:color w:val="auto"/>
                <w:highlight w:val="none"/>
              </w:rPr>
              <w:t>/h</w:t>
            </w:r>
            <w:r>
              <w:rPr>
                <w:rFonts w:hint="eastAsia"/>
                <w:color w:val="auto"/>
                <w:highlight w:val="none"/>
              </w:rPr>
              <w:t>。</w:t>
            </w:r>
          </w:p>
          <w:p>
            <w:pPr>
              <w:ind w:firstLine="420" w:firstLineChars="200"/>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根据生态环境部关于印发《第二次全国污染源普查产排污核算系数手册（试用版）》的通知中《工业源系数手册（试用版）》的核算方法，热风炉排污系数为10290m</w:t>
            </w:r>
            <w:r>
              <w:rPr>
                <w:rFonts w:hint="eastAsia" w:ascii="Times New Roman" w:hAnsi="Times New Roman" w:eastAsia="宋体" w:cs="Times New Roman"/>
                <w:color w:val="0000FF"/>
                <w:kern w:val="2"/>
                <w:sz w:val="21"/>
                <w:szCs w:val="21"/>
                <w:highlight w:val="none"/>
                <w:vertAlign w:val="superscript"/>
                <w:lang w:val="en-US" w:eastAsia="zh-CN" w:bidi="ar-SA"/>
              </w:rPr>
              <w:t>3</w:t>
            </w:r>
            <w:r>
              <w:rPr>
                <w:rFonts w:hint="eastAsia" w:ascii="Times New Roman" w:hAnsi="Times New Roman" w:eastAsia="宋体" w:cs="Times New Roman"/>
                <w:color w:val="0000FF"/>
                <w:kern w:val="2"/>
                <w:sz w:val="21"/>
                <w:szCs w:val="21"/>
                <w:highlight w:val="none"/>
                <w:lang w:val="en-US" w:eastAsia="zh-CN" w:bidi="ar-SA"/>
              </w:rPr>
              <w:t>/t(煤)，二氧化硫的为16Skg/t—原料（S表示煤的含硫率，0.57%），颗粒物产生量为1.25Akg/t原料（A表示煤的灰分，12.83%），氮氧化物产生量为2.94kg/t—原料。</w:t>
            </w:r>
          </w:p>
          <w:p>
            <w:pPr>
              <w:spacing w:line="360" w:lineRule="auto"/>
              <w:ind w:firstLine="420" w:firstLineChars="200"/>
              <w:rPr>
                <w:rFonts w:hint="eastAsia"/>
                <w:color w:val="auto"/>
                <w:highlight w:val="none"/>
              </w:rPr>
            </w:pPr>
            <w:r>
              <w:rPr>
                <w:color w:val="auto"/>
                <w:highlight w:val="none"/>
              </w:rPr>
              <w:t>经计算</w:t>
            </w:r>
            <w:r>
              <w:rPr>
                <w:rFonts w:hint="eastAsia"/>
                <w:color w:val="auto"/>
                <w:highlight w:val="none"/>
              </w:rPr>
              <w:t>热风炉</w:t>
            </w:r>
            <w:r>
              <w:rPr>
                <w:color w:val="auto"/>
                <w:highlight w:val="none"/>
              </w:rPr>
              <w:t>烟气</w:t>
            </w:r>
            <w:r>
              <w:rPr>
                <w:rFonts w:hint="eastAsia"/>
                <w:color w:val="auto"/>
                <w:highlight w:val="none"/>
              </w:rPr>
              <w:t>量</w:t>
            </w:r>
            <w:r>
              <w:rPr>
                <w:color w:val="auto"/>
                <w:highlight w:val="none"/>
              </w:rPr>
              <w:t>为</w:t>
            </w:r>
            <w:r>
              <w:rPr>
                <w:rFonts w:hint="eastAsia"/>
                <w:color w:val="auto"/>
                <w:highlight w:val="none"/>
                <w:lang w:val="en-US" w:eastAsia="zh-CN"/>
              </w:rPr>
              <w:t>3087</w:t>
            </w:r>
            <w:r>
              <w:rPr>
                <w:rFonts w:hint="eastAsia"/>
                <w:color w:val="auto"/>
                <w:highlight w:val="none"/>
              </w:rPr>
              <w:t>m</w:t>
            </w:r>
            <w:r>
              <w:rPr>
                <w:rFonts w:hint="eastAsia"/>
                <w:color w:val="auto"/>
                <w:highlight w:val="none"/>
                <w:vertAlign w:val="superscript"/>
              </w:rPr>
              <w:t>3</w:t>
            </w:r>
            <w:r>
              <w:rPr>
                <w:rFonts w:hint="eastAsia"/>
                <w:color w:val="auto"/>
                <w:highlight w:val="none"/>
              </w:rPr>
              <w:t>/h（</w:t>
            </w:r>
            <w:r>
              <w:rPr>
                <w:rFonts w:hint="eastAsia" w:cs="Times New Roman"/>
                <w:color w:val="auto"/>
                <w:highlight w:val="none"/>
                <w:lang w:val="en-US" w:eastAsia="zh-CN"/>
              </w:rPr>
              <w:t>617.4</w:t>
            </w:r>
            <w:r>
              <w:rPr>
                <w:color w:val="auto"/>
                <w:highlight w:val="none"/>
              </w:rPr>
              <w:t>万m</w:t>
            </w:r>
            <w:r>
              <w:rPr>
                <w:color w:val="auto"/>
                <w:highlight w:val="none"/>
                <w:vertAlign w:val="superscript"/>
              </w:rPr>
              <w:t>3</w:t>
            </w:r>
            <w:r>
              <w:rPr>
                <w:color w:val="auto"/>
                <w:highlight w:val="none"/>
              </w:rPr>
              <w:t>/a</w:t>
            </w:r>
            <w:r>
              <w:rPr>
                <w:rFonts w:hint="eastAsia"/>
                <w:color w:val="auto"/>
                <w:highlight w:val="none"/>
              </w:rPr>
              <w:t>）</w:t>
            </w:r>
            <w:r>
              <w:rPr>
                <w:color w:val="auto"/>
                <w:highlight w:val="none"/>
              </w:rPr>
              <w:t>，</w:t>
            </w:r>
            <w:r>
              <w:rPr>
                <w:rFonts w:hint="eastAsia"/>
                <w:color w:val="auto"/>
                <w:highlight w:val="none"/>
              </w:rPr>
              <w:t>烟尘（颗粒物）</w:t>
            </w:r>
            <w:r>
              <w:rPr>
                <w:color w:val="auto"/>
                <w:highlight w:val="none"/>
              </w:rPr>
              <w:t>产生</w:t>
            </w:r>
            <w:r>
              <w:rPr>
                <w:rFonts w:hint="eastAsia"/>
                <w:color w:val="auto"/>
                <w:highlight w:val="none"/>
              </w:rPr>
              <w:t>速率</w:t>
            </w:r>
            <w:r>
              <w:rPr>
                <w:color w:val="auto"/>
                <w:highlight w:val="none"/>
              </w:rPr>
              <w:t>为</w:t>
            </w:r>
            <w:r>
              <w:rPr>
                <w:rFonts w:hint="eastAsia"/>
                <w:color w:val="auto"/>
                <w:highlight w:val="none"/>
                <w:lang w:val="en-US" w:eastAsia="zh-CN"/>
              </w:rPr>
              <w:t>4.812</w:t>
            </w:r>
            <w:r>
              <w:rPr>
                <w:rFonts w:hint="eastAsia"/>
                <w:color w:val="auto"/>
                <w:highlight w:val="none"/>
              </w:rPr>
              <w:t>kg/h（</w:t>
            </w:r>
            <w:r>
              <w:rPr>
                <w:rFonts w:hint="eastAsia"/>
                <w:color w:val="auto"/>
                <w:highlight w:val="none"/>
                <w:lang w:val="en-US" w:eastAsia="zh-CN"/>
              </w:rPr>
              <w:t>9.623</w:t>
            </w:r>
            <w:r>
              <w:rPr>
                <w:color w:val="auto"/>
                <w:highlight w:val="none"/>
              </w:rPr>
              <w:t>t/a</w:t>
            </w:r>
            <w:r>
              <w:rPr>
                <w:rFonts w:hint="eastAsia"/>
                <w:color w:val="auto"/>
                <w:highlight w:val="none"/>
              </w:rPr>
              <w:t>）</w:t>
            </w:r>
            <w:r>
              <w:rPr>
                <w:color w:val="auto"/>
                <w:highlight w:val="none"/>
              </w:rPr>
              <w:t>，</w:t>
            </w:r>
            <w:r>
              <w:rPr>
                <w:rFonts w:hint="eastAsia"/>
                <w:color w:val="auto"/>
                <w:highlight w:val="none"/>
              </w:rPr>
              <w:t>产生浓度为</w:t>
            </w:r>
            <w:r>
              <w:rPr>
                <w:rFonts w:hint="eastAsia" w:cs="Times New Roman"/>
                <w:color w:val="auto"/>
                <w:szCs w:val="24"/>
                <w:highlight w:val="none"/>
                <w:lang w:val="en-US" w:eastAsia="zh-CN"/>
              </w:rPr>
              <w:t>4.812</w:t>
            </w:r>
            <w:r>
              <w:rPr>
                <w:rFonts w:cs="Times New Roman"/>
                <w:color w:val="auto"/>
                <w:szCs w:val="24"/>
                <w:highlight w:val="none"/>
              </w:rPr>
              <w:t>kg/h</w:t>
            </w:r>
            <w:r>
              <w:rPr>
                <w:rFonts w:hint="eastAsia" w:cs="Times New Roman"/>
                <w:color w:val="auto"/>
                <w:szCs w:val="24"/>
                <w:highlight w:val="none"/>
              </w:rPr>
              <w:t>/</w:t>
            </w:r>
            <w:r>
              <w:rPr>
                <w:rFonts w:hint="eastAsia" w:cs="Times New Roman"/>
                <w:color w:val="auto"/>
                <w:szCs w:val="24"/>
                <w:highlight w:val="none"/>
                <w:lang w:val="en-US" w:eastAsia="zh-CN"/>
              </w:rPr>
              <w:t>9000</w:t>
            </w:r>
            <w:r>
              <w:rPr>
                <w:rFonts w:cs="Times New Roman"/>
                <w:color w:val="auto"/>
                <w:szCs w:val="24"/>
                <w:highlight w:val="none"/>
              </w:rPr>
              <w:t>m</w:t>
            </w:r>
            <w:r>
              <w:rPr>
                <w:rFonts w:cs="Times New Roman"/>
                <w:color w:val="auto"/>
                <w:szCs w:val="24"/>
                <w:highlight w:val="none"/>
                <w:vertAlign w:val="superscript"/>
              </w:rPr>
              <w:t>3</w:t>
            </w:r>
            <w:r>
              <w:rPr>
                <w:rFonts w:cs="Times New Roman"/>
                <w:color w:val="auto"/>
                <w:szCs w:val="24"/>
                <w:highlight w:val="none"/>
              </w:rPr>
              <w:t>/h</w:t>
            </w:r>
            <w:r>
              <w:rPr>
                <w:rFonts w:hint="eastAsia" w:ascii="宋体" w:hAnsi="宋体" w:cs="Times New Roman"/>
                <w:color w:val="auto"/>
                <w:szCs w:val="24"/>
                <w:highlight w:val="none"/>
              </w:rPr>
              <w:t>×</w:t>
            </w:r>
            <w:r>
              <w:rPr>
                <w:rFonts w:cs="Times New Roman"/>
                <w:color w:val="auto"/>
                <w:szCs w:val="24"/>
                <w:highlight w:val="none"/>
              </w:rPr>
              <w:t>10</w:t>
            </w:r>
            <w:r>
              <w:rPr>
                <w:rFonts w:cs="Times New Roman"/>
                <w:color w:val="auto"/>
                <w:szCs w:val="24"/>
                <w:highlight w:val="none"/>
                <w:vertAlign w:val="superscript"/>
              </w:rPr>
              <w:t>6</w:t>
            </w:r>
            <w:r>
              <w:rPr>
                <w:rFonts w:hint="eastAsia" w:cs="Times New Roman"/>
                <w:color w:val="auto"/>
                <w:szCs w:val="24"/>
                <w:highlight w:val="none"/>
              </w:rPr>
              <w:t>=</w:t>
            </w:r>
            <w:r>
              <w:rPr>
                <w:rFonts w:hint="eastAsia" w:cs="Times New Roman"/>
                <w:color w:val="auto"/>
                <w:szCs w:val="24"/>
                <w:highlight w:val="none"/>
                <w:lang w:val="en-US" w:eastAsia="zh-CN"/>
              </w:rPr>
              <w:t>534.667</w:t>
            </w:r>
            <w:r>
              <w:rPr>
                <w:rFonts w:cs="Times New Roman"/>
                <w:color w:val="auto"/>
                <w:szCs w:val="24"/>
                <w:highlight w:val="none"/>
              </w:rPr>
              <w:t>mg/m</w:t>
            </w:r>
            <w:r>
              <w:rPr>
                <w:rFonts w:cs="Times New Roman"/>
                <w:color w:val="auto"/>
                <w:szCs w:val="24"/>
                <w:highlight w:val="none"/>
                <w:vertAlign w:val="superscript"/>
              </w:rPr>
              <w:t>3</w:t>
            </w:r>
            <w:r>
              <w:rPr>
                <w:rFonts w:hint="eastAsia"/>
                <w:color w:val="auto"/>
                <w:highlight w:val="none"/>
              </w:rPr>
              <w:t>；</w:t>
            </w:r>
          </w:p>
          <w:p>
            <w:pPr>
              <w:spacing w:line="360" w:lineRule="auto"/>
              <w:ind w:firstLine="420" w:firstLineChars="200"/>
              <w:rPr>
                <w:rFonts w:hint="eastAsia"/>
                <w:color w:val="auto"/>
                <w:highlight w:val="none"/>
              </w:rPr>
            </w:pPr>
            <w:r>
              <w:rPr>
                <w:color w:val="auto"/>
                <w:highlight w:val="none"/>
              </w:rPr>
              <w:t>SO</w:t>
            </w:r>
            <w:r>
              <w:rPr>
                <w:color w:val="auto"/>
                <w:highlight w:val="none"/>
                <w:vertAlign w:val="subscript"/>
              </w:rPr>
              <w:t>2</w:t>
            </w:r>
            <w:r>
              <w:rPr>
                <w:color w:val="auto"/>
                <w:highlight w:val="none"/>
              </w:rPr>
              <w:t>产生</w:t>
            </w:r>
            <w:r>
              <w:rPr>
                <w:rFonts w:hint="eastAsia"/>
                <w:color w:val="auto"/>
                <w:highlight w:val="none"/>
              </w:rPr>
              <w:t>速率</w:t>
            </w:r>
            <w:r>
              <w:rPr>
                <w:color w:val="auto"/>
                <w:highlight w:val="none"/>
              </w:rPr>
              <w:t>为</w:t>
            </w:r>
            <w:r>
              <w:rPr>
                <w:rFonts w:hint="eastAsia"/>
                <w:color w:val="auto"/>
                <w:highlight w:val="none"/>
                <w:lang w:val="en-US" w:eastAsia="zh-CN"/>
              </w:rPr>
              <w:t>2.736</w:t>
            </w:r>
            <w:r>
              <w:rPr>
                <w:rFonts w:hint="eastAsia"/>
                <w:color w:val="auto"/>
                <w:highlight w:val="none"/>
              </w:rPr>
              <w:t>kg/h（</w:t>
            </w:r>
            <w:r>
              <w:rPr>
                <w:rFonts w:hint="eastAsia"/>
                <w:color w:val="auto"/>
                <w:highlight w:val="none"/>
                <w:lang w:val="en-US" w:eastAsia="zh-CN"/>
              </w:rPr>
              <w:t>5.472</w:t>
            </w:r>
            <w:r>
              <w:rPr>
                <w:color w:val="auto"/>
                <w:highlight w:val="none"/>
              </w:rPr>
              <w:t>t/a</w:t>
            </w:r>
            <w:r>
              <w:rPr>
                <w:rFonts w:hint="eastAsia"/>
                <w:color w:val="auto"/>
                <w:highlight w:val="none"/>
              </w:rPr>
              <w:t>）</w:t>
            </w:r>
            <w:r>
              <w:rPr>
                <w:color w:val="auto"/>
                <w:highlight w:val="none"/>
              </w:rPr>
              <w:t>，</w:t>
            </w:r>
            <w:r>
              <w:rPr>
                <w:rFonts w:hint="eastAsia"/>
                <w:color w:val="auto"/>
                <w:highlight w:val="none"/>
              </w:rPr>
              <w:t>产生浓度为</w:t>
            </w:r>
            <w:r>
              <w:rPr>
                <w:rFonts w:hint="eastAsia"/>
                <w:color w:val="auto"/>
                <w:highlight w:val="none"/>
                <w:lang w:val="en-US" w:eastAsia="zh-CN"/>
              </w:rPr>
              <w:t>2.736</w:t>
            </w:r>
            <w:r>
              <w:rPr>
                <w:rFonts w:cs="Times New Roman"/>
                <w:color w:val="auto"/>
                <w:szCs w:val="24"/>
                <w:highlight w:val="none"/>
              </w:rPr>
              <w:t>kg/h</w:t>
            </w:r>
            <w:r>
              <w:rPr>
                <w:rFonts w:hint="eastAsia" w:cs="Times New Roman"/>
                <w:color w:val="auto"/>
                <w:szCs w:val="24"/>
                <w:highlight w:val="none"/>
              </w:rPr>
              <w:t>/</w:t>
            </w:r>
            <w:r>
              <w:rPr>
                <w:rFonts w:hint="eastAsia" w:cs="Times New Roman"/>
                <w:color w:val="auto"/>
                <w:szCs w:val="24"/>
                <w:highlight w:val="none"/>
                <w:lang w:val="en-US" w:eastAsia="zh-CN"/>
              </w:rPr>
              <w:t>9000</w:t>
            </w:r>
            <w:r>
              <w:rPr>
                <w:rFonts w:cs="Times New Roman"/>
                <w:color w:val="auto"/>
                <w:szCs w:val="24"/>
                <w:highlight w:val="none"/>
              </w:rPr>
              <w:t>m</w:t>
            </w:r>
            <w:r>
              <w:rPr>
                <w:rFonts w:cs="Times New Roman"/>
                <w:color w:val="auto"/>
                <w:szCs w:val="24"/>
                <w:highlight w:val="none"/>
                <w:vertAlign w:val="superscript"/>
              </w:rPr>
              <w:t>3</w:t>
            </w:r>
            <w:r>
              <w:rPr>
                <w:rFonts w:cs="Times New Roman"/>
                <w:color w:val="auto"/>
                <w:szCs w:val="24"/>
                <w:highlight w:val="none"/>
              </w:rPr>
              <w:t>/h</w:t>
            </w:r>
            <w:r>
              <w:rPr>
                <w:rFonts w:hint="eastAsia" w:ascii="宋体" w:hAnsi="宋体" w:cs="Times New Roman"/>
                <w:color w:val="auto"/>
                <w:szCs w:val="24"/>
                <w:highlight w:val="none"/>
              </w:rPr>
              <w:t>×</w:t>
            </w:r>
            <w:r>
              <w:rPr>
                <w:rFonts w:cs="Times New Roman"/>
                <w:color w:val="auto"/>
                <w:szCs w:val="24"/>
                <w:highlight w:val="none"/>
              </w:rPr>
              <w:t>10</w:t>
            </w:r>
            <w:r>
              <w:rPr>
                <w:rFonts w:cs="Times New Roman"/>
                <w:color w:val="auto"/>
                <w:szCs w:val="24"/>
                <w:highlight w:val="none"/>
                <w:vertAlign w:val="superscript"/>
              </w:rPr>
              <w:t>6</w:t>
            </w:r>
            <w:r>
              <w:rPr>
                <w:rFonts w:hint="eastAsia" w:cs="Times New Roman"/>
                <w:color w:val="auto"/>
                <w:szCs w:val="24"/>
                <w:highlight w:val="none"/>
              </w:rPr>
              <w:t>=</w:t>
            </w:r>
            <w:r>
              <w:rPr>
                <w:rFonts w:hint="eastAsia" w:cs="Times New Roman"/>
                <w:color w:val="auto"/>
                <w:szCs w:val="24"/>
                <w:highlight w:val="none"/>
                <w:lang w:val="en-US" w:eastAsia="zh-CN"/>
              </w:rPr>
              <w:t>304</w:t>
            </w:r>
            <w:r>
              <w:rPr>
                <w:rFonts w:cs="Times New Roman"/>
                <w:color w:val="auto"/>
                <w:szCs w:val="24"/>
                <w:highlight w:val="none"/>
              </w:rPr>
              <w:t>mg/m</w:t>
            </w:r>
            <w:r>
              <w:rPr>
                <w:rFonts w:cs="Times New Roman"/>
                <w:color w:val="auto"/>
                <w:szCs w:val="24"/>
                <w:highlight w:val="none"/>
                <w:vertAlign w:val="superscript"/>
              </w:rPr>
              <w:t>3</w:t>
            </w:r>
            <w:r>
              <w:rPr>
                <w:rFonts w:hint="eastAsia"/>
                <w:color w:val="auto"/>
                <w:highlight w:val="none"/>
              </w:rPr>
              <w:t>；</w:t>
            </w:r>
          </w:p>
          <w:p>
            <w:pPr>
              <w:spacing w:line="360" w:lineRule="auto"/>
              <w:ind w:firstLine="420" w:firstLineChars="200"/>
              <w:rPr>
                <w:rFonts w:hint="eastAsia"/>
                <w:color w:val="auto"/>
                <w:highlight w:val="none"/>
              </w:rPr>
            </w:pPr>
            <w:r>
              <w:rPr>
                <w:color w:val="auto"/>
                <w:highlight w:val="none"/>
              </w:rPr>
              <w:t>NO</w:t>
            </w:r>
            <w:r>
              <w:rPr>
                <w:color w:val="auto"/>
                <w:highlight w:val="none"/>
                <w:vertAlign w:val="subscript"/>
              </w:rPr>
              <w:t>x</w:t>
            </w:r>
            <w:r>
              <w:rPr>
                <w:color w:val="auto"/>
                <w:highlight w:val="none"/>
              </w:rPr>
              <w:t>产生</w:t>
            </w:r>
            <w:r>
              <w:rPr>
                <w:rFonts w:hint="eastAsia"/>
                <w:color w:val="auto"/>
                <w:highlight w:val="none"/>
              </w:rPr>
              <w:t>速率</w:t>
            </w:r>
            <w:r>
              <w:rPr>
                <w:color w:val="auto"/>
                <w:highlight w:val="none"/>
              </w:rPr>
              <w:t>为</w:t>
            </w:r>
            <w:r>
              <w:rPr>
                <w:rFonts w:hint="eastAsia"/>
                <w:color w:val="auto"/>
                <w:highlight w:val="none"/>
                <w:lang w:val="en-US" w:eastAsia="zh-CN"/>
              </w:rPr>
              <w:t>0.882</w:t>
            </w:r>
            <w:r>
              <w:rPr>
                <w:rFonts w:hint="eastAsia"/>
                <w:color w:val="auto"/>
                <w:highlight w:val="none"/>
              </w:rPr>
              <w:t>kg/h（</w:t>
            </w:r>
            <w:r>
              <w:rPr>
                <w:rFonts w:hint="eastAsia"/>
                <w:color w:val="auto"/>
                <w:highlight w:val="none"/>
                <w:lang w:val="en-US" w:eastAsia="zh-CN"/>
              </w:rPr>
              <w:t>1.764</w:t>
            </w:r>
            <w:r>
              <w:rPr>
                <w:color w:val="auto"/>
                <w:highlight w:val="none"/>
              </w:rPr>
              <w:t>t/a</w:t>
            </w:r>
            <w:r>
              <w:rPr>
                <w:rFonts w:hint="eastAsia"/>
                <w:color w:val="auto"/>
                <w:highlight w:val="none"/>
              </w:rPr>
              <w:t>）</w:t>
            </w:r>
            <w:r>
              <w:rPr>
                <w:color w:val="auto"/>
                <w:highlight w:val="none"/>
              </w:rPr>
              <w:t>，</w:t>
            </w:r>
            <w:r>
              <w:rPr>
                <w:rFonts w:hint="eastAsia"/>
                <w:color w:val="auto"/>
                <w:highlight w:val="none"/>
              </w:rPr>
              <w:t>产生浓度为</w:t>
            </w:r>
            <w:r>
              <w:rPr>
                <w:rFonts w:hint="eastAsia" w:cs="Times New Roman"/>
                <w:color w:val="auto"/>
                <w:szCs w:val="24"/>
                <w:highlight w:val="none"/>
                <w:lang w:val="en-US" w:eastAsia="zh-CN"/>
              </w:rPr>
              <w:t>0.882</w:t>
            </w:r>
            <w:r>
              <w:rPr>
                <w:rFonts w:cs="Times New Roman"/>
                <w:color w:val="auto"/>
                <w:szCs w:val="24"/>
                <w:highlight w:val="none"/>
              </w:rPr>
              <w:t>kg/h</w:t>
            </w:r>
            <w:r>
              <w:rPr>
                <w:rFonts w:hint="eastAsia" w:cs="Times New Roman"/>
                <w:color w:val="auto"/>
                <w:szCs w:val="24"/>
                <w:highlight w:val="none"/>
              </w:rPr>
              <w:t>/</w:t>
            </w:r>
            <w:r>
              <w:rPr>
                <w:rFonts w:hint="eastAsia" w:cs="Times New Roman"/>
                <w:color w:val="auto"/>
                <w:szCs w:val="24"/>
                <w:highlight w:val="none"/>
                <w:lang w:val="en-US" w:eastAsia="zh-CN"/>
              </w:rPr>
              <w:t>9000</w:t>
            </w:r>
            <w:r>
              <w:rPr>
                <w:rFonts w:cs="Times New Roman"/>
                <w:color w:val="auto"/>
                <w:szCs w:val="24"/>
                <w:highlight w:val="none"/>
              </w:rPr>
              <w:t>m</w:t>
            </w:r>
            <w:r>
              <w:rPr>
                <w:rFonts w:cs="Times New Roman"/>
                <w:color w:val="auto"/>
                <w:szCs w:val="24"/>
                <w:highlight w:val="none"/>
                <w:vertAlign w:val="superscript"/>
              </w:rPr>
              <w:t>3</w:t>
            </w:r>
            <w:r>
              <w:rPr>
                <w:rFonts w:cs="Times New Roman"/>
                <w:color w:val="auto"/>
                <w:szCs w:val="24"/>
                <w:highlight w:val="none"/>
              </w:rPr>
              <w:t>/h</w:t>
            </w:r>
            <w:r>
              <w:rPr>
                <w:rFonts w:hint="eastAsia" w:ascii="宋体" w:hAnsi="宋体" w:cs="Times New Roman"/>
                <w:color w:val="auto"/>
                <w:szCs w:val="24"/>
                <w:highlight w:val="none"/>
              </w:rPr>
              <w:t>×</w:t>
            </w:r>
            <w:r>
              <w:rPr>
                <w:rFonts w:cs="Times New Roman"/>
                <w:color w:val="auto"/>
                <w:szCs w:val="24"/>
                <w:highlight w:val="none"/>
              </w:rPr>
              <w:t>10</w:t>
            </w:r>
            <w:r>
              <w:rPr>
                <w:rFonts w:cs="Times New Roman"/>
                <w:color w:val="auto"/>
                <w:szCs w:val="24"/>
                <w:highlight w:val="none"/>
                <w:vertAlign w:val="superscript"/>
              </w:rPr>
              <w:t>6</w:t>
            </w:r>
            <w:r>
              <w:rPr>
                <w:rFonts w:hint="eastAsia" w:cs="Times New Roman"/>
                <w:color w:val="auto"/>
                <w:szCs w:val="24"/>
                <w:highlight w:val="none"/>
              </w:rPr>
              <w:t>=</w:t>
            </w:r>
            <w:r>
              <w:rPr>
                <w:rFonts w:hint="eastAsia" w:cs="Times New Roman"/>
                <w:color w:val="auto"/>
                <w:szCs w:val="24"/>
                <w:highlight w:val="none"/>
                <w:lang w:val="en-US" w:eastAsia="zh-CN"/>
              </w:rPr>
              <w:t>98</w:t>
            </w:r>
            <w:r>
              <w:rPr>
                <w:rFonts w:cs="Times New Roman"/>
                <w:color w:val="auto"/>
                <w:szCs w:val="24"/>
                <w:highlight w:val="none"/>
              </w:rPr>
              <w:t>mg/m</w:t>
            </w:r>
            <w:r>
              <w:rPr>
                <w:rFonts w:cs="Times New Roman"/>
                <w:color w:val="auto"/>
                <w:szCs w:val="24"/>
                <w:highlight w:val="none"/>
                <w:vertAlign w:val="superscript"/>
              </w:rPr>
              <w:t>3</w:t>
            </w:r>
            <w:r>
              <w:rPr>
                <w:rFonts w:hint="eastAsia"/>
                <w:color w:val="auto"/>
                <w:highlight w:val="none"/>
              </w:rPr>
              <w:t>。</w:t>
            </w:r>
          </w:p>
          <w:p>
            <w:pPr>
              <w:ind w:firstLine="420" w:firstLineChars="200"/>
              <w:rPr>
                <w:rFonts w:hint="eastAsia" w:ascii="Times New Roman" w:hAnsi="Times New Roman" w:eastAsia="宋体" w:cs="宋体"/>
                <w:color w:val="auto"/>
                <w:kern w:val="0"/>
                <w:highlight w:val="none"/>
              </w:rPr>
            </w:pPr>
            <w:r>
              <w:rPr>
                <w:rFonts w:hint="eastAsia" w:ascii="Times New Roman" w:hAnsi="Times New Roman" w:eastAsia="宋体" w:cs="宋体"/>
                <w:color w:val="auto"/>
                <w:kern w:val="0"/>
                <w:highlight w:val="none"/>
              </w:rPr>
              <w:t>热风炉烟气与烘干粉尘共同进入一套多管旋风除尘器+湿式碱法水浴脱硫（单碱法）处理后经15m排气筒，多管旋风除尘器除尘效率为60%，湿式碱法水浴脱硫（单碱法）除尘效率为87%，则本套设备除尘效率可达96%，脱硫效率可达70%。</w:t>
            </w:r>
          </w:p>
          <w:p>
            <w:pPr>
              <w:ind w:firstLine="420" w:firstLineChars="200"/>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则烘干粉尘排放速率为0.1kg/h（0.2t/a），排放浓度11.12mg/m</w:t>
            </w:r>
            <w:r>
              <w:rPr>
                <w:rFonts w:hint="eastAsia" w:ascii="Times New Roman" w:hAnsi="Times New Roman" w:eastAsia="宋体" w:cs="Times New Roman"/>
                <w:color w:val="0000FF"/>
                <w:kern w:val="2"/>
                <w:sz w:val="21"/>
                <w:szCs w:val="21"/>
                <w:highlight w:val="none"/>
                <w:vertAlign w:val="superscript"/>
                <w:lang w:val="en-US" w:eastAsia="zh-CN" w:bidi="ar-SA"/>
              </w:rPr>
              <w:t>3</w:t>
            </w:r>
            <w:r>
              <w:rPr>
                <w:rFonts w:hint="eastAsia" w:ascii="Times New Roman" w:hAnsi="Times New Roman" w:eastAsia="宋体" w:cs="Times New Roman"/>
                <w:color w:val="0000FF"/>
                <w:kern w:val="2"/>
                <w:sz w:val="21"/>
                <w:szCs w:val="21"/>
                <w:highlight w:val="none"/>
                <w:lang w:val="en-US" w:eastAsia="zh-CN" w:bidi="ar-SA"/>
              </w:rPr>
              <w:t>；烟尘（颗粒物）排放速率为0.192kg/h（0.385t/a），排放浓度21.387mg/m</w:t>
            </w:r>
            <w:r>
              <w:rPr>
                <w:rFonts w:hint="eastAsia" w:ascii="Times New Roman" w:hAnsi="Times New Roman" w:eastAsia="宋体" w:cs="Times New Roman"/>
                <w:color w:val="0000FF"/>
                <w:kern w:val="2"/>
                <w:sz w:val="21"/>
                <w:szCs w:val="21"/>
                <w:highlight w:val="none"/>
                <w:vertAlign w:val="superscript"/>
                <w:lang w:val="en-US" w:eastAsia="zh-CN" w:bidi="ar-SA"/>
              </w:rPr>
              <w:t>3</w:t>
            </w:r>
            <w:r>
              <w:rPr>
                <w:rFonts w:hint="eastAsia" w:ascii="Times New Roman" w:hAnsi="Times New Roman" w:eastAsia="宋体" w:cs="Times New Roman"/>
                <w:color w:val="0000FF"/>
                <w:kern w:val="2"/>
                <w:sz w:val="21"/>
                <w:szCs w:val="21"/>
                <w:highlight w:val="none"/>
                <w:lang w:val="en-US" w:eastAsia="zh-CN" w:bidi="ar-SA"/>
              </w:rPr>
              <w:t>；SO</w:t>
            </w:r>
            <w:r>
              <w:rPr>
                <w:rFonts w:hint="eastAsia" w:ascii="Times New Roman" w:hAnsi="Times New Roman" w:eastAsia="宋体" w:cs="Times New Roman"/>
                <w:color w:val="0000FF"/>
                <w:kern w:val="2"/>
                <w:sz w:val="21"/>
                <w:szCs w:val="21"/>
                <w:highlight w:val="none"/>
                <w:vertAlign w:val="subscript"/>
                <w:lang w:val="en-US" w:eastAsia="zh-CN" w:bidi="ar-SA"/>
              </w:rPr>
              <w:t>2</w:t>
            </w:r>
            <w:r>
              <w:rPr>
                <w:rFonts w:hint="eastAsia" w:ascii="Times New Roman" w:hAnsi="Times New Roman" w:eastAsia="宋体" w:cs="Times New Roman"/>
                <w:color w:val="0000FF"/>
                <w:kern w:val="2"/>
                <w:sz w:val="21"/>
                <w:szCs w:val="21"/>
                <w:highlight w:val="none"/>
                <w:lang w:val="en-US" w:eastAsia="zh-CN" w:bidi="ar-SA"/>
              </w:rPr>
              <w:t>排放速率为0.821kg/h（1.642t/a），排放浓度为91.2mg/m</w:t>
            </w:r>
            <w:r>
              <w:rPr>
                <w:rFonts w:hint="eastAsia" w:ascii="Times New Roman" w:hAnsi="Times New Roman" w:eastAsia="宋体" w:cs="Times New Roman"/>
                <w:color w:val="0000FF"/>
                <w:kern w:val="2"/>
                <w:sz w:val="21"/>
                <w:szCs w:val="21"/>
                <w:highlight w:val="none"/>
                <w:vertAlign w:val="superscript"/>
                <w:lang w:val="en-US" w:eastAsia="zh-CN" w:bidi="ar-SA"/>
              </w:rPr>
              <w:t>3</w:t>
            </w:r>
            <w:r>
              <w:rPr>
                <w:rFonts w:hint="eastAsia" w:ascii="Times New Roman" w:hAnsi="Times New Roman" w:eastAsia="宋体" w:cs="Times New Roman"/>
                <w:color w:val="0000FF"/>
                <w:kern w:val="2"/>
                <w:sz w:val="21"/>
                <w:szCs w:val="21"/>
                <w:highlight w:val="none"/>
                <w:lang w:val="en-US" w:eastAsia="zh-CN" w:bidi="ar-SA"/>
              </w:rPr>
              <w:t>，氮氧化物无需处理即可达标排放，因此，产生量即排放量，产生浓度即排放浓度。</w:t>
            </w:r>
          </w:p>
          <w:p>
            <w:pPr>
              <w:ind w:firstLine="420" w:firstLineChars="200"/>
              <w:rPr>
                <w:rFonts w:hint="eastAsia"/>
                <w:color w:val="0070C0"/>
                <w:lang w:val="en-US" w:eastAsia="zh-CN"/>
              </w:rPr>
            </w:pPr>
            <w:r>
              <w:rPr>
                <w:rFonts w:hint="eastAsia" w:ascii="Times New Roman" w:hAnsi="Times New Roman" w:eastAsia="宋体" w:cs="Times New Roman"/>
                <w:color w:val="0000FF"/>
                <w:kern w:val="2"/>
                <w:sz w:val="21"/>
                <w:szCs w:val="21"/>
                <w:highlight w:val="none"/>
                <w:lang w:val="en-US" w:eastAsia="zh-CN" w:bidi="ar-SA"/>
              </w:rPr>
              <w:t>本项目的污染物中氮氧化物满足《大气污染物综合排放标准》（GB16297-1996）》表2中硝酸使用和其它二级标准，颗粒物和二氧化硫均能满足《工业炉窑大气污染物排放标准》表2中干燥炉、窑（GB9078-1996）排放浓度限值。因此措施是可行的。</w:t>
            </w:r>
          </w:p>
          <w:p>
            <w:pPr>
              <w:ind w:firstLine="315" w:firstLineChars="150"/>
              <w:rPr>
                <w:rFonts w:hint="eastAsia"/>
                <w:color w:val="auto"/>
                <w:lang w:val="en-US" w:eastAsia="zh-CN"/>
              </w:rPr>
            </w:pPr>
            <w:r>
              <w:rPr>
                <w:rFonts w:hint="eastAsia" w:ascii="Times New Roman" w:hAnsi="Times New Roman" w:eastAsia="宋体" w:cs="Times New Roman"/>
                <w:color w:val="auto"/>
                <w:lang w:val="en-US" w:eastAsia="zh-CN"/>
              </w:rPr>
              <w:t>综上所述，采取上述措施后，本项目运营期不会对大气环境造成明显影响。</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eastAsia="黑体"/>
                <w:b/>
                <w:bCs/>
                <w:color w:val="auto"/>
                <w:sz w:val="21"/>
                <w:szCs w:val="21"/>
              </w:rPr>
            </w:pPr>
            <w:r>
              <w:rPr>
                <w:rFonts w:hint="default" w:ascii="宋体" w:hAnsi="宋体" w:eastAsia="宋体" w:cs="宋体"/>
                <w:b/>
                <w:bCs/>
                <w:color w:val="auto"/>
                <w:kern w:val="2"/>
                <w:sz w:val="21"/>
                <w:szCs w:val="21"/>
                <w:lang w:val="en-US" w:eastAsia="zh-CN" w:bidi="ar-SA"/>
              </w:rPr>
              <w:t>表</w:t>
            </w:r>
            <w:r>
              <w:rPr>
                <w:rFonts w:hint="eastAsia" w:ascii="宋体" w:hAnsi="宋体" w:eastAsia="宋体" w:cs="宋体"/>
                <w:b/>
                <w:bCs/>
                <w:color w:val="auto"/>
                <w:kern w:val="2"/>
                <w:sz w:val="21"/>
                <w:szCs w:val="21"/>
                <w:lang w:val="en-US" w:eastAsia="zh-CN" w:bidi="ar-SA"/>
              </w:rPr>
              <w:t xml:space="preserve">30 </w:t>
            </w:r>
            <w:r>
              <w:rPr>
                <w:rFonts w:hint="default" w:ascii="宋体" w:hAnsi="宋体" w:eastAsia="宋体" w:cs="宋体"/>
                <w:b/>
                <w:bCs/>
                <w:color w:val="auto"/>
                <w:kern w:val="2"/>
                <w:sz w:val="21"/>
                <w:szCs w:val="21"/>
                <w:lang w:val="en-US" w:eastAsia="zh-CN" w:bidi="ar-SA"/>
              </w:rPr>
              <w:t>废气污染源产排相关参数一览表</w:t>
            </w:r>
          </w:p>
          <w:tbl>
            <w:tblPr>
              <w:tblStyle w:val="19"/>
              <w:tblW w:w="8318"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97"/>
              <w:gridCol w:w="391"/>
              <w:gridCol w:w="784"/>
              <w:gridCol w:w="665"/>
              <w:gridCol w:w="620"/>
              <w:gridCol w:w="308"/>
              <w:gridCol w:w="1230"/>
              <w:gridCol w:w="579"/>
              <w:gridCol w:w="750"/>
              <w:gridCol w:w="548"/>
              <w:gridCol w:w="712"/>
              <w:gridCol w:w="705"/>
              <w:gridCol w:w="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8" w:type="pct"/>
                  <w:vMerge w:val="restar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产生环节</w:t>
                  </w:r>
                </w:p>
              </w:tc>
              <w:tc>
                <w:tcPr>
                  <w:tcW w:w="235" w:type="pct"/>
                  <w:vMerge w:val="restart"/>
                  <w:tcBorders>
                    <w:tl2br w:val="nil"/>
                    <w:tr2bl w:val="nil"/>
                  </w:tcBorders>
                  <w:noWrap w:val="0"/>
                  <w:vAlign w:val="center"/>
                </w:tcPr>
                <w:p>
                  <w:pPr>
                    <w:snapToGrid w:val="0"/>
                    <w:spacing w:line="0" w:lineRule="atLeast"/>
                    <w:jc w:val="center"/>
                    <w:rPr>
                      <w:b/>
                      <w:bCs/>
                      <w:color w:val="auto"/>
                      <w:sz w:val="21"/>
                      <w:szCs w:val="21"/>
                      <w:highlight w:val="none"/>
                    </w:rPr>
                  </w:pPr>
                  <w:r>
                    <w:rPr>
                      <w:b/>
                      <w:bCs/>
                      <w:color w:val="auto"/>
                      <w:sz w:val="21"/>
                      <w:szCs w:val="21"/>
                      <w:highlight w:val="none"/>
                    </w:rPr>
                    <w:t>种类</w:t>
                  </w:r>
                </w:p>
              </w:tc>
              <w:tc>
                <w:tcPr>
                  <w:tcW w:w="1243" w:type="pct"/>
                  <w:gridSpan w:val="3"/>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污染物产生</w:t>
                  </w:r>
                </w:p>
              </w:tc>
              <w:tc>
                <w:tcPr>
                  <w:tcW w:w="185" w:type="pct"/>
                  <w:vMerge w:val="restar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排放形式</w:t>
                  </w:r>
                </w:p>
              </w:tc>
              <w:tc>
                <w:tcPr>
                  <w:tcW w:w="1867" w:type="pct"/>
                  <w:gridSpan w:val="4"/>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治理措施</w:t>
                  </w:r>
                </w:p>
              </w:tc>
              <w:tc>
                <w:tcPr>
                  <w:tcW w:w="1229" w:type="pct"/>
                  <w:gridSpan w:val="3"/>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污染物排放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8" w:type="pct"/>
                  <w:vMerge w:val="continue"/>
                  <w:tcBorders>
                    <w:tl2br w:val="nil"/>
                    <w:tr2bl w:val="nil"/>
                  </w:tcBorders>
                  <w:noWrap w:val="0"/>
                  <w:vAlign w:val="center"/>
                </w:tcPr>
                <w:p>
                  <w:pPr>
                    <w:widowControl/>
                    <w:jc w:val="left"/>
                    <w:rPr>
                      <w:b/>
                      <w:bCs/>
                      <w:color w:val="auto"/>
                      <w:sz w:val="21"/>
                      <w:szCs w:val="21"/>
                      <w:highlight w:val="none"/>
                    </w:rPr>
                  </w:pPr>
                </w:p>
              </w:tc>
              <w:tc>
                <w:tcPr>
                  <w:tcW w:w="235" w:type="pct"/>
                  <w:vMerge w:val="continue"/>
                  <w:tcBorders>
                    <w:tl2br w:val="nil"/>
                    <w:tr2bl w:val="nil"/>
                  </w:tcBorders>
                  <w:noWrap w:val="0"/>
                  <w:vAlign w:val="center"/>
                </w:tcPr>
                <w:p>
                  <w:pPr>
                    <w:widowControl/>
                    <w:jc w:val="left"/>
                    <w:rPr>
                      <w:b/>
                      <w:bCs/>
                      <w:color w:val="auto"/>
                      <w:sz w:val="21"/>
                      <w:szCs w:val="21"/>
                      <w:highlight w:val="none"/>
                    </w:rPr>
                  </w:pPr>
                </w:p>
              </w:tc>
              <w:tc>
                <w:tcPr>
                  <w:tcW w:w="471" w:type="pct"/>
                  <w:tcBorders>
                    <w:tl2br w:val="nil"/>
                    <w:tr2bl w:val="nil"/>
                  </w:tcBorders>
                  <w:noWrap w:val="0"/>
                  <w:vAlign w:val="center"/>
                </w:tcPr>
                <w:p>
                  <w:pPr>
                    <w:spacing w:line="0" w:lineRule="atLeast"/>
                    <w:ind w:left="-105" w:leftChars="-50" w:right="-105" w:rightChars="-50"/>
                    <w:jc w:val="center"/>
                    <w:rPr>
                      <w:b/>
                      <w:bCs/>
                      <w:color w:val="auto"/>
                      <w:sz w:val="21"/>
                      <w:szCs w:val="21"/>
                      <w:highlight w:val="none"/>
                    </w:rPr>
                  </w:pPr>
                  <w:r>
                    <w:rPr>
                      <w:b/>
                      <w:bCs/>
                      <w:color w:val="auto"/>
                      <w:sz w:val="21"/>
                      <w:szCs w:val="21"/>
                      <w:highlight w:val="none"/>
                    </w:rPr>
                    <w:t>产生</w:t>
                  </w:r>
                </w:p>
                <w:p>
                  <w:pPr>
                    <w:spacing w:line="0" w:lineRule="atLeast"/>
                    <w:ind w:left="-105" w:leftChars="-50" w:right="-105" w:rightChars="-50"/>
                    <w:jc w:val="center"/>
                    <w:rPr>
                      <w:b/>
                      <w:bCs/>
                      <w:color w:val="auto"/>
                      <w:sz w:val="21"/>
                      <w:szCs w:val="21"/>
                      <w:highlight w:val="none"/>
                    </w:rPr>
                  </w:pPr>
                  <w:r>
                    <w:rPr>
                      <w:b/>
                      <w:bCs/>
                      <w:color w:val="auto"/>
                      <w:sz w:val="21"/>
                      <w:szCs w:val="21"/>
                      <w:highlight w:val="none"/>
                    </w:rPr>
                    <w:t>浓度</w:t>
                  </w:r>
                </w:p>
                <w:p>
                  <w:pPr>
                    <w:spacing w:line="0" w:lineRule="atLeast"/>
                    <w:jc w:val="center"/>
                    <w:rPr>
                      <w:b/>
                      <w:bCs/>
                      <w:color w:val="auto"/>
                      <w:sz w:val="21"/>
                      <w:szCs w:val="21"/>
                      <w:highlight w:val="none"/>
                    </w:rPr>
                  </w:pPr>
                  <w:r>
                    <w:rPr>
                      <w:b/>
                      <w:bCs/>
                      <w:color w:val="auto"/>
                      <w:sz w:val="21"/>
                      <w:szCs w:val="21"/>
                      <w:highlight w:val="none"/>
                    </w:rPr>
                    <w:t>mg/m</w:t>
                  </w:r>
                  <w:r>
                    <w:rPr>
                      <w:b/>
                      <w:bCs/>
                      <w:color w:val="auto"/>
                      <w:sz w:val="21"/>
                      <w:szCs w:val="21"/>
                      <w:highlight w:val="none"/>
                      <w:vertAlign w:val="superscript"/>
                    </w:rPr>
                    <w:t>3</w:t>
                  </w:r>
                </w:p>
              </w:tc>
              <w:tc>
                <w:tcPr>
                  <w:tcW w:w="399" w:type="pct"/>
                  <w:tcBorders>
                    <w:tl2br w:val="nil"/>
                    <w:tr2bl w:val="nil"/>
                  </w:tcBorders>
                  <w:noWrap w:val="0"/>
                  <w:vAlign w:val="center"/>
                </w:tcPr>
                <w:p>
                  <w:pPr>
                    <w:spacing w:line="0" w:lineRule="atLeast"/>
                    <w:ind w:left="-105" w:leftChars="-50" w:right="-105" w:rightChars="-50"/>
                    <w:jc w:val="center"/>
                    <w:rPr>
                      <w:b/>
                      <w:bCs/>
                      <w:color w:val="auto"/>
                      <w:sz w:val="21"/>
                      <w:szCs w:val="21"/>
                      <w:highlight w:val="none"/>
                    </w:rPr>
                  </w:pPr>
                  <w:r>
                    <w:rPr>
                      <w:b/>
                      <w:bCs/>
                      <w:color w:val="auto"/>
                      <w:sz w:val="21"/>
                      <w:szCs w:val="21"/>
                      <w:highlight w:val="none"/>
                    </w:rPr>
                    <w:t>产生</w:t>
                  </w:r>
                </w:p>
                <w:p>
                  <w:pPr>
                    <w:spacing w:line="0" w:lineRule="atLeast"/>
                    <w:ind w:left="-105" w:leftChars="-50" w:right="-105" w:rightChars="-50"/>
                    <w:jc w:val="center"/>
                    <w:rPr>
                      <w:b/>
                      <w:bCs/>
                      <w:color w:val="auto"/>
                      <w:sz w:val="21"/>
                      <w:szCs w:val="21"/>
                      <w:highlight w:val="none"/>
                    </w:rPr>
                  </w:pPr>
                  <w:r>
                    <w:rPr>
                      <w:b/>
                      <w:bCs/>
                      <w:color w:val="auto"/>
                      <w:sz w:val="21"/>
                      <w:szCs w:val="21"/>
                      <w:highlight w:val="none"/>
                    </w:rPr>
                    <w:t>速率</w:t>
                  </w:r>
                </w:p>
                <w:p>
                  <w:pPr>
                    <w:spacing w:line="0" w:lineRule="atLeast"/>
                    <w:ind w:left="-105" w:leftChars="-50" w:right="-105" w:rightChars="-50"/>
                    <w:jc w:val="center"/>
                    <w:rPr>
                      <w:b/>
                      <w:bCs/>
                      <w:color w:val="auto"/>
                      <w:sz w:val="21"/>
                      <w:szCs w:val="21"/>
                      <w:highlight w:val="none"/>
                    </w:rPr>
                  </w:pPr>
                  <w:r>
                    <w:rPr>
                      <w:b/>
                      <w:bCs/>
                      <w:color w:val="auto"/>
                      <w:sz w:val="21"/>
                      <w:szCs w:val="21"/>
                      <w:highlight w:val="none"/>
                    </w:rPr>
                    <w:t>kg/h</w:t>
                  </w:r>
                </w:p>
              </w:tc>
              <w:tc>
                <w:tcPr>
                  <w:tcW w:w="372" w:type="pc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产生</w:t>
                  </w:r>
                </w:p>
                <w:p>
                  <w:pPr>
                    <w:spacing w:line="0" w:lineRule="atLeast"/>
                    <w:jc w:val="center"/>
                    <w:rPr>
                      <w:b/>
                      <w:bCs/>
                      <w:color w:val="auto"/>
                      <w:sz w:val="21"/>
                      <w:szCs w:val="21"/>
                      <w:highlight w:val="none"/>
                    </w:rPr>
                  </w:pPr>
                  <w:r>
                    <w:rPr>
                      <w:b/>
                      <w:bCs/>
                      <w:color w:val="auto"/>
                      <w:sz w:val="21"/>
                      <w:szCs w:val="21"/>
                      <w:highlight w:val="none"/>
                    </w:rPr>
                    <w:t>量</w:t>
                  </w:r>
                </w:p>
                <w:p>
                  <w:pPr>
                    <w:spacing w:line="0" w:lineRule="atLeast"/>
                    <w:ind w:left="-105" w:leftChars="-50" w:right="-105" w:rightChars="-50"/>
                    <w:jc w:val="center"/>
                    <w:rPr>
                      <w:b/>
                      <w:bCs/>
                      <w:color w:val="auto"/>
                      <w:sz w:val="21"/>
                      <w:szCs w:val="21"/>
                      <w:highlight w:val="none"/>
                    </w:rPr>
                  </w:pPr>
                  <w:r>
                    <w:rPr>
                      <w:b/>
                      <w:bCs/>
                      <w:color w:val="auto"/>
                      <w:sz w:val="21"/>
                      <w:szCs w:val="21"/>
                      <w:highlight w:val="none"/>
                    </w:rPr>
                    <w:t>t/a</w:t>
                  </w:r>
                </w:p>
              </w:tc>
              <w:tc>
                <w:tcPr>
                  <w:tcW w:w="185" w:type="pct"/>
                  <w:vMerge w:val="continue"/>
                  <w:tcBorders>
                    <w:tl2br w:val="nil"/>
                    <w:tr2bl w:val="nil"/>
                  </w:tcBorders>
                  <w:noWrap w:val="0"/>
                  <w:vAlign w:val="center"/>
                </w:tcPr>
                <w:p>
                  <w:pPr>
                    <w:spacing w:line="0" w:lineRule="atLeast"/>
                    <w:jc w:val="center"/>
                    <w:rPr>
                      <w:b/>
                      <w:bCs/>
                      <w:color w:val="auto"/>
                      <w:sz w:val="21"/>
                      <w:szCs w:val="21"/>
                      <w:highlight w:val="none"/>
                    </w:rPr>
                  </w:pPr>
                </w:p>
              </w:tc>
              <w:tc>
                <w:tcPr>
                  <w:tcW w:w="739" w:type="pc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工艺</w:t>
                  </w:r>
                </w:p>
              </w:tc>
              <w:tc>
                <w:tcPr>
                  <w:tcW w:w="348" w:type="pc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处理能力</w:t>
                  </w:r>
                </w:p>
              </w:tc>
              <w:tc>
                <w:tcPr>
                  <w:tcW w:w="450" w:type="pc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收集</w:t>
                  </w:r>
                  <w:r>
                    <w:rPr>
                      <w:rFonts w:hint="eastAsia"/>
                      <w:b/>
                      <w:bCs/>
                      <w:color w:val="auto"/>
                      <w:sz w:val="21"/>
                      <w:szCs w:val="21"/>
                      <w:highlight w:val="none"/>
                      <w:lang w:val="en-US" w:eastAsia="zh-CN"/>
                    </w:rPr>
                    <w:t>去除</w:t>
                  </w:r>
                  <w:r>
                    <w:rPr>
                      <w:b/>
                      <w:bCs/>
                      <w:color w:val="auto"/>
                      <w:sz w:val="21"/>
                      <w:szCs w:val="21"/>
                      <w:highlight w:val="none"/>
                    </w:rPr>
                    <w:t>效率</w:t>
                  </w:r>
                </w:p>
                <w:p>
                  <w:pPr>
                    <w:spacing w:line="0" w:lineRule="atLeast"/>
                    <w:jc w:val="center"/>
                    <w:rPr>
                      <w:b/>
                      <w:bCs/>
                      <w:color w:val="auto"/>
                      <w:sz w:val="21"/>
                      <w:szCs w:val="21"/>
                      <w:highlight w:val="none"/>
                    </w:rPr>
                  </w:pPr>
                </w:p>
              </w:tc>
              <w:tc>
                <w:tcPr>
                  <w:tcW w:w="329" w:type="pc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是否可行</w:t>
                  </w:r>
                </w:p>
              </w:tc>
              <w:tc>
                <w:tcPr>
                  <w:tcW w:w="427" w:type="pc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排放</w:t>
                  </w:r>
                </w:p>
                <w:p>
                  <w:pPr>
                    <w:spacing w:line="0" w:lineRule="atLeast"/>
                    <w:jc w:val="center"/>
                    <w:rPr>
                      <w:b/>
                      <w:bCs/>
                      <w:color w:val="auto"/>
                      <w:sz w:val="21"/>
                      <w:szCs w:val="21"/>
                      <w:highlight w:val="none"/>
                    </w:rPr>
                  </w:pPr>
                  <w:r>
                    <w:rPr>
                      <w:b/>
                      <w:bCs/>
                      <w:color w:val="auto"/>
                      <w:sz w:val="21"/>
                      <w:szCs w:val="21"/>
                      <w:highlight w:val="none"/>
                    </w:rPr>
                    <w:t>浓度</w:t>
                  </w:r>
                </w:p>
                <w:p>
                  <w:pPr>
                    <w:spacing w:line="0" w:lineRule="atLeast"/>
                    <w:jc w:val="center"/>
                    <w:rPr>
                      <w:b/>
                      <w:bCs/>
                      <w:color w:val="auto"/>
                      <w:sz w:val="21"/>
                      <w:szCs w:val="21"/>
                      <w:highlight w:val="none"/>
                    </w:rPr>
                  </w:pPr>
                  <w:r>
                    <w:rPr>
                      <w:b/>
                      <w:bCs/>
                      <w:color w:val="auto"/>
                      <w:sz w:val="21"/>
                      <w:szCs w:val="21"/>
                      <w:highlight w:val="none"/>
                    </w:rPr>
                    <w:t>mg/m</w:t>
                  </w:r>
                  <w:r>
                    <w:rPr>
                      <w:b/>
                      <w:bCs/>
                      <w:color w:val="auto"/>
                      <w:sz w:val="21"/>
                      <w:szCs w:val="21"/>
                      <w:highlight w:val="none"/>
                      <w:vertAlign w:val="superscript"/>
                    </w:rPr>
                    <w:t>3</w:t>
                  </w:r>
                </w:p>
              </w:tc>
              <w:tc>
                <w:tcPr>
                  <w:tcW w:w="423" w:type="pc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排放</w:t>
                  </w:r>
                </w:p>
                <w:p>
                  <w:pPr>
                    <w:spacing w:line="0" w:lineRule="atLeast"/>
                    <w:jc w:val="center"/>
                    <w:rPr>
                      <w:b/>
                      <w:bCs/>
                      <w:color w:val="auto"/>
                      <w:sz w:val="21"/>
                      <w:szCs w:val="21"/>
                      <w:highlight w:val="none"/>
                    </w:rPr>
                  </w:pPr>
                  <w:r>
                    <w:rPr>
                      <w:b/>
                      <w:bCs/>
                      <w:color w:val="auto"/>
                      <w:sz w:val="21"/>
                      <w:szCs w:val="21"/>
                      <w:highlight w:val="none"/>
                    </w:rPr>
                    <w:t>速率</w:t>
                  </w:r>
                </w:p>
                <w:p>
                  <w:pPr>
                    <w:spacing w:line="0" w:lineRule="atLeast"/>
                    <w:ind w:left="-105" w:leftChars="-50" w:right="-105" w:rightChars="-50"/>
                    <w:jc w:val="center"/>
                    <w:rPr>
                      <w:b/>
                      <w:bCs/>
                      <w:color w:val="auto"/>
                      <w:sz w:val="21"/>
                      <w:szCs w:val="21"/>
                      <w:highlight w:val="none"/>
                    </w:rPr>
                  </w:pPr>
                  <w:r>
                    <w:rPr>
                      <w:b/>
                      <w:bCs/>
                      <w:color w:val="auto"/>
                      <w:sz w:val="21"/>
                      <w:szCs w:val="21"/>
                      <w:highlight w:val="none"/>
                    </w:rPr>
                    <w:t>kg/h</w:t>
                  </w:r>
                </w:p>
              </w:tc>
              <w:tc>
                <w:tcPr>
                  <w:tcW w:w="378" w:type="pct"/>
                  <w:tcBorders>
                    <w:tl2br w:val="nil"/>
                    <w:tr2bl w:val="nil"/>
                  </w:tcBorders>
                  <w:noWrap w:val="0"/>
                  <w:vAlign w:val="center"/>
                </w:tcPr>
                <w:p>
                  <w:pPr>
                    <w:spacing w:line="0" w:lineRule="atLeast"/>
                    <w:jc w:val="both"/>
                    <w:rPr>
                      <w:rFonts w:hint="default" w:eastAsia="宋体"/>
                      <w:b/>
                      <w:bCs/>
                      <w:color w:val="auto"/>
                      <w:sz w:val="21"/>
                      <w:szCs w:val="21"/>
                      <w:highlight w:val="none"/>
                      <w:lang w:val="en-US" w:eastAsia="zh-CN"/>
                    </w:rPr>
                  </w:pPr>
                  <w:r>
                    <w:rPr>
                      <w:b/>
                      <w:bCs/>
                      <w:color w:val="auto"/>
                      <w:sz w:val="21"/>
                      <w:szCs w:val="21"/>
                      <w:highlight w:val="none"/>
                    </w:rPr>
                    <w:t>排放量</w:t>
                  </w:r>
                  <w:r>
                    <w:rPr>
                      <w:rFonts w:hint="eastAsia"/>
                      <w:b/>
                      <w:bCs/>
                      <w:color w:val="auto"/>
                      <w:sz w:val="21"/>
                      <w:szCs w:val="21"/>
                      <w:highlight w:val="none"/>
                      <w:lang w:val="en-US" w:eastAsia="zh-CN"/>
                    </w:rPr>
                    <w:t>t/a</w:t>
                  </w:r>
                </w:p>
                <w:p>
                  <w:pPr>
                    <w:spacing w:line="0" w:lineRule="atLeast"/>
                    <w:ind w:left="-105" w:leftChars="-50" w:right="-105" w:rightChars="-50"/>
                    <w:jc w:val="both"/>
                    <w:rPr>
                      <w:b/>
                      <w:bCs/>
                      <w:color w:val="auto"/>
                      <w:sz w:val="21"/>
                      <w:szCs w:val="21"/>
                      <w:highlight w:val="none"/>
                    </w:rPr>
                  </w:pPr>
                  <w:r>
                    <w:rPr>
                      <w:b/>
                      <w:bCs/>
                      <w:color w:val="auto"/>
                      <w:sz w:val="21"/>
                      <w:szCs w:val="21"/>
                      <w:highlight w:val="none"/>
                    </w:rPr>
                    <w: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8" w:type="pct"/>
                  <w:vMerge w:val="restar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配方肥生产</w:t>
                  </w:r>
                </w:p>
              </w:tc>
              <w:tc>
                <w:tcPr>
                  <w:tcW w:w="235" w:type="pct"/>
                  <w:tcBorders>
                    <w:tl2br w:val="nil"/>
                    <w:tr2bl w:val="nil"/>
                  </w:tcBorders>
                  <w:noWrap w:val="0"/>
                  <w:vAlign w:val="center"/>
                </w:tcPr>
                <w:p>
                  <w:pPr>
                    <w:snapToGrid w:val="0"/>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颗粒物</w:t>
                  </w:r>
                </w:p>
              </w:tc>
              <w:tc>
                <w:tcPr>
                  <w:tcW w:w="471"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399"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372"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5.28</w:t>
                  </w:r>
                </w:p>
              </w:tc>
              <w:tc>
                <w:tcPr>
                  <w:tcW w:w="185" w:type="pct"/>
                  <w:tcBorders>
                    <w:tl2br w:val="nil"/>
                    <w:tr2bl w:val="nil"/>
                  </w:tcBorders>
                  <w:noWrap w:val="0"/>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无组织</w:t>
                  </w:r>
                </w:p>
              </w:tc>
              <w:tc>
                <w:tcPr>
                  <w:tcW w:w="739"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封闭结构</w:t>
                  </w:r>
                </w:p>
              </w:tc>
              <w:tc>
                <w:tcPr>
                  <w:tcW w:w="348"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450"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90%</w:t>
                  </w:r>
                </w:p>
              </w:tc>
              <w:tc>
                <w:tcPr>
                  <w:tcW w:w="329" w:type="pct"/>
                  <w:tcBorders>
                    <w:tl2br w:val="nil"/>
                    <w:tr2bl w:val="nil"/>
                  </w:tcBorders>
                  <w:noWrap w:val="0"/>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427"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423"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378"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8" w:type="pct"/>
                  <w:vMerge w:val="continue"/>
                  <w:tcBorders>
                    <w:tl2br w:val="nil"/>
                    <w:tr2bl w:val="nil"/>
                  </w:tcBorders>
                  <w:noWrap w:val="0"/>
                  <w:vAlign w:val="center"/>
                </w:tcPr>
                <w:p>
                  <w:pPr>
                    <w:spacing w:line="0" w:lineRule="atLeast"/>
                    <w:jc w:val="center"/>
                    <w:rPr>
                      <w:color w:val="auto"/>
                      <w:sz w:val="21"/>
                      <w:szCs w:val="21"/>
                      <w:highlight w:val="none"/>
                    </w:rPr>
                  </w:pPr>
                </w:p>
              </w:tc>
              <w:tc>
                <w:tcPr>
                  <w:tcW w:w="235" w:type="pct"/>
                  <w:tcBorders>
                    <w:tl2br w:val="nil"/>
                    <w:tr2bl w:val="nil"/>
                  </w:tcBorders>
                  <w:noWrap w:val="0"/>
                  <w:vAlign w:val="center"/>
                </w:tcPr>
                <w:p>
                  <w:pPr>
                    <w:snapToGrid w:val="0"/>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氨气</w:t>
                  </w:r>
                </w:p>
              </w:tc>
              <w:tc>
                <w:tcPr>
                  <w:tcW w:w="471" w:type="pct"/>
                  <w:tcBorders>
                    <w:tl2br w:val="nil"/>
                    <w:tr2bl w:val="nil"/>
                  </w:tcBorders>
                  <w:noWrap w:val="0"/>
                  <w:vAlign w:val="center"/>
                </w:tcPr>
                <w:p>
                  <w:pPr>
                    <w:spacing w:line="0" w:lineRule="atLeast"/>
                    <w:ind w:left="-105" w:leftChars="-50" w:right="-105" w:rightChars="-50"/>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399" w:type="pct"/>
                  <w:tcBorders>
                    <w:tl2br w:val="nil"/>
                    <w:tr2bl w:val="nil"/>
                  </w:tcBorders>
                  <w:noWrap w:val="0"/>
                  <w:vAlign w:val="center"/>
                </w:tcPr>
                <w:p>
                  <w:pPr>
                    <w:spacing w:line="0" w:lineRule="atLeast"/>
                    <w:ind w:left="-105" w:leftChars="-50" w:right="-105" w:rightChars="-50"/>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372"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185"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无组织</w:t>
                  </w:r>
                </w:p>
              </w:tc>
              <w:tc>
                <w:tcPr>
                  <w:tcW w:w="739"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348" w:type="pct"/>
                  <w:tcBorders>
                    <w:tl2br w:val="nil"/>
                    <w:tr2bl w:val="nil"/>
                  </w:tcBorders>
                  <w:noWrap w:val="0"/>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450" w:type="pct"/>
                  <w:tcBorders>
                    <w:tl2br w:val="nil"/>
                    <w:tr2bl w:val="nil"/>
                  </w:tcBorders>
                  <w:noWrap w:val="0"/>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329" w:type="pct"/>
                  <w:tcBorders>
                    <w:tl2br w:val="nil"/>
                    <w:tr2bl w:val="nil"/>
                  </w:tcBorders>
                  <w:noWrap w:val="0"/>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427" w:type="pct"/>
                  <w:tcBorders>
                    <w:tl2br w:val="nil"/>
                    <w:tr2bl w:val="nil"/>
                  </w:tcBorders>
                  <w:noWrap w:val="0"/>
                  <w:vAlign w:val="center"/>
                </w:tcPr>
                <w:p>
                  <w:pPr>
                    <w:spacing w:line="0" w:lineRule="atLeast"/>
                    <w:ind w:left="-105" w:leftChars="-50" w:right="-105" w:rightChars="-50"/>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423" w:type="pct"/>
                  <w:tcBorders>
                    <w:tl2br w:val="nil"/>
                    <w:tr2bl w:val="nil"/>
                  </w:tcBorders>
                  <w:noWrap w:val="0"/>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378"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8" w:type="pct"/>
                  <w:vMerge w:val="restar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生物质锅炉</w:t>
                  </w:r>
                </w:p>
              </w:tc>
              <w:tc>
                <w:tcPr>
                  <w:tcW w:w="235" w:type="pct"/>
                  <w:tcBorders>
                    <w:tl2br w:val="nil"/>
                    <w:tr2bl w:val="nil"/>
                  </w:tcBorders>
                  <w:noWrap w:val="0"/>
                  <w:vAlign w:val="center"/>
                </w:tcPr>
                <w:p>
                  <w:pPr>
                    <w:snapToGrid w:val="0"/>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颗粒物</w:t>
                  </w:r>
                </w:p>
              </w:tc>
              <w:tc>
                <w:tcPr>
                  <w:tcW w:w="471"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669.44</w:t>
                  </w:r>
                </w:p>
              </w:tc>
              <w:tc>
                <w:tcPr>
                  <w:tcW w:w="399"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12.05</w:t>
                  </w:r>
                </w:p>
              </w:tc>
              <w:tc>
                <w:tcPr>
                  <w:tcW w:w="372"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37.6</w:t>
                  </w:r>
                </w:p>
              </w:tc>
              <w:tc>
                <w:tcPr>
                  <w:tcW w:w="185"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有组织</w:t>
                  </w:r>
                </w:p>
              </w:tc>
              <w:tc>
                <w:tcPr>
                  <w:tcW w:w="739"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布袋除尘器处理（除尘效率为90%）+水浴除尘（除尘效率80%）</w:t>
                  </w:r>
                  <w:r>
                    <w:rPr>
                      <w:rFonts w:hint="default" w:ascii="Times New Roman" w:hAnsi="Times New Roman" w:eastAsia="宋体" w:cs="Times New Roman"/>
                      <w:color w:val="0000FF"/>
                      <w:highlight w:val="none"/>
                      <w:lang w:val="en-US" w:eastAsia="zh-CN"/>
                    </w:rPr>
                    <w:t>+</w:t>
                  </w:r>
                  <w:r>
                    <w:rPr>
                      <w:rFonts w:hint="eastAsia" w:ascii="Times New Roman" w:hAnsi="Times New Roman" w:eastAsia="宋体" w:cs="Times New Roman"/>
                      <w:color w:val="0000FF"/>
                      <w:highlight w:val="none"/>
                      <w:lang w:val="en-US" w:eastAsia="zh-CN"/>
                    </w:rPr>
                    <w:t>3</w:t>
                  </w:r>
                  <w:r>
                    <w:rPr>
                      <w:rFonts w:hint="default" w:ascii="Times New Roman" w:hAnsi="Times New Roman" w:eastAsia="宋体" w:cs="Times New Roman"/>
                      <w:color w:val="0000FF"/>
                      <w:highlight w:val="none"/>
                      <w:lang w:val="en-US" w:eastAsia="zh-CN"/>
                    </w:rPr>
                    <w:t>5</w:t>
                  </w:r>
                  <w:r>
                    <w:rPr>
                      <w:rFonts w:hint="eastAsia" w:ascii="Times New Roman" w:hAnsi="Times New Roman" w:eastAsia="宋体" w:cs="Times New Roman"/>
                      <w:color w:val="0000FF"/>
                      <w:highlight w:val="none"/>
                      <w:lang w:val="en-US" w:eastAsia="zh-CN"/>
                    </w:rPr>
                    <w:t>米高烟囱</w:t>
                  </w:r>
                </w:p>
              </w:tc>
              <w:tc>
                <w:tcPr>
                  <w:tcW w:w="348"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w:t>
                  </w:r>
                </w:p>
              </w:tc>
              <w:tc>
                <w:tcPr>
                  <w:tcW w:w="450"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布袋除尘器处理（除尘效率为90%）+水浴除尘（除尘效率80%）</w:t>
                  </w:r>
                  <w:r>
                    <w:rPr>
                      <w:rFonts w:hint="default" w:ascii="Times New Roman" w:hAnsi="Times New Roman" w:eastAsia="宋体" w:cs="Times New Roman"/>
                      <w:color w:val="0000FF"/>
                      <w:highlight w:val="none"/>
                      <w:lang w:val="en-US" w:eastAsia="zh-CN"/>
                    </w:rPr>
                    <w:t>+</w:t>
                  </w:r>
                  <w:r>
                    <w:rPr>
                      <w:rFonts w:hint="eastAsia" w:ascii="Times New Roman" w:hAnsi="Times New Roman" w:eastAsia="宋体" w:cs="Times New Roman"/>
                      <w:color w:val="0000FF"/>
                      <w:highlight w:val="none"/>
                      <w:lang w:val="en-US" w:eastAsia="zh-CN"/>
                    </w:rPr>
                    <w:t>3</w:t>
                  </w:r>
                  <w:r>
                    <w:rPr>
                      <w:rFonts w:hint="default" w:ascii="Times New Roman" w:hAnsi="Times New Roman" w:eastAsia="宋体" w:cs="Times New Roman"/>
                      <w:color w:val="0000FF"/>
                      <w:highlight w:val="none"/>
                      <w:lang w:val="en-US" w:eastAsia="zh-CN"/>
                    </w:rPr>
                    <w:t>5</w:t>
                  </w:r>
                  <w:r>
                    <w:rPr>
                      <w:rFonts w:hint="eastAsia" w:ascii="Times New Roman" w:hAnsi="Times New Roman" w:eastAsia="宋体" w:cs="Times New Roman"/>
                      <w:color w:val="0000FF"/>
                      <w:highlight w:val="none"/>
                      <w:lang w:val="en-US" w:eastAsia="zh-CN"/>
                    </w:rPr>
                    <w:t>米高烟囱</w:t>
                  </w:r>
                </w:p>
              </w:tc>
              <w:tc>
                <w:tcPr>
                  <w:tcW w:w="329" w:type="pct"/>
                  <w:tcBorders>
                    <w:tl2br w:val="nil"/>
                    <w:tr2bl w:val="nil"/>
                  </w:tcBorders>
                  <w:noWrap w:val="0"/>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是</w:t>
                  </w:r>
                </w:p>
              </w:tc>
              <w:tc>
                <w:tcPr>
                  <w:tcW w:w="427"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13.39</w:t>
                  </w:r>
                </w:p>
              </w:tc>
              <w:tc>
                <w:tcPr>
                  <w:tcW w:w="423"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0.313</w:t>
                  </w:r>
                </w:p>
              </w:tc>
              <w:tc>
                <w:tcPr>
                  <w:tcW w:w="378"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0.752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8" w:type="pct"/>
                  <w:vMerge w:val="continue"/>
                  <w:tcBorders>
                    <w:tl2br w:val="nil"/>
                    <w:tr2bl w:val="nil"/>
                  </w:tcBorders>
                  <w:noWrap w:val="0"/>
                  <w:vAlign w:val="center"/>
                </w:tcPr>
                <w:p>
                  <w:pPr>
                    <w:spacing w:line="0" w:lineRule="atLeast"/>
                    <w:jc w:val="center"/>
                    <w:rPr>
                      <w:color w:val="auto"/>
                      <w:sz w:val="21"/>
                      <w:szCs w:val="21"/>
                      <w:highlight w:val="none"/>
                    </w:rPr>
                  </w:pPr>
                </w:p>
              </w:tc>
              <w:tc>
                <w:tcPr>
                  <w:tcW w:w="235" w:type="pct"/>
                  <w:tcBorders>
                    <w:tl2br w:val="nil"/>
                    <w:tr2bl w:val="nil"/>
                  </w:tcBorders>
                  <w:noWrap w:val="0"/>
                  <w:vAlign w:val="center"/>
                </w:tcPr>
                <w:p>
                  <w:pPr>
                    <w:snapToGrid w:val="0"/>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二氧化硫</w:t>
                  </w:r>
                </w:p>
              </w:tc>
              <w:tc>
                <w:tcPr>
                  <w:tcW w:w="471"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0.3</w:t>
                  </w:r>
                </w:p>
              </w:tc>
              <w:tc>
                <w:tcPr>
                  <w:tcW w:w="399"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0.0054</w:t>
                  </w:r>
                </w:p>
              </w:tc>
              <w:tc>
                <w:tcPr>
                  <w:tcW w:w="372"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0.017</w:t>
                  </w:r>
                </w:p>
              </w:tc>
              <w:tc>
                <w:tcPr>
                  <w:tcW w:w="185"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有组织</w:t>
                  </w:r>
                </w:p>
              </w:tc>
              <w:tc>
                <w:tcPr>
                  <w:tcW w:w="739"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ascii="宋体" w:hAnsi="宋体" w:cs="宋体"/>
                      <w:color w:val="auto"/>
                      <w:kern w:val="0"/>
                      <w:sz w:val="21"/>
                      <w:szCs w:val="21"/>
                      <w:lang w:val="en-US" w:eastAsia="zh-CN" w:bidi="ar"/>
                    </w:rPr>
                    <w:t>/</w:t>
                  </w:r>
                </w:p>
              </w:tc>
              <w:tc>
                <w:tcPr>
                  <w:tcW w:w="348" w:type="pct"/>
                  <w:tcBorders>
                    <w:tl2br w:val="nil"/>
                    <w:tr2bl w:val="nil"/>
                  </w:tcBorders>
                  <w:noWrap w:val="0"/>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450"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329"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427" w:type="pct"/>
                  <w:tcBorders>
                    <w:tl2br w:val="nil"/>
                    <w:tr2bl w:val="nil"/>
                  </w:tcBorders>
                  <w:noWrap w:val="0"/>
                  <w:vAlign w:val="center"/>
                </w:tcPr>
                <w:p>
                  <w:pPr>
                    <w:spacing w:line="0" w:lineRule="atLeast"/>
                    <w:ind w:left="-105" w:leftChars="-50" w:right="-105" w:rightChars="-50"/>
                    <w:jc w:val="center"/>
                    <w:rPr>
                      <w:rFonts w:hint="default" w:ascii="Times New Roman" w:hAnsi="Times New Roman" w:eastAsia="宋体"/>
                      <w:color w:val="auto"/>
                      <w:kern w:val="2"/>
                      <w:sz w:val="21"/>
                      <w:szCs w:val="21"/>
                      <w:highlight w:val="none"/>
                      <w:lang w:val="en-US" w:eastAsia="zh-CN" w:bidi="ar-SA"/>
                    </w:rPr>
                  </w:pPr>
                  <w:r>
                    <w:rPr>
                      <w:rFonts w:hint="eastAsia"/>
                      <w:color w:val="auto"/>
                      <w:sz w:val="21"/>
                      <w:szCs w:val="21"/>
                      <w:highlight w:val="none"/>
                      <w:lang w:val="en-US" w:eastAsia="zh-CN"/>
                    </w:rPr>
                    <w:t>0.3</w:t>
                  </w:r>
                </w:p>
              </w:tc>
              <w:tc>
                <w:tcPr>
                  <w:tcW w:w="423" w:type="pct"/>
                  <w:tcBorders>
                    <w:tl2br w:val="nil"/>
                    <w:tr2bl w:val="nil"/>
                  </w:tcBorders>
                  <w:noWrap w:val="0"/>
                  <w:vAlign w:val="center"/>
                </w:tcPr>
                <w:p>
                  <w:pPr>
                    <w:spacing w:line="0" w:lineRule="atLeast"/>
                    <w:ind w:left="-105" w:leftChars="-50" w:right="-105" w:rightChars="-50"/>
                    <w:jc w:val="center"/>
                    <w:rPr>
                      <w:rFonts w:hint="default" w:ascii="Times New Roman" w:hAnsi="Times New Roman" w:eastAsia="宋体"/>
                      <w:color w:val="auto"/>
                      <w:kern w:val="2"/>
                      <w:sz w:val="21"/>
                      <w:szCs w:val="21"/>
                      <w:highlight w:val="none"/>
                      <w:lang w:val="en-US" w:eastAsia="zh-CN" w:bidi="ar-SA"/>
                    </w:rPr>
                  </w:pPr>
                  <w:r>
                    <w:rPr>
                      <w:rFonts w:hint="eastAsia"/>
                      <w:color w:val="auto"/>
                      <w:sz w:val="21"/>
                      <w:szCs w:val="21"/>
                      <w:highlight w:val="none"/>
                      <w:lang w:val="en-US" w:eastAsia="zh-CN"/>
                    </w:rPr>
                    <w:t>0.0054</w:t>
                  </w:r>
                </w:p>
              </w:tc>
              <w:tc>
                <w:tcPr>
                  <w:tcW w:w="378" w:type="pct"/>
                  <w:tcBorders>
                    <w:tl2br w:val="nil"/>
                    <w:tr2bl w:val="nil"/>
                  </w:tcBorders>
                  <w:noWrap w:val="0"/>
                  <w:vAlign w:val="center"/>
                </w:tcPr>
                <w:p>
                  <w:pPr>
                    <w:spacing w:line="0" w:lineRule="atLeast"/>
                    <w:ind w:left="-105" w:leftChars="-50" w:right="-105" w:rightChars="-50"/>
                    <w:jc w:val="center"/>
                    <w:rPr>
                      <w:rFonts w:hint="default" w:ascii="Times New Roman" w:hAnsi="Times New Roman" w:eastAsia="宋体"/>
                      <w:color w:val="auto"/>
                      <w:kern w:val="2"/>
                      <w:sz w:val="21"/>
                      <w:szCs w:val="21"/>
                      <w:highlight w:val="none"/>
                      <w:lang w:val="en-US" w:eastAsia="zh-CN" w:bidi="ar-SA"/>
                    </w:rPr>
                  </w:pPr>
                  <w:r>
                    <w:rPr>
                      <w:rFonts w:hint="eastAsia"/>
                      <w:color w:val="auto"/>
                      <w:sz w:val="21"/>
                      <w:szCs w:val="21"/>
                      <w:highlight w:val="none"/>
                      <w:lang w:val="en-US" w:eastAsia="zh-CN"/>
                    </w:rPr>
                    <w:t>0.017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8" w:type="pct"/>
                  <w:vMerge w:val="continue"/>
                  <w:tcBorders>
                    <w:tl2br w:val="nil"/>
                    <w:tr2bl w:val="nil"/>
                  </w:tcBorders>
                  <w:noWrap w:val="0"/>
                  <w:vAlign w:val="center"/>
                </w:tcPr>
                <w:p>
                  <w:pPr>
                    <w:spacing w:line="0" w:lineRule="atLeast"/>
                    <w:jc w:val="center"/>
                    <w:rPr>
                      <w:color w:val="auto"/>
                      <w:sz w:val="21"/>
                      <w:szCs w:val="21"/>
                      <w:highlight w:val="none"/>
                    </w:rPr>
                  </w:pPr>
                </w:p>
              </w:tc>
              <w:tc>
                <w:tcPr>
                  <w:tcW w:w="235" w:type="pct"/>
                  <w:tcBorders>
                    <w:tl2br w:val="nil"/>
                    <w:tr2bl w:val="nil"/>
                  </w:tcBorders>
                  <w:noWrap w:val="0"/>
                  <w:vAlign w:val="center"/>
                </w:tcPr>
                <w:p>
                  <w:pPr>
                    <w:snapToGrid w:val="0"/>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氮氧化物</w:t>
                  </w:r>
                </w:p>
              </w:tc>
              <w:tc>
                <w:tcPr>
                  <w:tcW w:w="471"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18.16</w:t>
                  </w:r>
                </w:p>
              </w:tc>
              <w:tc>
                <w:tcPr>
                  <w:tcW w:w="399"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0.3269</w:t>
                  </w:r>
                </w:p>
              </w:tc>
              <w:tc>
                <w:tcPr>
                  <w:tcW w:w="372"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1.02</w:t>
                  </w:r>
                </w:p>
              </w:tc>
              <w:tc>
                <w:tcPr>
                  <w:tcW w:w="185"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有组织</w:t>
                  </w:r>
                </w:p>
              </w:tc>
              <w:tc>
                <w:tcPr>
                  <w:tcW w:w="739"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348" w:type="pct"/>
                  <w:tcBorders>
                    <w:tl2br w:val="nil"/>
                    <w:tr2bl w:val="nil"/>
                  </w:tcBorders>
                  <w:noWrap w:val="0"/>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450" w:type="pct"/>
                  <w:tcBorders>
                    <w:tl2br w:val="nil"/>
                    <w:tr2bl w:val="nil"/>
                  </w:tcBorders>
                  <w:noWrap w:val="0"/>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329" w:type="pct"/>
                  <w:tcBorders>
                    <w:tl2br w:val="nil"/>
                    <w:tr2bl w:val="nil"/>
                  </w:tcBorders>
                  <w:noWrap w:val="0"/>
                  <w:vAlign w:val="center"/>
                </w:tcPr>
                <w:p>
                  <w:pPr>
                    <w:spacing w:line="0" w:lineRule="atLeas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427" w:type="pct"/>
                  <w:tcBorders>
                    <w:tl2br w:val="nil"/>
                    <w:tr2bl w:val="nil"/>
                  </w:tcBorders>
                  <w:noWrap w:val="0"/>
                  <w:vAlign w:val="center"/>
                </w:tcPr>
                <w:p>
                  <w:pPr>
                    <w:spacing w:line="0" w:lineRule="atLeast"/>
                    <w:ind w:left="-105" w:leftChars="-50" w:right="-105" w:rightChars="-50"/>
                    <w:jc w:val="center"/>
                    <w:rPr>
                      <w:rFonts w:hint="default" w:ascii="Times New Roman" w:hAnsi="Times New Roman" w:eastAsia="宋体"/>
                      <w:color w:val="auto"/>
                      <w:kern w:val="2"/>
                      <w:sz w:val="21"/>
                      <w:szCs w:val="21"/>
                      <w:highlight w:val="none"/>
                      <w:lang w:val="en-US" w:eastAsia="zh-CN" w:bidi="ar-SA"/>
                    </w:rPr>
                  </w:pPr>
                  <w:r>
                    <w:rPr>
                      <w:rFonts w:hint="eastAsia"/>
                      <w:color w:val="auto"/>
                      <w:sz w:val="21"/>
                      <w:szCs w:val="21"/>
                      <w:highlight w:val="none"/>
                      <w:lang w:val="en-US" w:eastAsia="zh-CN"/>
                    </w:rPr>
                    <w:t>18.16</w:t>
                  </w:r>
                </w:p>
              </w:tc>
              <w:tc>
                <w:tcPr>
                  <w:tcW w:w="423" w:type="pct"/>
                  <w:tcBorders>
                    <w:tl2br w:val="nil"/>
                    <w:tr2bl w:val="nil"/>
                  </w:tcBorders>
                  <w:noWrap w:val="0"/>
                  <w:vAlign w:val="center"/>
                </w:tcPr>
                <w:p>
                  <w:pPr>
                    <w:spacing w:line="0" w:lineRule="atLeast"/>
                    <w:ind w:left="-105" w:leftChars="-50" w:right="-105" w:rightChars="-50"/>
                    <w:jc w:val="center"/>
                    <w:rPr>
                      <w:rFonts w:hint="default" w:ascii="Times New Roman" w:hAnsi="Times New Roman" w:eastAsia="宋体"/>
                      <w:color w:val="auto"/>
                      <w:kern w:val="2"/>
                      <w:sz w:val="21"/>
                      <w:szCs w:val="21"/>
                      <w:highlight w:val="none"/>
                      <w:lang w:val="en-US" w:eastAsia="zh-CN" w:bidi="ar-SA"/>
                    </w:rPr>
                  </w:pPr>
                  <w:r>
                    <w:rPr>
                      <w:rFonts w:hint="eastAsia"/>
                      <w:color w:val="auto"/>
                      <w:sz w:val="21"/>
                      <w:szCs w:val="21"/>
                      <w:highlight w:val="none"/>
                      <w:lang w:val="en-US" w:eastAsia="zh-CN"/>
                    </w:rPr>
                    <w:t>0.3269</w:t>
                  </w:r>
                </w:p>
              </w:tc>
              <w:tc>
                <w:tcPr>
                  <w:tcW w:w="378" w:type="pct"/>
                  <w:tcBorders>
                    <w:tl2br w:val="nil"/>
                    <w:tr2bl w:val="nil"/>
                  </w:tcBorders>
                  <w:noWrap w:val="0"/>
                  <w:vAlign w:val="center"/>
                </w:tcPr>
                <w:p>
                  <w:pPr>
                    <w:spacing w:line="0" w:lineRule="atLeast"/>
                    <w:ind w:left="-105" w:leftChars="-50" w:right="-105" w:rightChars="-50"/>
                    <w:jc w:val="center"/>
                    <w:rPr>
                      <w:rFonts w:hint="default" w:ascii="Times New Roman" w:hAnsi="Times New Roman" w:eastAsia="宋体"/>
                      <w:color w:val="auto"/>
                      <w:kern w:val="2"/>
                      <w:sz w:val="21"/>
                      <w:szCs w:val="21"/>
                      <w:highlight w:val="none"/>
                      <w:lang w:val="en-US" w:eastAsia="zh-CN" w:bidi="ar-SA"/>
                    </w:rPr>
                  </w:pPr>
                  <w:r>
                    <w:rPr>
                      <w:rFonts w:hint="eastAsia"/>
                      <w:color w:val="auto"/>
                      <w:sz w:val="21"/>
                      <w:szCs w:val="21"/>
                      <w:highlight w:val="none"/>
                      <w:lang w:val="en-US" w:eastAsia="zh-CN"/>
                    </w:rPr>
                    <w:t>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31" w:hRule="atLeast"/>
              </w:trPr>
              <w:tc>
                <w:tcPr>
                  <w:tcW w:w="238" w:type="pct"/>
                  <w:vMerge w:val="restar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颗粒肥生产</w:t>
                  </w:r>
                </w:p>
              </w:tc>
              <w:tc>
                <w:tcPr>
                  <w:tcW w:w="235"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粉尘（烘干）</w:t>
                  </w:r>
                </w:p>
              </w:tc>
              <w:tc>
                <w:tcPr>
                  <w:tcW w:w="471"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15"/>
                      <w:szCs w:val="15"/>
                      <w:highlight w:val="none"/>
                      <w:lang w:val="en-US" w:eastAsia="zh-CN" w:bidi="ar-SA"/>
                    </w:rPr>
                  </w:pPr>
                  <w:r>
                    <w:rPr>
                      <w:rFonts w:hint="eastAsia" w:ascii="Times New Roman" w:hAnsi="Times New Roman" w:eastAsia="宋体" w:cs="Times New Roman"/>
                      <w:color w:val="0000FF"/>
                      <w:highlight w:val="none"/>
                      <w:lang w:val="en-US" w:eastAsia="zh-CN"/>
                    </w:rPr>
                    <w:t>278</w:t>
                  </w:r>
                </w:p>
              </w:tc>
              <w:tc>
                <w:tcPr>
                  <w:tcW w:w="399"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2.5</w:t>
                  </w:r>
                </w:p>
              </w:tc>
              <w:tc>
                <w:tcPr>
                  <w:tcW w:w="372"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5</w:t>
                  </w:r>
                </w:p>
              </w:tc>
              <w:tc>
                <w:tcPr>
                  <w:tcW w:w="185"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有组织</w:t>
                  </w:r>
                </w:p>
              </w:tc>
              <w:tc>
                <w:tcPr>
                  <w:tcW w:w="739"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多管旋风除尘器+湿式碱法水浴脱硫除尘（单碱法）</w:t>
                  </w:r>
                </w:p>
              </w:tc>
              <w:tc>
                <w:tcPr>
                  <w:tcW w:w="348" w:type="pct"/>
                  <w:tcBorders>
                    <w:tl2br w:val="nil"/>
                    <w:tr2bl w:val="nil"/>
                  </w:tcBorders>
                  <w:noWrap w:val="0"/>
                  <w:vAlign w:val="center"/>
                </w:tcPr>
                <w:p>
                  <w:pPr>
                    <w:spacing w:line="0" w:lineRule="atLeast"/>
                    <w:jc w:val="center"/>
                    <w:rPr>
                      <w:rFonts w:hint="eastAsia" w:ascii="Times New Roman" w:hAnsi="Times New Roman" w:eastAsia="宋体"/>
                      <w:color w:val="002060"/>
                      <w:kern w:val="2"/>
                      <w:sz w:val="21"/>
                      <w:szCs w:val="21"/>
                      <w:highlight w:val="none"/>
                      <w:lang w:val="en-US" w:eastAsia="zh-CN" w:bidi="ar-SA"/>
                    </w:rPr>
                  </w:pPr>
                  <w:r>
                    <w:rPr>
                      <w:rFonts w:hint="eastAsia"/>
                      <w:color w:val="002060"/>
                      <w:sz w:val="21"/>
                      <w:szCs w:val="21"/>
                      <w:highlight w:val="none"/>
                      <w:lang w:val="en-US" w:eastAsia="zh-CN"/>
                    </w:rPr>
                    <w:t>/</w:t>
                  </w:r>
                </w:p>
              </w:tc>
              <w:tc>
                <w:tcPr>
                  <w:tcW w:w="450"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96%</w:t>
                  </w:r>
                </w:p>
              </w:tc>
              <w:tc>
                <w:tcPr>
                  <w:tcW w:w="329"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是</w:t>
                  </w:r>
                </w:p>
              </w:tc>
              <w:tc>
                <w:tcPr>
                  <w:tcW w:w="427"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11.12</w:t>
                  </w:r>
                </w:p>
              </w:tc>
              <w:tc>
                <w:tcPr>
                  <w:tcW w:w="423"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0.1</w:t>
                  </w:r>
                </w:p>
              </w:tc>
              <w:tc>
                <w:tcPr>
                  <w:tcW w:w="378"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8" w:type="pct"/>
                  <w:vMerge w:val="continue"/>
                  <w:tcBorders>
                    <w:tl2br w:val="nil"/>
                    <w:tr2bl w:val="nil"/>
                  </w:tcBorders>
                  <w:noWrap w:val="0"/>
                  <w:vAlign w:val="center"/>
                </w:tcPr>
                <w:p>
                  <w:pPr>
                    <w:spacing w:line="0" w:lineRule="atLeast"/>
                    <w:jc w:val="center"/>
                    <w:rPr>
                      <w:rFonts w:hint="eastAsia"/>
                      <w:color w:val="auto"/>
                      <w:sz w:val="21"/>
                      <w:szCs w:val="21"/>
                      <w:highlight w:val="none"/>
                      <w:lang w:val="en-US" w:eastAsia="zh-CN"/>
                    </w:rPr>
                  </w:pPr>
                </w:p>
              </w:tc>
              <w:tc>
                <w:tcPr>
                  <w:tcW w:w="235" w:type="pct"/>
                  <w:tcBorders>
                    <w:tl2br w:val="nil"/>
                    <w:tr2bl w:val="nil"/>
                  </w:tcBorders>
                  <w:noWrap w:val="0"/>
                  <w:vAlign w:val="center"/>
                </w:tcPr>
                <w:p>
                  <w:pPr>
                    <w:snapToGrid w:val="0"/>
                    <w:spacing w:line="0" w:lineRule="atLeast"/>
                    <w:jc w:val="center"/>
                    <w:rPr>
                      <w:rFonts w:hint="default" w:ascii="Times New Roman" w:hAnsi="Times New Roman" w:eastAsia="宋体"/>
                      <w:color w:val="002060"/>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颗粒物</w:t>
                  </w:r>
                </w:p>
              </w:tc>
              <w:tc>
                <w:tcPr>
                  <w:tcW w:w="471"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534.667</w:t>
                  </w:r>
                </w:p>
              </w:tc>
              <w:tc>
                <w:tcPr>
                  <w:tcW w:w="399"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4.812</w:t>
                  </w:r>
                </w:p>
              </w:tc>
              <w:tc>
                <w:tcPr>
                  <w:tcW w:w="372"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9.623</w:t>
                  </w:r>
                </w:p>
              </w:tc>
              <w:tc>
                <w:tcPr>
                  <w:tcW w:w="185"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有组织</w:t>
                  </w:r>
                </w:p>
              </w:tc>
              <w:tc>
                <w:tcPr>
                  <w:tcW w:w="739"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多管旋风除尘器+湿式碱法水浴脱硫除尘（单碱法）</w:t>
                  </w:r>
                </w:p>
              </w:tc>
              <w:tc>
                <w:tcPr>
                  <w:tcW w:w="348" w:type="pct"/>
                  <w:tcBorders>
                    <w:tl2br w:val="nil"/>
                    <w:tr2bl w:val="nil"/>
                  </w:tcBorders>
                  <w:noWrap w:val="0"/>
                  <w:vAlign w:val="center"/>
                </w:tcPr>
                <w:p>
                  <w:pPr>
                    <w:spacing w:line="0" w:lineRule="atLeast"/>
                    <w:jc w:val="center"/>
                    <w:rPr>
                      <w:rFonts w:hint="default" w:ascii="Times New Roman" w:hAnsi="Times New Roman" w:eastAsia="宋体"/>
                      <w:color w:val="002060"/>
                      <w:kern w:val="2"/>
                      <w:sz w:val="21"/>
                      <w:szCs w:val="21"/>
                      <w:highlight w:val="none"/>
                      <w:lang w:val="en-US" w:eastAsia="zh-CN" w:bidi="ar-SA"/>
                    </w:rPr>
                  </w:pPr>
                  <w:r>
                    <w:rPr>
                      <w:rFonts w:hint="eastAsia"/>
                      <w:color w:val="002060"/>
                      <w:sz w:val="21"/>
                      <w:szCs w:val="21"/>
                      <w:highlight w:val="none"/>
                      <w:lang w:val="en-US" w:eastAsia="zh-CN"/>
                    </w:rPr>
                    <w:t>/</w:t>
                  </w:r>
                </w:p>
              </w:tc>
              <w:tc>
                <w:tcPr>
                  <w:tcW w:w="450"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96%</w:t>
                  </w:r>
                </w:p>
              </w:tc>
              <w:tc>
                <w:tcPr>
                  <w:tcW w:w="329"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是</w:t>
                  </w:r>
                </w:p>
              </w:tc>
              <w:tc>
                <w:tcPr>
                  <w:tcW w:w="427"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21.387</w:t>
                  </w:r>
                </w:p>
              </w:tc>
              <w:tc>
                <w:tcPr>
                  <w:tcW w:w="423"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0.192</w:t>
                  </w:r>
                </w:p>
              </w:tc>
              <w:tc>
                <w:tcPr>
                  <w:tcW w:w="378"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highlight w:val="none"/>
                      <w:lang w:val="en-US" w:eastAsia="zh-CN"/>
                    </w:rPr>
                    <w:t>0.385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8" w:type="pct"/>
                  <w:vMerge w:val="continue"/>
                  <w:tcBorders>
                    <w:tl2br w:val="nil"/>
                    <w:tr2bl w:val="nil"/>
                  </w:tcBorders>
                  <w:noWrap w:val="0"/>
                  <w:vAlign w:val="center"/>
                </w:tcPr>
                <w:p>
                  <w:pPr>
                    <w:spacing w:line="0" w:lineRule="atLeast"/>
                    <w:jc w:val="center"/>
                    <w:rPr>
                      <w:color w:val="auto"/>
                      <w:sz w:val="21"/>
                      <w:szCs w:val="21"/>
                      <w:highlight w:val="none"/>
                    </w:rPr>
                  </w:pPr>
                </w:p>
              </w:tc>
              <w:tc>
                <w:tcPr>
                  <w:tcW w:w="235"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二样化硫</w:t>
                  </w:r>
                </w:p>
              </w:tc>
              <w:tc>
                <w:tcPr>
                  <w:tcW w:w="471"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304</w:t>
                  </w:r>
                </w:p>
              </w:tc>
              <w:tc>
                <w:tcPr>
                  <w:tcW w:w="399"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2.736</w:t>
                  </w:r>
                </w:p>
              </w:tc>
              <w:tc>
                <w:tcPr>
                  <w:tcW w:w="372"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5.472</w:t>
                  </w:r>
                </w:p>
              </w:tc>
              <w:tc>
                <w:tcPr>
                  <w:tcW w:w="185"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有组织</w:t>
                  </w:r>
                </w:p>
              </w:tc>
              <w:tc>
                <w:tcPr>
                  <w:tcW w:w="739"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湿式碱法水浴脱硫除尘（单碱法）</w:t>
                  </w:r>
                </w:p>
              </w:tc>
              <w:tc>
                <w:tcPr>
                  <w:tcW w:w="348" w:type="pct"/>
                  <w:tcBorders>
                    <w:tl2br w:val="nil"/>
                    <w:tr2bl w:val="nil"/>
                  </w:tcBorders>
                  <w:noWrap w:val="0"/>
                  <w:vAlign w:val="center"/>
                </w:tcPr>
                <w:p>
                  <w:pPr>
                    <w:spacing w:line="0" w:lineRule="atLeast"/>
                    <w:jc w:val="center"/>
                    <w:rPr>
                      <w:rFonts w:hint="default"/>
                      <w:color w:val="FF0000"/>
                      <w:sz w:val="21"/>
                      <w:szCs w:val="21"/>
                      <w:highlight w:val="none"/>
                      <w:lang w:val="en-US" w:eastAsia="zh-CN"/>
                    </w:rPr>
                  </w:pPr>
                  <w:r>
                    <w:rPr>
                      <w:rFonts w:hint="eastAsia" w:ascii="Times New Roman" w:hAnsi="Times New Roman" w:eastAsia="宋体" w:cs="Times New Roman"/>
                      <w:color w:val="0000FF"/>
                      <w:highlight w:val="none"/>
                      <w:lang w:val="en-US" w:eastAsia="zh-CN"/>
                    </w:rPr>
                    <w:t>/</w:t>
                  </w:r>
                </w:p>
              </w:tc>
              <w:tc>
                <w:tcPr>
                  <w:tcW w:w="450"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70%</w:t>
                  </w:r>
                </w:p>
              </w:tc>
              <w:tc>
                <w:tcPr>
                  <w:tcW w:w="329"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是</w:t>
                  </w:r>
                </w:p>
              </w:tc>
              <w:tc>
                <w:tcPr>
                  <w:tcW w:w="427"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91.2</w:t>
                  </w:r>
                </w:p>
              </w:tc>
              <w:tc>
                <w:tcPr>
                  <w:tcW w:w="423"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0.821</w:t>
                  </w:r>
                </w:p>
              </w:tc>
              <w:tc>
                <w:tcPr>
                  <w:tcW w:w="378"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1.642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8" w:type="pct"/>
                  <w:vMerge w:val="continue"/>
                  <w:tcBorders>
                    <w:tl2br w:val="nil"/>
                    <w:tr2bl w:val="nil"/>
                  </w:tcBorders>
                  <w:noWrap w:val="0"/>
                  <w:vAlign w:val="center"/>
                </w:tcPr>
                <w:p>
                  <w:pPr>
                    <w:spacing w:line="0" w:lineRule="atLeast"/>
                    <w:jc w:val="center"/>
                    <w:rPr>
                      <w:color w:val="auto"/>
                      <w:sz w:val="21"/>
                      <w:szCs w:val="21"/>
                      <w:highlight w:val="none"/>
                    </w:rPr>
                  </w:pPr>
                </w:p>
              </w:tc>
              <w:tc>
                <w:tcPr>
                  <w:tcW w:w="235"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氮氧化物</w:t>
                  </w:r>
                </w:p>
              </w:tc>
              <w:tc>
                <w:tcPr>
                  <w:tcW w:w="471"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98</w:t>
                  </w:r>
                </w:p>
              </w:tc>
              <w:tc>
                <w:tcPr>
                  <w:tcW w:w="399"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0.882</w:t>
                  </w:r>
                </w:p>
              </w:tc>
              <w:tc>
                <w:tcPr>
                  <w:tcW w:w="372"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1.764</w:t>
                  </w:r>
                </w:p>
              </w:tc>
              <w:tc>
                <w:tcPr>
                  <w:tcW w:w="185"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有组织</w:t>
                  </w:r>
                </w:p>
              </w:tc>
              <w:tc>
                <w:tcPr>
                  <w:tcW w:w="739"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w:t>
                  </w:r>
                </w:p>
              </w:tc>
              <w:tc>
                <w:tcPr>
                  <w:tcW w:w="348"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w:t>
                  </w:r>
                </w:p>
              </w:tc>
              <w:tc>
                <w:tcPr>
                  <w:tcW w:w="450"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w:t>
                  </w:r>
                </w:p>
              </w:tc>
              <w:tc>
                <w:tcPr>
                  <w:tcW w:w="329"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w:t>
                  </w:r>
                </w:p>
              </w:tc>
              <w:tc>
                <w:tcPr>
                  <w:tcW w:w="427"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98</w:t>
                  </w:r>
                </w:p>
              </w:tc>
              <w:tc>
                <w:tcPr>
                  <w:tcW w:w="423"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0.882</w:t>
                  </w:r>
                </w:p>
              </w:tc>
              <w:tc>
                <w:tcPr>
                  <w:tcW w:w="378"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1.764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8" w:type="pct"/>
                  <w:vMerge w:val="continue"/>
                  <w:tcBorders>
                    <w:tl2br w:val="nil"/>
                    <w:tr2bl w:val="nil"/>
                  </w:tcBorders>
                  <w:noWrap w:val="0"/>
                  <w:vAlign w:val="center"/>
                </w:tcPr>
                <w:p>
                  <w:pPr>
                    <w:spacing w:line="0" w:lineRule="atLeast"/>
                    <w:jc w:val="center"/>
                    <w:rPr>
                      <w:color w:val="auto"/>
                      <w:sz w:val="21"/>
                      <w:szCs w:val="21"/>
                      <w:highlight w:val="none"/>
                    </w:rPr>
                  </w:pPr>
                </w:p>
              </w:tc>
              <w:tc>
                <w:tcPr>
                  <w:tcW w:w="235"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粉尘</w:t>
                  </w:r>
                </w:p>
              </w:tc>
              <w:tc>
                <w:tcPr>
                  <w:tcW w:w="471"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w:t>
                  </w:r>
                </w:p>
              </w:tc>
              <w:tc>
                <w:tcPr>
                  <w:tcW w:w="399"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w:t>
                  </w:r>
                </w:p>
              </w:tc>
              <w:tc>
                <w:tcPr>
                  <w:tcW w:w="372"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5</w:t>
                  </w:r>
                </w:p>
              </w:tc>
              <w:tc>
                <w:tcPr>
                  <w:tcW w:w="185"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无组织</w:t>
                  </w:r>
                </w:p>
              </w:tc>
              <w:tc>
                <w:tcPr>
                  <w:tcW w:w="739"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密闭筛分</w:t>
                  </w:r>
                </w:p>
              </w:tc>
              <w:tc>
                <w:tcPr>
                  <w:tcW w:w="348" w:type="pct"/>
                  <w:tcBorders>
                    <w:tl2br w:val="nil"/>
                    <w:tr2bl w:val="nil"/>
                  </w:tcBorders>
                  <w:noWrap w:val="0"/>
                  <w:vAlign w:val="center"/>
                </w:tcPr>
                <w:p>
                  <w:pPr>
                    <w:snapToGrid w:val="0"/>
                    <w:spacing w:line="0" w:lineRule="atLeast"/>
                    <w:jc w:val="center"/>
                    <w:rPr>
                      <w:rFonts w:hint="eastAsia" w:ascii="Times New Roman" w:hAnsi="Times New Roman" w:eastAsia="宋体" w:cs="Times New Roman"/>
                      <w:color w:val="0000FF"/>
                      <w:highlight w:val="none"/>
                      <w:lang w:val="en-US" w:eastAsia="zh-CN"/>
                    </w:rPr>
                  </w:pPr>
                </w:p>
              </w:tc>
              <w:tc>
                <w:tcPr>
                  <w:tcW w:w="450"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96%</w:t>
                  </w:r>
                </w:p>
              </w:tc>
              <w:tc>
                <w:tcPr>
                  <w:tcW w:w="329"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是</w:t>
                  </w:r>
                </w:p>
              </w:tc>
              <w:tc>
                <w:tcPr>
                  <w:tcW w:w="427"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w:t>
                  </w:r>
                </w:p>
              </w:tc>
              <w:tc>
                <w:tcPr>
                  <w:tcW w:w="423"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0.625</w:t>
                  </w:r>
                </w:p>
              </w:tc>
              <w:tc>
                <w:tcPr>
                  <w:tcW w:w="378" w:type="pct"/>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0.15</w:t>
                  </w: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b/>
                <w:bCs/>
                <w:color w:val="auto"/>
                <w:kern w:val="2"/>
                <w:sz w:val="21"/>
                <w:szCs w:val="21"/>
                <w:lang w:val="en-US" w:eastAsia="zh-CN" w:bidi="ar-SA"/>
              </w:rPr>
            </w:pPr>
            <w:r>
              <w:rPr>
                <w:rFonts w:hint="default" w:ascii="宋体" w:hAnsi="宋体" w:eastAsia="宋体" w:cs="宋体"/>
                <w:b/>
                <w:bCs/>
                <w:color w:val="auto"/>
                <w:kern w:val="2"/>
                <w:sz w:val="21"/>
                <w:szCs w:val="21"/>
                <w:lang w:val="en-US" w:eastAsia="zh-CN" w:bidi="ar-SA"/>
              </w:rPr>
              <w:t>表</w:t>
            </w:r>
            <w:r>
              <w:rPr>
                <w:rFonts w:hint="eastAsia" w:ascii="宋体" w:hAnsi="宋体" w:eastAsia="宋体" w:cs="宋体"/>
                <w:b/>
                <w:bCs/>
                <w:color w:val="auto"/>
                <w:kern w:val="2"/>
                <w:sz w:val="21"/>
                <w:szCs w:val="21"/>
                <w:lang w:val="en-US" w:eastAsia="zh-CN" w:bidi="ar-SA"/>
              </w:rPr>
              <w:t xml:space="preserve">31 </w:t>
            </w:r>
            <w:r>
              <w:rPr>
                <w:rFonts w:hint="default" w:ascii="宋体" w:hAnsi="宋体" w:eastAsia="宋体" w:cs="宋体"/>
                <w:b/>
                <w:bCs/>
                <w:color w:val="auto"/>
                <w:kern w:val="2"/>
                <w:sz w:val="21"/>
                <w:szCs w:val="21"/>
                <w:lang w:val="en-US" w:eastAsia="zh-CN" w:bidi="ar-SA"/>
              </w:rPr>
              <w:t>废气排放口基本情况一览表</w:t>
            </w:r>
          </w:p>
          <w:tbl>
            <w:tblPr>
              <w:tblStyle w:val="19"/>
              <w:tblW w:w="8329" w:type="dxa"/>
              <w:tblInd w:w="-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14"/>
              <w:gridCol w:w="611"/>
              <w:gridCol w:w="1629"/>
              <w:gridCol w:w="517"/>
              <w:gridCol w:w="413"/>
              <w:gridCol w:w="457"/>
              <w:gridCol w:w="548"/>
              <w:gridCol w:w="570"/>
              <w:gridCol w:w="1440"/>
              <w:gridCol w:w="390"/>
              <w:gridCol w:w="907"/>
              <w:gridCol w:w="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8" w:type="pct"/>
                  <w:vMerge w:val="restar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编号</w:t>
                  </w:r>
                </w:p>
              </w:tc>
              <w:tc>
                <w:tcPr>
                  <w:tcW w:w="366" w:type="pct"/>
                  <w:vMerge w:val="restart"/>
                  <w:tcBorders>
                    <w:tl2br w:val="nil"/>
                    <w:tr2bl w:val="nil"/>
                  </w:tcBorders>
                  <w:noWrap w:val="0"/>
                  <w:vAlign w:val="center"/>
                </w:tcPr>
                <w:p>
                  <w:pPr>
                    <w:snapToGrid w:val="0"/>
                    <w:spacing w:line="0" w:lineRule="atLeast"/>
                    <w:jc w:val="center"/>
                    <w:rPr>
                      <w:b/>
                      <w:bCs/>
                      <w:color w:val="auto"/>
                      <w:sz w:val="21"/>
                      <w:szCs w:val="21"/>
                      <w:highlight w:val="none"/>
                    </w:rPr>
                  </w:pPr>
                  <w:r>
                    <w:rPr>
                      <w:b/>
                      <w:bCs/>
                      <w:color w:val="auto"/>
                      <w:sz w:val="21"/>
                      <w:szCs w:val="21"/>
                      <w:highlight w:val="none"/>
                    </w:rPr>
                    <w:t>名称</w:t>
                  </w:r>
                </w:p>
              </w:tc>
              <w:tc>
                <w:tcPr>
                  <w:tcW w:w="977" w:type="pct"/>
                  <w:vMerge w:val="restar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中心坐标</w:t>
                  </w:r>
                </w:p>
                <w:p>
                  <w:pPr>
                    <w:spacing w:line="0" w:lineRule="atLeast"/>
                    <w:ind w:left="-105" w:leftChars="-50" w:right="-105" w:rightChars="-50"/>
                    <w:jc w:val="center"/>
                    <w:rPr>
                      <w:b/>
                      <w:bCs/>
                      <w:color w:val="auto"/>
                      <w:sz w:val="21"/>
                      <w:szCs w:val="21"/>
                      <w:highlight w:val="none"/>
                    </w:rPr>
                  </w:pPr>
                </w:p>
              </w:tc>
              <w:tc>
                <w:tcPr>
                  <w:tcW w:w="310" w:type="pct"/>
                  <w:vMerge w:val="restart"/>
                  <w:tcBorders>
                    <w:tl2br w:val="nil"/>
                    <w:tr2bl w:val="nil"/>
                  </w:tcBorders>
                  <w:noWrap w:val="0"/>
                  <w:vAlign w:val="center"/>
                </w:tcPr>
                <w:p>
                  <w:pPr>
                    <w:snapToGrid w:val="0"/>
                    <w:spacing w:line="0" w:lineRule="atLeast"/>
                    <w:ind w:left="-105" w:leftChars="-50" w:right="-105" w:rightChars="-50"/>
                    <w:jc w:val="center"/>
                    <w:rPr>
                      <w:b/>
                      <w:bCs/>
                      <w:color w:val="auto"/>
                      <w:sz w:val="21"/>
                      <w:szCs w:val="21"/>
                      <w:highlight w:val="none"/>
                    </w:rPr>
                  </w:pPr>
                  <w:r>
                    <w:rPr>
                      <w:b/>
                      <w:bCs/>
                      <w:color w:val="auto"/>
                      <w:sz w:val="21"/>
                      <w:szCs w:val="21"/>
                      <w:highlight w:val="none"/>
                    </w:rPr>
                    <w:t>海拔</w:t>
                  </w:r>
                </w:p>
                <w:p>
                  <w:pPr>
                    <w:snapToGrid w:val="0"/>
                    <w:spacing w:line="0" w:lineRule="atLeast"/>
                    <w:ind w:left="-105" w:leftChars="-50" w:right="-105" w:rightChars="-50"/>
                    <w:jc w:val="center"/>
                    <w:rPr>
                      <w:b/>
                      <w:bCs/>
                      <w:color w:val="auto"/>
                      <w:sz w:val="21"/>
                      <w:szCs w:val="21"/>
                      <w:highlight w:val="none"/>
                    </w:rPr>
                  </w:pPr>
                  <w:r>
                    <w:rPr>
                      <w:b/>
                      <w:bCs/>
                      <w:color w:val="auto"/>
                      <w:sz w:val="21"/>
                      <w:szCs w:val="21"/>
                      <w:highlight w:val="none"/>
                    </w:rPr>
                    <w:t>高度</w:t>
                  </w:r>
                </w:p>
                <w:p>
                  <w:pPr>
                    <w:spacing w:line="0" w:lineRule="atLeast"/>
                    <w:jc w:val="center"/>
                    <w:rPr>
                      <w:b/>
                      <w:bCs/>
                      <w:color w:val="auto"/>
                      <w:sz w:val="21"/>
                      <w:szCs w:val="21"/>
                      <w:highlight w:val="none"/>
                    </w:rPr>
                  </w:pPr>
                  <w:r>
                    <w:rPr>
                      <w:b/>
                      <w:bCs/>
                      <w:color w:val="auto"/>
                      <w:sz w:val="21"/>
                      <w:szCs w:val="21"/>
                      <w:highlight w:val="none"/>
                    </w:rPr>
                    <w:t>/m</w:t>
                  </w:r>
                </w:p>
              </w:tc>
              <w:tc>
                <w:tcPr>
                  <w:tcW w:w="247" w:type="pct"/>
                  <w:vMerge w:val="restart"/>
                  <w:tcBorders>
                    <w:tl2br w:val="nil"/>
                    <w:tr2bl w:val="nil"/>
                  </w:tcBorders>
                  <w:noWrap w:val="0"/>
                  <w:vAlign w:val="center"/>
                </w:tcPr>
                <w:p>
                  <w:pPr>
                    <w:snapToGrid w:val="0"/>
                    <w:spacing w:line="0" w:lineRule="atLeast"/>
                    <w:ind w:left="-105" w:leftChars="-50" w:right="-105" w:rightChars="-50"/>
                    <w:jc w:val="center"/>
                    <w:rPr>
                      <w:b/>
                      <w:bCs/>
                      <w:color w:val="auto"/>
                      <w:sz w:val="21"/>
                      <w:szCs w:val="21"/>
                      <w:highlight w:val="none"/>
                    </w:rPr>
                  </w:pPr>
                  <w:r>
                    <w:rPr>
                      <w:b/>
                      <w:bCs/>
                      <w:color w:val="auto"/>
                      <w:sz w:val="21"/>
                      <w:szCs w:val="21"/>
                      <w:highlight w:val="none"/>
                    </w:rPr>
                    <w:t>高度</w:t>
                  </w:r>
                </w:p>
                <w:p>
                  <w:pPr>
                    <w:spacing w:line="0" w:lineRule="atLeast"/>
                    <w:jc w:val="center"/>
                    <w:rPr>
                      <w:b/>
                      <w:bCs/>
                      <w:color w:val="auto"/>
                      <w:sz w:val="21"/>
                      <w:szCs w:val="21"/>
                      <w:highlight w:val="none"/>
                    </w:rPr>
                  </w:pPr>
                  <w:r>
                    <w:rPr>
                      <w:b/>
                      <w:bCs/>
                      <w:color w:val="auto"/>
                      <w:sz w:val="21"/>
                      <w:szCs w:val="21"/>
                      <w:highlight w:val="none"/>
                    </w:rPr>
                    <w:t>/m</w:t>
                  </w:r>
                </w:p>
              </w:tc>
              <w:tc>
                <w:tcPr>
                  <w:tcW w:w="274" w:type="pct"/>
                  <w:vMerge w:val="restart"/>
                  <w:tcBorders>
                    <w:tl2br w:val="nil"/>
                    <w:tr2bl w:val="nil"/>
                  </w:tcBorders>
                  <w:noWrap w:val="0"/>
                  <w:vAlign w:val="center"/>
                </w:tcPr>
                <w:p>
                  <w:pPr>
                    <w:snapToGrid w:val="0"/>
                    <w:spacing w:line="0" w:lineRule="atLeast"/>
                    <w:jc w:val="center"/>
                    <w:rPr>
                      <w:b/>
                      <w:bCs/>
                      <w:color w:val="auto"/>
                      <w:sz w:val="21"/>
                      <w:szCs w:val="21"/>
                      <w:highlight w:val="none"/>
                    </w:rPr>
                  </w:pPr>
                  <w:r>
                    <w:rPr>
                      <w:b/>
                      <w:bCs/>
                      <w:color w:val="auto"/>
                      <w:sz w:val="21"/>
                      <w:szCs w:val="21"/>
                      <w:highlight w:val="none"/>
                    </w:rPr>
                    <w:t>内径</w:t>
                  </w:r>
                </w:p>
                <w:p>
                  <w:pPr>
                    <w:spacing w:line="0" w:lineRule="atLeast"/>
                    <w:jc w:val="center"/>
                    <w:rPr>
                      <w:b/>
                      <w:bCs/>
                      <w:color w:val="auto"/>
                      <w:sz w:val="21"/>
                      <w:szCs w:val="21"/>
                      <w:highlight w:val="none"/>
                    </w:rPr>
                  </w:pPr>
                  <w:r>
                    <w:rPr>
                      <w:b/>
                      <w:bCs/>
                      <w:color w:val="auto"/>
                      <w:sz w:val="21"/>
                      <w:szCs w:val="21"/>
                      <w:highlight w:val="none"/>
                    </w:rPr>
                    <w:t>/m</w:t>
                  </w:r>
                </w:p>
              </w:tc>
              <w:tc>
                <w:tcPr>
                  <w:tcW w:w="328" w:type="pct"/>
                  <w:vMerge w:val="restart"/>
                  <w:tcBorders>
                    <w:tl2br w:val="nil"/>
                    <w:tr2bl w:val="nil"/>
                  </w:tcBorders>
                  <w:noWrap w:val="0"/>
                  <w:vAlign w:val="center"/>
                </w:tcPr>
                <w:p>
                  <w:pPr>
                    <w:snapToGrid w:val="0"/>
                    <w:spacing w:line="0" w:lineRule="atLeast"/>
                    <w:jc w:val="center"/>
                    <w:rPr>
                      <w:b/>
                      <w:bCs/>
                      <w:color w:val="auto"/>
                      <w:sz w:val="21"/>
                      <w:szCs w:val="21"/>
                      <w:highlight w:val="none"/>
                    </w:rPr>
                  </w:pPr>
                  <w:r>
                    <w:rPr>
                      <w:b/>
                      <w:bCs/>
                      <w:color w:val="auto"/>
                      <w:sz w:val="21"/>
                      <w:szCs w:val="21"/>
                      <w:highlight w:val="none"/>
                    </w:rPr>
                    <w:t>温度</w:t>
                  </w:r>
                </w:p>
                <w:p>
                  <w:pPr>
                    <w:spacing w:line="0" w:lineRule="atLeast"/>
                    <w:jc w:val="center"/>
                    <w:rPr>
                      <w:b/>
                      <w:bCs/>
                      <w:color w:val="auto"/>
                      <w:sz w:val="21"/>
                      <w:szCs w:val="21"/>
                      <w:highlight w:val="none"/>
                    </w:rPr>
                  </w:pPr>
                  <w:r>
                    <w:rPr>
                      <w:b/>
                      <w:bCs/>
                      <w:color w:val="auto"/>
                      <w:sz w:val="21"/>
                      <w:szCs w:val="21"/>
                      <w:highlight w:val="none"/>
                    </w:rPr>
                    <w:t>/℃</w:t>
                  </w:r>
                </w:p>
              </w:tc>
              <w:tc>
                <w:tcPr>
                  <w:tcW w:w="342" w:type="pct"/>
                  <w:vMerge w:val="restar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类型</w:t>
                  </w:r>
                </w:p>
              </w:tc>
              <w:tc>
                <w:tcPr>
                  <w:tcW w:w="864" w:type="pct"/>
                  <w:vMerge w:val="restar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排放标准</w:t>
                  </w:r>
                </w:p>
                <w:p>
                  <w:pPr>
                    <w:spacing w:line="0" w:lineRule="atLeast"/>
                    <w:jc w:val="center"/>
                    <w:rPr>
                      <w:b/>
                      <w:bCs/>
                      <w:color w:val="auto"/>
                      <w:sz w:val="21"/>
                      <w:szCs w:val="21"/>
                      <w:highlight w:val="none"/>
                    </w:rPr>
                  </w:pPr>
                </w:p>
              </w:tc>
              <w:tc>
                <w:tcPr>
                  <w:tcW w:w="1098" w:type="pct"/>
                  <w:gridSpan w:val="3"/>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监测要求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8" w:type="pct"/>
                  <w:vMerge w:val="continue"/>
                  <w:tcBorders>
                    <w:tl2br w:val="nil"/>
                    <w:tr2bl w:val="nil"/>
                  </w:tcBorders>
                  <w:noWrap w:val="0"/>
                  <w:vAlign w:val="center"/>
                </w:tcPr>
                <w:p>
                  <w:pPr>
                    <w:widowControl/>
                    <w:jc w:val="left"/>
                    <w:rPr>
                      <w:b/>
                      <w:bCs/>
                      <w:color w:val="auto"/>
                      <w:sz w:val="21"/>
                      <w:szCs w:val="21"/>
                      <w:highlight w:val="none"/>
                    </w:rPr>
                  </w:pPr>
                </w:p>
              </w:tc>
              <w:tc>
                <w:tcPr>
                  <w:tcW w:w="366" w:type="pct"/>
                  <w:vMerge w:val="continue"/>
                  <w:tcBorders>
                    <w:tl2br w:val="nil"/>
                    <w:tr2bl w:val="nil"/>
                  </w:tcBorders>
                  <w:noWrap w:val="0"/>
                  <w:vAlign w:val="center"/>
                </w:tcPr>
                <w:p>
                  <w:pPr>
                    <w:widowControl/>
                    <w:jc w:val="left"/>
                    <w:rPr>
                      <w:b/>
                      <w:bCs/>
                      <w:color w:val="auto"/>
                      <w:sz w:val="21"/>
                      <w:szCs w:val="21"/>
                      <w:highlight w:val="none"/>
                    </w:rPr>
                  </w:pPr>
                </w:p>
              </w:tc>
              <w:tc>
                <w:tcPr>
                  <w:tcW w:w="977" w:type="pct"/>
                  <w:vMerge w:val="continue"/>
                  <w:tcBorders>
                    <w:tl2br w:val="nil"/>
                    <w:tr2bl w:val="nil"/>
                  </w:tcBorders>
                  <w:noWrap w:val="0"/>
                  <w:vAlign w:val="center"/>
                </w:tcPr>
                <w:p>
                  <w:pPr>
                    <w:spacing w:line="0" w:lineRule="atLeast"/>
                    <w:ind w:left="-105" w:leftChars="-50" w:right="-105" w:rightChars="-50"/>
                    <w:jc w:val="center"/>
                    <w:rPr>
                      <w:b/>
                      <w:bCs/>
                      <w:color w:val="auto"/>
                      <w:sz w:val="21"/>
                      <w:szCs w:val="21"/>
                      <w:highlight w:val="none"/>
                    </w:rPr>
                  </w:pPr>
                </w:p>
              </w:tc>
              <w:tc>
                <w:tcPr>
                  <w:tcW w:w="310" w:type="pct"/>
                  <w:vMerge w:val="continue"/>
                  <w:tcBorders>
                    <w:tl2br w:val="nil"/>
                    <w:tr2bl w:val="nil"/>
                  </w:tcBorders>
                  <w:noWrap w:val="0"/>
                  <w:vAlign w:val="center"/>
                </w:tcPr>
                <w:p>
                  <w:pPr>
                    <w:spacing w:line="0" w:lineRule="atLeast"/>
                    <w:ind w:left="-105" w:leftChars="-50" w:right="-105" w:rightChars="-50"/>
                    <w:jc w:val="center"/>
                    <w:rPr>
                      <w:b/>
                      <w:bCs/>
                      <w:color w:val="auto"/>
                      <w:sz w:val="21"/>
                      <w:szCs w:val="21"/>
                      <w:highlight w:val="none"/>
                    </w:rPr>
                  </w:pPr>
                </w:p>
              </w:tc>
              <w:tc>
                <w:tcPr>
                  <w:tcW w:w="247" w:type="pct"/>
                  <w:vMerge w:val="continue"/>
                  <w:tcBorders>
                    <w:tl2br w:val="nil"/>
                    <w:tr2bl w:val="nil"/>
                  </w:tcBorders>
                  <w:noWrap w:val="0"/>
                  <w:vAlign w:val="center"/>
                </w:tcPr>
                <w:p>
                  <w:pPr>
                    <w:spacing w:line="0" w:lineRule="atLeast"/>
                    <w:jc w:val="center"/>
                    <w:rPr>
                      <w:b/>
                      <w:bCs/>
                      <w:color w:val="auto"/>
                      <w:sz w:val="21"/>
                      <w:szCs w:val="21"/>
                      <w:highlight w:val="none"/>
                    </w:rPr>
                  </w:pPr>
                </w:p>
              </w:tc>
              <w:tc>
                <w:tcPr>
                  <w:tcW w:w="274" w:type="pct"/>
                  <w:vMerge w:val="continue"/>
                  <w:tcBorders>
                    <w:tl2br w:val="nil"/>
                    <w:tr2bl w:val="nil"/>
                  </w:tcBorders>
                  <w:noWrap w:val="0"/>
                  <w:vAlign w:val="center"/>
                </w:tcPr>
                <w:p>
                  <w:pPr>
                    <w:spacing w:line="0" w:lineRule="atLeast"/>
                    <w:jc w:val="center"/>
                    <w:rPr>
                      <w:b/>
                      <w:bCs/>
                      <w:color w:val="auto"/>
                      <w:sz w:val="21"/>
                      <w:szCs w:val="21"/>
                      <w:highlight w:val="none"/>
                    </w:rPr>
                  </w:pPr>
                </w:p>
              </w:tc>
              <w:tc>
                <w:tcPr>
                  <w:tcW w:w="328" w:type="pct"/>
                  <w:vMerge w:val="continue"/>
                  <w:tcBorders>
                    <w:tl2br w:val="nil"/>
                    <w:tr2bl w:val="nil"/>
                  </w:tcBorders>
                  <w:noWrap w:val="0"/>
                  <w:vAlign w:val="center"/>
                </w:tcPr>
                <w:p>
                  <w:pPr>
                    <w:spacing w:line="0" w:lineRule="atLeast"/>
                    <w:jc w:val="center"/>
                    <w:rPr>
                      <w:b/>
                      <w:bCs/>
                      <w:color w:val="auto"/>
                      <w:sz w:val="21"/>
                      <w:szCs w:val="21"/>
                      <w:highlight w:val="none"/>
                    </w:rPr>
                  </w:pPr>
                </w:p>
              </w:tc>
              <w:tc>
                <w:tcPr>
                  <w:tcW w:w="342" w:type="pct"/>
                  <w:vMerge w:val="continue"/>
                  <w:tcBorders>
                    <w:tl2br w:val="nil"/>
                    <w:tr2bl w:val="nil"/>
                  </w:tcBorders>
                  <w:noWrap w:val="0"/>
                  <w:vAlign w:val="center"/>
                </w:tcPr>
                <w:p>
                  <w:pPr>
                    <w:spacing w:line="0" w:lineRule="atLeast"/>
                    <w:jc w:val="center"/>
                    <w:rPr>
                      <w:b/>
                      <w:bCs/>
                      <w:color w:val="auto"/>
                      <w:sz w:val="21"/>
                      <w:szCs w:val="21"/>
                      <w:highlight w:val="none"/>
                    </w:rPr>
                  </w:pPr>
                </w:p>
              </w:tc>
              <w:tc>
                <w:tcPr>
                  <w:tcW w:w="864" w:type="pct"/>
                  <w:vMerge w:val="continue"/>
                  <w:tcBorders>
                    <w:tl2br w:val="nil"/>
                    <w:tr2bl w:val="nil"/>
                  </w:tcBorders>
                  <w:noWrap w:val="0"/>
                  <w:vAlign w:val="center"/>
                </w:tcPr>
                <w:p>
                  <w:pPr>
                    <w:spacing w:line="0" w:lineRule="atLeast"/>
                    <w:jc w:val="center"/>
                    <w:rPr>
                      <w:b/>
                      <w:bCs/>
                      <w:color w:val="auto"/>
                      <w:sz w:val="21"/>
                      <w:szCs w:val="21"/>
                      <w:highlight w:val="none"/>
                    </w:rPr>
                  </w:pPr>
                </w:p>
              </w:tc>
              <w:tc>
                <w:tcPr>
                  <w:tcW w:w="234" w:type="pc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点位</w:t>
                  </w:r>
                </w:p>
              </w:tc>
              <w:tc>
                <w:tcPr>
                  <w:tcW w:w="544" w:type="pct"/>
                  <w:tcBorders>
                    <w:tl2br w:val="nil"/>
                    <w:tr2bl w:val="nil"/>
                  </w:tcBorders>
                  <w:noWrap w:val="0"/>
                  <w:vAlign w:val="center"/>
                </w:tcPr>
                <w:p>
                  <w:pPr>
                    <w:spacing w:line="0" w:lineRule="atLeast"/>
                    <w:jc w:val="center"/>
                    <w:rPr>
                      <w:b/>
                      <w:bCs/>
                      <w:color w:val="auto"/>
                      <w:sz w:val="21"/>
                      <w:szCs w:val="21"/>
                      <w:highlight w:val="none"/>
                    </w:rPr>
                  </w:pPr>
                  <w:r>
                    <w:rPr>
                      <w:b/>
                      <w:bCs/>
                      <w:color w:val="auto"/>
                      <w:sz w:val="21"/>
                      <w:szCs w:val="21"/>
                      <w:highlight w:val="none"/>
                    </w:rPr>
                    <w:t>因子</w:t>
                  </w:r>
                </w:p>
              </w:tc>
              <w:tc>
                <w:tcPr>
                  <w:tcW w:w="319" w:type="pct"/>
                  <w:tcBorders>
                    <w:tl2br w:val="nil"/>
                    <w:tr2bl w:val="nil"/>
                  </w:tcBorders>
                  <w:noWrap w:val="0"/>
                  <w:vAlign w:val="center"/>
                </w:tcPr>
                <w:p>
                  <w:pPr>
                    <w:spacing w:line="0" w:lineRule="atLeast"/>
                    <w:ind w:left="-105" w:leftChars="-50" w:right="-105" w:rightChars="-50"/>
                    <w:jc w:val="center"/>
                    <w:rPr>
                      <w:b/>
                      <w:bCs/>
                      <w:color w:val="auto"/>
                      <w:sz w:val="21"/>
                      <w:szCs w:val="21"/>
                      <w:highlight w:val="none"/>
                    </w:rPr>
                  </w:pPr>
                  <w:r>
                    <w:rPr>
                      <w:b/>
                      <w:bCs/>
                      <w:color w:val="auto"/>
                      <w:sz w:val="21"/>
                      <w:szCs w:val="21"/>
                      <w:highlight w:val="none"/>
                    </w:rPr>
                    <w:t>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8" w:type="pct"/>
                  <w:tcBorders>
                    <w:tl2br w:val="nil"/>
                    <w:tr2bl w:val="nil"/>
                  </w:tcBorders>
                  <w:noWrap w:val="0"/>
                  <w:vAlign w:val="center"/>
                </w:tcPr>
                <w:p>
                  <w:pPr>
                    <w:spacing w:line="0" w:lineRule="atLeast"/>
                    <w:jc w:val="center"/>
                    <w:rPr>
                      <w:color w:val="auto"/>
                      <w:sz w:val="21"/>
                      <w:szCs w:val="21"/>
                      <w:highlight w:val="none"/>
                    </w:rPr>
                  </w:pPr>
                  <w:r>
                    <w:rPr>
                      <w:color w:val="auto"/>
                      <w:sz w:val="21"/>
                      <w:szCs w:val="21"/>
                      <w:highlight w:val="none"/>
                    </w:rPr>
                    <w:t>1#</w:t>
                  </w:r>
                </w:p>
              </w:tc>
              <w:tc>
                <w:tcPr>
                  <w:tcW w:w="366" w:type="pct"/>
                  <w:tcBorders>
                    <w:tl2br w:val="nil"/>
                    <w:tr2bl w:val="nil"/>
                  </w:tcBorders>
                  <w:noWrap w:val="0"/>
                  <w:vAlign w:val="center"/>
                </w:tcPr>
                <w:p>
                  <w:pPr>
                    <w:snapToGrid w:val="0"/>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生物质锅炉排气筒</w:t>
                  </w:r>
                </w:p>
              </w:tc>
              <w:tc>
                <w:tcPr>
                  <w:tcW w:w="977" w:type="pct"/>
                  <w:tcBorders>
                    <w:tl2br w:val="nil"/>
                    <w:tr2bl w:val="nil"/>
                  </w:tcBorders>
                  <w:noWrap w:val="0"/>
                  <w:vAlign w:val="center"/>
                </w:tcPr>
                <w:p>
                  <w:pPr>
                    <w:spacing w:line="0" w:lineRule="atLeast"/>
                    <w:ind w:left="-105" w:leftChars="-50" w:right="-105" w:rightChars="-50"/>
                    <w:jc w:val="center"/>
                    <w:rPr>
                      <w:color w:val="auto"/>
                      <w:sz w:val="21"/>
                      <w:szCs w:val="21"/>
                      <w:highlight w:val="none"/>
                    </w:rPr>
                  </w:pPr>
                  <w:r>
                    <w:rPr>
                      <w:color w:val="auto"/>
                      <w:sz w:val="21"/>
                      <w:szCs w:val="21"/>
                      <w:highlight w:val="none"/>
                    </w:rPr>
                    <w:t>东经107°</w:t>
                  </w:r>
                  <w:r>
                    <w:rPr>
                      <w:rFonts w:hint="eastAsia"/>
                      <w:color w:val="auto"/>
                      <w:sz w:val="21"/>
                      <w:szCs w:val="21"/>
                      <w:highlight w:val="none"/>
                      <w:lang w:val="en-US" w:eastAsia="zh-CN"/>
                    </w:rPr>
                    <w:t>0</w:t>
                  </w:r>
                  <w:r>
                    <w:rPr>
                      <w:color w:val="auto"/>
                      <w:sz w:val="21"/>
                      <w:szCs w:val="21"/>
                      <w:highlight w:val="none"/>
                    </w:rPr>
                    <w:t>'</w:t>
                  </w:r>
                  <w:r>
                    <w:rPr>
                      <w:rFonts w:hint="eastAsia"/>
                      <w:color w:val="auto"/>
                      <w:sz w:val="21"/>
                      <w:szCs w:val="21"/>
                      <w:highlight w:val="none"/>
                      <w:lang w:val="en-US" w:eastAsia="zh-CN"/>
                    </w:rPr>
                    <w:t>4.62</w:t>
                  </w:r>
                  <w:r>
                    <w:rPr>
                      <w:color w:val="auto"/>
                      <w:sz w:val="21"/>
                      <w:szCs w:val="21"/>
                      <w:highlight w:val="none"/>
                    </w:rPr>
                    <w:t>"</w:t>
                  </w:r>
                </w:p>
                <w:p>
                  <w:pPr>
                    <w:spacing w:line="0" w:lineRule="atLeast"/>
                    <w:ind w:left="-105" w:leftChars="-50" w:right="-105" w:rightChars="-50"/>
                    <w:jc w:val="center"/>
                    <w:rPr>
                      <w:rFonts w:hint="eastAsia" w:eastAsia="宋体"/>
                      <w:color w:val="auto"/>
                      <w:sz w:val="21"/>
                      <w:szCs w:val="21"/>
                      <w:highlight w:val="none"/>
                      <w:lang w:val="en-US" w:eastAsia="zh-CN"/>
                    </w:rPr>
                  </w:pPr>
                  <w:r>
                    <w:rPr>
                      <w:color w:val="auto"/>
                      <w:sz w:val="21"/>
                      <w:szCs w:val="21"/>
                      <w:highlight w:val="none"/>
                    </w:rPr>
                    <w:t>北纬40°</w:t>
                  </w:r>
                  <w:r>
                    <w:rPr>
                      <w:rFonts w:hint="eastAsia"/>
                      <w:color w:val="auto"/>
                      <w:sz w:val="21"/>
                      <w:szCs w:val="21"/>
                      <w:highlight w:val="none"/>
                      <w:lang w:val="en-US" w:eastAsia="zh-CN"/>
                    </w:rPr>
                    <w:t>22</w:t>
                  </w:r>
                  <w:r>
                    <w:rPr>
                      <w:color w:val="auto"/>
                      <w:sz w:val="21"/>
                      <w:szCs w:val="21"/>
                      <w:highlight w:val="none"/>
                    </w:rPr>
                    <w:t>'</w:t>
                  </w:r>
                  <w:r>
                    <w:rPr>
                      <w:rFonts w:hint="eastAsia"/>
                      <w:color w:val="auto"/>
                      <w:sz w:val="21"/>
                      <w:szCs w:val="21"/>
                      <w:highlight w:val="none"/>
                      <w:lang w:val="en-US" w:eastAsia="zh-CN"/>
                    </w:rPr>
                    <w:t>39.36</w:t>
                  </w:r>
                  <w:r>
                    <w:rPr>
                      <w:color w:val="auto"/>
                      <w:sz w:val="21"/>
                      <w:szCs w:val="21"/>
                      <w:highlight w:val="none"/>
                    </w:rPr>
                    <w:t>"</w:t>
                  </w:r>
                </w:p>
              </w:tc>
              <w:tc>
                <w:tcPr>
                  <w:tcW w:w="310" w:type="pct"/>
                  <w:tcBorders>
                    <w:tl2br w:val="nil"/>
                    <w:tr2bl w:val="nil"/>
                  </w:tcBorders>
                  <w:noWrap w:val="0"/>
                  <w:vAlign w:val="center"/>
                </w:tcPr>
                <w:p>
                  <w:pPr>
                    <w:spacing w:line="0" w:lineRule="atLeast"/>
                    <w:ind w:left="-105" w:leftChars="-50" w:right="-105" w:rightChars="-50"/>
                    <w:jc w:val="center"/>
                    <w:rPr>
                      <w:rFonts w:hint="eastAsia" w:eastAsia="宋体"/>
                      <w:color w:val="auto"/>
                      <w:sz w:val="21"/>
                      <w:szCs w:val="21"/>
                      <w:highlight w:val="none"/>
                      <w:lang w:val="en-US" w:eastAsia="zh-CN"/>
                    </w:rPr>
                  </w:pPr>
                  <w:r>
                    <w:rPr>
                      <w:color w:val="auto"/>
                      <w:sz w:val="21"/>
                      <w:szCs w:val="21"/>
                      <w:highlight w:val="none"/>
                    </w:rPr>
                    <w:t>103</w:t>
                  </w:r>
                  <w:r>
                    <w:rPr>
                      <w:rFonts w:hint="eastAsia"/>
                      <w:color w:val="auto"/>
                      <w:sz w:val="21"/>
                      <w:szCs w:val="21"/>
                      <w:highlight w:val="none"/>
                      <w:lang w:val="en-US" w:eastAsia="zh-CN"/>
                    </w:rPr>
                    <w:t>5</w:t>
                  </w:r>
                </w:p>
              </w:tc>
              <w:tc>
                <w:tcPr>
                  <w:tcW w:w="247"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35</w:t>
                  </w:r>
                </w:p>
              </w:tc>
              <w:tc>
                <w:tcPr>
                  <w:tcW w:w="274"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0.5</w:t>
                  </w:r>
                </w:p>
              </w:tc>
              <w:tc>
                <w:tcPr>
                  <w:tcW w:w="328" w:type="pct"/>
                  <w:tcBorders>
                    <w:tl2br w:val="nil"/>
                    <w:tr2bl w:val="nil"/>
                  </w:tcBorders>
                  <w:noWrap w:val="0"/>
                  <w:vAlign w:val="center"/>
                </w:tcPr>
                <w:p>
                  <w:pPr>
                    <w:spacing w:line="0" w:lineRule="atLeast"/>
                    <w:jc w:val="center"/>
                    <w:rPr>
                      <w:rFonts w:hint="eastAsia" w:eastAsia="宋体"/>
                      <w:color w:val="auto"/>
                      <w:sz w:val="21"/>
                      <w:szCs w:val="21"/>
                      <w:highlight w:val="none"/>
                      <w:lang w:eastAsia="zh-CN"/>
                    </w:rPr>
                  </w:pPr>
                  <w:r>
                    <w:rPr>
                      <w:rFonts w:hint="eastAsia"/>
                      <w:color w:val="auto"/>
                      <w:sz w:val="21"/>
                      <w:szCs w:val="21"/>
                      <w:highlight w:val="none"/>
                      <w:lang w:val="en-US" w:eastAsia="zh-CN"/>
                    </w:rPr>
                    <w:t>常温</w:t>
                  </w:r>
                </w:p>
              </w:tc>
              <w:tc>
                <w:tcPr>
                  <w:tcW w:w="342" w:type="pct"/>
                  <w:tcBorders>
                    <w:tl2br w:val="nil"/>
                    <w:tr2bl w:val="nil"/>
                  </w:tcBorders>
                  <w:noWrap w:val="0"/>
                  <w:vAlign w:val="center"/>
                </w:tcPr>
                <w:p>
                  <w:pPr>
                    <w:spacing w:line="0" w:lineRule="atLeast"/>
                    <w:jc w:val="center"/>
                    <w:rPr>
                      <w:color w:val="auto"/>
                      <w:sz w:val="21"/>
                      <w:szCs w:val="21"/>
                      <w:highlight w:val="none"/>
                    </w:rPr>
                  </w:pPr>
                  <w:r>
                    <w:rPr>
                      <w:rFonts w:hint="eastAsia"/>
                      <w:color w:val="auto"/>
                      <w:sz w:val="21"/>
                      <w:szCs w:val="21"/>
                      <w:highlight w:val="none"/>
                      <w:lang w:val="en-US" w:eastAsia="zh-CN"/>
                    </w:rPr>
                    <w:t>一般</w:t>
                  </w:r>
                  <w:r>
                    <w:rPr>
                      <w:color w:val="auto"/>
                      <w:sz w:val="21"/>
                      <w:szCs w:val="21"/>
                      <w:highlight w:val="none"/>
                    </w:rPr>
                    <w:t>排放口</w:t>
                  </w:r>
                </w:p>
              </w:tc>
              <w:tc>
                <w:tcPr>
                  <w:tcW w:w="864" w:type="pct"/>
                  <w:tcBorders>
                    <w:tl2br w:val="nil"/>
                    <w:tr2bl w:val="nil"/>
                  </w:tcBorders>
                  <w:noWrap w:val="0"/>
                  <w:vAlign w:val="center"/>
                </w:tcPr>
                <w:p>
                  <w:pPr>
                    <w:spacing w:line="0" w:lineRule="atLeast"/>
                    <w:jc w:val="center"/>
                    <w:rPr>
                      <w:color w:val="auto"/>
                      <w:sz w:val="21"/>
                      <w:szCs w:val="21"/>
                      <w:highlight w:val="none"/>
                    </w:rPr>
                  </w:pPr>
                  <w:r>
                    <w:rPr>
                      <w:rFonts w:hint="eastAsia"/>
                      <w:color w:val="auto"/>
                      <w:sz w:val="21"/>
                      <w:szCs w:val="21"/>
                      <w:highlight w:val="none"/>
                      <w:lang w:val="en-US" w:eastAsia="zh-CN"/>
                    </w:rPr>
                    <w:t>符合</w:t>
                  </w:r>
                  <w:r>
                    <w:rPr>
                      <w:rFonts w:hint="eastAsia"/>
                      <w:color w:val="auto"/>
                      <w:sz w:val="21"/>
                      <w:szCs w:val="21"/>
                      <w:highlight w:val="none"/>
                    </w:rPr>
                    <w:t>《锅炉大气污染物排放标准》（GB13271－2014）表2燃煤锅炉标准</w:t>
                  </w:r>
                </w:p>
              </w:tc>
              <w:tc>
                <w:tcPr>
                  <w:tcW w:w="234" w:type="pct"/>
                  <w:tcBorders>
                    <w:tl2br w:val="nil"/>
                    <w:tr2bl w:val="nil"/>
                  </w:tcBorders>
                  <w:noWrap w:val="0"/>
                  <w:vAlign w:val="center"/>
                </w:tcPr>
                <w:p>
                  <w:pPr>
                    <w:spacing w:line="0" w:lineRule="atLeast"/>
                    <w:jc w:val="center"/>
                    <w:rPr>
                      <w:color w:val="auto"/>
                      <w:sz w:val="21"/>
                      <w:szCs w:val="21"/>
                      <w:highlight w:val="none"/>
                    </w:rPr>
                  </w:pPr>
                  <w:r>
                    <w:rPr>
                      <w:color w:val="auto"/>
                      <w:sz w:val="21"/>
                      <w:szCs w:val="21"/>
                      <w:highlight w:val="none"/>
                    </w:rPr>
                    <w:t>排气筒</w:t>
                  </w:r>
                </w:p>
              </w:tc>
              <w:tc>
                <w:tcPr>
                  <w:tcW w:w="544" w:type="pct"/>
                  <w:tcBorders>
                    <w:tl2br w:val="nil"/>
                    <w:tr2bl w:val="nil"/>
                  </w:tcBorders>
                  <w:noWrap w:val="0"/>
                  <w:vAlign w:val="center"/>
                </w:tcPr>
                <w:p>
                  <w:pPr>
                    <w:spacing w:line="0" w:lineRule="atLeast"/>
                    <w:ind w:left="-105" w:leftChars="-50" w:right="-105" w:rightChars="-50"/>
                    <w:jc w:val="center"/>
                    <w:rPr>
                      <w:rFonts w:hint="eastAsia"/>
                      <w:color w:val="auto"/>
                      <w:lang w:val="en-US" w:eastAsia="zh-CN"/>
                    </w:rPr>
                  </w:pPr>
                  <w:r>
                    <w:rPr>
                      <w:rFonts w:hint="eastAsia"/>
                      <w:color w:val="auto"/>
                      <w:lang w:val="en-US" w:eastAsia="zh-CN"/>
                    </w:rPr>
                    <w:t xml:space="preserve"> 颗粒物、</w:t>
                  </w:r>
                </w:p>
                <w:p>
                  <w:pPr>
                    <w:spacing w:line="0" w:lineRule="atLeast"/>
                    <w:ind w:left="-105" w:leftChars="-50" w:right="-105" w:rightChars="-50"/>
                    <w:jc w:val="center"/>
                    <w:rPr>
                      <w:rFonts w:hint="eastAsia"/>
                      <w:color w:val="auto"/>
                      <w:lang w:val="en-US" w:eastAsia="zh-CN"/>
                    </w:rPr>
                  </w:pPr>
                  <w:r>
                    <w:rPr>
                      <w:rFonts w:hint="eastAsia"/>
                      <w:color w:val="auto"/>
                      <w:lang w:val="en-US" w:eastAsia="zh-CN"/>
                    </w:rPr>
                    <w:t xml:space="preserve"> 氮氧化物、</w:t>
                  </w:r>
                </w:p>
                <w:p>
                  <w:pPr>
                    <w:spacing w:line="0" w:lineRule="atLeast"/>
                    <w:ind w:left="-105" w:leftChars="-50" w:right="-105" w:rightChars="-50"/>
                    <w:jc w:val="center"/>
                    <w:rPr>
                      <w:rFonts w:hint="eastAsia"/>
                      <w:color w:val="auto"/>
                      <w:lang w:val="en-US" w:eastAsia="zh-CN"/>
                    </w:rPr>
                  </w:pPr>
                  <w:r>
                    <w:rPr>
                      <w:rFonts w:hint="eastAsia"/>
                      <w:color w:val="auto"/>
                      <w:lang w:val="en-US" w:eastAsia="zh-CN"/>
                    </w:rPr>
                    <w:t>二氧化硫</w:t>
                  </w:r>
                </w:p>
                <w:p>
                  <w:pPr>
                    <w:pStyle w:val="2"/>
                    <w:rPr>
                      <w:rFonts w:hint="default"/>
                      <w:color w:val="auto"/>
                      <w:lang w:val="en-US" w:eastAsia="zh-CN"/>
                    </w:rPr>
                  </w:pPr>
                </w:p>
              </w:tc>
              <w:tc>
                <w:tcPr>
                  <w:tcW w:w="319" w:type="pct"/>
                  <w:tcBorders>
                    <w:tl2br w:val="nil"/>
                    <w:tr2bl w:val="nil"/>
                  </w:tcBorders>
                  <w:noWrap w:val="0"/>
                  <w:vAlign w:val="center"/>
                </w:tcPr>
                <w:p>
                  <w:pPr>
                    <w:spacing w:line="0" w:lineRule="atLeast"/>
                    <w:jc w:val="center"/>
                    <w:rPr>
                      <w:color w:val="auto"/>
                      <w:sz w:val="21"/>
                      <w:szCs w:val="21"/>
                      <w:highlight w:val="none"/>
                    </w:rPr>
                  </w:pPr>
                  <w:r>
                    <w:rPr>
                      <w:color w:val="auto"/>
                      <w:sz w:val="21"/>
                      <w:szCs w:val="21"/>
                      <w:highlight w:val="none"/>
                    </w:rPr>
                    <w:t>一年一次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8"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w:t>
                  </w:r>
                </w:p>
              </w:tc>
              <w:tc>
                <w:tcPr>
                  <w:tcW w:w="366" w:type="pct"/>
                  <w:tcBorders>
                    <w:tl2br w:val="nil"/>
                    <w:tr2bl w:val="nil"/>
                  </w:tcBorders>
                  <w:noWrap w:val="0"/>
                  <w:vAlign w:val="center"/>
                </w:tcPr>
                <w:p>
                  <w:pPr>
                    <w:snapToGrid w:val="0"/>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热风炉排气筒</w:t>
                  </w:r>
                </w:p>
              </w:tc>
              <w:tc>
                <w:tcPr>
                  <w:tcW w:w="977" w:type="pct"/>
                  <w:tcBorders>
                    <w:tl2br w:val="nil"/>
                    <w:tr2bl w:val="nil"/>
                  </w:tcBorders>
                  <w:noWrap w:val="0"/>
                  <w:vAlign w:val="center"/>
                </w:tcPr>
                <w:p>
                  <w:pPr>
                    <w:spacing w:line="0" w:lineRule="atLeast"/>
                    <w:ind w:left="-105" w:leftChars="-50" w:right="-105" w:rightChars="-50"/>
                    <w:jc w:val="center"/>
                    <w:rPr>
                      <w:color w:val="auto"/>
                      <w:sz w:val="21"/>
                      <w:szCs w:val="21"/>
                      <w:highlight w:val="none"/>
                    </w:rPr>
                  </w:pPr>
                  <w:r>
                    <w:rPr>
                      <w:color w:val="auto"/>
                      <w:sz w:val="21"/>
                      <w:szCs w:val="21"/>
                      <w:highlight w:val="none"/>
                    </w:rPr>
                    <w:t>东经107°</w:t>
                  </w:r>
                  <w:r>
                    <w:rPr>
                      <w:rFonts w:hint="eastAsia"/>
                      <w:color w:val="auto"/>
                      <w:sz w:val="21"/>
                      <w:szCs w:val="21"/>
                      <w:highlight w:val="none"/>
                      <w:lang w:val="en-US" w:eastAsia="zh-CN"/>
                    </w:rPr>
                    <w:t>40</w:t>
                  </w:r>
                  <w:r>
                    <w:rPr>
                      <w:color w:val="auto"/>
                      <w:sz w:val="21"/>
                      <w:szCs w:val="21"/>
                      <w:highlight w:val="none"/>
                    </w:rPr>
                    <w:t>'</w:t>
                  </w:r>
                  <w:r>
                    <w:rPr>
                      <w:rFonts w:hint="eastAsia"/>
                      <w:color w:val="auto"/>
                      <w:sz w:val="21"/>
                      <w:szCs w:val="21"/>
                      <w:highlight w:val="none"/>
                      <w:lang w:val="en-US" w:eastAsia="zh-CN"/>
                    </w:rPr>
                    <w:t>31.25</w:t>
                  </w:r>
                  <w:r>
                    <w:rPr>
                      <w:color w:val="auto"/>
                      <w:sz w:val="21"/>
                      <w:szCs w:val="21"/>
                      <w:highlight w:val="none"/>
                    </w:rPr>
                    <w:t>"</w:t>
                  </w:r>
                </w:p>
                <w:p>
                  <w:pPr>
                    <w:spacing w:line="0" w:lineRule="atLeast"/>
                    <w:ind w:left="-105" w:leftChars="-50" w:right="-105" w:rightChars="-50"/>
                    <w:jc w:val="center"/>
                    <w:rPr>
                      <w:rFonts w:hint="eastAsia" w:eastAsia="宋体"/>
                      <w:color w:val="auto"/>
                      <w:sz w:val="21"/>
                      <w:szCs w:val="21"/>
                      <w:highlight w:val="none"/>
                      <w:lang w:val="en-US" w:eastAsia="zh-CN"/>
                    </w:rPr>
                  </w:pPr>
                  <w:r>
                    <w:rPr>
                      <w:color w:val="auto"/>
                      <w:sz w:val="21"/>
                      <w:szCs w:val="21"/>
                      <w:highlight w:val="none"/>
                    </w:rPr>
                    <w:t>北纬40°</w:t>
                  </w:r>
                  <w:r>
                    <w:rPr>
                      <w:rFonts w:hint="eastAsia"/>
                      <w:color w:val="auto"/>
                      <w:sz w:val="21"/>
                      <w:szCs w:val="21"/>
                      <w:highlight w:val="none"/>
                      <w:lang w:val="en-US" w:eastAsia="zh-CN"/>
                    </w:rPr>
                    <w:t>49</w:t>
                  </w:r>
                  <w:r>
                    <w:rPr>
                      <w:color w:val="auto"/>
                      <w:sz w:val="21"/>
                      <w:szCs w:val="21"/>
                      <w:highlight w:val="none"/>
                    </w:rPr>
                    <w:t>'</w:t>
                  </w:r>
                  <w:r>
                    <w:rPr>
                      <w:rFonts w:hint="eastAsia"/>
                      <w:color w:val="auto"/>
                      <w:sz w:val="21"/>
                      <w:szCs w:val="21"/>
                      <w:highlight w:val="none"/>
                      <w:lang w:val="en-US" w:eastAsia="zh-CN"/>
                    </w:rPr>
                    <w:t>59.25</w:t>
                  </w:r>
                  <w:r>
                    <w:rPr>
                      <w:color w:val="auto"/>
                      <w:sz w:val="21"/>
                      <w:szCs w:val="21"/>
                      <w:highlight w:val="none"/>
                    </w:rPr>
                    <w:t>"</w:t>
                  </w:r>
                </w:p>
              </w:tc>
              <w:tc>
                <w:tcPr>
                  <w:tcW w:w="310" w:type="pct"/>
                  <w:tcBorders>
                    <w:tl2br w:val="nil"/>
                    <w:tr2bl w:val="nil"/>
                  </w:tcBorders>
                  <w:noWrap w:val="0"/>
                  <w:vAlign w:val="center"/>
                </w:tcPr>
                <w:p>
                  <w:pPr>
                    <w:spacing w:line="0" w:lineRule="atLeast"/>
                    <w:ind w:left="-105" w:leftChars="-50" w:right="-105" w:rightChars="-5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1036</w:t>
                  </w:r>
                </w:p>
              </w:tc>
              <w:tc>
                <w:tcPr>
                  <w:tcW w:w="247"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15</w:t>
                  </w:r>
                </w:p>
              </w:tc>
              <w:tc>
                <w:tcPr>
                  <w:tcW w:w="274" w:type="pct"/>
                  <w:tcBorders>
                    <w:tl2br w:val="nil"/>
                    <w:tr2bl w:val="nil"/>
                  </w:tcBorders>
                  <w:noWrap w:val="0"/>
                  <w:vAlign w:val="center"/>
                </w:tcPr>
                <w:p>
                  <w:pPr>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328" w:type="pct"/>
                  <w:tcBorders>
                    <w:tl2br w:val="nil"/>
                    <w:tr2bl w:val="nil"/>
                  </w:tcBorders>
                  <w:noWrap w:val="0"/>
                  <w:vAlign w:val="center"/>
                </w:tcPr>
                <w:p>
                  <w:pPr>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342" w:type="pct"/>
                  <w:tcBorders>
                    <w:tl2br w:val="nil"/>
                    <w:tr2bl w:val="nil"/>
                  </w:tcBorders>
                  <w:noWrap w:val="0"/>
                  <w:vAlign w:val="center"/>
                </w:tcPr>
                <w:p>
                  <w:pPr>
                    <w:spacing w:line="0" w:lineRule="atLeast"/>
                    <w:jc w:val="center"/>
                    <w:rPr>
                      <w:rFonts w:hint="default"/>
                      <w:color w:val="auto"/>
                      <w:sz w:val="21"/>
                      <w:szCs w:val="21"/>
                      <w:highlight w:val="none"/>
                      <w:lang w:val="en-US" w:eastAsia="zh-CN"/>
                    </w:rPr>
                  </w:pPr>
                  <w:r>
                    <w:rPr>
                      <w:rFonts w:hint="eastAsia"/>
                      <w:color w:val="auto"/>
                      <w:sz w:val="21"/>
                      <w:szCs w:val="21"/>
                      <w:highlight w:val="none"/>
                      <w:lang w:val="en-US" w:eastAsia="zh-CN"/>
                    </w:rPr>
                    <w:t>一般</w:t>
                  </w:r>
                  <w:r>
                    <w:rPr>
                      <w:color w:val="auto"/>
                      <w:sz w:val="21"/>
                      <w:szCs w:val="21"/>
                      <w:highlight w:val="none"/>
                    </w:rPr>
                    <w:t>排放口</w:t>
                  </w:r>
                </w:p>
              </w:tc>
              <w:tc>
                <w:tcPr>
                  <w:tcW w:w="864" w:type="pct"/>
                  <w:tcBorders>
                    <w:tl2br w:val="nil"/>
                    <w:tr2bl w:val="nil"/>
                  </w:tcBorders>
                  <w:noWrap w:val="0"/>
                  <w:vAlign w:val="center"/>
                </w:tcPr>
                <w:p>
                  <w:pPr>
                    <w:spacing w:line="0" w:lineRule="atLeast"/>
                    <w:jc w:val="center"/>
                    <w:rPr>
                      <w:rFonts w:hint="eastAsia" w:ascii="宋体" w:hAnsi="宋体" w:eastAsia="宋体" w:cs="宋体"/>
                      <w:color w:val="auto"/>
                      <w:sz w:val="21"/>
                      <w:szCs w:val="21"/>
                      <w:highlight w:val="none"/>
                    </w:rPr>
                  </w:pPr>
                  <w:r>
                    <w:rPr>
                      <w:rFonts w:hint="eastAsia" w:cs="宋体"/>
                      <w:color w:val="auto"/>
                    </w:rPr>
                    <w:t>《大气污染物综合排放标准》（</w:t>
                  </w:r>
                  <w:r>
                    <w:rPr>
                      <w:color w:val="auto"/>
                    </w:rPr>
                    <w:t>GB16297-1996</w:t>
                  </w:r>
                  <w:r>
                    <w:rPr>
                      <w:rFonts w:hint="eastAsia" w:ascii="宋体" w:hAnsi="宋体" w:cs="宋体"/>
                      <w:color w:val="auto"/>
                    </w:rPr>
                    <w:t>）</w:t>
                  </w:r>
                  <w:r>
                    <w:rPr>
                      <w:rFonts w:hint="eastAsia" w:ascii="宋体" w:hAnsi="宋体" w:cs="宋体"/>
                      <w:color w:val="auto"/>
                      <w:lang w:eastAsia="zh-CN"/>
                    </w:rPr>
                    <w:t>及</w:t>
                  </w:r>
                  <w:r>
                    <w:rPr>
                      <w:color w:val="auto"/>
                      <w:shd w:val="clear" w:color="auto" w:fill="FFFFFF"/>
                    </w:rPr>
                    <w:t>《</w:t>
                  </w:r>
                  <w:r>
                    <w:rPr>
                      <w:rFonts w:hint="eastAsia"/>
                      <w:color w:val="auto"/>
                      <w:shd w:val="clear" w:color="auto" w:fill="FFFFFF"/>
                    </w:rPr>
                    <w:t>工业炉窑大气污染物排放标准</w:t>
                  </w:r>
                  <w:r>
                    <w:rPr>
                      <w:color w:val="auto"/>
                    </w:rPr>
                    <w:t>》（GB</w:t>
                  </w:r>
                  <w:r>
                    <w:rPr>
                      <w:rFonts w:hint="eastAsia"/>
                      <w:color w:val="auto"/>
                    </w:rPr>
                    <w:t>9078</w:t>
                  </w:r>
                  <w:r>
                    <w:rPr>
                      <w:color w:val="auto"/>
                    </w:rPr>
                    <w:t>-</w:t>
                  </w:r>
                  <w:r>
                    <w:rPr>
                      <w:rFonts w:hint="eastAsia"/>
                      <w:color w:val="auto"/>
                    </w:rPr>
                    <w:t>1996</w:t>
                  </w:r>
                  <w:r>
                    <w:rPr>
                      <w:color w:val="auto"/>
                    </w:rPr>
                    <w:t>）</w:t>
                  </w:r>
                </w:p>
              </w:tc>
              <w:tc>
                <w:tcPr>
                  <w:tcW w:w="234" w:type="pct"/>
                  <w:tcBorders>
                    <w:tl2br w:val="nil"/>
                    <w:tr2bl w:val="nil"/>
                  </w:tcBorders>
                  <w:noWrap w:val="0"/>
                  <w:vAlign w:val="center"/>
                </w:tcPr>
                <w:p>
                  <w:pPr>
                    <w:spacing w:line="0" w:lineRule="atLeas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排气筒</w:t>
                  </w:r>
                </w:p>
              </w:tc>
              <w:tc>
                <w:tcPr>
                  <w:tcW w:w="544" w:type="pct"/>
                  <w:tcBorders>
                    <w:tl2br w:val="nil"/>
                    <w:tr2bl w:val="nil"/>
                  </w:tcBorders>
                  <w:noWrap w:val="0"/>
                  <w:vAlign w:val="center"/>
                </w:tcPr>
                <w:p>
                  <w:pPr>
                    <w:spacing w:line="0" w:lineRule="atLeast"/>
                    <w:ind w:left="-105" w:leftChars="-50" w:right="-105" w:rightChars="-50"/>
                    <w:jc w:val="center"/>
                    <w:rPr>
                      <w:rFonts w:hint="eastAsia"/>
                      <w:color w:val="auto"/>
                      <w:lang w:val="en-US" w:eastAsia="zh-CN"/>
                    </w:rPr>
                  </w:pPr>
                  <w:r>
                    <w:rPr>
                      <w:rFonts w:hint="eastAsia"/>
                      <w:color w:val="auto"/>
                      <w:lang w:val="en-US" w:eastAsia="zh-CN"/>
                    </w:rPr>
                    <w:t>颗粒物</w:t>
                  </w:r>
                </w:p>
                <w:p>
                  <w:pPr>
                    <w:spacing w:line="0" w:lineRule="atLeast"/>
                    <w:ind w:left="-105" w:leftChars="-50" w:right="-105" w:rightChars="-50"/>
                    <w:jc w:val="center"/>
                    <w:rPr>
                      <w:rFonts w:hint="eastAsia"/>
                      <w:color w:val="auto"/>
                      <w:lang w:val="en-US" w:eastAsia="zh-CN"/>
                    </w:rPr>
                  </w:pPr>
                  <w:r>
                    <w:rPr>
                      <w:rFonts w:hint="eastAsia"/>
                      <w:color w:val="auto"/>
                      <w:lang w:val="en-US" w:eastAsia="zh-CN"/>
                    </w:rPr>
                    <w:t>二氧化硫</w:t>
                  </w:r>
                </w:p>
                <w:p>
                  <w:pPr>
                    <w:pStyle w:val="2"/>
                    <w:rPr>
                      <w:rFonts w:hint="default"/>
                      <w:color w:val="auto"/>
                      <w:lang w:val="en-US" w:eastAsia="zh-CN"/>
                    </w:rPr>
                  </w:pPr>
                  <w:r>
                    <w:rPr>
                      <w:rFonts w:hint="eastAsia" w:ascii="Times New Roman" w:hAnsi="Times New Roman" w:eastAsia="宋体" w:cs="Times New Roman"/>
                      <w:color w:val="auto"/>
                      <w:kern w:val="2"/>
                      <w:sz w:val="21"/>
                      <w:szCs w:val="21"/>
                      <w:lang w:val="en-US" w:eastAsia="zh-CN" w:bidi="ar-SA"/>
                    </w:rPr>
                    <w:t>氮氧化物</w:t>
                  </w:r>
                </w:p>
              </w:tc>
              <w:tc>
                <w:tcPr>
                  <w:tcW w:w="319" w:type="pct"/>
                  <w:tcBorders>
                    <w:tl2br w:val="nil"/>
                    <w:tr2bl w:val="nil"/>
                  </w:tcBorders>
                  <w:noWrap w:val="0"/>
                  <w:vAlign w:val="center"/>
                </w:tcPr>
                <w:p>
                  <w:pPr>
                    <w:spacing w:line="0" w:lineRule="atLeast"/>
                    <w:jc w:val="center"/>
                    <w:rPr>
                      <w:color w:val="auto"/>
                      <w:sz w:val="21"/>
                      <w:szCs w:val="21"/>
                      <w:highlight w:val="none"/>
                    </w:rPr>
                  </w:pPr>
                  <w:r>
                    <w:rPr>
                      <w:color w:val="auto"/>
                      <w:sz w:val="21"/>
                      <w:szCs w:val="21"/>
                      <w:highlight w:val="none"/>
                    </w:rPr>
                    <w:t>一年一次</w:t>
                  </w:r>
                </w:p>
              </w:tc>
            </w:tr>
          </w:tbl>
          <w:p>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cs="Times New Roman"/>
                <w:b/>
                <w:bCs/>
                <w:color w:val="auto"/>
                <w:szCs w:val="21"/>
              </w:rPr>
            </w:pPr>
            <w:r>
              <w:rPr>
                <w:rFonts w:hint="default" w:ascii="Times New Roman" w:hAnsi="Times New Roman" w:cs="Times New Roman"/>
                <w:b/>
                <w:bCs/>
                <w:color w:val="auto"/>
                <w:szCs w:val="21"/>
              </w:rPr>
              <w:t>2、水环境影响分析</w:t>
            </w:r>
          </w:p>
          <w:p>
            <w:pPr>
              <w:ind w:firstLine="315" w:firstLineChars="15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本项目废水主要为工作人员生活污水、配方肥生产设备清洗废水、锅炉排水及软化设备排水。</w:t>
            </w:r>
          </w:p>
          <w:p>
            <w:pPr>
              <w:ind w:firstLine="315" w:firstLineChars="15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fldChar w:fldCharType="begin"/>
            </w:r>
            <w:r>
              <w:rPr>
                <w:rFonts w:hint="eastAsia" w:ascii="Times New Roman" w:hAnsi="Times New Roman" w:eastAsia="宋体" w:cs="Times New Roman"/>
                <w:color w:val="auto"/>
                <w:lang w:val="en-US" w:eastAsia="zh-CN"/>
              </w:rPr>
              <w:instrText xml:space="preserve"> = 1 \* GB3 </w:instrText>
            </w:r>
            <w:r>
              <w:rPr>
                <w:rFonts w:hint="eastAsia" w:ascii="Times New Roman" w:hAnsi="Times New Roman" w:eastAsia="宋体" w:cs="Times New Roman"/>
                <w:color w:val="auto"/>
                <w:lang w:val="en-US" w:eastAsia="zh-CN"/>
              </w:rPr>
              <w:fldChar w:fldCharType="separate"/>
            </w:r>
            <w:r>
              <w:rPr>
                <w:rFonts w:hint="eastAsia" w:ascii="Times New Roman" w:hAnsi="Times New Roman" w:eastAsia="宋体" w:cs="Times New Roman"/>
                <w:color w:val="auto"/>
                <w:lang w:val="en-US" w:eastAsia="zh-CN"/>
              </w:rPr>
              <w:t>①</w:t>
            </w:r>
            <w:r>
              <w:rPr>
                <w:rFonts w:hint="eastAsia" w:ascii="Times New Roman" w:hAnsi="Times New Roman" w:eastAsia="宋体" w:cs="Times New Roman"/>
                <w:color w:val="auto"/>
                <w:lang w:val="en-US" w:eastAsia="zh-CN"/>
              </w:rPr>
              <w:fldChar w:fldCharType="end"/>
            </w:r>
            <w:r>
              <w:rPr>
                <w:rFonts w:hint="eastAsia" w:ascii="Times New Roman" w:hAnsi="Times New Roman" w:eastAsia="宋体" w:cs="Times New Roman"/>
                <w:color w:val="auto"/>
                <w:lang w:val="en-US" w:eastAsia="zh-CN"/>
              </w:rPr>
              <w:t>生活污水</w:t>
            </w:r>
          </w:p>
          <w:p>
            <w:pPr>
              <w:ind w:firstLine="315" w:firstLineChars="15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本项目劳动实施后劳动定员为20人，年生产时间为260天，用水定额按《内蒙古自治区地方标准行业用水定额》（DB15/T385-2015）60L/（人·d）计算，则生活用水量为1.2m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/d（312m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/a）。生活废水产生量按用水量的80%计算，厂区人员总排水量为0.96m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/d（249.6m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/a），生活污水排入化粪池，环卫部门定期清掏。根据《城市污水回用技术手册》（化学工业出版社2004年）中等浓度生活污水COD为400mg/L、BOD</w:t>
            </w:r>
            <w:r>
              <w:rPr>
                <w:rFonts w:hint="eastAsia" w:ascii="Times New Roman" w:hAnsi="Times New Roman" w:eastAsia="宋体" w:cs="Times New Roman"/>
                <w:color w:val="auto"/>
                <w:vertAlign w:val="subscript"/>
                <w:lang w:val="en-US" w:eastAsia="zh-CN"/>
              </w:rPr>
              <w:t>5</w:t>
            </w:r>
            <w:r>
              <w:rPr>
                <w:rFonts w:hint="eastAsia" w:ascii="Times New Roman" w:hAnsi="Times New Roman" w:eastAsia="宋体" w:cs="Times New Roman"/>
                <w:color w:val="auto"/>
                <w:lang w:val="en-US" w:eastAsia="zh-CN"/>
              </w:rPr>
              <w:t>为200mg/L、SS为220mg/L、氨氮为25mg/L。</w:t>
            </w:r>
          </w:p>
          <w:p>
            <w:pPr>
              <w:ind w:firstLine="315" w:firstLineChars="15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fldChar w:fldCharType="begin"/>
            </w:r>
            <w:r>
              <w:rPr>
                <w:rFonts w:hint="eastAsia" w:ascii="Times New Roman" w:hAnsi="Times New Roman" w:eastAsia="宋体" w:cs="Times New Roman"/>
                <w:color w:val="auto"/>
                <w:lang w:val="en-US" w:eastAsia="zh-CN"/>
              </w:rPr>
              <w:instrText xml:space="preserve"> = 2 \* GB3 </w:instrText>
            </w:r>
            <w:r>
              <w:rPr>
                <w:rFonts w:hint="eastAsia" w:ascii="Times New Roman" w:hAnsi="Times New Roman" w:eastAsia="宋体" w:cs="Times New Roman"/>
                <w:color w:val="auto"/>
                <w:lang w:val="en-US" w:eastAsia="zh-CN"/>
              </w:rPr>
              <w:fldChar w:fldCharType="separate"/>
            </w:r>
            <w:r>
              <w:rPr>
                <w:rFonts w:hint="eastAsia" w:ascii="Times New Roman" w:hAnsi="Times New Roman" w:eastAsia="宋体" w:cs="Times New Roman"/>
                <w:color w:val="auto"/>
                <w:lang w:val="en-US" w:eastAsia="zh-CN"/>
              </w:rPr>
              <w:t>②</w:t>
            </w:r>
            <w:r>
              <w:rPr>
                <w:rFonts w:hint="eastAsia" w:ascii="Times New Roman" w:hAnsi="Times New Roman" w:eastAsia="宋体" w:cs="Times New Roman"/>
                <w:color w:val="auto"/>
                <w:lang w:val="en-US" w:eastAsia="zh-CN"/>
              </w:rPr>
              <w:fldChar w:fldCharType="end"/>
            </w:r>
            <w:r>
              <w:rPr>
                <w:rFonts w:hint="eastAsia" w:ascii="Times New Roman" w:hAnsi="Times New Roman" w:eastAsia="宋体" w:cs="Times New Roman"/>
                <w:color w:val="auto"/>
                <w:lang w:val="en-US" w:eastAsia="zh-CN"/>
              </w:rPr>
              <w:t>设备冲洗水</w:t>
            </w:r>
          </w:p>
          <w:p>
            <w:pPr>
              <w:ind w:firstLine="315" w:firstLineChars="15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设备冲洗水主要为液态配方肥生产时混合罐清洗水，根据生产经验，产生量约为11t/a，生产回用。</w:t>
            </w:r>
          </w:p>
          <w:p>
            <w:pPr>
              <w:ind w:firstLine="315" w:firstLineChars="15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fldChar w:fldCharType="begin"/>
            </w:r>
            <w:r>
              <w:rPr>
                <w:rFonts w:hint="eastAsia" w:ascii="Times New Roman" w:hAnsi="Times New Roman" w:eastAsia="宋体" w:cs="Times New Roman"/>
                <w:color w:val="auto"/>
                <w:lang w:val="en-US" w:eastAsia="zh-CN"/>
              </w:rPr>
              <w:instrText xml:space="preserve"> = 3 \* GB3 </w:instrText>
            </w:r>
            <w:r>
              <w:rPr>
                <w:rFonts w:hint="eastAsia" w:ascii="Times New Roman" w:hAnsi="Times New Roman" w:eastAsia="宋体" w:cs="Times New Roman"/>
                <w:color w:val="auto"/>
                <w:lang w:val="en-US" w:eastAsia="zh-CN"/>
              </w:rPr>
              <w:fldChar w:fldCharType="separate"/>
            </w:r>
            <w:r>
              <w:rPr>
                <w:rFonts w:hint="eastAsia" w:ascii="Times New Roman" w:hAnsi="Times New Roman" w:eastAsia="宋体" w:cs="Times New Roman"/>
                <w:color w:val="auto"/>
                <w:lang w:val="en-US" w:eastAsia="zh-CN"/>
              </w:rPr>
              <w:t>③</w:t>
            </w:r>
            <w:r>
              <w:rPr>
                <w:rFonts w:hint="eastAsia" w:ascii="Times New Roman" w:hAnsi="Times New Roman" w:eastAsia="宋体" w:cs="Times New Roman"/>
                <w:color w:val="auto"/>
                <w:lang w:val="en-US" w:eastAsia="zh-CN"/>
              </w:rPr>
              <w:fldChar w:fldCharType="end"/>
            </w:r>
            <w:r>
              <w:rPr>
                <w:rFonts w:hint="eastAsia" w:ascii="Times New Roman" w:hAnsi="Times New Roman" w:eastAsia="宋体" w:cs="Times New Roman"/>
                <w:color w:val="auto"/>
                <w:lang w:val="en-US" w:eastAsia="zh-CN"/>
              </w:rPr>
              <w:t>反渗透高盐废水</w:t>
            </w:r>
          </w:p>
          <w:p>
            <w:pPr>
              <w:ind w:firstLine="315" w:firstLineChars="15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反渗透高盐废水产生量为686.15t/a，送至混凝土加工公司用作拌合用水。</w:t>
            </w:r>
          </w:p>
          <w:p>
            <w:pPr>
              <w:ind w:firstLine="420" w:firstLineChars="200"/>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反渗透装置产生的高盐水用水罐车拉运至临河顺义水泥制品厂用作拌合用水，该水泥制品厂位于天吉泰镇，距离有机肥厂约5公里。</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eastAsia="宋体"/>
                <w:bCs/>
                <w:color w:val="auto"/>
                <w:szCs w:val="21"/>
                <w:lang w:eastAsia="zh-CN"/>
              </w:rPr>
            </w:pPr>
            <w:r>
              <w:rPr>
                <w:rFonts w:hint="default" w:ascii="Times New Roman" w:hAnsi="Times New Roman" w:cs="Times New Roman"/>
                <w:bCs/>
                <w:color w:val="auto"/>
                <w:szCs w:val="21"/>
              </w:rPr>
              <w:t>本项目废水污染源相关参数见表</w:t>
            </w:r>
            <w:r>
              <w:rPr>
                <w:rFonts w:hint="eastAsia" w:cs="Times New Roman"/>
                <w:bCs/>
                <w:color w:val="auto"/>
                <w:szCs w:val="21"/>
                <w:lang w:val="en-US" w:eastAsia="zh-CN"/>
              </w:rPr>
              <w:t>32</w:t>
            </w:r>
            <w:r>
              <w:rPr>
                <w:rFonts w:hint="default" w:ascii="Times New Roman" w:hAnsi="Times New Roman" w:cs="Times New Roman"/>
                <w:bCs/>
                <w:color w:val="auto"/>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表32 废水污染源产排相关参数一览表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1639"/>
              <w:gridCol w:w="1676"/>
              <w:gridCol w:w="1644"/>
              <w:gridCol w:w="1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4" w:type="pct"/>
                  <w:tcBorders>
                    <w:tl2br w:val="nil"/>
                    <w:tr2bl w:val="nil"/>
                  </w:tcBorders>
                  <w:noWrap w:val="0"/>
                  <w:vAlign w:val="center"/>
                </w:tcPr>
                <w:p>
                  <w:pPr>
                    <w:adjustRightInd w:val="0"/>
                    <w:snapToGrid w:val="0"/>
                    <w:spacing w:line="240" w:lineRule="auto"/>
                    <w:jc w:val="center"/>
                    <w:rPr>
                      <w:rFonts w:hint="eastAsia" w:ascii="宋体" w:hAnsi="宋体" w:eastAsia="宋体" w:cs="宋体"/>
                      <w:b/>
                      <w:bCs/>
                      <w:color w:val="auto"/>
                      <w:sz w:val="21"/>
                      <w:szCs w:val="21"/>
                      <w:lang w:val="en-US" w:eastAsia="zh-CN"/>
                    </w:rPr>
                  </w:pPr>
                  <w:r>
                    <w:rPr>
                      <w:rFonts w:hint="eastAsia" w:ascii="宋体" w:hAnsi="宋体" w:cs="宋体"/>
                      <w:b/>
                      <w:bCs/>
                      <w:color w:val="auto"/>
                      <w:sz w:val="21"/>
                      <w:szCs w:val="21"/>
                      <w:lang w:val="en-US" w:eastAsia="zh-CN"/>
                    </w:rPr>
                    <w:t>污染物</w:t>
                  </w:r>
                </w:p>
              </w:tc>
              <w:tc>
                <w:tcPr>
                  <w:tcW w:w="994" w:type="pct"/>
                  <w:tcBorders>
                    <w:tl2br w:val="nil"/>
                    <w:tr2bl w:val="nil"/>
                  </w:tcBorders>
                  <w:noWrap w:val="0"/>
                  <w:vAlign w:val="center"/>
                </w:tcPr>
                <w:p>
                  <w:pPr>
                    <w:adjustRightInd w:val="0"/>
                    <w:snapToGrid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产生浓度mg/L</w:t>
                  </w:r>
                </w:p>
              </w:tc>
              <w:tc>
                <w:tcPr>
                  <w:tcW w:w="1016" w:type="pct"/>
                  <w:tcBorders>
                    <w:tl2br w:val="nil"/>
                    <w:tr2bl w:val="nil"/>
                  </w:tcBorders>
                  <w:noWrap w:val="0"/>
                  <w:vAlign w:val="center"/>
                </w:tcPr>
                <w:p>
                  <w:pPr>
                    <w:adjustRightInd w:val="0"/>
                    <w:snapToGrid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产生量t/a</w:t>
                  </w:r>
                </w:p>
              </w:tc>
              <w:tc>
                <w:tcPr>
                  <w:tcW w:w="997" w:type="pct"/>
                  <w:tcBorders>
                    <w:tl2br w:val="nil"/>
                    <w:tr2bl w:val="nil"/>
                  </w:tcBorders>
                  <w:noWrap w:val="0"/>
                  <w:vAlign w:val="center"/>
                </w:tcPr>
                <w:p>
                  <w:pPr>
                    <w:adjustRightInd w:val="0"/>
                    <w:snapToGrid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排放浓度mg/L</w:t>
                  </w:r>
                </w:p>
              </w:tc>
              <w:tc>
                <w:tcPr>
                  <w:tcW w:w="987" w:type="pct"/>
                  <w:tcBorders>
                    <w:tl2br w:val="nil"/>
                    <w:tr2bl w:val="nil"/>
                  </w:tcBorders>
                  <w:noWrap w:val="0"/>
                  <w:vAlign w:val="center"/>
                </w:tcPr>
                <w:p>
                  <w:pPr>
                    <w:adjustRightInd w:val="0"/>
                    <w:snapToGrid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4"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COD</w:t>
                  </w:r>
                </w:p>
              </w:tc>
              <w:tc>
                <w:tcPr>
                  <w:tcW w:w="994"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400</w:t>
                  </w:r>
                </w:p>
              </w:tc>
              <w:tc>
                <w:tcPr>
                  <w:tcW w:w="1016"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0.0998</w:t>
                  </w:r>
                </w:p>
              </w:tc>
              <w:tc>
                <w:tcPr>
                  <w:tcW w:w="997"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400</w:t>
                  </w:r>
                </w:p>
              </w:tc>
              <w:tc>
                <w:tcPr>
                  <w:tcW w:w="987" w:type="pct"/>
                  <w:vMerge w:val="restart"/>
                  <w:tcBorders>
                    <w:tl2br w:val="nil"/>
                    <w:tr2bl w:val="nil"/>
                  </w:tcBorders>
                  <w:noWrap w:val="0"/>
                  <w:vAlign w:val="center"/>
                </w:tcPr>
                <w:p>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生活污水</w:t>
                  </w:r>
                  <w:r>
                    <w:rPr>
                      <w:rFonts w:hint="eastAsia" w:cs="Times New Roman"/>
                      <w:color w:val="auto"/>
                      <w:highlight w:val="none"/>
                      <w:lang w:val="en-US" w:eastAsia="zh-CN"/>
                    </w:rPr>
                    <w:t>排入化粪池</w:t>
                  </w:r>
                </w:p>
                <w:p>
                  <w:pPr>
                    <w:adjustRightInd w:val="0"/>
                    <w:snapToGrid w:val="0"/>
                    <w:spacing w:line="240" w:lineRule="auto"/>
                    <w:jc w:val="center"/>
                    <w:rPr>
                      <w:rFonts w:hint="default"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4"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p>
              </w:tc>
              <w:tc>
                <w:tcPr>
                  <w:tcW w:w="994"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200</w:t>
                  </w:r>
                </w:p>
              </w:tc>
              <w:tc>
                <w:tcPr>
                  <w:tcW w:w="1016"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0.0499</w:t>
                  </w:r>
                </w:p>
              </w:tc>
              <w:tc>
                <w:tcPr>
                  <w:tcW w:w="997"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200</w:t>
                  </w:r>
                </w:p>
              </w:tc>
              <w:tc>
                <w:tcPr>
                  <w:tcW w:w="987" w:type="pct"/>
                  <w:vMerge w:val="continue"/>
                  <w:tcBorders>
                    <w:tl2br w:val="nil"/>
                    <w:tr2bl w:val="nil"/>
                  </w:tcBorders>
                  <w:noWrap w:val="0"/>
                  <w:vAlign w:val="center"/>
                </w:tcPr>
                <w:p>
                  <w:pPr>
                    <w:adjustRightInd w:val="0"/>
                    <w:snapToGrid w:val="0"/>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4"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c>
                <w:tcPr>
                  <w:tcW w:w="994"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220</w:t>
                  </w:r>
                </w:p>
              </w:tc>
              <w:tc>
                <w:tcPr>
                  <w:tcW w:w="1016"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0.0549</w:t>
                  </w:r>
                </w:p>
              </w:tc>
              <w:tc>
                <w:tcPr>
                  <w:tcW w:w="997"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220</w:t>
                  </w:r>
                </w:p>
              </w:tc>
              <w:tc>
                <w:tcPr>
                  <w:tcW w:w="987" w:type="pct"/>
                  <w:vMerge w:val="continue"/>
                  <w:tcBorders>
                    <w:tl2br w:val="nil"/>
                    <w:tr2bl w:val="nil"/>
                  </w:tcBorders>
                  <w:noWrap w:val="0"/>
                  <w:vAlign w:val="center"/>
                </w:tcPr>
                <w:p>
                  <w:pPr>
                    <w:adjustRightInd w:val="0"/>
                    <w:snapToGrid w:val="0"/>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4"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w:t>
                  </w:r>
                </w:p>
              </w:tc>
              <w:tc>
                <w:tcPr>
                  <w:tcW w:w="994"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25</w:t>
                  </w:r>
                </w:p>
              </w:tc>
              <w:tc>
                <w:tcPr>
                  <w:tcW w:w="1016"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0.0062</w:t>
                  </w:r>
                </w:p>
              </w:tc>
              <w:tc>
                <w:tcPr>
                  <w:tcW w:w="997" w:type="pct"/>
                  <w:tcBorders>
                    <w:tl2br w:val="nil"/>
                    <w:tr2bl w:val="nil"/>
                  </w:tcBorders>
                  <w:noWrap w:val="0"/>
                  <w:vAlign w:val="center"/>
                </w:tcPr>
                <w:p>
                  <w:pPr>
                    <w:adjustRightInd w:val="0"/>
                    <w:snapToGrid w:val="0"/>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25</w:t>
                  </w:r>
                </w:p>
              </w:tc>
              <w:tc>
                <w:tcPr>
                  <w:tcW w:w="987" w:type="pct"/>
                  <w:vMerge w:val="continue"/>
                  <w:tcBorders>
                    <w:tl2br w:val="nil"/>
                    <w:tr2bl w:val="nil"/>
                  </w:tcBorders>
                  <w:noWrap w:val="0"/>
                  <w:vAlign w:val="center"/>
                </w:tcPr>
                <w:p>
                  <w:pPr>
                    <w:adjustRightInd w:val="0"/>
                    <w:snapToGrid w:val="0"/>
                    <w:spacing w:line="240" w:lineRule="auto"/>
                    <w:jc w:val="center"/>
                    <w:rPr>
                      <w:rFonts w:hint="eastAsia" w:ascii="宋体" w:hAnsi="宋体" w:eastAsia="宋体" w:cs="宋体"/>
                      <w:color w:val="auto"/>
                      <w:sz w:val="21"/>
                      <w:szCs w:val="21"/>
                    </w:rPr>
                  </w:pPr>
                </w:p>
              </w:tc>
            </w:tr>
          </w:tbl>
          <w:p>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20" w:firstLineChars="200"/>
              <w:textAlignment w:val="auto"/>
              <w:rPr>
                <w:bCs/>
                <w:color w:val="auto"/>
                <w:szCs w:val="21"/>
              </w:rPr>
            </w:pPr>
            <w:r>
              <w:rPr>
                <w:bCs/>
                <w:color w:val="auto"/>
                <w:szCs w:val="21"/>
              </w:rPr>
              <w:t>综上所述，本项目生活污水</w:t>
            </w:r>
            <w:r>
              <w:rPr>
                <w:color w:val="auto"/>
              </w:rPr>
              <w:t>对周围环境影响较小。</w:t>
            </w:r>
          </w:p>
          <w:p>
            <w:pPr>
              <w:keepNext w:val="0"/>
              <w:keepLines w:val="0"/>
              <w:pageBreakBefore w:val="0"/>
              <w:widowControl w:val="0"/>
              <w:kinsoku/>
              <w:wordWrap/>
              <w:overflowPunct/>
              <w:topLinePunct w:val="0"/>
              <w:autoSpaceDE/>
              <w:autoSpaceDN/>
              <w:bidi w:val="0"/>
              <w:spacing w:line="360" w:lineRule="auto"/>
              <w:textAlignment w:val="auto"/>
              <w:rPr>
                <w:b/>
                <w:bCs/>
                <w:color w:val="auto"/>
                <w:szCs w:val="21"/>
              </w:rPr>
            </w:pPr>
            <w:r>
              <w:rPr>
                <w:b/>
                <w:bCs/>
                <w:color w:val="auto"/>
                <w:szCs w:val="21"/>
              </w:rPr>
              <w:t>3、噪声环境影响分析</w:t>
            </w:r>
          </w:p>
          <w:p>
            <w:pPr>
              <w:keepNext w:val="0"/>
              <w:keepLines w:val="0"/>
              <w:pageBreakBefore w:val="0"/>
              <w:widowControl w:val="0"/>
              <w:kinsoku/>
              <w:wordWrap/>
              <w:overflowPunct/>
              <w:topLinePunct w:val="0"/>
              <w:autoSpaceDE/>
              <w:autoSpaceDN/>
              <w:bidi w:val="0"/>
              <w:ind w:firstLine="420" w:firstLineChars="200"/>
              <w:textAlignment w:val="auto"/>
              <w:rPr>
                <w:color w:val="auto"/>
              </w:rPr>
            </w:pPr>
            <w:r>
              <w:rPr>
                <w:rFonts w:hint="eastAsia"/>
                <w:color w:val="auto"/>
              </w:rPr>
              <w:t>本项目噪声主要产生于灌装机、空压机、研磨机、混合罐</w:t>
            </w:r>
            <w:r>
              <w:rPr>
                <w:rFonts w:hint="eastAsia"/>
                <w:color w:val="auto"/>
                <w:lang w:eastAsia="zh-CN"/>
              </w:rPr>
              <w:t>、</w:t>
            </w:r>
            <w:r>
              <w:rPr>
                <w:rFonts w:hint="eastAsia"/>
                <w:color w:val="auto"/>
                <w:lang w:val="en-US" w:eastAsia="zh-CN"/>
              </w:rPr>
              <w:t>筛分机、造粒机</w:t>
            </w:r>
            <w:r>
              <w:rPr>
                <w:rFonts w:hint="eastAsia"/>
                <w:color w:val="auto"/>
              </w:rPr>
              <w:t>等设备运行时产生的噪声，噪声值在70~85dB（A）之间。</w:t>
            </w:r>
            <w:r>
              <w:rPr>
                <w:color w:val="auto"/>
              </w:rPr>
              <w:t>本项目的所有设备均放置在封闭车间内，采取建筑物隔声和设备安装减震垫等减少噪声的措施，建筑外的噪声值将减小15dB(A)。根据类比同类型项目设备产噪情况，设备噪声产生情况及处理措施见表</w:t>
            </w:r>
            <w:r>
              <w:rPr>
                <w:rFonts w:hint="eastAsia"/>
                <w:color w:val="auto"/>
                <w:lang w:val="en-US" w:eastAsia="zh-CN"/>
              </w:rPr>
              <w:t>33</w:t>
            </w:r>
            <w:r>
              <w:rPr>
                <w:color w:val="auto"/>
              </w:rPr>
              <w:t>。</w:t>
            </w:r>
          </w:p>
          <w:p>
            <w:pPr>
              <w:spacing w:line="240" w:lineRule="auto"/>
              <w:ind w:firstLine="422" w:firstLineChars="200"/>
              <w:jc w:val="center"/>
              <w:rPr>
                <w:rFonts w:eastAsia="黑体"/>
                <w:b/>
                <w:bCs/>
                <w:color w:val="auto"/>
                <w:sz w:val="21"/>
                <w:szCs w:val="21"/>
              </w:rPr>
            </w:pPr>
            <w:r>
              <w:rPr>
                <w:rFonts w:hint="eastAsia" w:ascii="宋体" w:hAnsi="宋体" w:eastAsia="宋体" w:cs="宋体"/>
                <w:b/>
                <w:bCs/>
                <w:color w:val="auto"/>
                <w:kern w:val="2"/>
                <w:sz w:val="21"/>
                <w:szCs w:val="21"/>
                <w:lang w:val="en-US" w:eastAsia="zh-CN" w:bidi="ar-SA"/>
              </w:rPr>
              <w:t>表33 噪声污染源产排相关参数一览表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1178"/>
              <w:gridCol w:w="1080"/>
              <w:gridCol w:w="1164"/>
              <w:gridCol w:w="1806"/>
              <w:gridCol w:w="1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237" w:type="dxa"/>
                  <w:tcBorders>
                    <w:tl2br w:val="nil"/>
                    <w:tr2bl w:val="nil"/>
                  </w:tcBorders>
                  <w:noWrap w:val="0"/>
                  <w:vAlign w:val="center"/>
                </w:tcPr>
                <w:p>
                  <w:pPr>
                    <w:spacing w:line="240" w:lineRule="auto"/>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编号</w:t>
                  </w:r>
                </w:p>
              </w:tc>
              <w:tc>
                <w:tcPr>
                  <w:tcW w:w="1178" w:type="dxa"/>
                  <w:tcBorders>
                    <w:tl2br w:val="nil"/>
                    <w:tr2bl w:val="nil"/>
                  </w:tcBorders>
                  <w:noWrap w:val="0"/>
                  <w:vAlign w:val="center"/>
                </w:tcPr>
                <w:p>
                  <w:pPr>
                    <w:spacing w:line="240" w:lineRule="auto"/>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产噪源</w:t>
                  </w:r>
                </w:p>
              </w:tc>
              <w:tc>
                <w:tcPr>
                  <w:tcW w:w="1080" w:type="dxa"/>
                  <w:tcBorders>
                    <w:tl2br w:val="nil"/>
                    <w:tr2bl w:val="nil"/>
                  </w:tcBorders>
                  <w:noWrap w:val="0"/>
                  <w:vAlign w:val="center"/>
                </w:tcPr>
                <w:p>
                  <w:pPr>
                    <w:spacing w:line="240" w:lineRule="auto"/>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产生源强[dB</w:t>
                  </w:r>
                  <w:r>
                    <w:rPr>
                      <w:rFonts w:hint="default" w:ascii="Times New Roman" w:hAnsi="Times New Roman" w:eastAsia="宋体" w:cs="Times New Roman"/>
                      <w:b/>
                      <w:color w:val="auto"/>
                      <w:sz w:val="21"/>
                      <w:szCs w:val="21"/>
                    </w:rPr>
                    <w:cr/>
                  </w:r>
                  <w:r>
                    <w:rPr>
                      <w:rFonts w:hint="default" w:ascii="Times New Roman" w:hAnsi="Times New Roman" w:eastAsia="宋体" w:cs="Times New Roman"/>
                      <w:b/>
                      <w:color w:val="auto"/>
                      <w:sz w:val="21"/>
                      <w:szCs w:val="21"/>
                    </w:rPr>
                    <w:t>A)]</w:t>
                  </w:r>
                </w:p>
              </w:tc>
              <w:tc>
                <w:tcPr>
                  <w:tcW w:w="1164" w:type="dxa"/>
                  <w:tcBorders>
                    <w:tl2br w:val="nil"/>
                    <w:tr2bl w:val="nil"/>
                  </w:tcBorders>
                  <w:noWrap w:val="0"/>
                  <w:vAlign w:val="center"/>
                </w:tcPr>
                <w:p>
                  <w:pPr>
                    <w:spacing w:line="240" w:lineRule="auto"/>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位置</w:t>
                  </w:r>
                </w:p>
              </w:tc>
              <w:tc>
                <w:tcPr>
                  <w:tcW w:w="1806" w:type="dxa"/>
                  <w:tcBorders>
                    <w:tl2br w:val="nil"/>
                    <w:tr2bl w:val="nil"/>
                  </w:tcBorders>
                  <w:noWrap w:val="0"/>
                  <w:vAlign w:val="center"/>
                </w:tcPr>
                <w:p>
                  <w:pPr>
                    <w:spacing w:line="240" w:lineRule="auto"/>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处理措施</w:t>
                  </w:r>
                </w:p>
              </w:tc>
              <w:tc>
                <w:tcPr>
                  <w:tcW w:w="1795" w:type="dxa"/>
                  <w:tcBorders>
                    <w:tl2br w:val="nil"/>
                    <w:tr2bl w:val="nil"/>
                  </w:tcBorders>
                  <w:noWrap w:val="0"/>
                  <w:vAlign w:val="center"/>
                </w:tcPr>
                <w:p>
                  <w:pPr>
                    <w:spacing w:line="240" w:lineRule="auto"/>
                    <w:jc w:val="center"/>
                    <w:rPr>
                      <w:rFonts w:hint="default" w:ascii="Times New Roman" w:hAnsi="Times New Roman" w:eastAsia="宋体" w:cs="Times New Roman"/>
                      <w:b/>
                      <w:color w:val="auto"/>
                      <w:sz w:val="21"/>
                      <w:szCs w:val="21"/>
                    </w:rPr>
                  </w:pPr>
                  <w:r>
                    <w:rPr>
                      <w:rFonts w:hint="eastAsia" w:cs="Times New Roman"/>
                      <w:b/>
                      <w:color w:val="auto"/>
                      <w:sz w:val="21"/>
                      <w:szCs w:val="21"/>
                      <w:lang w:val="en-US" w:eastAsia="zh-CN"/>
                    </w:rPr>
                    <w:t>治理后</w:t>
                  </w:r>
                  <w:r>
                    <w:rPr>
                      <w:rFonts w:hint="default" w:ascii="Times New Roman" w:hAnsi="Times New Roman" w:eastAsia="宋体" w:cs="Times New Roman"/>
                      <w:b/>
                      <w:color w:val="auto"/>
                      <w:sz w:val="21"/>
                      <w:szCs w:val="21"/>
                    </w:rPr>
                    <w:t>排放源强[dB(A)]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237"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17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ascii="Times New Roman" w:hAnsi="Times New Roman" w:cs="Times New Roman"/>
                      <w:color w:val="auto"/>
                    </w:rPr>
                    <w:t>灌装机</w:t>
                  </w:r>
                </w:p>
              </w:tc>
              <w:tc>
                <w:tcPr>
                  <w:tcW w:w="108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c>
                <w:tcPr>
                  <w:tcW w:w="116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车间内</w:t>
                  </w:r>
                </w:p>
              </w:tc>
              <w:tc>
                <w:tcPr>
                  <w:tcW w:w="180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隔声</w:t>
                  </w:r>
                  <w:r>
                    <w:rPr>
                      <w:rFonts w:hint="eastAsia" w:cs="Times New Roman"/>
                      <w:color w:val="auto"/>
                      <w:sz w:val="21"/>
                      <w:szCs w:val="21"/>
                      <w:lang w:eastAsia="zh-CN"/>
                    </w:rPr>
                    <w:t>、</w:t>
                  </w:r>
                  <w:r>
                    <w:rPr>
                      <w:rFonts w:hint="eastAsia" w:cs="Times New Roman"/>
                      <w:color w:val="auto"/>
                      <w:sz w:val="21"/>
                      <w:szCs w:val="21"/>
                      <w:lang w:val="en-US" w:eastAsia="zh-CN"/>
                    </w:rPr>
                    <w:t>基础</w:t>
                  </w:r>
                  <w:r>
                    <w:rPr>
                      <w:rFonts w:hint="default" w:ascii="Times New Roman" w:hAnsi="Times New Roman" w:eastAsia="宋体" w:cs="Times New Roman"/>
                      <w:color w:val="auto"/>
                      <w:sz w:val="21"/>
                      <w:szCs w:val="21"/>
                    </w:rPr>
                    <w:t>减震</w:t>
                  </w:r>
                </w:p>
              </w:tc>
              <w:tc>
                <w:tcPr>
                  <w:tcW w:w="1795" w:type="dxa"/>
                  <w:tcBorders>
                    <w:tl2br w:val="nil"/>
                    <w:tr2bl w:val="nil"/>
                  </w:tcBorders>
                  <w:noWrap w:val="0"/>
                  <w:vAlign w:val="center"/>
                </w:tcPr>
                <w:p>
                  <w:pPr>
                    <w:pStyle w:val="54"/>
                    <w:jc w:val="center"/>
                    <w:rPr>
                      <w:rFonts w:hint="default" w:ascii="Times New Roman" w:hAnsi="Times New Roman" w:eastAsia="宋体"/>
                      <w:color w:val="auto"/>
                      <w:kern w:val="2"/>
                      <w:sz w:val="21"/>
                      <w:szCs w:val="21"/>
                      <w:lang w:val="en-US" w:eastAsia="zh-CN" w:bidi="ar-SA"/>
                    </w:rPr>
                  </w:pPr>
                  <w:r>
                    <w:rPr>
                      <w:rFonts w:hint="eastAsia"/>
                      <w:color w:val="auto"/>
                    </w:rPr>
                    <w:t>≤</w:t>
                  </w:r>
                  <w:r>
                    <w:rPr>
                      <w:rFonts w:hint="eastAsia"/>
                      <w:color w:val="auto"/>
                      <w:lang w:val="en-US" w:eastAsia="zh-CN"/>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237"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178" w:type="dxa"/>
                  <w:tcBorders>
                    <w:tl2br w:val="nil"/>
                    <w:tr2bl w:val="nil"/>
                  </w:tcBorders>
                  <w:noWrap w:val="0"/>
                  <w:vAlign w:val="center"/>
                </w:tcPr>
                <w:p>
                  <w:pPr>
                    <w:pStyle w:val="57"/>
                    <w:rPr>
                      <w:rFonts w:hint="default" w:ascii="Times New Roman" w:hAnsi="Times New Roman" w:eastAsia="宋体" w:cs="Times New Roman"/>
                      <w:color w:val="auto"/>
                      <w:kern w:val="2"/>
                      <w:sz w:val="21"/>
                      <w:szCs w:val="20"/>
                      <w:lang w:val="en-US" w:eastAsia="zh-CN" w:bidi="ar-SA"/>
                    </w:rPr>
                  </w:pPr>
                  <w:r>
                    <w:rPr>
                      <w:rFonts w:ascii="Times New Roman" w:hAnsi="Times New Roman" w:cs="Times New Roman"/>
                      <w:color w:val="auto"/>
                    </w:rPr>
                    <w:t>空压机</w:t>
                  </w:r>
                </w:p>
              </w:tc>
              <w:tc>
                <w:tcPr>
                  <w:tcW w:w="108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75</w:t>
                  </w:r>
                </w:p>
              </w:tc>
              <w:tc>
                <w:tcPr>
                  <w:tcW w:w="116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车间内</w:t>
                  </w:r>
                </w:p>
              </w:tc>
              <w:tc>
                <w:tcPr>
                  <w:tcW w:w="180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隔声</w:t>
                  </w:r>
                  <w:r>
                    <w:rPr>
                      <w:rFonts w:hint="eastAsia" w:cs="Times New Roman"/>
                      <w:color w:val="auto"/>
                      <w:sz w:val="21"/>
                      <w:szCs w:val="21"/>
                      <w:lang w:eastAsia="zh-CN"/>
                    </w:rPr>
                    <w:t>、</w:t>
                  </w:r>
                  <w:r>
                    <w:rPr>
                      <w:rFonts w:hint="eastAsia" w:cs="Times New Roman"/>
                      <w:color w:val="auto"/>
                      <w:sz w:val="21"/>
                      <w:szCs w:val="21"/>
                      <w:lang w:val="en-US" w:eastAsia="zh-CN"/>
                    </w:rPr>
                    <w:t>基础</w:t>
                  </w:r>
                  <w:r>
                    <w:rPr>
                      <w:rFonts w:hint="default" w:ascii="Times New Roman" w:hAnsi="Times New Roman" w:eastAsia="宋体" w:cs="Times New Roman"/>
                      <w:color w:val="auto"/>
                      <w:sz w:val="21"/>
                      <w:szCs w:val="21"/>
                    </w:rPr>
                    <w:t>减震</w:t>
                  </w:r>
                </w:p>
              </w:tc>
              <w:tc>
                <w:tcPr>
                  <w:tcW w:w="1795" w:type="dxa"/>
                  <w:tcBorders>
                    <w:tl2br w:val="nil"/>
                    <w:tr2bl w:val="nil"/>
                  </w:tcBorders>
                  <w:noWrap w:val="0"/>
                  <w:vAlign w:val="center"/>
                </w:tcPr>
                <w:p>
                  <w:pPr>
                    <w:pStyle w:val="54"/>
                    <w:jc w:val="center"/>
                    <w:rPr>
                      <w:rFonts w:hint="default" w:ascii="Times New Roman" w:hAnsi="Times New Roman" w:eastAsia="宋体"/>
                      <w:color w:val="auto"/>
                      <w:kern w:val="2"/>
                      <w:sz w:val="21"/>
                      <w:szCs w:val="21"/>
                      <w:lang w:val="en-US" w:eastAsia="zh-CN" w:bidi="ar-SA"/>
                    </w:rPr>
                  </w:pPr>
                  <w:r>
                    <w:rPr>
                      <w:rFonts w:hint="eastAsia"/>
                      <w:color w:val="auto"/>
                    </w:rPr>
                    <w:t>≤</w:t>
                  </w:r>
                  <w:r>
                    <w:rPr>
                      <w:rFonts w:hint="eastAsia"/>
                      <w:color w:val="auto"/>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37"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178" w:type="dxa"/>
                  <w:tcBorders>
                    <w:tl2br w:val="nil"/>
                    <w:tr2bl w:val="nil"/>
                  </w:tcBorders>
                  <w:noWrap w:val="0"/>
                  <w:vAlign w:val="center"/>
                </w:tcPr>
                <w:p>
                  <w:pPr>
                    <w:pStyle w:val="57"/>
                    <w:rPr>
                      <w:rFonts w:hint="default" w:ascii="Times New Roman" w:hAnsi="Times New Roman" w:eastAsia="宋体" w:cs="Times New Roman"/>
                      <w:color w:val="auto"/>
                      <w:kern w:val="2"/>
                      <w:sz w:val="21"/>
                      <w:szCs w:val="20"/>
                      <w:lang w:val="en-US" w:eastAsia="zh-CN" w:bidi="ar-SA"/>
                    </w:rPr>
                  </w:pPr>
                  <w:r>
                    <w:rPr>
                      <w:rFonts w:ascii="Times New Roman" w:hAnsi="Times New Roman" w:cs="Times New Roman"/>
                      <w:color w:val="auto"/>
                    </w:rPr>
                    <w:t>研磨机</w:t>
                  </w:r>
                </w:p>
              </w:tc>
              <w:tc>
                <w:tcPr>
                  <w:tcW w:w="1080"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8</w:t>
                  </w:r>
                  <w:r>
                    <w:rPr>
                      <w:rFonts w:hint="eastAsia" w:cs="Times New Roman"/>
                      <w:color w:val="auto"/>
                      <w:sz w:val="21"/>
                      <w:szCs w:val="21"/>
                      <w:lang w:val="en-US" w:eastAsia="zh-CN"/>
                    </w:rPr>
                    <w:t>5</w:t>
                  </w:r>
                </w:p>
              </w:tc>
              <w:tc>
                <w:tcPr>
                  <w:tcW w:w="116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车间内</w:t>
                  </w:r>
                </w:p>
              </w:tc>
              <w:tc>
                <w:tcPr>
                  <w:tcW w:w="180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隔声</w:t>
                  </w:r>
                  <w:r>
                    <w:rPr>
                      <w:rFonts w:hint="eastAsia" w:cs="Times New Roman"/>
                      <w:color w:val="auto"/>
                      <w:sz w:val="21"/>
                      <w:szCs w:val="21"/>
                      <w:lang w:eastAsia="zh-CN"/>
                    </w:rPr>
                    <w:t>、</w:t>
                  </w:r>
                  <w:r>
                    <w:rPr>
                      <w:rFonts w:hint="eastAsia" w:cs="Times New Roman"/>
                      <w:color w:val="auto"/>
                      <w:sz w:val="21"/>
                      <w:szCs w:val="21"/>
                      <w:lang w:val="en-US" w:eastAsia="zh-CN"/>
                    </w:rPr>
                    <w:t>基础</w:t>
                  </w:r>
                  <w:r>
                    <w:rPr>
                      <w:rFonts w:hint="default" w:ascii="Times New Roman" w:hAnsi="Times New Roman" w:eastAsia="宋体" w:cs="Times New Roman"/>
                      <w:color w:val="auto"/>
                      <w:sz w:val="21"/>
                      <w:szCs w:val="21"/>
                    </w:rPr>
                    <w:t>减震</w:t>
                  </w:r>
                </w:p>
              </w:tc>
              <w:tc>
                <w:tcPr>
                  <w:tcW w:w="1795" w:type="dxa"/>
                  <w:tcBorders>
                    <w:tl2br w:val="nil"/>
                    <w:tr2bl w:val="nil"/>
                  </w:tcBorders>
                  <w:noWrap w:val="0"/>
                  <w:vAlign w:val="center"/>
                </w:tcPr>
                <w:p>
                  <w:pPr>
                    <w:pStyle w:val="54"/>
                    <w:jc w:val="center"/>
                    <w:rPr>
                      <w:rFonts w:hint="default" w:ascii="Times New Roman" w:hAnsi="Times New Roman" w:eastAsia="宋体"/>
                      <w:color w:val="auto"/>
                      <w:kern w:val="2"/>
                      <w:sz w:val="21"/>
                      <w:szCs w:val="21"/>
                      <w:lang w:val="en-US" w:eastAsia="zh-CN" w:bidi="ar-SA"/>
                    </w:rPr>
                  </w:pPr>
                  <w:r>
                    <w:rPr>
                      <w:rFonts w:hint="eastAsia"/>
                      <w:color w:val="auto"/>
                    </w:rPr>
                    <w:t>≤</w:t>
                  </w:r>
                  <w:r>
                    <w:rPr>
                      <w:rFonts w:hint="eastAsia"/>
                      <w:color w:val="auto"/>
                      <w:lang w:val="en-US" w:eastAsia="zh-C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37"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1178" w:type="dxa"/>
                  <w:tcBorders>
                    <w:tl2br w:val="nil"/>
                    <w:tr2bl w:val="nil"/>
                  </w:tcBorders>
                  <w:noWrap w:val="0"/>
                  <w:vAlign w:val="center"/>
                </w:tcPr>
                <w:p>
                  <w:pPr>
                    <w:pStyle w:val="57"/>
                    <w:rPr>
                      <w:rFonts w:hint="default" w:ascii="Times New Roman" w:hAnsi="Times New Roman" w:eastAsia="宋体" w:cs="Times New Roman"/>
                      <w:color w:val="auto"/>
                      <w:kern w:val="2"/>
                      <w:sz w:val="21"/>
                      <w:szCs w:val="20"/>
                      <w:lang w:val="en-US" w:eastAsia="zh-CN" w:bidi="ar-SA"/>
                    </w:rPr>
                  </w:pPr>
                  <w:r>
                    <w:rPr>
                      <w:rFonts w:ascii="Times New Roman" w:hAnsi="Times New Roman" w:cs="Times New Roman"/>
                      <w:color w:val="auto"/>
                    </w:rPr>
                    <w:t>混合罐</w:t>
                  </w:r>
                </w:p>
              </w:tc>
              <w:tc>
                <w:tcPr>
                  <w:tcW w:w="108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85</w:t>
                  </w:r>
                </w:p>
              </w:tc>
              <w:tc>
                <w:tcPr>
                  <w:tcW w:w="116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车间内</w:t>
                  </w:r>
                </w:p>
              </w:tc>
              <w:tc>
                <w:tcPr>
                  <w:tcW w:w="180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隔声、基础</w:t>
                  </w:r>
                  <w:r>
                    <w:rPr>
                      <w:rFonts w:hint="default" w:ascii="Times New Roman" w:hAnsi="Times New Roman" w:eastAsia="宋体" w:cs="Times New Roman"/>
                      <w:color w:val="auto"/>
                      <w:sz w:val="21"/>
                      <w:szCs w:val="21"/>
                    </w:rPr>
                    <w:t>减震</w:t>
                  </w:r>
                </w:p>
              </w:tc>
              <w:tc>
                <w:tcPr>
                  <w:tcW w:w="1795" w:type="dxa"/>
                  <w:tcBorders>
                    <w:tl2br w:val="nil"/>
                    <w:tr2bl w:val="nil"/>
                  </w:tcBorders>
                  <w:noWrap w:val="0"/>
                  <w:vAlign w:val="center"/>
                </w:tcPr>
                <w:p>
                  <w:pPr>
                    <w:pStyle w:val="54"/>
                    <w:jc w:val="center"/>
                    <w:rPr>
                      <w:rFonts w:hint="default" w:ascii="Times New Roman" w:hAnsi="Times New Roman" w:eastAsia="宋体"/>
                      <w:color w:val="auto"/>
                      <w:kern w:val="2"/>
                      <w:sz w:val="21"/>
                      <w:szCs w:val="21"/>
                      <w:lang w:val="en-US" w:eastAsia="zh-CN" w:bidi="ar-SA"/>
                    </w:rPr>
                  </w:pPr>
                  <w:r>
                    <w:rPr>
                      <w:rFonts w:hint="eastAsia"/>
                      <w:color w:val="auto"/>
                    </w:rPr>
                    <w:t>≤</w:t>
                  </w:r>
                  <w:r>
                    <w:rPr>
                      <w:rFonts w:hint="eastAsia"/>
                      <w:color w:val="auto"/>
                      <w:lang w:val="en-US" w:eastAsia="zh-C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37"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1178" w:type="dxa"/>
                  <w:tcBorders>
                    <w:tl2br w:val="nil"/>
                    <w:tr2bl w:val="nil"/>
                  </w:tcBorders>
                  <w:noWrap w:val="0"/>
                  <w:vAlign w:val="center"/>
                </w:tcPr>
                <w:p>
                  <w:pPr>
                    <w:pStyle w:val="54"/>
                    <w:jc w:val="center"/>
                    <w:rPr>
                      <w:rFonts w:ascii="Times New Roman" w:hAnsi="Times New Roman" w:eastAsia="宋体"/>
                      <w:color w:val="auto"/>
                      <w:kern w:val="2"/>
                      <w:sz w:val="21"/>
                      <w:szCs w:val="21"/>
                      <w:lang w:val="en-US" w:eastAsia="zh-CN" w:bidi="ar-SA"/>
                    </w:rPr>
                  </w:pPr>
                  <w:r>
                    <w:rPr>
                      <w:rFonts w:hint="eastAsia"/>
                      <w:color w:val="auto"/>
                    </w:rPr>
                    <w:t>筛分机</w:t>
                  </w:r>
                </w:p>
              </w:tc>
              <w:tc>
                <w:tcPr>
                  <w:tcW w:w="1080" w:type="dxa"/>
                  <w:tcBorders>
                    <w:tl2br w:val="nil"/>
                    <w:tr2bl w:val="nil"/>
                  </w:tcBorders>
                  <w:noWrap w:val="0"/>
                  <w:vAlign w:val="center"/>
                </w:tcPr>
                <w:p>
                  <w:pPr>
                    <w:pStyle w:val="54"/>
                    <w:jc w:val="center"/>
                    <w:rPr>
                      <w:rFonts w:hint="default" w:ascii="Times New Roman" w:hAnsi="Times New Roman" w:eastAsia="宋体"/>
                      <w:color w:val="auto"/>
                      <w:kern w:val="2"/>
                      <w:sz w:val="21"/>
                      <w:szCs w:val="21"/>
                      <w:lang w:val="en-US" w:eastAsia="zh-CN" w:bidi="ar-SA"/>
                    </w:rPr>
                  </w:pPr>
                  <w:r>
                    <w:rPr>
                      <w:rFonts w:hint="eastAsia"/>
                      <w:color w:val="auto"/>
                    </w:rPr>
                    <w:t>80</w:t>
                  </w:r>
                </w:p>
              </w:tc>
              <w:tc>
                <w:tcPr>
                  <w:tcW w:w="116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车间内</w:t>
                  </w:r>
                </w:p>
              </w:tc>
              <w:tc>
                <w:tcPr>
                  <w:tcW w:w="180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隔声、基础</w:t>
                  </w:r>
                  <w:r>
                    <w:rPr>
                      <w:rFonts w:hint="default" w:ascii="Times New Roman" w:hAnsi="Times New Roman" w:eastAsia="宋体" w:cs="Times New Roman"/>
                      <w:color w:val="auto"/>
                      <w:sz w:val="21"/>
                      <w:szCs w:val="21"/>
                    </w:rPr>
                    <w:t>减震</w:t>
                  </w:r>
                </w:p>
              </w:tc>
              <w:tc>
                <w:tcPr>
                  <w:tcW w:w="1795"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eastAsia"/>
                      <w:color w:val="auto"/>
                    </w:rPr>
                    <w:t>≤</w:t>
                  </w:r>
                  <w:r>
                    <w:rPr>
                      <w:rFonts w:hint="eastAsia"/>
                      <w:color w:val="auto"/>
                      <w:lang w:val="en-US" w:eastAsia="zh-CN"/>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37"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1178" w:type="dxa"/>
                  <w:tcBorders>
                    <w:tl2br w:val="nil"/>
                    <w:tr2bl w:val="nil"/>
                  </w:tcBorders>
                  <w:noWrap w:val="0"/>
                  <w:vAlign w:val="center"/>
                </w:tcPr>
                <w:p>
                  <w:pPr>
                    <w:pStyle w:val="54"/>
                    <w:jc w:val="center"/>
                    <w:rPr>
                      <w:rFonts w:ascii="Times New Roman" w:hAnsi="Times New Roman" w:eastAsia="宋体"/>
                      <w:color w:val="auto"/>
                      <w:kern w:val="2"/>
                      <w:sz w:val="21"/>
                      <w:szCs w:val="21"/>
                      <w:lang w:val="en-US" w:eastAsia="zh-CN" w:bidi="ar-SA"/>
                    </w:rPr>
                  </w:pPr>
                  <w:r>
                    <w:rPr>
                      <w:rFonts w:hint="eastAsia"/>
                      <w:color w:val="auto"/>
                    </w:rPr>
                    <w:t>造粒机</w:t>
                  </w:r>
                </w:p>
              </w:tc>
              <w:tc>
                <w:tcPr>
                  <w:tcW w:w="1080" w:type="dxa"/>
                  <w:tcBorders>
                    <w:tl2br w:val="nil"/>
                    <w:tr2bl w:val="nil"/>
                  </w:tcBorders>
                  <w:noWrap w:val="0"/>
                  <w:vAlign w:val="center"/>
                </w:tcPr>
                <w:p>
                  <w:pPr>
                    <w:pStyle w:val="54"/>
                    <w:jc w:val="center"/>
                    <w:rPr>
                      <w:rFonts w:hint="default" w:ascii="Times New Roman" w:hAnsi="Times New Roman" w:eastAsia="宋体"/>
                      <w:color w:val="auto"/>
                      <w:kern w:val="2"/>
                      <w:sz w:val="21"/>
                      <w:szCs w:val="21"/>
                      <w:lang w:val="en-US" w:eastAsia="zh-CN" w:bidi="ar-SA"/>
                    </w:rPr>
                  </w:pPr>
                  <w:r>
                    <w:rPr>
                      <w:rFonts w:hint="eastAsia"/>
                      <w:color w:val="auto"/>
                      <w:lang w:val="en-US" w:eastAsia="zh-CN"/>
                    </w:rPr>
                    <w:t>85</w:t>
                  </w:r>
                </w:p>
              </w:tc>
              <w:tc>
                <w:tcPr>
                  <w:tcW w:w="116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车间内</w:t>
                  </w:r>
                </w:p>
              </w:tc>
              <w:tc>
                <w:tcPr>
                  <w:tcW w:w="180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隔声、基础</w:t>
                  </w:r>
                  <w:r>
                    <w:rPr>
                      <w:rFonts w:hint="default" w:ascii="Times New Roman" w:hAnsi="Times New Roman" w:eastAsia="宋体" w:cs="Times New Roman"/>
                      <w:color w:val="auto"/>
                      <w:sz w:val="21"/>
                      <w:szCs w:val="21"/>
                    </w:rPr>
                    <w:t>减震</w:t>
                  </w:r>
                </w:p>
              </w:tc>
              <w:tc>
                <w:tcPr>
                  <w:tcW w:w="1795"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olor w:val="auto"/>
                    </w:rPr>
                    <w:t>≤</w:t>
                  </w:r>
                  <w:r>
                    <w:rPr>
                      <w:rFonts w:hint="eastAsia"/>
                      <w:color w:val="auto"/>
                      <w:lang w:val="en-US" w:eastAsia="zh-CN"/>
                    </w:rPr>
                    <w:t>70</w:t>
                  </w:r>
                </w:p>
              </w:tc>
            </w:tr>
          </w:tbl>
          <w:p>
            <w:pPr>
              <w:adjustRightInd w:val="0"/>
              <w:snapToGrid w:val="0"/>
              <w:spacing w:before="120" w:beforeLines="50" w:line="360" w:lineRule="auto"/>
              <w:ind w:firstLine="420" w:firstLineChars="200"/>
              <w:rPr>
                <w:color w:val="auto"/>
                <w:szCs w:val="21"/>
              </w:rPr>
            </w:pPr>
            <w:r>
              <w:rPr>
                <w:color w:val="auto"/>
                <w:szCs w:val="21"/>
              </w:rPr>
              <w:t>本项目噪声通过厂房隔声+减振基础及距离衰减，叠加背景值后，项目厂界噪声能够达到《工业企业厂界环境噪声排放标准》（GB12348-2008）</w:t>
            </w:r>
            <w:r>
              <w:rPr>
                <w:rFonts w:hint="eastAsia"/>
                <w:color w:val="auto"/>
                <w:szCs w:val="21"/>
                <w:lang w:val="en-US" w:eastAsia="zh-CN"/>
              </w:rPr>
              <w:t>2</w:t>
            </w:r>
            <w:r>
              <w:rPr>
                <w:color w:val="auto"/>
                <w:szCs w:val="21"/>
              </w:rPr>
              <w:t>类区标准。</w:t>
            </w:r>
          </w:p>
          <w:p>
            <w:pPr>
              <w:adjustRightInd w:val="0"/>
              <w:snapToGrid w:val="0"/>
              <w:spacing w:line="360" w:lineRule="auto"/>
              <w:ind w:firstLine="420" w:firstLineChars="200"/>
              <w:rPr>
                <w:color w:val="auto"/>
                <w:szCs w:val="21"/>
              </w:rPr>
            </w:pPr>
            <w:r>
              <w:rPr>
                <w:color w:val="auto"/>
                <w:szCs w:val="21"/>
              </w:rPr>
              <w:t>本次环评提出噪声监测计划，具体</w:t>
            </w:r>
            <w:r>
              <w:rPr>
                <w:bCs/>
                <w:color w:val="auto"/>
                <w:szCs w:val="21"/>
              </w:rPr>
              <w:t>见表</w:t>
            </w:r>
            <w:r>
              <w:rPr>
                <w:rFonts w:hint="eastAsia"/>
                <w:bCs/>
                <w:color w:val="auto"/>
                <w:szCs w:val="21"/>
                <w:lang w:val="en-US" w:eastAsia="zh-CN"/>
              </w:rPr>
              <w:t>34</w:t>
            </w:r>
            <w:r>
              <w:rPr>
                <w:bCs/>
                <w:color w:val="auto"/>
                <w:szCs w:val="21"/>
              </w:rPr>
              <w:t>。</w:t>
            </w:r>
          </w:p>
          <w:p>
            <w:pPr>
              <w:bidi w:val="0"/>
              <w:spacing w:line="240" w:lineRule="auto"/>
              <w:jc w:val="center"/>
              <w:rPr>
                <w:b/>
                <w:bCs/>
                <w:color w:val="auto"/>
                <w:sz w:val="21"/>
                <w:szCs w:val="21"/>
              </w:rPr>
            </w:pPr>
            <w:r>
              <w:rPr>
                <w:b/>
                <w:bCs/>
                <w:color w:val="auto"/>
                <w:sz w:val="21"/>
                <w:szCs w:val="21"/>
              </w:rPr>
              <w:t>表</w:t>
            </w:r>
            <w:r>
              <w:rPr>
                <w:rFonts w:hint="eastAsia"/>
                <w:b/>
                <w:bCs/>
                <w:color w:val="auto"/>
                <w:sz w:val="21"/>
                <w:szCs w:val="21"/>
                <w:lang w:val="en-US" w:eastAsia="zh-CN"/>
              </w:rPr>
              <w:t xml:space="preserve">34 </w:t>
            </w:r>
            <w:r>
              <w:rPr>
                <w:b/>
                <w:bCs/>
                <w:color w:val="auto"/>
                <w:sz w:val="21"/>
                <w:szCs w:val="21"/>
              </w:rPr>
              <w:t>噪声监测计划一览表</w:t>
            </w:r>
          </w:p>
          <w:tbl>
            <w:tblPr>
              <w:tblStyle w:val="19"/>
              <w:tblW w:w="8214" w:type="dxa"/>
              <w:tblInd w:w="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9"/>
              <w:gridCol w:w="568"/>
              <w:gridCol w:w="850"/>
              <w:gridCol w:w="994"/>
              <w:gridCol w:w="1274"/>
              <w:gridCol w:w="1134"/>
              <w:gridCol w:w="2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52" w:type="pct"/>
                  <w:tcBorders>
                    <w:tl2br w:val="nil"/>
                    <w:tr2bl w:val="nil"/>
                  </w:tcBorders>
                  <w:noWrap w:val="0"/>
                  <w:vAlign w:val="center"/>
                </w:tcPr>
                <w:p>
                  <w:pPr>
                    <w:autoSpaceDE w:val="0"/>
                    <w:autoSpaceDN w:val="0"/>
                    <w:adjustRightInd w:val="0"/>
                    <w:spacing w:line="0" w:lineRule="atLeast"/>
                    <w:ind w:left="-105" w:leftChars="-50" w:right="-105" w:rightChars="-50"/>
                    <w:jc w:val="center"/>
                    <w:rPr>
                      <w:b/>
                      <w:bCs/>
                      <w:color w:val="auto"/>
                      <w:sz w:val="21"/>
                      <w:szCs w:val="21"/>
                    </w:rPr>
                  </w:pPr>
                  <w:r>
                    <w:rPr>
                      <w:b/>
                      <w:bCs/>
                      <w:color w:val="auto"/>
                      <w:sz w:val="21"/>
                      <w:szCs w:val="21"/>
                    </w:rPr>
                    <w:t>序号</w:t>
                  </w:r>
                </w:p>
              </w:tc>
              <w:tc>
                <w:tcPr>
                  <w:tcW w:w="345" w:type="pct"/>
                  <w:tcBorders>
                    <w:tl2br w:val="nil"/>
                    <w:tr2bl w:val="nil"/>
                  </w:tcBorders>
                  <w:noWrap w:val="0"/>
                  <w:vAlign w:val="center"/>
                </w:tcPr>
                <w:p>
                  <w:pPr>
                    <w:spacing w:line="0" w:lineRule="atLeast"/>
                    <w:jc w:val="center"/>
                    <w:rPr>
                      <w:b/>
                      <w:bCs/>
                      <w:color w:val="auto"/>
                      <w:sz w:val="21"/>
                      <w:szCs w:val="21"/>
                    </w:rPr>
                  </w:pPr>
                  <w:r>
                    <w:rPr>
                      <w:b/>
                      <w:bCs/>
                      <w:color w:val="auto"/>
                      <w:sz w:val="21"/>
                      <w:szCs w:val="21"/>
                    </w:rPr>
                    <w:t>项目</w:t>
                  </w:r>
                </w:p>
              </w:tc>
              <w:tc>
                <w:tcPr>
                  <w:tcW w:w="517" w:type="pct"/>
                  <w:tcBorders>
                    <w:tl2br w:val="nil"/>
                    <w:tr2bl w:val="nil"/>
                  </w:tcBorders>
                  <w:noWrap w:val="0"/>
                  <w:vAlign w:val="center"/>
                </w:tcPr>
                <w:p>
                  <w:pPr>
                    <w:autoSpaceDE w:val="0"/>
                    <w:autoSpaceDN w:val="0"/>
                    <w:adjustRightInd w:val="0"/>
                    <w:spacing w:line="0" w:lineRule="atLeast"/>
                    <w:ind w:left="-105" w:leftChars="-50" w:right="-105" w:rightChars="-50"/>
                    <w:jc w:val="center"/>
                    <w:rPr>
                      <w:b/>
                      <w:bCs/>
                      <w:color w:val="auto"/>
                      <w:sz w:val="21"/>
                      <w:szCs w:val="21"/>
                    </w:rPr>
                  </w:pPr>
                  <w:r>
                    <w:rPr>
                      <w:b/>
                      <w:bCs/>
                      <w:color w:val="auto"/>
                      <w:sz w:val="21"/>
                      <w:szCs w:val="21"/>
                    </w:rPr>
                    <w:t>内容</w:t>
                  </w:r>
                </w:p>
              </w:tc>
              <w:tc>
                <w:tcPr>
                  <w:tcW w:w="605" w:type="pct"/>
                  <w:tcBorders>
                    <w:tl2br w:val="nil"/>
                    <w:tr2bl w:val="nil"/>
                  </w:tcBorders>
                  <w:noWrap w:val="0"/>
                  <w:vAlign w:val="center"/>
                </w:tcPr>
                <w:p>
                  <w:pPr>
                    <w:autoSpaceDE w:val="0"/>
                    <w:autoSpaceDN w:val="0"/>
                    <w:adjustRightInd w:val="0"/>
                    <w:spacing w:line="0" w:lineRule="atLeast"/>
                    <w:ind w:left="-105" w:leftChars="-50" w:right="-105" w:rightChars="-50"/>
                    <w:jc w:val="center"/>
                    <w:rPr>
                      <w:b/>
                      <w:bCs/>
                      <w:color w:val="auto"/>
                      <w:sz w:val="21"/>
                      <w:szCs w:val="21"/>
                    </w:rPr>
                  </w:pPr>
                  <w:r>
                    <w:rPr>
                      <w:b/>
                      <w:bCs/>
                      <w:color w:val="auto"/>
                      <w:sz w:val="21"/>
                      <w:szCs w:val="21"/>
                    </w:rPr>
                    <w:t>监测因子</w:t>
                  </w:r>
                </w:p>
              </w:tc>
              <w:tc>
                <w:tcPr>
                  <w:tcW w:w="775" w:type="pct"/>
                  <w:tcBorders>
                    <w:tl2br w:val="nil"/>
                    <w:tr2bl w:val="nil"/>
                  </w:tcBorders>
                  <w:noWrap w:val="0"/>
                  <w:vAlign w:val="center"/>
                </w:tcPr>
                <w:p>
                  <w:pPr>
                    <w:autoSpaceDE w:val="0"/>
                    <w:autoSpaceDN w:val="0"/>
                    <w:adjustRightInd w:val="0"/>
                    <w:spacing w:line="0" w:lineRule="atLeast"/>
                    <w:ind w:left="-105" w:leftChars="-50" w:right="-105" w:rightChars="-50"/>
                    <w:jc w:val="center"/>
                    <w:rPr>
                      <w:b/>
                      <w:bCs/>
                      <w:color w:val="auto"/>
                      <w:sz w:val="21"/>
                      <w:szCs w:val="21"/>
                    </w:rPr>
                  </w:pPr>
                  <w:r>
                    <w:rPr>
                      <w:b/>
                      <w:bCs/>
                      <w:snapToGrid w:val="0"/>
                      <w:color w:val="auto"/>
                      <w:kern w:val="24"/>
                      <w:sz w:val="21"/>
                      <w:szCs w:val="21"/>
                    </w:rPr>
                    <w:t>取样位置</w:t>
                  </w:r>
                </w:p>
              </w:tc>
              <w:tc>
                <w:tcPr>
                  <w:tcW w:w="690" w:type="pct"/>
                  <w:tcBorders>
                    <w:tl2br w:val="nil"/>
                    <w:tr2bl w:val="nil"/>
                  </w:tcBorders>
                  <w:noWrap w:val="0"/>
                  <w:vAlign w:val="center"/>
                </w:tcPr>
                <w:p>
                  <w:pPr>
                    <w:spacing w:line="0" w:lineRule="atLeast"/>
                    <w:jc w:val="center"/>
                    <w:rPr>
                      <w:b/>
                      <w:bCs/>
                      <w:color w:val="auto"/>
                      <w:sz w:val="21"/>
                      <w:szCs w:val="21"/>
                    </w:rPr>
                  </w:pPr>
                  <w:r>
                    <w:rPr>
                      <w:b/>
                      <w:bCs/>
                      <w:color w:val="auto"/>
                      <w:sz w:val="21"/>
                      <w:szCs w:val="21"/>
                    </w:rPr>
                    <w:t>监测频率</w:t>
                  </w:r>
                </w:p>
              </w:tc>
              <w:tc>
                <w:tcPr>
                  <w:tcW w:w="1713" w:type="pct"/>
                  <w:tcBorders>
                    <w:tl2br w:val="nil"/>
                    <w:tr2bl w:val="nil"/>
                  </w:tcBorders>
                  <w:noWrap w:val="0"/>
                  <w:vAlign w:val="center"/>
                </w:tcPr>
                <w:p>
                  <w:pPr>
                    <w:spacing w:line="0" w:lineRule="atLeast"/>
                    <w:jc w:val="center"/>
                    <w:rPr>
                      <w:b/>
                      <w:bCs/>
                      <w:color w:val="auto"/>
                      <w:sz w:val="21"/>
                      <w:szCs w:val="21"/>
                    </w:rPr>
                  </w:pPr>
                  <w:r>
                    <w:rPr>
                      <w:b/>
                      <w:bCs/>
                      <w:color w:val="auto"/>
                      <w:sz w:val="21"/>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52" w:type="pct"/>
                  <w:tcBorders>
                    <w:tl2br w:val="nil"/>
                    <w:tr2bl w:val="nil"/>
                  </w:tcBorders>
                  <w:noWrap w:val="0"/>
                  <w:vAlign w:val="center"/>
                </w:tcPr>
                <w:p>
                  <w:pPr>
                    <w:autoSpaceDE w:val="0"/>
                    <w:autoSpaceDN w:val="0"/>
                    <w:adjustRightInd w:val="0"/>
                    <w:spacing w:line="0" w:lineRule="atLeast"/>
                    <w:ind w:left="-105" w:leftChars="-50" w:right="-105" w:rightChars="-50"/>
                    <w:jc w:val="center"/>
                    <w:rPr>
                      <w:color w:val="auto"/>
                      <w:sz w:val="21"/>
                      <w:szCs w:val="21"/>
                    </w:rPr>
                  </w:pPr>
                  <w:r>
                    <w:rPr>
                      <w:color w:val="auto"/>
                      <w:sz w:val="21"/>
                      <w:szCs w:val="21"/>
                    </w:rPr>
                    <w:t>1</w:t>
                  </w:r>
                </w:p>
              </w:tc>
              <w:tc>
                <w:tcPr>
                  <w:tcW w:w="345" w:type="pct"/>
                  <w:tcBorders>
                    <w:tl2br w:val="nil"/>
                    <w:tr2bl w:val="nil"/>
                  </w:tcBorders>
                  <w:noWrap w:val="0"/>
                  <w:vAlign w:val="center"/>
                </w:tcPr>
                <w:p>
                  <w:pPr>
                    <w:spacing w:line="0" w:lineRule="atLeast"/>
                    <w:jc w:val="center"/>
                    <w:rPr>
                      <w:color w:val="auto"/>
                      <w:sz w:val="21"/>
                      <w:szCs w:val="21"/>
                    </w:rPr>
                  </w:pPr>
                  <w:r>
                    <w:rPr>
                      <w:color w:val="auto"/>
                      <w:sz w:val="21"/>
                      <w:szCs w:val="21"/>
                    </w:rPr>
                    <w:t>噪声</w:t>
                  </w:r>
                </w:p>
              </w:tc>
              <w:tc>
                <w:tcPr>
                  <w:tcW w:w="517" w:type="pct"/>
                  <w:tcBorders>
                    <w:tl2br w:val="nil"/>
                    <w:tr2bl w:val="nil"/>
                  </w:tcBorders>
                  <w:noWrap w:val="0"/>
                  <w:vAlign w:val="center"/>
                </w:tcPr>
                <w:p>
                  <w:pPr>
                    <w:autoSpaceDE w:val="0"/>
                    <w:autoSpaceDN w:val="0"/>
                    <w:adjustRightInd w:val="0"/>
                    <w:spacing w:line="0" w:lineRule="atLeast"/>
                    <w:ind w:left="-105" w:leftChars="-50" w:right="-105" w:rightChars="-50"/>
                    <w:jc w:val="center"/>
                    <w:rPr>
                      <w:color w:val="auto"/>
                      <w:sz w:val="21"/>
                      <w:szCs w:val="21"/>
                    </w:rPr>
                  </w:pPr>
                  <w:r>
                    <w:rPr>
                      <w:color w:val="auto"/>
                      <w:sz w:val="21"/>
                      <w:szCs w:val="21"/>
                    </w:rPr>
                    <w:t>厂界噪声</w:t>
                  </w:r>
                </w:p>
              </w:tc>
              <w:tc>
                <w:tcPr>
                  <w:tcW w:w="605" w:type="pct"/>
                  <w:tcBorders>
                    <w:tl2br w:val="nil"/>
                    <w:tr2bl w:val="nil"/>
                  </w:tcBorders>
                  <w:noWrap w:val="0"/>
                  <w:vAlign w:val="center"/>
                </w:tcPr>
                <w:p>
                  <w:pPr>
                    <w:autoSpaceDE w:val="0"/>
                    <w:autoSpaceDN w:val="0"/>
                    <w:adjustRightInd w:val="0"/>
                    <w:spacing w:line="0" w:lineRule="atLeast"/>
                    <w:ind w:left="-105" w:leftChars="-50" w:right="-105" w:rightChars="-50"/>
                    <w:jc w:val="center"/>
                    <w:rPr>
                      <w:color w:val="auto"/>
                      <w:sz w:val="21"/>
                      <w:szCs w:val="21"/>
                    </w:rPr>
                  </w:pPr>
                  <w:r>
                    <w:rPr>
                      <w:color w:val="auto"/>
                      <w:sz w:val="21"/>
                      <w:szCs w:val="21"/>
                    </w:rPr>
                    <w:t>L</w:t>
                  </w:r>
                  <w:r>
                    <w:rPr>
                      <w:color w:val="auto"/>
                      <w:sz w:val="21"/>
                      <w:szCs w:val="21"/>
                      <w:vertAlign w:val="subscript"/>
                    </w:rPr>
                    <w:t>eq</w:t>
                  </w:r>
                </w:p>
              </w:tc>
              <w:tc>
                <w:tcPr>
                  <w:tcW w:w="775" w:type="pct"/>
                  <w:tcBorders>
                    <w:tl2br w:val="nil"/>
                    <w:tr2bl w:val="nil"/>
                  </w:tcBorders>
                  <w:noWrap w:val="0"/>
                  <w:vAlign w:val="center"/>
                </w:tcPr>
                <w:p>
                  <w:pPr>
                    <w:autoSpaceDE w:val="0"/>
                    <w:autoSpaceDN w:val="0"/>
                    <w:adjustRightInd w:val="0"/>
                    <w:spacing w:line="0" w:lineRule="atLeast"/>
                    <w:ind w:left="-105" w:leftChars="-50" w:right="-105" w:rightChars="-50"/>
                    <w:jc w:val="center"/>
                    <w:rPr>
                      <w:bCs/>
                      <w:snapToGrid w:val="0"/>
                      <w:color w:val="auto"/>
                      <w:kern w:val="24"/>
                      <w:sz w:val="21"/>
                      <w:szCs w:val="21"/>
                    </w:rPr>
                  </w:pPr>
                  <w:r>
                    <w:rPr>
                      <w:color w:val="auto"/>
                      <w:sz w:val="21"/>
                      <w:szCs w:val="21"/>
                    </w:rPr>
                    <w:t>厂界外1m处</w:t>
                  </w:r>
                </w:p>
              </w:tc>
              <w:tc>
                <w:tcPr>
                  <w:tcW w:w="690" w:type="pct"/>
                  <w:tcBorders>
                    <w:tl2br w:val="nil"/>
                    <w:tr2bl w:val="nil"/>
                  </w:tcBorders>
                  <w:noWrap w:val="0"/>
                  <w:vAlign w:val="center"/>
                </w:tcPr>
                <w:p>
                  <w:pPr>
                    <w:spacing w:line="0" w:lineRule="atLeast"/>
                    <w:ind w:left="-105" w:leftChars="-50" w:right="-105" w:rightChars="-50"/>
                    <w:jc w:val="center"/>
                    <w:rPr>
                      <w:color w:val="auto"/>
                      <w:sz w:val="21"/>
                      <w:szCs w:val="21"/>
                    </w:rPr>
                  </w:pPr>
                  <w:r>
                    <w:rPr>
                      <w:color w:val="auto"/>
                      <w:sz w:val="21"/>
                      <w:szCs w:val="21"/>
                    </w:rPr>
                    <w:t>每半年1次</w:t>
                  </w:r>
                </w:p>
              </w:tc>
              <w:tc>
                <w:tcPr>
                  <w:tcW w:w="1713" w:type="pct"/>
                  <w:tcBorders>
                    <w:tl2br w:val="nil"/>
                    <w:tr2bl w:val="nil"/>
                  </w:tcBorders>
                  <w:noWrap w:val="0"/>
                  <w:vAlign w:val="center"/>
                </w:tcPr>
                <w:p>
                  <w:pPr>
                    <w:spacing w:line="0" w:lineRule="atLeast"/>
                    <w:jc w:val="center"/>
                    <w:rPr>
                      <w:color w:val="auto"/>
                      <w:sz w:val="21"/>
                      <w:szCs w:val="21"/>
                    </w:rPr>
                  </w:pPr>
                  <w:r>
                    <w:rPr>
                      <w:color w:val="auto"/>
                      <w:sz w:val="21"/>
                      <w:szCs w:val="21"/>
                    </w:rPr>
                    <w:t>《工业企业厂界环境噪声排放标准》（GB12348-2008）</w:t>
                  </w:r>
                  <w:r>
                    <w:rPr>
                      <w:rFonts w:hint="eastAsia"/>
                      <w:color w:val="auto"/>
                      <w:sz w:val="21"/>
                      <w:szCs w:val="21"/>
                      <w:lang w:val="en-US" w:eastAsia="zh-CN"/>
                    </w:rPr>
                    <w:t>2</w:t>
                  </w:r>
                  <w:r>
                    <w:rPr>
                      <w:color w:val="auto"/>
                      <w:sz w:val="21"/>
                      <w:szCs w:val="21"/>
                    </w:rPr>
                    <w:t>类区标准</w:t>
                  </w:r>
                </w:p>
              </w:tc>
            </w:tr>
          </w:tbl>
          <w:p>
            <w:pPr>
              <w:spacing w:before="120" w:beforeLines="50" w:line="360" w:lineRule="auto"/>
              <w:rPr>
                <w:b/>
                <w:bCs/>
                <w:color w:val="auto"/>
                <w:szCs w:val="21"/>
                <w:highlight w:val="none"/>
              </w:rPr>
            </w:pPr>
            <w:r>
              <w:rPr>
                <w:b/>
                <w:bCs/>
                <w:color w:val="auto"/>
                <w:szCs w:val="21"/>
                <w:highlight w:val="none"/>
              </w:rPr>
              <w:t>4、固体废物环境影响分析</w:t>
            </w:r>
          </w:p>
          <w:p>
            <w:pPr>
              <w:ind w:firstLine="422" w:firstLineChars="200"/>
              <w:rPr>
                <w:rFonts w:hint="default" w:ascii="Times New Roman" w:hAnsi="Times New Roman" w:eastAsia="宋体" w:cs="Times New Roman"/>
                <w:color w:val="auto"/>
                <w:lang w:val="en-US" w:eastAsia="zh-CN"/>
              </w:rPr>
            </w:pP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lang w:val="en-US" w:eastAsia="zh-CN"/>
              </w:rPr>
              <w:t>1</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lang w:val="en-US" w:eastAsia="zh-CN"/>
              </w:rPr>
              <w:t>生活垃圾</w:t>
            </w:r>
          </w:p>
          <w:p>
            <w:pPr>
              <w:ind w:firstLine="42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运营期劳动定员</w:t>
            </w:r>
            <w:r>
              <w:rPr>
                <w:rFonts w:hint="eastAsia" w:ascii="Times New Roman" w:hAnsi="Times New Roman" w:eastAsia="宋体" w:cs="Times New Roman"/>
                <w:color w:val="auto"/>
                <w:lang w:val="en-US" w:eastAsia="zh-CN"/>
              </w:rPr>
              <w:t>20</w:t>
            </w:r>
            <w:r>
              <w:rPr>
                <w:rFonts w:hint="eastAsia" w:ascii="Times New Roman" w:hAnsi="Times New Roman" w:eastAsia="宋体" w:cs="Times New Roman"/>
                <w:color w:val="auto"/>
                <w:lang w:eastAsia="zh-CN"/>
              </w:rPr>
              <w:t>人，生活垃圾产生量按0.5kg/人.d计算，则生活垃圾产生量约为</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lang w:eastAsia="zh-CN"/>
              </w:rPr>
              <w:t>kg/d（</w:t>
            </w:r>
            <w:r>
              <w:rPr>
                <w:rFonts w:hint="eastAsia" w:ascii="Times New Roman" w:hAnsi="Times New Roman" w:eastAsia="宋体" w:cs="Times New Roman"/>
                <w:color w:val="auto"/>
                <w:lang w:val="en-US" w:eastAsia="zh-CN"/>
              </w:rPr>
              <w:t>2.6</w:t>
            </w:r>
            <w:r>
              <w:rPr>
                <w:rFonts w:hint="eastAsia" w:ascii="Times New Roman" w:hAnsi="Times New Roman" w:eastAsia="宋体" w:cs="Times New Roman"/>
                <w:color w:val="auto"/>
                <w:lang w:eastAsia="zh-CN"/>
              </w:rPr>
              <w:t>t/a），设置垃圾箱，环卫部门统一清运。</w:t>
            </w:r>
          </w:p>
          <w:p>
            <w:pPr>
              <w:ind w:firstLine="422"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b/>
                <w:bCs/>
                <w:color w:val="auto"/>
                <w:lang w:val="en-US" w:eastAsia="zh-CN"/>
              </w:rPr>
              <w:t>（2）配方肥生产产生的固体废物主要为</w:t>
            </w:r>
            <w:r>
              <w:rPr>
                <w:rFonts w:hint="eastAsia" w:ascii="Times New Roman" w:hAnsi="Times New Roman" w:eastAsia="宋体" w:cs="Times New Roman"/>
                <w:b/>
                <w:bCs/>
                <w:color w:val="auto"/>
                <w:lang w:eastAsia="zh-CN"/>
              </w:rPr>
              <w:t>实验室危废和废包装袋。</w:t>
            </w:r>
          </w:p>
          <w:p>
            <w:pPr>
              <w:ind w:firstLine="42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根据《国家危险废物名录》，实验室废物属于“HW49 其他废物 非特定行业 900-047-49 研究、开发和教学活动中，化学和生物实验室产生的废物”，为危险废物，根据业主提供资料，产生量约1t/a，暂存于危废暂存间，交由有资质单位处理。</w:t>
            </w:r>
          </w:p>
          <w:p>
            <w:pPr>
              <w:ind w:firstLine="42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废包装袋产生量约为3t/a，为一般固废，集中收集后，由环卫部门统一清运。</w:t>
            </w:r>
          </w:p>
          <w:p>
            <w:pPr>
              <w:ind w:firstLine="422" w:firstLineChars="200"/>
              <w:rPr>
                <w:rFonts w:hint="default"/>
                <w:b/>
                <w:bCs/>
                <w:color w:val="auto"/>
                <w:lang w:val="en-US" w:eastAsia="zh-CN"/>
              </w:rPr>
            </w:pPr>
            <w:r>
              <w:rPr>
                <w:rFonts w:hint="eastAsia"/>
                <w:b/>
                <w:bCs/>
                <w:color w:val="auto"/>
                <w:lang w:eastAsia="zh-CN"/>
              </w:rPr>
              <w:t>（</w:t>
            </w:r>
            <w:r>
              <w:rPr>
                <w:rFonts w:hint="eastAsia"/>
                <w:b/>
                <w:bCs/>
                <w:color w:val="auto"/>
                <w:lang w:val="en-US" w:eastAsia="zh-CN"/>
              </w:rPr>
              <w:t>3</w:t>
            </w:r>
            <w:r>
              <w:rPr>
                <w:rFonts w:hint="eastAsia"/>
                <w:b/>
                <w:bCs/>
                <w:color w:val="auto"/>
                <w:lang w:eastAsia="zh-CN"/>
              </w:rPr>
              <w:t>）</w:t>
            </w:r>
            <w:r>
              <w:rPr>
                <w:rFonts w:hint="eastAsia"/>
                <w:b/>
                <w:bCs/>
                <w:color w:val="auto"/>
                <w:lang w:val="en-US" w:eastAsia="zh-CN"/>
              </w:rPr>
              <w:t>颗粒有机肥生产产生的固体废物主要为废弃包装袋、热风炉炉渣、脱硫渣及收集的粉尘。</w:t>
            </w:r>
          </w:p>
          <w:p>
            <w:pPr>
              <w:ind w:firstLine="420" w:firstLineChars="200"/>
              <w:rPr>
                <w:color w:val="auto"/>
              </w:rPr>
            </w:pPr>
            <w:r>
              <w:rPr>
                <w:rFonts w:hint="default" w:ascii="Calibri" w:hAnsi="Calibri" w:cs="Calibri"/>
                <w:color w:val="auto"/>
              </w:rPr>
              <w:t>①</w:t>
            </w:r>
            <w:r>
              <w:rPr>
                <w:rFonts w:hint="eastAsia"/>
                <w:color w:val="auto"/>
              </w:rPr>
              <w:t>废弃包装袋</w:t>
            </w:r>
          </w:p>
          <w:p>
            <w:pPr>
              <w:ind w:firstLine="420" w:firstLineChars="200"/>
              <w:rPr>
                <w:color w:val="auto"/>
              </w:rPr>
            </w:pPr>
            <w:r>
              <w:rPr>
                <w:rFonts w:hint="eastAsia"/>
                <w:color w:val="auto"/>
              </w:rPr>
              <w:t>项目包装过程中有少量的废包装袋年生量约</w:t>
            </w:r>
            <w:r>
              <w:rPr>
                <w:rFonts w:hint="eastAsia"/>
                <w:color w:val="auto"/>
                <w:lang w:val="en-US" w:eastAsia="zh-CN"/>
              </w:rPr>
              <w:t>2</w:t>
            </w:r>
            <w:r>
              <w:rPr>
                <w:rFonts w:hint="eastAsia"/>
                <w:color w:val="auto"/>
              </w:rPr>
              <w:t>t/a，集中收集后全部外售废品回收站。</w:t>
            </w:r>
          </w:p>
          <w:p>
            <w:pPr>
              <w:ind w:firstLine="420" w:firstLineChars="200"/>
              <w:rPr>
                <w:color w:val="auto"/>
              </w:rPr>
            </w:pPr>
            <w:r>
              <w:rPr>
                <w:rFonts w:hint="default" w:ascii="Calibri" w:hAnsi="Calibri" w:cs="Calibri"/>
                <w:color w:val="auto"/>
              </w:rPr>
              <w:t>②</w:t>
            </w:r>
            <w:r>
              <w:rPr>
                <w:rFonts w:hint="eastAsia"/>
                <w:color w:val="auto"/>
              </w:rPr>
              <w:t>热风炉炉渣</w:t>
            </w:r>
          </w:p>
          <w:p>
            <w:pPr>
              <w:ind w:firstLine="420" w:firstLineChars="200"/>
              <w:rPr>
                <w:color w:val="auto"/>
              </w:rPr>
            </w:pPr>
            <w:r>
              <w:rPr>
                <w:rFonts w:hint="eastAsia"/>
                <w:color w:val="auto"/>
              </w:rPr>
              <w:t>热风炉炉渣产生量按下式计算，</w:t>
            </w:r>
          </w:p>
          <w:p>
            <w:pPr>
              <w:ind w:firstLine="420" w:firstLineChars="200"/>
              <w:rPr>
                <w:color w:val="auto"/>
              </w:rPr>
            </w:pPr>
            <w:r>
              <w:rPr>
                <w:rFonts w:hint="eastAsia"/>
                <w:color w:val="auto"/>
              </w:rPr>
              <w:t xml:space="preserve">    Glz=B×A×dlz/（1-Clz），</w:t>
            </w:r>
          </w:p>
          <w:p>
            <w:pPr>
              <w:ind w:firstLine="420" w:firstLineChars="200"/>
              <w:rPr>
                <w:color w:val="auto"/>
              </w:rPr>
            </w:pPr>
            <w:r>
              <w:rPr>
                <w:rFonts w:hint="eastAsia"/>
                <w:color w:val="auto"/>
              </w:rPr>
              <w:t>式中：Glz——炉渣产生量，t/a；</w:t>
            </w:r>
          </w:p>
          <w:p>
            <w:pPr>
              <w:ind w:firstLine="420" w:firstLineChars="200"/>
              <w:rPr>
                <w:color w:val="auto"/>
              </w:rPr>
            </w:pPr>
            <w:r>
              <w:rPr>
                <w:rFonts w:hint="eastAsia"/>
                <w:color w:val="auto"/>
              </w:rPr>
              <w:t xml:space="preserve">      B——耗燃料量，</w:t>
            </w:r>
            <w:r>
              <w:rPr>
                <w:rFonts w:hint="eastAsia"/>
                <w:color w:val="auto"/>
                <w:lang w:val="en-US" w:eastAsia="zh-CN"/>
              </w:rPr>
              <w:t>600</w:t>
            </w:r>
            <w:r>
              <w:rPr>
                <w:rFonts w:hint="eastAsia"/>
                <w:color w:val="auto"/>
              </w:rPr>
              <w:t>t/a；</w:t>
            </w:r>
          </w:p>
          <w:p>
            <w:pPr>
              <w:ind w:firstLine="420" w:firstLineChars="200"/>
              <w:rPr>
                <w:color w:val="auto"/>
              </w:rPr>
            </w:pPr>
            <w:r>
              <w:rPr>
                <w:rFonts w:hint="eastAsia"/>
                <w:color w:val="auto"/>
              </w:rPr>
              <w:t xml:space="preserve">      A——燃料的灰分</w:t>
            </w:r>
            <w:r>
              <w:rPr>
                <w:rFonts w:hint="eastAsia"/>
                <w:color w:val="auto"/>
                <w:lang w:val="en-US" w:eastAsia="zh-CN"/>
              </w:rPr>
              <w:t>12.83</w:t>
            </w:r>
            <w:r>
              <w:rPr>
                <w:rFonts w:hint="eastAsia"/>
                <w:color w:val="auto"/>
              </w:rPr>
              <w:t>%；</w:t>
            </w:r>
          </w:p>
          <w:p>
            <w:pPr>
              <w:ind w:firstLine="420" w:firstLineChars="200"/>
              <w:rPr>
                <w:color w:val="auto"/>
              </w:rPr>
            </w:pPr>
            <w:r>
              <w:rPr>
                <w:rFonts w:hint="eastAsia"/>
                <w:color w:val="auto"/>
              </w:rPr>
              <w:t xml:space="preserve">     dlz——炉渣中的灰分占燃料总灰分的百分数，取35%；</w:t>
            </w:r>
          </w:p>
          <w:p>
            <w:pPr>
              <w:ind w:firstLine="420" w:firstLineChars="200"/>
              <w:rPr>
                <w:color w:val="auto"/>
              </w:rPr>
            </w:pPr>
            <w:r>
              <w:rPr>
                <w:rFonts w:hint="eastAsia"/>
                <w:color w:val="auto"/>
              </w:rPr>
              <w:t xml:space="preserve">     Clz——炉渣可燃物含量，取20%。</w:t>
            </w:r>
          </w:p>
          <w:p>
            <w:pPr>
              <w:ind w:firstLine="420" w:firstLineChars="200"/>
              <w:rPr>
                <w:rFonts w:hint="eastAsia" w:ascii="Times New Roman" w:hAnsi="Times New Roman" w:eastAsia="宋体" w:cs="Times New Roman"/>
                <w:color w:val="0000FF"/>
                <w:kern w:val="2"/>
                <w:sz w:val="21"/>
                <w:szCs w:val="21"/>
                <w:highlight w:val="none"/>
                <w:lang w:val="en-US" w:eastAsia="zh-CN" w:bidi="ar-SA"/>
              </w:rPr>
            </w:pPr>
            <w:r>
              <w:rPr>
                <w:rFonts w:hint="eastAsia"/>
                <w:color w:val="auto"/>
              </w:rPr>
              <w:t>经计算，炉渣产生量为</w:t>
            </w:r>
            <w:r>
              <w:rPr>
                <w:rFonts w:hint="eastAsia"/>
                <w:color w:val="auto"/>
                <w:lang w:val="en-US" w:eastAsia="zh-CN"/>
              </w:rPr>
              <w:t>33.679</w:t>
            </w:r>
            <w:r>
              <w:rPr>
                <w:rFonts w:hint="eastAsia"/>
                <w:color w:val="auto"/>
              </w:rPr>
              <w:t>t/a，</w:t>
            </w:r>
            <w:r>
              <w:rPr>
                <w:rFonts w:hint="eastAsia" w:ascii="Times New Roman" w:hAnsi="Times New Roman" w:eastAsia="宋体" w:cs="Times New Roman"/>
                <w:color w:val="0000FF"/>
                <w:kern w:val="2"/>
                <w:sz w:val="21"/>
                <w:szCs w:val="21"/>
                <w:highlight w:val="none"/>
                <w:lang w:val="en-US" w:eastAsia="zh-CN" w:bidi="ar-SA"/>
              </w:rPr>
              <w:t>外售至临河顺义水泥制品厂。</w:t>
            </w:r>
          </w:p>
          <w:p>
            <w:pPr>
              <w:ind w:firstLine="420" w:firstLineChars="200"/>
              <w:rPr>
                <w:color w:val="auto"/>
              </w:rPr>
            </w:pPr>
            <w:r>
              <w:rPr>
                <w:rFonts w:hint="default" w:ascii="Calibri" w:hAnsi="Calibri" w:cs="Calibri"/>
                <w:color w:val="auto"/>
              </w:rPr>
              <w:t>③</w:t>
            </w:r>
            <w:r>
              <w:rPr>
                <w:rFonts w:hint="eastAsia"/>
                <w:color w:val="auto"/>
              </w:rPr>
              <w:t>脱硫渣</w:t>
            </w:r>
          </w:p>
          <w:p>
            <w:pPr>
              <w:ind w:firstLine="420" w:firstLineChars="200"/>
              <w:rPr>
                <w:rFonts w:hint="eastAsia" w:ascii="Times New Roman" w:hAnsi="Times New Roman" w:eastAsia="宋体" w:cs="Times New Roman"/>
                <w:color w:val="0000FF"/>
                <w:kern w:val="2"/>
                <w:sz w:val="21"/>
                <w:szCs w:val="21"/>
                <w:highlight w:val="none"/>
                <w:lang w:val="en-US" w:eastAsia="zh-CN" w:bidi="ar-SA"/>
              </w:rPr>
            </w:pPr>
            <w:r>
              <w:rPr>
                <w:rFonts w:hint="eastAsia"/>
                <w:color w:val="auto"/>
              </w:rPr>
              <w:t>本项目锅炉烟气采用碱法水浴脱硫除尘，在脱硫塔下设置一沉淀池，用于循环水再生处理，进入沉淀池后，不溶性固体（硫酸钙盐和少量的粉煤灰）沉至池底。</w:t>
            </w:r>
            <w:r>
              <w:rPr>
                <w:rFonts w:hint="eastAsia" w:ascii="宋体" w:hAnsi="宋体" w:cs="宋体"/>
                <w:color w:val="auto"/>
                <w:kern w:val="0"/>
              </w:rPr>
              <w:t>根据对新疆澜海扬帆生物科技有限公司《新疆澜海扬帆生物科技有限公司年产</w:t>
            </w:r>
            <w:r>
              <w:rPr>
                <w:color w:val="auto"/>
                <w:kern w:val="0"/>
              </w:rPr>
              <w:t>30</w:t>
            </w:r>
            <w:r>
              <w:rPr>
                <w:rFonts w:hint="eastAsia" w:ascii="宋体" w:hAnsi="宋体" w:cs="宋体"/>
                <w:color w:val="auto"/>
                <w:kern w:val="0"/>
              </w:rPr>
              <w:t>万吨微生物有机肥加工项目环境影响评价报告书》的类比调查，该项目与本项目工艺相似，处理设施相同，该项目每生产</w:t>
            </w:r>
            <w:r>
              <w:rPr>
                <w:color w:val="auto"/>
                <w:kern w:val="0"/>
              </w:rPr>
              <w:t>1t</w:t>
            </w:r>
            <w:r>
              <w:rPr>
                <w:rFonts w:hint="eastAsia" w:ascii="宋体" w:hAnsi="宋体" w:cs="宋体"/>
                <w:color w:val="auto"/>
                <w:kern w:val="0"/>
              </w:rPr>
              <w:t>颗粒有机肥产生</w:t>
            </w:r>
            <w:r>
              <w:rPr>
                <w:color w:val="auto"/>
                <w:kern w:val="0"/>
              </w:rPr>
              <w:t>1t</w:t>
            </w:r>
            <w:r>
              <w:rPr>
                <w:rFonts w:hint="eastAsia" w:ascii="宋体" w:hAnsi="宋体" w:cs="宋体"/>
                <w:color w:val="auto"/>
                <w:kern w:val="0"/>
              </w:rPr>
              <w:t>脱硫渣，本项目产生</w:t>
            </w:r>
            <w:r>
              <w:rPr>
                <w:rFonts w:hint="eastAsia"/>
                <w:color w:val="auto"/>
              </w:rPr>
              <w:t>此类固废的量约为5t/a</w:t>
            </w:r>
            <w:r>
              <w:rPr>
                <w:rFonts w:hint="eastAsia"/>
                <w:color w:val="auto"/>
                <w:lang w:eastAsia="zh-CN"/>
              </w:rPr>
              <w:t>，</w:t>
            </w:r>
            <w:r>
              <w:rPr>
                <w:rFonts w:hint="eastAsia" w:ascii="Times New Roman" w:hAnsi="Times New Roman" w:eastAsia="宋体" w:cs="Times New Roman"/>
                <w:color w:val="0000FF"/>
                <w:kern w:val="2"/>
                <w:sz w:val="21"/>
                <w:szCs w:val="21"/>
                <w:highlight w:val="none"/>
                <w:lang w:val="en-US" w:eastAsia="zh-CN" w:bidi="ar-SA"/>
              </w:rPr>
              <w:t>外售至临河顺义水泥制品厂。</w:t>
            </w:r>
          </w:p>
          <w:p>
            <w:pPr>
              <w:ind w:firstLine="420" w:firstLineChars="200"/>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④收集的粉尘</w:t>
            </w:r>
          </w:p>
          <w:p>
            <w:pPr>
              <w:ind w:firstLine="420" w:firstLineChars="200"/>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重力沉降室收集的粉尘为3.5t/a，热风炉烟气与烘干粉尘共同进入一套多管旋风除尘器+湿式碱法水浴脱硫（单碱法）处理后经15m排气筒，则本套设备除尘效率可达96%，约收集粉尘14.038t/a，则共收集粉尘17.538t/a，收集后直接作为粉状肥外售。</w:t>
            </w:r>
          </w:p>
          <w:p>
            <w:pPr>
              <w:ind w:firstLine="422" w:firstLineChars="200"/>
              <w:rPr>
                <w:rFonts w:hint="default" w:ascii="Times New Roman" w:hAnsi="Times New Roman" w:eastAsia="宋体" w:cs="Times New Roman"/>
                <w:b/>
                <w:bCs/>
                <w:color w:val="FF0000"/>
                <w:lang w:val="en-US" w:eastAsia="zh-CN"/>
              </w:rPr>
            </w:pP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lang w:val="en-US" w:eastAsia="zh-CN"/>
              </w:rPr>
              <w:t>4</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lang w:val="en-US" w:eastAsia="zh-CN"/>
              </w:rPr>
              <w:t>高端有机肥生产产生的固体废物主要为锅炉炉灰、锅炉除尘灰、有机肥滤渣。</w:t>
            </w:r>
          </w:p>
          <w:p>
            <w:pPr>
              <w:ind w:firstLine="525" w:firstLineChars="250"/>
              <w:rPr>
                <w:rFonts w:hint="eastAsia" w:ascii="Times New Roman" w:hAnsi="Times New Roman" w:eastAsia="宋体" w:cs="宋体"/>
                <w:color w:val="auto"/>
              </w:rPr>
            </w:pPr>
            <w:r>
              <w:rPr>
                <w:rFonts w:hint="eastAsia" w:ascii="Times New Roman" w:hAnsi="Times New Roman" w:eastAsia="宋体" w:cs="宋体"/>
                <w:color w:val="auto"/>
              </w:rPr>
              <w:t>①锅炉炉灰</w:t>
            </w:r>
          </w:p>
          <w:p>
            <w:pPr>
              <w:ind w:firstLine="525" w:firstLineChars="250"/>
              <w:rPr>
                <w:rFonts w:hint="eastAsia" w:ascii="Times New Roman" w:hAnsi="Times New Roman" w:eastAsia="宋体" w:cs="宋体"/>
                <w:color w:val="auto"/>
              </w:rPr>
            </w:pPr>
            <w:r>
              <w:rPr>
                <w:rFonts w:hint="eastAsia" w:ascii="Times New Roman" w:hAnsi="Times New Roman" w:eastAsia="宋体" w:cs="宋体"/>
                <w:color w:val="auto"/>
              </w:rPr>
              <w:t>本项目锅炉运营期每年消耗生物质燃料量为</w:t>
            </w:r>
            <w:r>
              <w:rPr>
                <w:rFonts w:hint="eastAsia" w:ascii="Times New Roman" w:hAnsi="Times New Roman" w:eastAsia="宋体" w:cs="宋体"/>
                <w:color w:val="auto"/>
                <w:lang w:val="en-US" w:eastAsia="zh-CN"/>
              </w:rPr>
              <w:t>1000</w:t>
            </w:r>
            <w:r>
              <w:rPr>
                <w:rFonts w:hint="eastAsia" w:ascii="Times New Roman" w:hAnsi="Times New Roman" w:eastAsia="宋体" w:cs="宋体"/>
                <w:color w:val="auto"/>
              </w:rPr>
              <w:t>t，灰分含量为4.714%，炉灰产生量按下式计算：</w:t>
            </w:r>
          </w:p>
          <w:p>
            <w:pPr>
              <w:ind w:firstLine="525" w:firstLineChars="250"/>
              <w:rPr>
                <w:rFonts w:hint="eastAsia" w:ascii="Times New Roman" w:hAnsi="Times New Roman" w:eastAsia="宋体" w:cs="宋体"/>
                <w:color w:val="auto"/>
              </w:rPr>
            </w:pPr>
            <w:r>
              <w:rPr>
                <w:rFonts w:hint="eastAsia" w:ascii="Times New Roman" w:hAnsi="Times New Roman" w:eastAsia="宋体" w:cs="宋体"/>
                <w:color w:val="auto"/>
              </w:rPr>
              <w:t>Glz=B×A×dlz/（1-Clz），式中</w:t>
            </w:r>
          </w:p>
          <w:p>
            <w:pPr>
              <w:ind w:firstLine="525" w:firstLineChars="250"/>
              <w:rPr>
                <w:rFonts w:hint="eastAsia" w:ascii="Times New Roman" w:hAnsi="Times New Roman" w:eastAsia="宋体" w:cs="宋体"/>
                <w:color w:val="auto"/>
              </w:rPr>
            </w:pPr>
            <w:r>
              <w:rPr>
                <w:rFonts w:hint="eastAsia" w:ascii="Times New Roman" w:hAnsi="Times New Roman" w:eastAsia="宋体" w:cs="宋体"/>
                <w:color w:val="auto"/>
              </w:rPr>
              <w:t>Glz——锅炉灰产生量，t/a；</w:t>
            </w:r>
          </w:p>
          <w:p>
            <w:pPr>
              <w:ind w:firstLine="525" w:firstLineChars="250"/>
              <w:rPr>
                <w:rFonts w:hint="eastAsia" w:ascii="Times New Roman" w:hAnsi="Times New Roman" w:eastAsia="宋体" w:cs="宋体"/>
                <w:color w:val="auto"/>
              </w:rPr>
            </w:pPr>
            <w:r>
              <w:rPr>
                <w:rFonts w:hint="eastAsia" w:ascii="Times New Roman" w:hAnsi="Times New Roman" w:eastAsia="宋体" w:cs="宋体"/>
                <w:color w:val="auto"/>
              </w:rPr>
              <w:t>B——耗生物质燃料量，</w:t>
            </w:r>
            <w:r>
              <w:rPr>
                <w:rFonts w:hint="eastAsia" w:ascii="Times New Roman" w:hAnsi="Times New Roman" w:eastAsia="宋体" w:cs="宋体"/>
                <w:color w:val="auto"/>
                <w:lang w:val="en-US" w:eastAsia="zh-CN"/>
              </w:rPr>
              <w:t>1000</w:t>
            </w:r>
            <w:r>
              <w:rPr>
                <w:rFonts w:hint="eastAsia" w:ascii="Times New Roman" w:hAnsi="Times New Roman" w:eastAsia="宋体" w:cs="宋体"/>
                <w:color w:val="auto"/>
              </w:rPr>
              <w:t>t/a；</w:t>
            </w:r>
          </w:p>
          <w:p>
            <w:pPr>
              <w:ind w:firstLine="525" w:firstLineChars="250"/>
              <w:rPr>
                <w:rFonts w:hint="eastAsia" w:ascii="Times New Roman" w:hAnsi="Times New Roman" w:eastAsia="宋体" w:cs="宋体"/>
                <w:color w:val="auto"/>
              </w:rPr>
            </w:pPr>
            <w:r>
              <w:rPr>
                <w:rFonts w:hint="eastAsia" w:ascii="Times New Roman" w:hAnsi="Times New Roman" w:eastAsia="宋体" w:cs="宋体"/>
                <w:color w:val="auto"/>
              </w:rPr>
              <w:t>A——生物质燃料的灰分4.714%；</w:t>
            </w:r>
          </w:p>
          <w:p>
            <w:pPr>
              <w:ind w:firstLine="525" w:firstLineChars="250"/>
              <w:rPr>
                <w:rFonts w:hint="eastAsia" w:ascii="Times New Roman" w:hAnsi="Times New Roman" w:eastAsia="宋体" w:cs="宋体"/>
                <w:color w:val="auto"/>
              </w:rPr>
            </w:pPr>
            <w:r>
              <w:rPr>
                <w:rFonts w:hint="eastAsia" w:ascii="Times New Roman" w:hAnsi="Times New Roman" w:eastAsia="宋体" w:cs="宋体"/>
                <w:color w:val="auto"/>
              </w:rPr>
              <w:t>dlz——锅炉灰中的灰分占生物质燃料总灰分的百分数，取 35%；</w:t>
            </w:r>
          </w:p>
          <w:p>
            <w:pPr>
              <w:ind w:firstLine="525" w:firstLineChars="250"/>
              <w:rPr>
                <w:rFonts w:hint="eastAsia" w:ascii="Times New Roman" w:hAnsi="Times New Roman" w:eastAsia="宋体" w:cs="宋体"/>
                <w:color w:val="auto"/>
              </w:rPr>
            </w:pPr>
            <w:r>
              <w:rPr>
                <w:rFonts w:hint="eastAsia" w:ascii="Times New Roman" w:hAnsi="Times New Roman" w:eastAsia="宋体" w:cs="宋体"/>
                <w:color w:val="auto"/>
              </w:rPr>
              <w:t>Clz——锅炉灰可燃物含量，取 20%。</w:t>
            </w:r>
          </w:p>
          <w:p>
            <w:pPr>
              <w:ind w:firstLine="525" w:firstLineChars="250"/>
              <w:rPr>
                <w:color w:val="auto"/>
                <w:sz w:val="24"/>
              </w:rPr>
            </w:pPr>
            <w:r>
              <w:rPr>
                <w:rFonts w:hint="eastAsia" w:ascii="Times New Roman" w:hAnsi="Times New Roman" w:eastAsia="宋体" w:cs="宋体"/>
                <w:color w:val="auto"/>
              </w:rPr>
              <w:t>经计算，锅炉灰产生量约为</w:t>
            </w:r>
            <w:r>
              <w:rPr>
                <w:rFonts w:hint="eastAsia" w:ascii="Times New Roman" w:hAnsi="Times New Roman" w:eastAsia="宋体" w:cs="宋体"/>
                <w:color w:val="auto"/>
                <w:lang w:val="en-US" w:eastAsia="zh-CN"/>
              </w:rPr>
              <w:t>20.62</w:t>
            </w:r>
            <w:r>
              <w:rPr>
                <w:rFonts w:hint="eastAsia" w:ascii="Times New Roman" w:hAnsi="Times New Roman" w:eastAsia="宋体" w:cs="宋体"/>
                <w:color w:val="auto"/>
              </w:rPr>
              <w:t>t/a。</w:t>
            </w:r>
          </w:p>
          <w:p>
            <w:pPr>
              <w:ind w:firstLine="420" w:firstLineChars="20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②锅炉除尘灰</w:t>
            </w:r>
          </w:p>
          <w:p>
            <w:pPr>
              <w:ind w:firstLine="420" w:firstLineChars="200"/>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生物质锅炉</w:t>
            </w:r>
            <w:r>
              <w:rPr>
                <w:rFonts w:hint="default" w:ascii="Times New Roman" w:hAnsi="Times New Roman" w:cs="Times New Roman"/>
                <w:color w:val="auto"/>
                <w:sz w:val="21"/>
                <w:szCs w:val="21"/>
                <w:lang w:val="en-US" w:eastAsia="zh-CN"/>
              </w:rPr>
              <w:t>烟气</w:t>
            </w:r>
            <w:r>
              <w:rPr>
                <w:rFonts w:hint="default" w:ascii="Times New Roman" w:hAnsi="Times New Roman" w:cs="Times New Roman"/>
                <w:color w:val="auto"/>
                <w:sz w:val="21"/>
                <w:szCs w:val="21"/>
              </w:rPr>
              <w:t>采用</w:t>
            </w:r>
            <w:r>
              <w:rPr>
                <w:rFonts w:hint="eastAsia" w:ascii="Times New Roman" w:hAnsi="Times New Roman" w:eastAsia="宋体" w:cs="Times New Roman"/>
                <w:color w:val="0000FF"/>
                <w:kern w:val="2"/>
                <w:sz w:val="21"/>
                <w:szCs w:val="21"/>
                <w:highlight w:val="none"/>
                <w:lang w:val="en-US" w:eastAsia="zh-CN" w:bidi="ar-SA"/>
              </w:rPr>
              <w:t>布袋除尘器处理（除尘效率为90%）+水浴除尘（除尘效率为80%）+3</w:t>
            </w:r>
            <w:r>
              <w:rPr>
                <w:rFonts w:hint="default" w:ascii="Times New Roman" w:hAnsi="Times New Roman" w:eastAsia="宋体" w:cs="Times New Roman"/>
                <w:color w:val="0000FF"/>
                <w:kern w:val="2"/>
                <w:sz w:val="21"/>
                <w:szCs w:val="21"/>
                <w:highlight w:val="none"/>
                <w:lang w:val="en-US" w:eastAsia="zh-CN" w:bidi="ar-SA"/>
              </w:rPr>
              <w:t>5</w:t>
            </w:r>
            <w:r>
              <w:rPr>
                <w:rFonts w:hint="eastAsia" w:ascii="Times New Roman" w:hAnsi="Times New Roman" w:eastAsia="宋体" w:cs="Times New Roman"/>
                <w:color w:val="0000FF"/>
                <w:kern w:val="2"/>
                <w:sz w:val="21"/>
                <w:szCs w:val="21"/>
                <w:highlight w:val="none"/>
                <w:lang w:val="en-US" w:eastAsia="zh-CN" w:bidi="ar-SA"/>
              </w:rPr>
              <w:t>米高烟囱排</w:t>
            </w:r>
            <w:r>
              <w:rPr>
                <w:rFonts w:hint="eastAsia" w:ascii="Times New Roman" w:hAnsi="Times New Roman" w:eastAsia="宋体" w:cs="Times New Roman"/>
                <w:color w:val="auto"/>
                <w:lang w:eastAsia="zh-CN"/>
              </w:rPr>
              <w:t>放</w:t>
            </w:r>
            <w:r>
              <w:rPr>
                <w:rFonts w:hint="default" w:ascii="Times New Roman" w:hAnsi="Times New Roman" w:cs="Times New Roman"/>
                <w:color w:val="auto"/>
                <w:sz w:val="21"/>
                <w:szCs w:val="21"/>
              </w:rPr>
              <w:t>，袋式除尘器除尘效率为</w:t>
            </w:r>
            <w:r>
              <w:rPr>
                <w:rFonts w:hint="default" w:ascii="Times New Roman" w:hAnsi="Times New Roman" w:cs="Times New Roman"/>
                <w:color w:val="auto"/>
                <w:sz w:val="21"/>
                <w:szCs w:val="21"/>
                <w:lang w:val="en-US" w:eastAsia="zh-CN"/>
              </w:rPr>
              <w:t>90</w:t>
            </w:r>
            <w:r>
              <w:rPr>
                <w:rFonts w:hint="default" w:ascii="Times New Roman" w:hAnsi="Times New Roman" w:cs="Times New Roman"/>
                <w:color w:val="auto"/>
                <w:sz w:val="21"/>
                <w:szCs w:val="21"/>
              </w:rPr>
              <w:t>%，除尘灰产生量约为</w:t>
            </w:r>
            <w:r>
              <w:rPr>
                <w:rFonts w:hint="default" w:ascii="Times New Roman" w:hAnsi="Times New Roman" w:cs="Times New Roman"/>
                <w:color w:val="auto"/>
                <w:sz w:val="21"/>
                <w:szCs w:val="21"/>
                <w:lang w:val="en-US" w:eastAsia="zh-CN"/>
              </w:rPr>
              <w:t>33.84</w:t>
            </w:r>
            <w:r>
              <w:rPr>
                <w:rFonts w:hint="default" w:ascii="Times New Roman" w:hAnsi="Times New Roman" w:cs="Times New Roman"/>
                <w:color w:val="auto"/>
                <w:sz w:val="21"/>
                <w:szCs w:val="21"/>
              </w:rPr>
              <w:t>t/a。锅炉除尘灰及炉灰为草木灰，草木灰是一种常见的农家肥料，含有钾、钙、镁、硫、磷、铁等元素，</w:t>
            </w:r>
            <w:r>
              <w:rPr>
                <w:rFonts w:hint="default" w:ascii="Times New Roman" w:hAnsi="Times New Roman" w:eastAsia="宋体" w:cs="Times New Roman"/>
                <w:color w:val="0000FF"/>
                <w:kern w:val="2"/>
                <w:sz w:val="21"/>
                <w:szCs w:val="21"/>
                <w:highlight w:val="none"/>
                <w:lang w:val="en-US" w:eastAsia="zh-CN" w:bidi="ar-SA"/>
              </w:rPr>
              <w:t>锅炉产生的除尘灰及炉灰</w:t>
            </w:r>
            <w:r>
              <w:rPr>
                <w:rFonts w:hint="eastAsia" w:ascii="Times New Roman" w:hAnsi="Times New Roman" w:eastAsia="宋体" w:cs="Times New Roman"/>
                <w:color w:val="0000FF"/>
                <w:kern w:val="2"/>
                <w:sz w:val="21"/>
                <w:szCs w:val="21"/>
                <w:highlight w:val="none"/>
                <w:lang w:val="en-US" w:eastAsia="zh-CN" w:bidi="ar-SA"/>
              </w:rPr>
              <w:t>拉运至有机肥发酵池，在发酵池内与羊粪拌和发酵。</w:t>
            </w:r>
          </w:p>
          <w:p>
            <w:pPr>
              <w:ind w:firstLine="420" w:firstLineChars="20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③</w:t>
            </w:r>
            <w:r>
              <w:rPr>
                <w:rFonts w:hint="eastAsia" w:ascii="Times New Roman" w:hAnsi="Times New Roman" w:eastAsia="宋体" w:cs="Times New Roman"/>
                <w:color w:val="auto"/>
                <w:sz w:val="21"/>
                <w:szCs w:val="21"/>
                <w:lang w:val="en-US" w:eastAsia="zh-CN"/>
              </w:rPr>
              <w:t>有机肥滤渣</w:t>
            </w:r>
          </w:p>
          <w:p>
            <w:pPr>
              <w:ind w:firstLine="420" w:firstLineChars="200"/>
              <w:rPr>
                <w:rFonts w:hint="eastAsia"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高端有机肥生产过程中，离心沉淀会产生有机肥滤渣，根据建设方提供资料，有机肥滤渣产生量约为40500</w:t>
            </w:r>
            <w:r>
              <w:rPr>
                <w:rFonts w:hint="default" w:ascii="Times New Roman" w:hAnsi="Times New Roman" w:cs="Times New Roman"/>
                <w:color w:val="auto"/>
                <w:sz w:val="21"/>
                <w:szCs w:val="21"/>
              </w:rPr>
              <w:t>t/a</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有机肥滤渣作为有机肥外售。</w:t>
            </w:r>
          </w:p>
          <w:p>
            <w:pPr>
              <w:spacing w:line="240" w:lineRule="auto"/>
              <w:jc w:val="center"/>
              <w:rPr>
                <w:rFonts w:eastAsia="黑体"/>
                <w:b/>
                <w:bCs/>
                <w:color w:val="auto"/>
                <w:sz w:val="21"/>
                <w:szCs w:val="21"/>
              </w:rPr>
            </w:pPr>
            <w:r>
              <w:rPr>
                <w:rFonts w:hint="eastAsia" w:ascii="宋体" w:hAnsi="宋体" w:eastAsia="宋体" w:cs="宋体"/>
                <w:b/>
                <w:bCs/>
                <w:color w:val="auto"/>
                <w:sz w:val="21"/>
                <w:szCs w:val="21"/>
              </w:rPr>
              <w:t>表</w:t>
            </w:r>
            <w:r>
              <w:rPr>
                <w:rFonts w:hint="eastAsia" w:eastAsia="黑体"/>
                <w:b/>
                <w:bCs/>
                <w:color w:val="auto"/>
                <w:sz w:val="21"/>
                <w:szCs w:val="21"/>
                <w:lang w:val="en-US" w:eastAsia="zh-CN"/>
              </w:rPr>
              <w:t xml:space="preserve">35 </w:t>
            </w:r>
            <w:r>
              <w:rPr>
                <w:rFonts w:hint="eastAsia" w:ascii="宋体" w:hAnsi="宋体" w:eastAsia="宋体" w:cs="宋体"/>
                <w:b/>
                <w:bCs/>
                <w:color w:val="auto"/>
                <w:sz w:val="21"/>
                <w:szCs w:val="21"/>
              </w:rPr>
              <w:t>固体废弃物产生情况一览表</w:t>
            </w:r>
          </w:p>
          <w:tbl>
            <w:tblPr>
              <w:tblStyle w:val="19"/>
              <w:tblW w:w="8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1124"/>
              <w:gridCol w:w="1334"/>
              <w:gridCol w:w="589"/>
              <w:gridCol w:w="825"/>
              <w:gridCol w:w="3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8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
                      <w:bCs/>
                      <w:snapToGrid w:val="0"/>
                      <w:color w:val="auto"/>
                      <w:kern w:val="24"/>
                      <w:sz w:val="21"/>
                      <w:szCs w:val="21"/>
                    </w:rPr>
                  </w:pPr>
                  <w:r>
                    <w:rPr>
                      <w:rFonts w:hint="default" w:ascii="Times New Roman" w:hAnsi="Times New Roman" w:eastAsia="宋体" w:cs="Times New Roman"/>
                      <w:b/>
                      <w:bCs/>
                      <w:snapToGrid w:val="0"/>
                      <w:color w:val="auto"/>
                      <w:kern w:val="24"/>
                      <w:sz w:val="21"/>
                      <w:szCs w:val="21"/>
                    </w:rPr>
                    <w:t>序号</w:t>
                  </w:r>
                </w:p>
              </w:tc>
              <w:tc>
                <w:tcPr>
                  <w:tcW w:w="112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
                      <w:bCs/>
                      <w:snapToGrid w:val="0"/>
                      <w:color w:val="auto"/>
                      <w:kern w:val="24"/>
                      <w:sz w:val="21"/>
                      <w:szCs w:val="21"/>
                    </w:rPr>
                  </w:pPr>
                  <w:r>
                    <w:rPr>
                      <w:rFonts w:hint="default" w:ascii="Times New Roman" w:hAnsi="Times New Roman" w:eastAsia="宋体" w:cs="Times New Roman"/>
                      <w:b/>
                      <w:bCs/>
                      <w:snapToGrid w:val="0"/>
                      <w:color w:val="auto"/>
                      <w:kern w:val="24"/>
                      <w:sz w:val="21"/>
                      <w:szCs w:val="21"/>
                    </w:rPr>
                    <w:t>名称</w:t>
                  </w:r>
                </w:p>
              </w:tc>
              <w:tc>
                <w:tcPr>
                  <w:tcW w:w="133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
                      <w:bCs/>
                      <w:snapToGrid w:val="0"/>
                      <w:color w:val="auto"/>
                      <w:kern w:val="24"/>
                      <w:sz w:val="21"/>
                      <w:szCs w:val="21"/>
                    </w:rPr>
                  </w:pPr>
                  <w:r>
                    <w:rPr>
                      <w:rFonts w:hint="default" w:ascii="Times New Roman" w:hAnsi="Times New Roman" w:eastAsia="宋体" w:cs="Times New Roman"/>
                      <w:b/>
                      <w:bCs/>
                      <w:snapToGrid w:val="0"/>
                      <w:color w:val="auto"/>
                      <w:kern w:val="24"/>
                      <w:sz w:val="21"/>
                      <w:szCs w:val="21"/>
                    </w:rPr>
                    <w:t>产生环节</w:t>
                  </w:r>
                </w:p>
              </w:tc>
              <w:tc>
                <w:tcPr>
                  <w:tcW w:w="58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
                      <w:bCs/>
                      <w:snapToGrid w:val="0"/>
                      <w:color w:val="auto"/>
                      <w:kern w:val="24"/>
                      <w:sz w:val="21"/>
                      <w:szCs w:val="21"/>
                    </w:rPr>
                  </w:pPr>
                  <w:r>
                    <w:rPr>
                      <w:rFonts w:hint="default" w:ascii="Times New Roman" w:hAnsi="Times New Roman" w:eastAsia="宋体" w:cs="Times New Roman"/>
                      <w:b/>
                      <w:bCs/>
                      <w:snapToGrid w:val="0"/>
                      <w:color w:val="auto"/>
                      <w:kern w:val="24"/>
                      <w:sz w:val="21"/>
                      <w:szCs w:val="21"/>
                    </w:rPr>
                    <w:t>单位</w:t>
                  </w:r>
                </w:p>
              </w:tc>
              <w:tc>
                <w:tcPr>
                  <w:tcW w:w="82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
                      <w:bCs/>
                      <w:snapToGrid w:val="0"/>
                      <w:color w:val="auto"/>
                      <w:kern w:val="24"/>
                      <w:sz w:val="21"/>
                      <w:szCs w:val="21"/>
                    </w:rPr>
                  </w:pPr>
                  <w:r>
                    <w:rPr>
                      <w:rFonts w:hint="default" w:ascii="Times New Roman" w:hAnsi="Times New Roman" w:eastAsia="宋体" w:cs="Times New Roman"/>
                      <w:b/>
                      <w:bCs/>
                      <w:snapToGrid w:val="0"/>
                      <w:color w:val="auto"/>
                      <w:kern w:val="24"/>
                      <w:sz w:val="21"/>
                      <w:szCs w:val="21"/>
                    </w:rPr>
                    <w:t>数量</w:t>
                  </w:r>
                </w:p>
              </w:tc>
              <w:tc>
                <w:tcPr>
                  <w:tcW w:w="3826"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
                      <w:bCs/>
                      <w:snapToGrid w:val="0"/>
                      <w:color w:val="auto"/>
                      <w:kern w:val="24"/>
                      <w:sz w:val="21"/>
                      <w:szCs w:val="21"/>
                    </w:rPr>
                  </w:pPr>
                  <w:r>
                    <w:rPr>
                      <w:rFonts w:hint="default" w:ascii="Times New Roman" w:hAnsi="Times New Roman" w:eastAsia="宋体" w:cs="Times New Roman"/>
                      <w:b/>
                      <w:bCs/>
                      <w:snapToGrid w:val="0"/>
                      <w:color w:val="auto"/>
                      <w:kern w:val="24"/>
                      <w:sz w:val="21"/>
                      <w:szCs w:val="21"/>
                    </w:rPr>
                    <w:t>处置措施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8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1</w:t>
                  </w:r>
                </w:p>
              </w:tc>
              <w:tc>
                <w:tcPr>
                  <w:tcW w:w="112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实验室废物</w:t>
                  </w:r>
                </w:p>
              </w:tc>
              <w:tc>
                <w:tcPr>
                  <w:tcW w:w="133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实验室</w:t>
                  </w:r>
                </w:p>
              </w:tc>
              <w:tc>
                <w:tcPr>
                  <w:tcW w:w="58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t/a</w:t>
                  </w:r>
                </w:p>
              </w:tc>
              <w:tc>
                <w:tcPr>
                  <w:tcW w:w="82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eastAsia="zh-CN"/>
                    </w:rPr>
                  </w:pPr>
                  <w:r>
                    <w:rPr>
                      <w:rFonts w:hint="default" w:ascii="Times New Roman" w:hAnsi="Times New Roman" w:eastAsia="宋体" w:cs="Times New Roman"/>
                      <w:bCs/>
                      <w:snapToGrid w:val="0"/>
                      <w:color w:val="auto"/>
                      <w:kern w:val="24"/>
                      <w:sz w:val="21"/>
                      <w:szCs w:val="21"/>
                      <w:lang w:val="en-US" w:eastAsia="zh-CN"/>
                    </w:rPr>
                    <w:t>1</w:t>
                  </w:r>
                </w:p>
              </w:tc>
              <w:tc>
                <w:tcPr>
                  <w:tcW w:w="3826"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暂存于危废暂存间，交由有资质单位处理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8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2</w:t>
                  </w:r>
                </w:p>
              </w:tc>
              <w:tc>
                <w:tcPr>
                  <w:tcW w:w="112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废包装袋</w:t>
                  </w:r>
                </w:p>
              </w:tc>
              <w:tc>
                <w:tcPr>
                  <w:tcW w:w="133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固态配方肥及颗粒肥</w:t>
                  </w:r>
                </w:p>
              </w:tc>
              <w:tc>
                <w:tcPr>
                  <w:tcW w:w="58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t/a</w:t>
                  </w:r>
                </w:p>
              </w:tc>
              <w:tc>
                <w:tcPr>
                  <w:tcW w:w="82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5</w:t>
                  </w:r>
                </w:p>
              </w:tc>
              <w:tc>
                <w:tcPr>
                  <w:tcW w:w="3826"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snapToGrid w:val="0"/>
                      <w:color w:val="auto"/>
                      <w:kern w:val="24"/>
                      <w:sz w:val="21"/>
                      <w:szCs w:val="21"/>
                      <w:lang w:eastAsia="zh-CN"/>
                    </w:rPr>
                    <w:t>集中收集后，由环卫部门统一清运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8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3</w:t>
                  </w:r>
                </w:p>
              </w:tc>
              <w:tc>
                <w:tcPr>
                  <w:tcW w:w="112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热风炉炉渣</w:t>
                  </w:r>
                </w:p>
              </w:tc>
              <w:tc>
                <w:tcPr>
                  <w:tcW w:w="133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热风炉</w:t>
                  </w:r>
                </w:p>
              </w:tc>
              <w:tc>
                <w:tcPr>
                  <w:tcW w:w="58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t/a</w:t>
                  </w:r>
                </w:p>
              </w:tc>
              <w:tc>
                <w:tcPr>
                  <w:tcW w:w="82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33.679</w:t>
                  </w:r>
                </w:p>
              </w:tc>
              <w:tc>
                <w:tcPr>
                  <w:tcW w:w="3826"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kern w:val="2"/>
                      <w:sz w:val="21"/>
                      <w:szCs w:val="21"/>
                      <w:highlight w:val="none"/>
                      <w:lang w:val="en-US" w:eastAsia="zh-CN" w:bidi="ar-SA"/>
                    </w:rPr>
                    <w:t>外售至临河顺义水泥制品厂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8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bidi="ar-SA"/>
                    </w:rPr>
                  </w:pPr>
                  <w:r>
                    <w:rPr>
                      <w:rFonts w:hint="default" w:ascii="Times New Roman" w:hAnsi="Times New Roman" w:eastAsia="宋体" w:cs="Times New Roman"/>
                      <w:bCs/>
                      <w:snapToGrid w:val="0"/>
                      <w:color w:val="auto"/>
                      <w:kern w:val="24"/>
                      <w:sz w:val="21"/>
                      <w:szCs w:val="21"/>
                    </w:rPr>
                    <w:t>4</w:t>
                  </w:r>
                </w:p>
              </w:tc>
              <w:tc>
                <w:tcPr>
                  <w:tcW w:w="112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eastAsia" w:cs="Times New Roman"/>
                      <w:bCs/>
                      <w:snapToGrid w:val="0"/>
                      <w:color w:val="auto"/>
                      <w:kern w:val="24"/>
                      <w:sz w:val="21"/>
                      <w:szCs w:val="21"/>
                      <w:lang w:val="en-US" w:eastAsia="zh-CN"/>
                    </w:rPr>
                    <w:t>收集的粉尘</w:t>
                  </w:r>
                </w:p>
              </w:tc>
              <w:tc>
                <w:tcPr>
                  <w:tcW w:w="133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eastAsia" w:cs="Times New Roman"/>
                      <w:bCs/>
                      <w:snapToGrid w:val="0"/>
                      <w:color w:val="auto"/>
                      <w:kern w:val="24"/>
                      <w:sz w:val="21"/>
                      <w:szCs w:val="21"/>
                      <w:lang w:val="en-US" w:eastAsia="zh-CN"/>
                    </w:rPr>
                    <w:t>热风炉及烘干工序</w:t>
                  </w:r>
                </w:p>
              </w:tc>
              <w:tc>
                <w:tcPr>
                  <w:tcW w:w="58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t/a</w:t>
                  </w:r>
                </w:p>
              </w:tc>
              <w:tc>
                <w:tcPr>
                  <w:tcW w:w="82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eastAsia" w:cs="Times New Roman"/>
                      <w:bCs/>
                      <w:snapToGrid w:val="0"/>
                      <w:color w:val="auto"/>
                      <w:kern w:val="24"/>
                      <w:sz w:val="21"/>
                      <w:szCs w:val="21"/>
                      <w:lang w:val="en-US" w:eastAsia="zh-CN"/>
                    </w:rPr>
                    <w:t>17.538</w:t>
                  </w:r>
                </w:p>
              </w:tc>
              <w:tc>
                <w:tcPr>
                  <w:tcW w:w="3826"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作为粉状肥外售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8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bidi="ar-SA"/>
                    </w:rPr>
                  </w:pPr>
                  <w:r>
                    <w:rPr>
                      <w:rFonts w:hint="default" w:ascii="Times New Roman" w:hAnsi="Times New Roman" w:eastAsia="宋体" w:cs="Times New Roman"/>
                      <w:bCs/>
                      <w:snapToGrid w:val="0"/>
                      <w:color w:val="auto"/>
                      <w:kern w:val="24"/>
                      <w:sz w:val="21"/>
                      <w:szCs w:val="21"/>
                      <w:lang w:val="en-US" w:eastAsia="zh-CN"/>
                    </w:rPr>
                    <w:t>5</w:t>
                  </w:r>
                </w:p>
              </w:tc>
              <w:tc>
                <w:tcPr>
                  <w:tcW w:w="112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脱硫渣</w:t>
                  </w:r>
                </w:p>
              </w:tc>
              <w:tc>
                <w:tcPr>
                  <w:tcW w:w="133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热风炉</w:t>
                  </w:r>
                </w:p>
              </w:tc>
              <w:tc>
                <w:tcPr>
                  <w:tcW w:w="58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t/a</w:t>
                  </w:r>
                </w:p>
              </w:tc>
              <w:tc>
                <w:tcPr>
                  <w:tcW w:w="82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5</w:t>
                  </w:r>
                </w:p>
              </w:tc>
              <w:tc>
                <w:tcPr>
                  <w:tcW w:w="3826"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外售至临河顺义水泥制品厂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8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bidi="ar-SA"/>
                    </w:rPr>
                  </w:pPr>
                  <w:r>
                    <w:rPr>
                      <w:rFonts w:hint="default" w:ascii="Times New Roman" w:hAnsi="Times New Roman" w:eastAsia="宋体" w:cs="Times New Roman"/>
                      <w:bCs/>
                      <w:snapToGrid w:val="0"/>
                      <w:color w:val="auto"/>
                      <w:kern w:val="24"/>
                      <w:sz w:val="21"/>
                      <w:szCs w:val="21"/>
                      <w:lang w:val="en-US" w:eastAsia="zh-CN"/>
                    </w:rPr>
                    <w:t>6</w:t>
                  </w:r>
                </w:p>
              </w:tc>
              <w:tc>
                <w:tcPr>
                  <w:tcW w:w="112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锅炉炉灰</w:t>
                  </w:r>
                </w:p>
              </w:tc>
              <w:tc>
                <w:tcPr>
                  <w:tcW w:w="133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生物质锅炉</w:t>
                  </w:r>
                </w:p>
              </w:tc>
              <w:tc>
                <w:tcPr>
                  <w:tcW w:w="58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t/a</w:t>
                  </w:r>
                </w:p>
              </w:tc>
              <w:tc>
                <w:tcPr>
                  <w:tcW w:w="82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20.62</w:t>
                  </w:r>
                </w:p>
              </w:tc>
              <w:tc>
                <w:tcPr>
                  <w:tcW w:w="3826"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与羊粪拌合发酵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8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bidi="ar-SA"/>
                    </w:rPr>
                  </w:pPr>
                  <w:r>
                    <w:rPr>
                      <w:rFonts w:hint="default" w:ascii="Times New Roman" w:hAnsi="Times New Roman" w:eastAsia="宋体" w:cs="Times New Roman"/>
                      <w:bCs/>
                      <w:snapToGrid w:val="0"/>
                      <w:color w:val="auto"/>
                      <w:kern w:val="24"/>
                      <w:sz w:val="21"/>
                      <w:szCs w:val="21"/>
                      <w:lang w:val="en-US" w:eastAsia="zh-CN"/>
                    </w:rPr>
                    <w:t>7</w:t>
                  </w:r>
                </w:p>
              </w:tc>
              <w:tc>
                <w:tcPr>
                  <w:tcW w:w="112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color w:val="auto"/>
                      <w:sz w:val="21"/>
                      <w:szCs w:val="21"/>
                    </w:rPr>
                    <w:t>锅炉除尘灰</w:t>
                  </w:r>
                </w:p>
              </w:tc>
              <w:tc>
                <w:tcPr>
                  <w:tcW w:w="133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lang w:val="en-US" w:eastAsia="zh-CN"/>
                    </w:rPr>
                    <w:t>生物质锅炉</w:t>
                  </w:r>
                </w:p>
              </w:tc>
              <w:tc>
                <w:tcPr>
                  <w:tcW w:w="58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t/a</w:t>
                  </w:r>
                </w:p>
              </w:tc>
              <w:tc>
                <w:tcPr>
                  <w:tcW w:w="82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33.84</w:t>
                  </w:r>
                </w:p>
              </w:tc>
              <w:tc>
                <w:tcPr>
                  <w:tcW w:w="3826"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与羊粪拌合发酵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8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bidi="ar-SA"/>
                    </w:rPr>
                  </w:pPr>
                  <w:r>
                    <w:rPr>
                      <w:rFonts w:hint="eastAsia" w:eastAsia="宋体" w:cs="Times New Roman"/>
                      <w:bCs/>
                      <w:snapToGrid w:val="0"/>
                      <w:color w:val="auto"/>
                      <w:kern w:val="24"/>
                      <w:sz w:val="21"/>
                      <w:szCs w:val="21"/>
                      <w:lang w:val="en-US" w:eastAsia="zh-CN"/>
                    </w:rPr>
                    <w:t>8</w:t>
                  </w:r>
                </w:p>
              </w:tc>
              <w:tc>
                <w:tcPr>
                  <w:tcW w:w="112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有机肥滤渣</w:t>
                  </w:r>
                </w:p>
              </w:tc>
              <w:tc>
                <w:tcPr>
                  <w:tcW w:w="133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高端有机肥</w:t>
                  </w:r>
                </w:p>
              </w:tc>
              <w:tc>
                <w:tcPr>
                  <w:tcW w:w="58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t/a</w:t>
                  </w:r>
                </w:p>
              </w:tc>
              <w:tc>
                <w:tcPr>
                  <w:tcW w:w="82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eastAsia" w:eastAsia="宋体" w:cs="Times New Roman"/>
                      <w:bCs/>
                      <w:snapToGrid w:val="0"/>
                      <w:color w:val="auto"/>
                      <w:kern w:val="24"/>
                      <w:sz w:val="21"/>
                      <w:szCs w:val="21"/>
                      <w:lang w:val="en-US" w:eastAsia="zh-CN"/>
                    </w:rPr>
                    <w:t>40500</w:t>
                  </w:r>
                </w:p>
              </w:tc>
              <w:tc>
                <w:tcPr>
                  <w:tcW w:w="3826"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cs="Times New Roman"/>
                      <w:color w:val="auto"/>
                      <w:sz w:val="21"/>
                      <w:szCs w:val="21"/>
                      <w:lang w:val="en-US" w:eastAsia="zh-CN"/>
                    </w:rPr>
                    <w:t>作为有机肥外售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8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eastAsia" w:cs="Times New Roman"/>
                      <w:bCs/>
                      <w:snapToGrid w:val="0"/>
                      <w:color w:val="auto"/>
                      <w:kern w:val="24"/>
                      <w:sz w:val="21"/>
                      <w:szCs w:val="21"/>
                      <w:lang w:val="en-US" w:eastAsia="zh-CN"/>
                    </w:rPr>
                    <w:t>9</w:t>
                  </w:r>
                </w:p>
              </w:tc>
              <w:tc>
                <w:tcPr>
                  <w:tcW w:w="112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生活垃圾</w:t>
                  </w:r>
                </w:p>
              </w:tc>
              <w:tc>
                <w:tcPr>
                  <w:tcW w:w="1334"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color w:val="auto"/>
                      <w:kern w:val="2"/>
                      <w:sz w:val="21"/>
                      <w:szCs w:val="21"/>
                      <w:lang w:val="en-US" w:eastAsia="zh-CN" w:bidi="ar-SA"/>
                    </w:rPr>
                    <w:t>生活垃圾</w:t>
                  </w:r>
                </w:p>
              </w:tc>
              <w:tc>
                <w:tcPr>
                  <w:tcW w:w="58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t/a</w:t>
                  </w:r>
                </w:p>
              </w:tc>
              <w:tc>
                <w:tcPr>
                  <w:tcW w:w="825"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default" w:ascii="Times New Roman" w:hAnsi="Times New Roman" w:eastAsia="宋体" w:cs="Times New Roman"/>
                      <w:bCs/>
                      <w:snapToGrid w:val="0"/>
                      <w:color w:val="auto"/>
                      <w:kern w:val="24"/>
                      <w:sz w:val="21"/>
                      <w:szCs w:val="21"/>
                      <w:lang w:val="en-US" w:eastAsia="zh-CN"/>
                    </w:rPr>
                    <w:t>2.6</w:t>
                  </w:r>
                </w:p>
              </w:tc>
              <w:tc>
                <w:tcPr>
                  <w:tcW w:w="3826"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设置垃圾箱，环卫部门统一清运</w:t>
                  </w:r>
                </w:p>
              </w:tc>
            </w:tr>
          </w:tbl>
          <w:p>
            <w:pPr>
              <w:spacing w:before="120" w:beforeLines="50" w:line="360" w:lineRule="auto"/>
              <w:rPr>
                <w:b/>
                <w:bCs/>
                <w:color w:val="auto"/>
                <w:szCs w:val="21"/>
              </w:rPr>
            </w:pPr>
            <w:r>
              <w:rPr>
                <w:b/>
                <w:bCs/>
                <w:color w:val="auto"/>
                <w:szCs w:val="21"/>
              </w:rPr>
              <w:t>5、地下水环境影响分析</w:t>
            </w:r>
          </w:p>
          <w:p>
            <w:pPr>
              <w:ind w:firstLine="420" w:firstLineChars="200"/>
              <w:rPr>
                <w:rFonts w:hint="eastAsia"/>
                <w:color w:val="auto"/>
                <w:highlight w:val="none"/>
                <w:lang w:val="en-US" w:eastAsia="zh-CN"/>
              </w:rPr>
            </w:pPr>
            <w:r>
              <w:rPr>
                <w:rFonts w:hint="eastAsia"/>
                <w:color w:val="auto"/>
                <w:highlight w:val="none"/>
                <w:lang w:eastAsia="zh-CN"/>
              </w:rPr>
              <w:t>参照《环境影响评价技术导则</w:t>
            </w:r>
            <w:r>
              <w:rPr>
                <w:rFonts w:hint="eastAsia"/>
                <w:color w:val="auto"/>
                <w:highlight w:val="none"/>
                <w:lang w:val="en-US" w:eastAsia="zh-CN"/>
              </w:rPr>
              <w:t>-地下水</w:t>
            </w:r>
            <w:r>
              <w:rPr>
                <w:rFonts w:hint="eastAsia"/>
                <w:color w:val="auto"/>
                <w:highlight w:val="none"/>
                <w:lang w:eastAsia="zh-CN"/>
              </w:rPr>
              <w:t>》（</w:t>
            </w:r>
            <w:r>
              <w:rPr>
                <w:rFonts w:hint="eastAsia"/>
                <w:color w:val="auto"/>
                <w:highlight w:val="none"/>
                <w:lang w:val="en-US" w:eastAsia="zh-CN"/>
              </w:rPr>
              <w:t>HJ 610-2016</w:t>
            </w:r>
            <w:r>
              <w:rPr>
                <w:rFonts w:hint="eastAsia"/>
                <w:color w:val="auto"/>
                <w:highlight w:val="none"/>
                <w:lang w:eastAsia="zh-CN"/>
              </w:rPr>
              <w:t>）</w:t>
            </w:r>
            <w:r>
              <w:rPr>
                <w:rFonts w:hint="eastAsia"/>
                <w:color w:val="auto"/>
                <w:highlight w:val="none"/>
                <w:lang w:val="en-US" w:eastAsia="zh-CN"/>
              </w:rPr>
              <w:t>,本项目属</w:t>
            </w:r>
            <w:r>
              <w:rPr>
                <w:rFonts w:hint="eastAsia" w:ascii="宋体" w:hAnsi="宋体" w:eastAsia="宋体" w:cs="宋体"/>
                <w:color w:val="auto"/>
                <w:highlight w:val="none"/>
                <w:lang w:val="en-US" w:eastAsia="zh-CN"/>
              </w:rPr>
              <w:t>Ⅲ</w:t>
            </w:r>
            <w:r>
              <w:rPr>
                <w:rFonts w:hint="eastAsia"/>
                <w:color w:val="auto"/>
                <w:highlight w:val="none"/>
                <w:lang w:val="en-US" w:eastAsia="zh-CN"/>
              </w:rPr>
              <w:t>类项目，根据现状调查，该地无集中式及分散式水源井，无集中式饮用水水源，故地下水环境敏感程度为不敏感，综上可知本项目地下水环境影响评价等级为三级。</w:t>
            </w:r>
          </w:p>
          <w:p>
            <w:pPr>
              <w:spacing w:line="360" w:lineRule="auto"/>
              <w:ind w:firstLine="420" w:firstLineChars="200"/>
              <w:rPr>
                <w:rFonts w:hint="default" w:ascii="Times New Roman" w:hAnsi="Times New Roman" w:eastAsia="宋体" w:cs="Times New Roman"/>
                <w:color w:val="auto"/>
              </w:rPr>
            </w:pPr>
            <w:r>
              <w:rPr>
                <w:rFonts w:hint="eastAsia"/>
                <w:color w:val="auto"/>
                <w:highlight w:val="none"/>
              </w:rPr>
              <w:t>根据导则要求，三级评价项目监测点数至少为3个，本项目地下水监测数据引用</w:t>
            </w:r>
            <w:r>
              <w:rPr>
                <w:rFonts w:hint="eastAsia"/>
                <w:color w:val="auto"/>
                <w:highlight w:val="none"/>
                <w:lang w:eastAsia="zh-CN"/>
              </w:rPr>
              <w:t>《</w:t>
            </w:r>
            <w:r>
              <w:rPr>
                <w:rFonts w:hint="eastAsia"/>
                <w:color w:val="auto"/>
                <w:sz w:val="21"/>
                <w:szCs w:val="21"/>
              </w:rPr>
              <w:t>内蒙古蒙源兴禾种养殖一体化综合利用循环经济项目（年产有机肥30万吨）</w:t>
            </w:r>
            <w:r>
              <w:rPr>
                <w:rFonts w:hint="eastAsia"/>
                <w:color w:val="auto"/>
                <w:highlight w:val="none"/>
                <w:lang w:val="en-US" w:eastAsia="zh-CN"/>
              </w:rPr>
              <w:t>环境影响报告表》</w:t>
            </w:r>
            <w:r>
              <w:rPr>
                <w:rFonts w:hint="eastAsia"/>
                <w:color w:val="auto"/>
                <w:highlight w:val="none"/>
              </w:rPr>
              <w:t>中数据，采样时间为20</w:t>
            </w:r>
            <w:r>
              <w:rPr>
                <w:rFonts w:hint="eastAsia"/>
                <w:color w:val="auto"/>
                <w:highlight w:val="none"/>
                <w:lang w:val="en-US" w:eastAsia="zh-CN"/>
              </w:rPr>
              <w:t>20</w:t>
            </w:r>
            <w:r>
              <w:rPr>
                <w:rFonts w:hint="eastAsia"/>
                <w:color w:val="auto"/>
                <w:highlight w:val="none"/>
              </w:rPr>
              <w:t>年</w:t>
            </w:r>
            <w:r>
              <w:rPr>
                <w:rFonts w:hint="eastAsia"/>
                <w:color w:val="auto"/>
                <w:highlight w:val="none"/>
                <w:lang w:val="en-US" w:eastAsia="zh-CN"/>
              </w:rPr>
              <w:t>2</w:t>
            </w:r>
            <w:r>
              <w:rPr>
                <w:rFonts w:hint="eastAsia"/>
                <w:color w:val="auto"/>
                <w:highlight w:val="none"/>
              </w:rPr>
              <w:t>月2</w:t>
            </w:r>
            <w:r>
              <w:rPr>
                <w:rFonts w:hint="eastAsia"/>
                <w:color w:val="auto"/>
                <w:highlight w:val="none"/>
                <w:lang w:val="en-US" w:eastAsia="zh-CN"/>
              </w:rPr>
              <w:t>8</w:t>
            </w:r>
            <w:r>
              <w:rPr>
                <w:rFonts w:hint="eastAsia"/>
                <w:color w:val="auto"/>
                <w:highlight w:val="none"/>
              </w:rPr>
              <w:t>日。</w:t>
            </w:r>
            <w:r>
              <w:rPr>
                <w:color w:val="auto"/>
                <w:highlight w:val="none"/>
                <w:shd w:val="clear" w:color="auto" w:fill="auto"/>
              </w:rPr>
              <w:t>本项目</w:t>
            </w:r>
            <w:r>
              <w:rPr>
                <w:rFonts w:hint="eastAsia"/>
                <w:color w:val="auto"/>
                <w:highlight w:val="none"/>
                <w:shd w:val="clear" w:color="auto" w:fill="auto"/>
                <w:lang w:val="en-US" w:eastAsia="zh-CN"/>
              </w:rPr>
              <w:t>位于原有项目厂区内，</w:t>
            </w:r>
            <w:r>
              <w:rPr>
                <w:color w:val="auto"/>
                <w:highlight w:val="none"/>
                <w:shd w:val="clear" w:color="auto" w:fill="auto"/>
              </w:rPr>
              <w:t>符合引用条件。</w:t>
            </w:r>
          </w:p>
          <w:p>
            <w:pPr>
              <w:ind w:firstLine="420" w:firstLineChars="200"/>
              <w:rPr>
                <w:rFonts w:hint="default" w:ascii="Times New Roman" w:hAnsi="Times New Roman" w:eastAsia="宋体" w:cs="Times New Roman"/>
                <w:color w:val="FF0000"/>
              </w:rPr>
            </w:pPr>
            <w:r>
              <w:rPr>
                <w:rFonts w:hint="default"/>
                <w:color w:val="auto"/>
              </w:rPr>
              <w:t>根据</w:t>
            </w:r>
            <w:r>
              <w:rPr>
                <w:rFonts w:hint="eastAsia" w:ascii="Times New Roman" w:hAnsi="Times New Roman" w:eastAsia="宋体" w:cs="Times New Roman"/>
                <w:color w:val="auto"/>
                <w:lang w:val="en-US" w:eastAsia="zh-CN"/>
              </w:rPr>
              <w:t>引用数据</w:t>
            </w:r>
            <w:r>
              <w:rPr>
                <w:rFonts w:hint="eastAsia"/>
                <w:color w:val="auto"/>
                <w:lang w:val="en-US" w:eastAsia="zh-CN"/>
              </w:rPr>
              <w:t>可知</w:t>
            </w:r>
            <w:r>
              <w:rPr>
                <w:rFonts w:hint="default"/>
                <w:color w:val="auto"/>
              </w:rPr>
              <w:t>，</w:t>
            </w:r>
            <w:r>
              <w:rPr>
                <w:rFonts w:hint="eastAsia" w:ascii="Times New Roman" w:hAnsi="Times New Roman" w:eastAsia="宋体" w:cs="Times New Roman"/>
                <w:color w:val="auto"/>
                <w:lang w:val="en-US" w:eastAsia="zh-CN"/>
              </w:rPr>
              <w:t>1#复丰村、</w:t>
            </w:r>
            <w:r>
              <w:rPr>
                <w:rFonts w:hint="eastAsia" w:cs="Times New Roman"/>
                <w:color w:val="auto"/>
                <w:lang w:val="en-US" w:eastAsia="zh-CN"/>
              </w:rPr>
              <w:t>2</w:t>
            </w:r>
            <w:r>
              <w:rPr>
                <w:rFonts w:hint="eastAsia" w:ascii="Times New Roman" w:hAnsi="Times New Roman" w:eastAsia="宋体" w:cs="Times New Roman"/>
                <w:color w:val="auto"/>
                <w:lang w:val="en-US" w:eastAsia="zh-CN"/>
              </w:rPr>
              <w:t>#</w:t>
            </w:r>
            <w:r>
              <w:rPr>
                <w:rFonts w:hint="eastAsia" w:cs="Times New Roman"/>
                <w:color w:val="auto"/>
                <w:lang w:val="en-US" w:eastAsia="zh-CN"/>
              </w:rPr>
              <w:t>项目区</w:t>
            </w:r>
            <w:r>
              <w:rPr>
                <w:rFonts w:hint="eastAsia" w:ascii="Times New Roman" w:hAnsi="Times New Roman" w:eastAsia="宋体" w:cs="Times New Roman"/>
                <w:color w:val="auto"/>
                <w:lang w:val="en-US" w:eastAsia="zh-CN"/>
              </w:rPr>
              <w:t>的钠；</w:t>
            </w:r>
            <w:r>
              <w:rPr>
                <w:rFonts w:hint="eastAsia" w:cs="Times New Roman"/>
                <w:color w:val="auto"/>
                <w:lang w:val="en-US" w:eastAsia="zh-CN"/>
              </w:rPr>
              <w:t>2</w:t>
            </w:r>
            <w:r>
              <w:rPr>
                <w:rFonts w:hint="eastAsia" w:ascii="Times New Roman" w:hAnsi="Times New Roman" w:eastAsia="宋体" w:cs="Times New Roman"/>
                <w:color w:val="auto"/>
                <w:lang w:val="en-US" w:eastAsia="zh-CN"/>
              </w:rPr>
              <w:t>#</w:t>
            </w:r>
            <w:r>
              <w:rPr>
                <w:rFonts w:hint="eastAsia" w:cs="Times New Roman"/>
                <w:color w:val="auto"/>
                <w:lang w:val="en-US" w:eastAsia="zh-CN"/>
              </w:rPr>
              <w:t>项目区</w:t>
            </w:r>
            <w:r>
              <w:rPr>
                <w:rFonts w:hint="eastAsia" w:ascii="Times New Roman" w:hAnsi="Times New Roman" w:eastAsia="宋体" w:cs="Times New Roman"/>
                <w:color w:val="auto"/>
                <w:lang w:val="en-US" w:eastAsia="zh-CN"/>
              </w:rPr>
              <w:t>的氯化物；1#复丰村、2#项目区、3#蔺家圪旦的硫酸盐、</w:t>
            </w:r>
            <w:r>
              <w:rPr>
                <w:rFonts w:hint="default" w:ascii="Times New Roman" w:hAnsi="Times New Roman" w:eastAsia="宋体" w:cs="Times New Roman"/>
                <w:color w:val="auto"/>
              </w:rPr>
              <w:t>总硬度、溶解性总固体、氨氮、</w:t>
            </w:r>
            <w:r>
              <w:rPr>
                <w:rFonts w:hint="eastAsia" w:ascii="Times New Roman" w:hAnsi="Times New Roman" w:eastAsia="宋体" w:cs="Times New Roman"/>
                <w:color w:val="auto"/>
                <w:lang w:eastAsia="zh-CN"/>
              </w:rPr>
              <w:t>铁、</w:t>
            </w:r>
            <w:r>
              <w:rPr>
                <w:rFonts w:hint="default" w:ascii="Times New Roman" w:hAnsi="Times New Roman" w:eastAsia="宋体" w:cs="Times New Roman"/>
                <w:color w:val="auto"/>
              </w:rPr>
              <w:t>锰超过《地下水质量标准》（GB/T 14848-2017）III类标准外，其它均满足III类标准的要求。其中硫酸盐、氯化物、</w:t>
            </w:r>
            <w:r>
              <w:rPr>
                <w:rFonts w:hint="eastAsia" w:ascii="Times New Roman" w:hAnsi="Times New Roman" w:eastAsia="宋体" w:cs="Times New Roman"/>
                <w:color w:val="auto"/>
                <w:lang w:eastAsia="zh-CN"/>
              </w:rPr>
              <w:t>钠、铁、</w:t>
            </w:r>
            <w:r>
              <w:rPr>
                <w:rFonts w:hint="default" w:ascii="Times New Roman" w:hAnsi="Times New Roman" w:eastAsia="宋体" w:cs="Times New Roman"/>
                <w:color w:val="auto"/>
              </w:rPr>
              <w:t>锰、溶解性总固体</w:t>
            </w:r>
            <w:r>
              <w:rPr>
                <w:rFonts w:hint="eastAsia" w:cs="Times New Roman"/>
                <w:color w:val="auto"/>
                <w:lang w:eastAsia="zh-CN"/>
              </w:rPr>
              <w:t>、</w:t>
            </w:r>
            <w:r>
              <w:rPr>
                <w:rFonts w:hint="default" w:ascii="Times New Roman" w:hAnsi="Times New Roman" w:eastAsia="宋体" w:cs="Times New Roman"/>
                <w:color w:val="auto"/>
              </w:rPr>
              <w:t>总硬度的水质标准指数大于1，</w:t>
            </w:r>
            <w:r>
              <w:rPr>
                <w:rFonts w:hint="eastAsia" w:cs="Times New Roman"/>
                <w:color w:val="auto"/>
                <w:lang w:eastAsia="zh-CN"/>
              </w:rPr>
              <w:t>超标原因主要是地质原因造成的</w:t>
            </w:r>
            <w:r>
              <w:rPr>
                <w:rFonts w:hint="default" w:ascii="Times New Roman" w:hAnsi="Times New Roman" w:eastAsia="宋体" w:cs="Times New Roman"/>
                <w:color w:val="auto"/>
              </w:rPr>
              <w:t>。</w:t>
            </w:r>
            <w:r>
              <w:rPr>
                <w:rFonts w:hint="eastAsia" w:eastAsia="宋体"/>
                <w:color w:val="0000FF"/>
                <w:szCs w:val="21"/>
                <w:lang w:eastAsia="zh-CN"/>
              </w:rPr>
              <w:t>氨氮超标的原因是本项目位于</w:t>
            </w:r>
            <w:r>
              <w:rPr>
                <w:rFonts w:hint="eastAsia"/>
                <w:color w:val="0000FF"/>
                <w:sz w:val="21"/>
                <w:szCs w:val="21"/>
              </w:rPr>
              <w:t>巴彦淖尔市五原县天吉泰复丰村</w:t>
            </w:r>
            <w:r>
              <w:rPr>
                <w:rFonts w:hint="eastAsia" w:eastAsia="宋体"/>
                <w:color w:val="0000FF"/>
                <w:szCs w:val="21"/>
                <w:lang w:eastAsia="zh-CN"/>
              </w:rPr>
              <w:t>，长期进行农业施肥</w:t>
            </w:r>
            <w:r>
              <w:rPr>
                <w:rFonts w:hint="eastAsia"/>
                <w:color w:val="0000FF"/>
                <w:szCs w:val="21"/>
                <w:lang w:val="en-US" w:eastAsia="zh-CN"/>
              </w:rPr>
              <w:t>和</w:t>
            </w:r>
            <w:r>
              <w:rPr>
                <w:rFonts w:hint="eastAsia" w:eastAsia="宋体"/>
                <w:color w:val="0000FF"/>
                <w:szCs w:val="21"/>
                <w:lang w:eastAsia="zh-CN"/>
              </w:rPr>
              <w:t>灌溉等导致大量的农药化肥进入潜层地下水，使得区域地质环境中氨氮长期积累，本底值超标。</w:t>
            </w:r>
          </w:p>
          <w:p>
            <w:pPr>
              <w:ind w:firstLine="422" w:firstLineChars="200"/>
              <w:rPr>
                <w:b/>
                <w:bCs/>
                <w:color w:val="auto"/>
                <w:szCs w:val="21"/>
              </w:rPr>
            </w:pPr>
            <w:r>
              <w:rPr>
                <w:b/>
                <w:bCs/>
                <w:color w:val="auto"/>
                <w:szCs w:val="21"/>
              </w:rPr>
              <w:t>6、生态环境影响分析</w:t>
            </w:r>
          </w:p>
          <w:p>
            <w:pPr>
              <w:adjustRightInd w:val="0"/>
              <w:snapToGrid w:val="0"/>
              <w:spacing w:line="360" w:lineRule="auto"/>
              <w:ind w:firstLine="420" w:firstLineChars="200"/>
              <w:rPr>
                <w:color w:val="auto"/>
              </w:rPr>
            </w:pPr>
            <w:r>
              <w:rPr>
                <w:rFonts w:hint="eastAsia"/>
                <w:color w:val="auto"/>
              </w:rPr>
              <w:t>本项目建设于</w:t>
            </w:r>
            <w:r>
              <w:rPr>
                <w:rFonts w:hint="eastAsia"/>
                <w:color w:val="auto"/>
                <w:lang w:val="en-US" w:eastAsia="zh-CN"/>
              </w:rPr>
              <w:t>原有厂区内，</w:t>
            </w:r>
            <w:r>
              <w:rPr>
                <w:rFonts w:hint="eastAsia"/>
                <w:color w:val="auto"/>
              </w:rPr>
              <w:t>不新增用地，项目的建设未改变土地利用性质，因此本项目的建设对生态环境产生的影响不大。</w:t>
            </w:r>
          </w:p>
          <w:p>
            <w:pPr>
              <w:adjustRightInd w:val="0"/>
              <w:snapToGrid w:val="0"/>
              <w:spacing w:line="360" w:lineRule="auto"/>
              <w:ind w:firstLine="420" w:firstLineChars="200"/>
              <w:rPr>
                <w:color w:val="auto"/>
              </w:rPr>
            </w:pPr>
            <w:r>
              <w:rPr>
                <w:color w:val="auto"/>
              </w:rPr>
              <w:t>总体来说，本项目对生态影响较小。</w:t>
            </w:r>
          </w:p>
          <w:p>
            <w:pPr>
              <w:spacing w:before="120" w:beforeLines="50" w:line="360" w:lineRule="auto"/>
              <w:rPr>
                <w:b/>
                <w:bCs/>
                <w:color w:val="auto"/>
                <w:szCs w:val="21"/>
              </w:rPr>
            </w:pPr>
            <w:r>
              <w:rPr>
                <w:b/>
                <w:bCs/>
                <w:color w:val="auto"/>
                <w:szCs w:val="21"/>
              </w:rPr>
              <w:t>7、环保投资</w:t>
            </w:r>
          </w:p>
          <w:p>
            <w:pPr>
              <w:adjustRightInd w:val="0"/>
              <w:snapToGrid w:val="0"/>
              <w:spacing w:line="360" w:lineRule="auto"/>
              <w:ind w:firstLine="420" w:firstLineChars="200"/>
              <w:rPr>
                <w:color w:val="auto"/>
              </w:rPr>
            </w:pPr>
            <w:r>
              <w:rPr>
                <w:color w:val="auto"/>
              </w:rPr>
              <w:t>本项目投资为</w:t>
            </w:r>
            <w:r>
              <w:rPr>
                <w:rFonts w:hint="eastAsia"/>
                <w:color w:val="auto"/>
                <w:lang w:val="en-US" w:eastAsia="zh-CN"/>
              </w:rPr>
              <w:t>80</w:t>
            </w:r>
            <w:r>
              <w:rPr>
                <w:color w:val="auto"/>
              </w:rPr>
              <w:t>0万元，其中环保投资</w:t>
            </w:r>
            <w:r>
              <w:rPr>
                <w:rFonts w:hint="eastAsia"/>
                <w:color w:val="auto"/>
                <w:lang w:val="en-US" w:eastAsia="zh-CN"/>
              </w:rPr>
              <w:t>29</w:t>
            </w:r>
            <w:r>
              <w:rPr>
                <w:color w:val="auto"/>
              </w:rPr>
              <w:t>万元，主要为废气处理设施及固废处置设施等，环保投资占工程总投资的</w:t>
            </w:r>
            <w:r>
              <w:rPr>
                <w:rFonts w:hint="eastAsia"/>
                <w:color w:val="auto"/>
                <w:lang w:val="en-US" w:eastAsia="zh-CN"/>
              </w:rPr>
              <w:t>3.63</w:t>
            </w:r>
            <w:r>
              <w:rPr>
                <w:color w:val="auto"/>
              </w:rPr>
              <w:t>%。项目运营期环保投资见表</w:t>
            </w:r>
            <w:r>
              <w:rPr>
                <w:rFonts w:hint="eastAsia"/>
                <w:color w:val="auto"/>
                <w:lang w:val="en-US" w:eastAsia="zh-CN"/>
              </w:rPr>
              <w:t>36</w:t>
            </w:r>
            <w:r>
              <w:rPr>
                <w:color w:val="auto"/>
              </w:rPr>
              <w:t>。</w:t>
            </w:r>
          </w:p>
          <w:p>
            <w:pPr>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表</w:t>
            </w:r>
            <w:r>
              <w:rPr>
                <w:rFonts w:hint="eastAsia" w:ascii="宋体" w:hAnsi="宋体" w:eastAsia="宋体" w:cs="宋体"/>
                <w:b/>
                <w:bCs/>
                <w:color w:val="auto"/>
                <w:sz w:val="21"/>
                <w:szCs w:val="21"/>
                <w:lang w:val="en-US" w:eastAsia="zh-CN"/>
              </w:rPr>
              <w:t xml:space="preserve">36 </w:t>
            </w:r>
            <w:r>
              <w:rPr>
                <w:rFonts w:hint="eastAsia" w:ascii="宋体" w:hAnsi="宋体" w:eastAsia="宋体" w:cs="宋体"/>
                <w:b/>
                <w:bCs/>
                <w:color w:val="auto"/>
                <w:sz w:val="21"/>
                <w:szCs w:val="21"/>
              </w:rPr>
              <w:t>项目环保投资情况一览表</w:t>
            </w:r>
          </w:p>
          <w:tbl>
            <w:tblPr>
              <w:tblStyle w:val="19"/>
              <w:tblW w:w="805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731"/>
              <w:gridCol w:w="831"/>
              <w:gridCol w:w="1389"/>
              <w:gridCol w:w="163"/>
              <w:gridCol w:w="3003"/>
              <w:gridCol w:w="687"/>
              <w:gridCol w:w="124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731" w:type="dxa"/>
                  <w:tcBorders>
                    <w:tl2br w:val="nil"/>
                    <w:tr2bl w:val="nil"/>
                  </w:tcBorders>
                  <w:noWrap w:val="0"/>
                  <w:vAlign w:val="center"/>
                </w:tcPr>
                <w:p>
                  <w:pPr>
                    <w:autoSpaceDE w:val="0"/>
                    <w:autoSpaceDN w:val="0"/>
                    <w:adjustRightInd w:val="0"/>
                    <w:spacing w:line="0" w:lineRule="atLeast"/>
                    <w:jc w:val="center"/>
                    <w:rPr>
                      <w:rFonts w:hAnsi="宋体"/>
                      <w:color w:val="auto"/>
                      <w:szCs w:val="21"/>
                    </w:rPr>
                  </w:pPr>
                  <w:r>
                    <w:rPr>
                      <w:rFonts w:hint="eastAsia" w:hAnsi="宋体"/>
                      <w:color w:val="auto"/>
                      <w:szCs w:val="21"/>
                    </w:rPr>
                    <w:t>序号</w:t>
                  </w:r>
                </w:p>
              </w:tc>
              <w:tc>
                <w:tcPr>
                  <w:tcW w:w="831" w:type="dxa"/>
                  <w:tcBorders>
                    <w:tl2br w:val="nil"/>
                    <w:tr2bl w:val="nil"/>
                  </w:tcBorders>
                  <w:noWrap w:val="0"/>
                  <w:vAlign w:val="center"/>
                </w:tcPr>
                <w:p>
                  <w:pPr>
                    <w:autoSpaceDE w:val="0"/>
                    <w:autoSpaceDN w:val="0"/>
                    <w:adjustRightInd w:val="0"/>
                    <w:spacing w:line="0" w:lineRule="atLeast"/>
                    <w:jc w:val="center"/>
                    <w:rPr>
                      <w:rFonts w:hAnsi="宋体"/>
                      <w:color w:val="auto"/>
                      <w:szCs w:val="21"/>
                    </w:rPr>
                  </w:pPr>
                  <w:r>
                    <w:rPr>
                      <w:rFonts w:hint="eastAsia" w:hAnsi="宋体"/>
                      <w:color w:val="auto"/>
                      <w:szCs w:val="21"/>
                    </w:rPr>
                    <w:t>类别</w:t>
                  </w:r>
                </w:p>
              </w:tc>
              <w:tc>
                <w:tcPr>
                  <w:tcW w:w="4555" w:type="dxa"/>
                  <w:gridSpan w:val="3"/>
                  <w:tcBorders>
                    <w:tl2br w:val="nil"/>
                    <w:tr2bl w:val="nil"/>
                  </w:tcBorders>
                  <w:noWrap w:val="0"/>
                  <w:vAlign w:val="center"/>
                </w:tcPr>
                <w:p>
                  <w:pPr>
                    <w:autoSpaceDE w:val="0"/>
                    <w:autoSpaceDN w:val="0"/>
                    <w:adjustRightInd w:val="0"/>
                    <w:spacing w:line="0" w:lineRule="atLeast"/>
                    <w:jc w:val="center"/>
                    <w:rPr>
                      <w:rFonts w:hAnsi="宋体"/>
                      <w:color w:val="auto"/>
                      <w:szCs w:val="21"/>
                    </w:rPr>
                  </w:pPr>
                  <w:r>
                    <w:rPr>
                      <w:rFonts w:hint="eastAsia"/>
                      <w:color w:val="auto"/>
                      <w:szCs w:val="21"/>
                    </w:rPr>
                    <w:t>主要设施或措施</w:t>
                  </w:r>
                </w:p>
              </w:tc>
              <w:tc>
                <w:tcPr>
                  <w:tcW w:w="687" w:type="dxa"/>
                  <w:tcBorders>
                    <w:tl2br w:val="nil"/>
                    <w:tr2bl w:val="nil"/>
                  </w:tcBorders>
                  <w:noWrap w:val="0"/>
                  <w:vAlign w:val="center"/>
                </w:tcPr>
                <w:p>
                  <w:pPr>
                    <w:autoSpaceDE w:val="0"/>
                    <w:autoSpaceDN w:val="0"/>
                    <w:adjustRightInd w:val="0"/>
                    <w:spacing w:line="0" w:lineRule="atLeast"/>
                    <w:jc w:val="center"/>
                    <w:rPr>
                      <w:rFonts w:hAnsi="宋体"/>
                      <w:color w:val="auto"/>
                      <w:szCs w:val="21"/>
                    </w:rPr>
                  </w:pPr>
                  <w:r>
                    <w:rPr>
                      <w:rFonts w:hint="eastAsia" w:hAnsi="宋体"/>
                      <w:color w:val="auto"/>
                      <w:szCs w:val="21"/>
                    </w:rPr>
                    <w:t>数量</w:t>
                  </w:r>
                </w:p>
                <w:p>
                  <w:pPr>
                    <w:autoSpaceDE w:val="0"/>
                    <w:autoSpaceDN w:val="0"/>
                    <w:adjustRightInd w:val="0"/>
                    <w:spacing w:line="0" w:lineRule="atLeast"/>
                    <w:jc w:val="center"/>
                    <w:rPr>
                      <w:rFonts w:hAnsi="宋体"/>
                      <w:color w:val="auto"/>
                      <w:szCs w:val="21"/>
                    </w:rPr>
                  </w:pPr>
                  <w:r>
                    <w:rPr>
                      <w:rFonts w:hint="eastAsia" w:hAnsi="宋体"/>
                      <w:color w:val="auto"/>
                      <w:szCs w:val="21"/>
                    </w:rPr>
                    <w:t>（套）</w:t>
                  </w:r>
                </w:p>
              </w:tc>
              <w:tc>
                <w:tcPr>
                  <w:tcW w:w="1246" w:type="dxa"/>
                  <w:tcBorders>
                    <w:tl2br w:val="nil"/>
                    <w:tr2bl w:val="nil"/>
                  </w:tcBorders>
                  <w:noWrap w:val="0"/>
                  <w:vAlign w:val="center"/>
                </w:tcPr>
                <w:p>
                  <w:pPr>
                    <w:autoSpaceDE w:val="0"/>
                    <w:autoSpaceDN w:val="0"/>
                    <w:adjustRightInd w:val="0"/>
                    <w:spacing w:line="0" w:lineRule="atLeast"/>
                    <w:jc w:val="center"/>
                    <w:rPr>
                      <w:bCs/>
                      <w:snapToGrid w:val="0"/>
                      <w:color w:val="auto"/>
                      <w:kern w:val="24"/>
                      <w:szCs w:val="21"/>
                    </w:rPr>
                  </w:pPr>
                  <w:r>
                    <w:rPr>
                      <w:rFonts w:hint="eastAsia"/>
                      <w:bCs/>
                      <w:snapToGrid w:val="0"/>
                      <w:color w:val="auto"/>
                      <w:kern w:val="24"/>
                      <w:szCs w:val="21"/>
                    </w:rPr>
                    <w:t>投资（万元）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731" w:type="dxa"/>
                  <w:vMerge w:val="restart"/>
                  <w:tcBorders>
                    <w:tl2br w:val="nil"/>
                    <w:tr2bl w:val="nil"/>
                  </w:tcBorders>
                  <w:noWrap w:val="0"/>
                  <w:vAlign w:val="center"/>
                </w:tcPr>
                <w:p>
                  <w:pPr>
                    <w:autoSpaceDE w:val="0"/>
                    <w:autoSpaceDN w:val="0"/>
                    <w:adjustRightInd w:val="0"/>
                    <w:spacing w:line="0" w:lineRule="atLeast"/>
                    <w:jc w:val="center"/>
                    <w:rPr>
                      <w:rFonts w:hAnsi="宋体"/>
                      <w:color w:val="auto"/>
                      <w:szCs w:val="21"/>
                    </w:rPr>
                  </w:pPr>
                  <w:r>
                    <w:rPr>
                      <w:rFonts w:hint="eastAsia" w:hAnsi="宋体"/>
                      <w:color w:val="auto"/>
                      <w:szCs w:val="21"/>
                    </w:rPr>
                    <w:t>1</w:t>
                  </w:r>
                </w:p>
              </w:tc>
              <w:tc>
                <w:tcPr>
                  <w:tcW w:w="831" w:type="dxa"/>
                  <w:vMerge w:val="restart"/>
                  <w:tcBorders>
                    <w:tl2br w:val="nil"/>
                    <w:tr2bl w:val="nil"/>
                  </w:tcBorders>
                  <w:noWrap w:val="0"/>
                  <w:vAlign w:val="center"/>
                </w:tcPr>
                <w:p>
                  <w:pPr>
                    <w:autoSpaceDE w:val="0"/>
                    <w:autoSpaceDN w:val="0"/>
                    <w:adjustRightInd w:val="0"/>
                    <w:spacing w:line="0" w:lineRule="atLeast"/>
                    <w:jc w:val="center"/>
                    <w:rPr>
                      <w:rFonts w:hAnsi="宋体"/>
                      <w:color w:val="auto"/>
                      <w:szCs w:val="21"/>
                    </w:rPr>
                  </w:pPr>
                  <w:r>
                    <w:rPr>
                      <w:rFonts w:hint="eastAsia"/>
                      <w:color w:val="auto"/>
                      <w:szCs w:val="21"/>
                    </w:rPr>
                    <w:t>废气治理措施</w:t>
                  </w:r>
                </w:p>
              </w:tc>
              <w:tc>
                <w:tcPr>
                  <w:tcW w:w="1552" w:type="dxa"/>
                  <w:gridSpan w:val="2"/>
                  <w:vMerge w:val="restart"/>
                  <w:tcBorders>
                    <w:tl2br w:val="nil"/>
                    <w:tr2bl w:val="nil"/>
                  </w:tcBorders>
                  <w:noWrap w:val="0"/>
                  <w:vAlign w:val="center"/>
                </w:tcPr>
                <w:p>
                  <w:pPr>
                    <w:autoSpaceDE w:val="0"/>
                    <w:autoSpaceDN w:val="0"/>
                    <w:adjustRightInd w:val="0"/>
                    <w:spacing w:line="0" w:lineRule="atLeast"/>
                    <w:jc w:val="center"/>
                    <w:rPr>
                      <w:rFonts w:hint="default" w:eastAsia="宋体"/>
                      <w:color w:val="auto"/>
                      <w:szCs w:val="21"/>
                      <w:lang w:val="en-US" w:eastAsia="zh-CN"/>
                    </w:rPr>
                  </w:pPr>
                  <w:r>
                    <w:rPr>
                      <w:rFonts w:hint="eastAsia"/>
                      <w:color w:val="auto"/>
                      <w:szCs w:val="21"/>
                      <w:lang w:val="en-US" w:eastAsia="zh-CN"/>
                    </w:rPr>
                    <w:t>生物质锅炉</w:t>
                  </w:r>
                </w:p>
              </w:tc>
              <w:tc>
                <w:tcPr>
                  <w:tcW w:w="3003" w:type="dxa"/>
                  <w:tcBorders>
                    <w:tl2br w:val="nil"/>
                    <w:tr2bl w:val="nil"/>
                  </w:tcBorders>
                  <w:noWrap w:val="0"/>
                  <w:vAlign w:val="center"/>
                </w:tcPr>
                <w:p>
                  <w:pPr>
                    <w:spacing w:line="0" w:lineRule="atLeast"/>
                    <w:jc w:val="center"/>
                    <w:rPr>
                      <w:color w:val="auto"/>
                      <w:szCs w:val="21"/>
                    </w:rPr>
                  </w:pPr>
                  <w:r>
                    <w:rPr>
                      <w:color w:val="auto"/>
                      <w:szCs w:val="21"/>
                    </w:rPr>
                    <w:t>袋式除尘器</w:t>
                  </w:r>
                </w:p>
              </w:tc>
              <w:tc>
                <w:tcPr>
                  <w:tcW w:w="687" w:type="dxa"/>
                  <w:tcBorders>
                    <w:tl2br w:val="nil"/>
                    <w:tr2bl w:val="nil"/>
                  </w:tcBorders>
                  <w:noWrap w:val="0"/>
                  <w:vAlign w:val="center"/>
                </w:tcPr>
                <w:p>
                  <w:pPr>
                    <w:spacing w:line="0" w:lineRule="atLeast"/>
                    <w:jc w:val="center"/>
                    <w:rPr>
                      <w:color w:val="auto"/>
                      <w:szCs w:val="21"/>
                    </w:rPr>
                  </w:pPr>
                  <w:r>
                    <w:rPr>
                      <w:color w:val="auto"/>
                      <w:szCs w:val="21"/>
                    </w:rPr>
                    <w:t>1</w:t>
                  </w:r>
                </w:p>
              </w:tc>
              <w:tc>
                <w:tcPr>
                  <w:tcW w:w="1246" w:type="dxa"/>
                  <w:tcBorders>
                    <w:tl2br w:val="nil"/>
                    <w:tr2bl w:val="nil"/>
                  </w:tcBorders>
                  <w:noWrap w:val="0"/>
                  <w:vAlign w:val="center"/>
                </w:tcPr>
                <w:p>
                  <w:pPr>
                    <w:autoSpaceDE w:val="0"/>
                    <w:autoSpaceDN w:val="0"/>
                    <w:adjustRightInd w:val="0"/>
                    <w:spacing w:line="0" w:lineRule="atLeast"/>
                    <w:jc w:val="center"/>
                    <w:rPr>
                      <w:rFonts w:hint="default" w:eastAsia="宋体"/>
                      <w:bCs/>
                      <w:snapToGrid w:val="0"/>
                      <w:color w:val="auto"/>
                      <w:kern w:val="24"/>
                      <w:szCs w:val="21"/>
                      <w:lang w:val="en-US" w:eastAsia="zh-CN"/>
                    </w:rPr>
                  </w:pPr>
                  <w:r>
                    <w:rPr>
                      <w:rFonts w:hint="eastAsia"/>
                      <w:bCs/>
                      <w:snapToGrid w:val="0"/>
                      <w:color w:val="auto"/>
                      <w:kern w:val="24"/>
                      <w:szCs w:val="21"/>
                      <w:lang w:val="en-US" w:eastAsia="zh-CN"/>
                    </w:rPr>
                    <w:t>8.0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731" w:type="dxa"/>
                  <w:vMerge w:val="continue"/>
                  <w:tcBorders>
                    <w:tl2br w:val="nil"/>
                    <w:tr2bl w:val="nil"/>
                  </w:tcBorders>
                  <w:noWrap w:val="0"/>
                  <w:vAlign w:val="center"/>
                </w:tcPr>
                <w:p>
                  <w:pPr>
                    <w:autoSpaceDE w:val="0"/>
                    <w:autoSpaceDN w:val="0"/>
                    <w:adjustRightInd w:val="0"/>
                    <w:spacing w:line="0" w:lineRule="atLeast"/>
                    <w:jc w:val="center"/>
                    <w:rPr>
                      <w:rFonts w:hAnsi="宋体"/>
                      <w:color w:val="auto"/>
                      <w:szCs w:val="21"/>
                    </w:rPr>
                  </w:pPr>
                </w:p>
              </w:tc>
              <w:tc>
                <w:tcPr>
                  <w:tcW w:w="831" w:type="dxa"/>
                  <w:vMerge w:val="continue"/>
                  <w:tcBorders>
                    <w:tl2br w:val="nil"/>
                    <w:tr2bl w:val="nil"/>
                  </w:tcBorders>
                  <w:noWrap w:val="0"/>
                  <w:vAlign w:val="center"/>
                </w:tcPr>
                <w:p>
                  <w:pPr>
                    <w:autoSpaceDE w:val="0"/>
                    <w:autoSpaceDN w:val="0"/>
                    <w:adjustRightInd w:val="0"/>
                    <w:spacing w:line="0" w:lineRule="atLeast"/>
                    <w:jc w:val="center"/>
                    <w:rPr>
                      <w:rFonts w:hAnsi="宋体"/>
                      <w:color w:val="auto"/>
                      <w:szCs w:val="21"/>
                    </w:rPr>
                  </w:pPr>
                </w:p>
              </w:tc>
              <w:tc>
                <w:tcPr>
                  <w:tcW w:w="1552" w:type="dxa"/>
                  <w:gridSpan w:val="2"/>
                  <w:vMerge w:val="continue"/>
                  <w:tcBorders>
                    <w:tl2br w:val="nil"/>
                    <w:tr2bl w:val="nil"/>
                  </w:tcBorders>
                  <w:noWrap w:val="0"/>
                  <w:vAlign w:val="center"/>
                </w:tcPr>
                <w:p>
                  <w:pPr>
                    <w:autoSpaceDE w:val="0"/>
                    <w:autoSpaceDN w:val="0"/>
                    <w:adjustRightInd w:val="0"/>
                    <w:spacing w:line="0" w:lineRule="atLeast"/>
                    <w:jc w:val="center"/>
                    <w:rPr>
                      <w:color w:val="auto"/>
                      <w:szCs w:val="21"/>
                    </w:rPr>
                  </w:pPr>
                </w:p>
              </w:tc>
              <w:tc>
                <w:tcPr>
                  <w:tcW w:w="3003" w:type="dxa"/>
                  <w:tcBorders>
                    <w:tl2br w:val="nil"/>
                    <w:tr2bl w:val="nil"/>
                  </w:tcBorders>
                  <w:noWrap w:val="0"/>
                  <w:vAlign w:val="center"/>
                </w:tcPr>
                <w:p>
                  <w:pPr>
                    <w:spacing w:line="0" w:lineRule="atLeast"/>
                    <w:jc w:val="center"/>
                    <w:rPr>
                      <w:color w:val="auto"/>
                      <w:szCs w:val="21"/>
                    </w:rPr>
                  </w:pPr>
                  <w:r>
                    <w:rPr>
                      <w:rFonts w:hint="eastAsia" w:ascii="Times New Roman" w:hAnsi="Times New Roman" w:eastAsia="宋体" w:cs="Times New Roman"/>
                      <w:color w:val="0000FF"/>
                      <w:highlight w:val="none"/>
                      <w:lang w:val="en-US" w:eastAsia="zh-CN"/>
                    </w:rPr>
                    <w:t>水浴除尘器</w:t>
                  </w:r>
                </w:p>
              </w:tc>
              <w:tc>
                <w:tcPr>
                  <w:tcW w:w="687" w:type="dxa"/>
                  <w:tcBorders>
                    <w:tl2br w:val="nil"/>
                    <w:tr2bl w:val="nil"/>
                  </w:tcBorders>
                  <w:noWrap w:val="0"/>
                  <w:vAlign w:val="center"/>
                </w:tcPr>
                <w:p>
                  <w:pPr>
                    <w:spacing w:line="0" w:lineRule="atLeast"/>
                    <w:jc w:val="center"/>
                    <w:rPr>
                      <w:color w:val="auto"/>
                      <w:szCs w:val="21"/>
                    </w:rPr>
                  </w:pPr>
                  <w:r>
                    <w:rPr>
                      <w:rFonts w:hint="eastAsia"/>
                      <w:color w:val="auto"/>
                      <w:szCs w:val="21"/>
                    </w:rPr>
                    <w:t>1</w:t>
                  </w:r>
                </w:p>
              </w:tc>
              <w:tc>
                <w:tcPr>
                  <w:tcW w:w="1246" w:type="dxa"/>
                  <w:tcBorders>
                    <w:tl2br w:val="nil"/>
                    <w:tr2bl w:val="nil"/>
                  </w:tcBorders>
                  <w:noWrap w:val="0"/>
                  <w:vAlign w:val="center"/>
                </w:tcPr>
                <w:p>
                  <w:pPr>
                    <w:autoSpaceDE w:val="0"/>
                    <w:autoSpaceDN w:val="0"/>
                    <w:adjustRightInd w:val="0"/>
                    <w:spacing w:line="0" w:lineRule="atLeast"/>
                    <w:jc w:val="center"/>
                    <w:rPr>
                      <w:rFonts w:hint="default" w:eastAsia="宋体"/>
                      <w:bCs/>
                      <w:snapToGrid w:val="0"/>
                      <w:color w:val="auto"/>
                      <w:kern w:val="24"/>
                      <w:szCs w:val="21"/>
                      <w:lang w:val="en-US" w:eastAsia="zh-CN"/>
                    </w:rPr>
                  </w:pPr>
                  <w:r>
                    <w:rPr>
                      <w:rFonts w:hint="eastAsia"/>
                      <w:bCs/>
                      <w:snapToGrid w:val="0"/>
                      <w:color w:val="auto"/>
                      <w:kern w:val="24"/>
                      <w:szCs w:val="21"/>
                      <w:lang w:val="en-US" w:eastAsia="zh-CN"/>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731" w:type="dxa"/>
                  <w:vMerge w:val="continue"/>
                  <w:tcBorders>
                    <w:tl2br w:val="nil"/>
                    <w:tr2bl w:val="nil"/>
                  </w:tcBorders>
                  <w:noWrap w:val="0"/>
                  <w:vAlign w:val="center"/>
                </w:tcPr>
                <w:p>
                  <w:pPr>
                    <w:autoSpaceDE w:val="0"/>
                    <w:autoSpaceDN w:val="0"/>
                    <w:adjustRightInd w:val="0"/>
                    <w:spacing w:line="0" w:lineRule="atLeast"/>
                    <w:jc w:val="center"/>
                    <w:rPr>
                      <w:rFonts w:hAnsi="宋体"/>
                      <w:color w:val="auto"/>
                      <w:szCs w:val="21"/>
                    </w:rPr>
                  </w:pPr>
                </w:p>
              </w:tc>
              <w:tc>
                <w:tcPr>
                  <w:tcW w:w="831" w:type="dxa"/>
                  <w:vMerge w:val="continue"/>
                  <w:tcBorders>
                    <w:tl2br w:val="nil"/>
                    <w:tr2bl w:val="nil"/>
                  </w:tcBorders>
                  <w:noWrap w:val="0"/>
                  <w:vAlign w:val="center"/>
                </w:tcPr>
                <w:p>
                  <w:pPr>
                    <w:autoSpaceDE w:val="0"/>
                    <w:autoSpaceDN w:val="0"/>
                    <w:adjustRightInd w:val="0"/>
                    <w:spacing w:line="0" w:lineRule="atLeast"/>
                    <w:jc w:val="center"/>
                    <w:rPr>
                      <w:rFonts w:hAnsi="宋体"/>
                      <w:color w:val="auto"/>
                      <w:szCs w:val="21"/>
                    </w:rPr>
                  </w:pPr>
                </w:p>
              </w:tc>
              <w:tc>
                <w:tcPr>
                  <w:tcW w:w="1552" w:type="dxa"/>
                  <w:gridSpan w:val="2"/>
                  <w:vMerge w:val="continue"/>
                  <w:tcBorders>
                    <w:tl2br w:val="nil"/>
                    <w:tr2bl w:val="nil"/>
                  </w:tcBorders>
                  <w:noWrap w:val="0"/>
                  <w:vAlign w:val="center"/>
                </w:tcPr>
                <w:p>
                  <w:pPr>
                    <w:autoSpaceDE w:val="0"/>
                    <w:autoSpaceDN w:val="0"/>
                    <w:adjustRightInd w:val="0"/>
                    <w:spacing w:line="0" w:lineRule="atLeast"/>
                    <w:jc w:val="center"/>
                    <w:rPr>
                      <w:color w:val="auto"/>
                      <w:szCs w:val="21"/>
                    </w:rPr>
                  </w:pPr>
                </w:p>
              </w:tc>
              <w:tc>
                <w:tcPr>
                  <w:tcW w:w="3003" w:type="dxa"/>
                  <w:tcBorders>
                    <w:tl2br w:val="nil"/>
                    <w:tr2bl w:val="nil"/>
                  </w:tcBorders>
                  <w:noWrap w:val="0"/>
                  <w:vAlign w:val="center"/>
                </w:tcPr>
                <w:p>
                  <w:pPr>
                    <w:spacing w:line="0" w:lineRule="atLeast"/>
                    <w:jc w:val="center"/>
                    <w:rPr>
                      <w:color w:val="auto"/>
                      <w:szCs w:val="21"/>
                    </w:rPr>
                  </w:pPr>
                  <w:r>
                    <w:rPr>
                      <w:rFonts w:hint="eastAsia"/>
                      <w:bCs/>
                      <w:color w:val="auto"/>
                      <w:szCs w:val="21"/>
                      <w:lang w:val="en-US" w:eastAsia="zh-CN"/>
                    </w:rPr>
                    <w:t>35</w:t>
                  </w:r>
                  <w:r>
                    <w:rPr>
                      <w:bCs/>
                      <w:color w:val="auto"/>
                      <w:szCs w:val="21"/>
                    </w:rPr>
                    <w:t>m高排气筒</w:t>
                  </w:r>
                </w:p>
              </w:tc>
              <w:tc>
                <w:tcPr>
                  <w:tcW w:w="687" w:type="dxa"/>
                  <w:tcBorders>
                    <w:tl2br w:val="nil"/>
                    <w:tr2bl w:val="nil"/>
                  </w:tcBorders>
                  <w:noWrap w:val="0"/>
                  <w:vAlign w:val="center"/>
                </w:tcPr>
                <w:p>
                  <w:pPr>
                    <w:spacing w:line="0" w:lineRule="atLeast"/>
                    <w:jc w:val="center"/>
                    <w:rPr>
                      <w:color w:val="auto"/>
                      <w:szCs w:val="21"/>
                    </w:rPr>
                  </w:pPr>
                  <w:r>
                    <w:rPr>
                      <w:rFonts w:hint="eastAsia"/>
                      <w:color w:val="auto"/>
                      <w:szCs w:val="21"/>
                    </w:rPr>
                    <w:t>1</w:t>
                  </w:r>
                </w:p>
              </w:tc>
              <w:tc>
                <w:tcPr>
                  <w:tcW w:w="1246" w:type="dxa"/>
                  <w:tcBorders>
                    <w:tl2br w:val="nil"/>
                    <w:tr2bl w:val="nil"/>
                  </w:tcBorders>
                  <w:noWrap w:val="0"/>
                  <w:vAlign w:val="center"/>
                </w:tcPr>
                <w:p>
                  <w:pPr>
                    <w:autoSpaceDE w:val="0"/>
                    <w:autoSpaceDN w:val="0"/>
                    <w:adjustRightInd w:val="0"/>
                    <w:spacing w:line="0" w:lineRule="atLeast"/>
                    <w:jc w:val="center"/>
                    <w:rPr>
                      <w:bCs/>
                      <w:snapToGrid w:val="0"/>
                      <w:color w:val="auto"/>
                      <w:kern w:val="24"/>
                      <w:szCs w:val="21"/>
                    </w:rPr>
                  </w:pPr>
                  <w:r>
                    <w:rPr>
                      <w:rFonts w:hint="eastAsia"/>
                      <w:bCs/>
                      <w:snapToGrid w:val="0"/>
                      <w:color w:val="auto"/>
                      <w:kern w:val="24"/>
                      <w:szCs w:val="21"/>
                    </w:rPr>
                    <w:t>0.5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731" w:type="dxa"/>
                  <w:vMerge w:val="continue"/>
                  <w:tcBorders>
                    <w:tl2br w:val="nil"/>
                    <w:tr2bl w:val="nil"/>
                  </w:tcBorders>
                  <w:noWrap w:val="0"/>
                  <w:vAlign w:val="center"/>
                </w:tcPr>
                <w:p>
                  <w:pPr>
                    <w:autoSpaceDE w:val="0"/>
                    <w:autoSpaceDN w:val="0"/>
                    <w:adjustRightInd w:val="0"/>
                    <w:spacing w:line="0" w:lineRule="atLeast"/>
                    <w:jc w:val="center"/>
                    <w:rPr>
                      <w:rFonts w:hAnsi="宋体"/>
                      <w:color w:val="auto"/>
                      <w:szCs w:val="21"/>
                    </w:rPr>
                  </w:pPr>
                </w:p>
              </w:tc>
              <w:tc>
                <w:tcPr>
                  <w:tcW w:w="831" w:type="dxa"/>
                  <w:vMerge w:val="continue"/>
                  <w:tcBorders>
                    <w:tl2br w:val="nil"/>
                    <w:tr2bl w:val="nil"/>
                  </w:tcBorders>
                  <w:noWrap w:val="0"/>
                  <w:vAlign w:val="center"/>
                </w:tcPr>
                <w:p>
                  <w:pPr>
                    <w:autoSpaceDE w:val="0"/>
                    <w:autoSpaceDN w:val="0"/>
                    <w:adjustRightInd w:val="0"/>
                    <w:spacing w:line="0" w:lineRule="atLeast"/>
                    <w:jc w:val="center"/>
                    <w:rPr>
                      <w:rFonts w:hAnsi="宋体"/>
                      <w:color w:val="auto"/>
                      <w:szCs w:val="21"/>
                    </w:rPr>
                  </w:pPr>
                </w:p>
              </w:tc>
              <w:tc>
                <w:tcPr>
                  <w:tcW w:w="1552" w:type="dxa"/>
                  <w:gridSpan w:val="2"/>
                  <w:vMerge w:val="restart"/>
                  <w:tcBorders>
                    <w:tl2br w:val="nil"/>
                    <w:tr2bl w:val="nil"/>
                  </w:tcBorders>
                  <w:noWrap w:val="0"/>
                  <w:vAlign w:val="center"/>
                </w:tcPr>
                <w:p>
                  <w:pPr>
                    <w:autoSpaceDE w:val="0"/>
                    <w:autoSpaceDN w:val="0"/>
                    <w:adjustRightInd w:val="0"/>
                    <w:spacing w:line="0" w:lineRule="atLeast"/>
                    <w:jc w:val="center"/>
                    <w:rPr>
                      <w:rFonts w:hint="default" w:eastAsia="宋体"/>
                      <w:color w:val="auto"/>
                      <w:szCs w:val="21"/>
                      <w:lang w:val="en-US" w:eastAsia="zh-CN"/>
                    </w:rPr>
                  </w:pPr>
                  <w:r>
                    <w:rPr>
                      <w:rFonts w:hint="eastAsia"/>
                      <w:bCs/>
                      <w:snapToGrid w:val="0"/>
                      <w:color w:val="auto"/>
                      <w:kern w:val="24"/>
                      <w:szCs w:val="21"/>
                      <w:lang w:val="en-US" w:eastAsia="zh-CN"/>
                    </w:rPr>
                    <w:t>热风炉</w:t>
                  </w:r>
                </w:p>
              </w:tc>
              <w:tc>
                <w:tcPr>
                  <w:tcW w:w="3003" w:type="dxa"/>
                  <w:tcBorders>
                    <w:tl2br w:val="nil"/>
                    <w:tr2bl w:val="nil"/>
                  </w:tcBorders>
                  <w:noWrap w:val="0"/>
                  <w:vAlign w:val="center"/>
                </w:tcPr>
                <w:p>
                  <w:pPr>
                    <w:spacing w:line="0" w:lineRule="atLeast"/>
                    <w:jc w:val="center"/>
                    <w:rPr>
                      <w:color w:val="auto"/>
                      <w:kern w:val="0"/>
                      <w:szCs w:val="21"/>
                    </w:rPr>
                  </w:pPr>
                  <w:r>
                    <w:rPr>
                      <w:rFonts w:hint="eastAsia" w:cs="宋体"/>
                      <w:color w:val="auto"/>
                    </w:rPr>
                    <w:t>多管旋风除尘器</w:t>
                  </w:r>
                </w:p>
              </w:tc>
              <w:tc>
                <w:tcPr>
                  <w:tcW w:w="687" w:type="dxa"/>
                  <w:tcBorders>
                    <w:tl2br w:val="nil"/>
                    <w:tr2bl w:val="nil"/>
                  </w:tcBorders>
                  <w:noWrap w:val="0"/>
                  <w:vAlign w:val="center"/>
                </w:tcPr>
                <w:p>
                  <w:pPr>
                    <w:spacing w:line="0" w:lineRule="atLeast"/>
                    <w:jc w:val="center"/>
                    <w:rPr>
                      <w:color w:val="auto"/>
                      <w:szCs w:val="21"/>
                    </w:rPr>
                  </w:pPr>
                  <w:r>
                    <w:rPr>
                      <w:rFonts w:hint="eastAsia"/>
                      <w:color w:val="auto"/>
                      <w:szCs w:val="21"/>
                    </w:rPr>
                    <w:t>1</w:t>
                  </w:r>
                </w:p>
              </w:tc>
              <w:tc>
                <w:tcPr>
                  <w:tcW w:w="1246" w:type="dxa"/>
                  <w:tcBorders>
                    <w:tl2br w:val="nil"/>
                    <w:tr2bl w:val="nil"/>
                  </w:tcBorders>
                  <w:noWrap w:val="0"/>
                  <w:vAlign w:val="center"/>
                </w:tcPr>
                <w:p>
                  <w:pPr>
                    <w:autoSpaceDE w:val="0"/>
                    <w:autoSpaceDN w:val="0"/>
                    <w:adjustRightInd w:val="0"/>
                    <w:spacing w:line="0" w:lineRule="atLeast"/>
                    <w:jc w:val="center"/>
                    <w:rPr>
                      <w:rFonts w:hint="eastAsia" w:eastAsia="宋体"/>
                      <w:bCs/>
                      <w:snapToGrid w:val="0"/>
                      <w:color w:val="auto"/>
                      <w:kern w:val="24"/>
                      <w:szCs w:val="21"/>
                      <w:lang w:val="en-US" w:eastAsia="zh-CN"/>
                    </w:rPr>
                  </w:pPr>
                  <w:r>
                    <w:rPr>
                      <w:rFonts w:hint="eastAsia"/>
                      <w:bCs/>
                      <w:snapToGrid w:val="0"/>
                      <w:color w:val="auto"/>
                      <w:kern w:val="24"/>
                      <w:szCs w:val="21"/>
                      <w:lang w:val="en-US" w:eastAsia="zh-CN"/>
                    </w:rPr>
                    <w:t>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731" w:type="dxa"/>
                  <w:vMerge w:val="continue"/>
                  <w:tcBorders>
                    <w:tl2br w:val="nil"/>
                    <w:tr2bl w:val="nil"/>
                  </w:tcBorders>
                  <w:noWrap w:val="0"/>
                  <w:vAlign w:val="center"/>
                </w:tcPr>
                <w:p>
                  <w:pPr>
                    <w:autoSpaceDE w:val="0"/>
                    <w:autoSpaceDN w:val="0"/>
                    <w:adjustRightInd w:val="0"/>
                    <w:spacing w:line="0" w:lineRule="atLeast"/>
                    <w:jc w:val="center"/>
                    <w:rPr>
                      <w:rFonts w:hAnsi="宋体"/>
                      <w:color w:val="auto"/>
                      <w:szCs w:val="21"/>
                    </w:rPr>
                  </w:pPr>
                </w:p>
              </w:tc>
              <w:tc>
                <w:tcPr>
                  <w:tcW w:w="831" w:type="dxa"/>
                  <w:vMerge w:val="continue"/>
                  <w:tcBorders>
                    <w:tl2br w:val="nil"/>
                    <w:tr2bl w:val="nil"/>
                  </w:tcBorders>
                  <w:noWrap w:val="0"/>
                  <w:vAlign w:val="center"/>
                </w:tcPr>
                <w:p>
                  <w:pPr>
                    <w:autoSpaceDE w:val="0"/>
                    <w:autoSpaceDN w:val="0"/>
                    <w:adjustRightInd w:val="0"/>
                    <w:spacing w:line="0" w:lineRule="atLeast"/>
                    <w:jc w:val="center"/>
                    <w:rPr>
                      <w:rFonts w:hAnsi="宋体"/>
                      <w:color w:val="auto"/>
                      <w:szCs w:val="21"/>
                    </w:rPr>
                  </w:pPr>
                </w:p>
              </w:tc>
              <w:tc>
                <w:tcPr>
                  <w:tcW w:w="1552" w:type="dxa"/>
                  <w:gridSpan w:val="2"/>
                  <w:vMerge w:val="continue"/>
                  <w:tcBorders>
                    <w:tl2br w:val="nil"/>
                    <w:tr2bl w:val="nil"/>
                  </w:tcBorders>
                  <w:noWrap w:val="0"/>
                  <w:vAlign w:val="center"/>
                </w:tcPr>
                <w:p>
                  <w:pPr>
                    <w:autoSpaceDE w:val="0"/>
                    <w:autoSpaceDN w:val="0"/>
                    <w:adjustRightInd w:val="0"/>
                    <w:spacing w:line="0" w:lineRule="atLeast"/>
                    <w:jc w:val="center"/>
                    <w:rPr>
                      <w:rFonts w:hint="eastAsia"/>
                      <w:bCs/>
                      <w:snapToGrid w:val="0"/>
                      <w:color w:val="auto"/>
                      <w:kern w:val="24"/>
                      <w:szCs w:val="21"/>
                      <w:lang w:val="en-US" w:eastAsia="zh-CN"/>
                    </w:rPr>
                  </w:pPr>
                </w:p>
              </w:tc>
              <w:tc>
                <w:tcPr>
                  <w:tcW w:w="3003" w:type="dxa"/>
                  <w:tcBorders>
                    <w:tl2br w:val="nil"/>
                    <w:tr2bl w:val="nil"/>
                  </w:tcBorders>
                  <w:noWrap w:val="0"/>
                  <w:vAlign w:val="center"/>
                </w:tcPr>
                <w:p>
                  <w:pPr>
                    <w:spacing w:line="0" w:lineRule="atLeast"/>
                    <w:jc w:val="center"/>
                    <w:rPr>
                      <w:color w:val="auto"/>
                      <w:kern w:val="0"/>
                      <w:szCs w:val="21"/>
                    </w:rPr>
                  </w:pPr>
                  <w:r>
                    <w:rPr>
                      <w:color w:val="auto"/>
                    </w:rPr>
                    <w:t>湿式</w:t>
                  </w:r>
                  <w:r>
                    <w:rPr>
                      <w:rFonts w:hint="eastAsia" w:cs="宋体"/>
                      <w:color w:val="auto"/>
                    </w:rPr>
                    <w:t>碱法水浴脱硫除尘</w:t>
                  </w:r>
                </w:p>
              </w:tc>
              <w:tc>
                <w:tcPr>
                  <w:tcW w:w="687"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1</w:t>
                  </w:r>
                </w:p>
              </w:tc>
              <w:tc>
                <w:tcPr>
                  <w:tcW w:w="1246" w:type="dxa"/>
                  <w:tcBorders>
                    <w:tl2br w:val="nil"/>
                    <w:tr2bl w:val="nil"/>
                  </w:tcBorders>
                  <w:noWrap w:val="0"/>
                  <w:vAlign w:val="center"/>
                </w:tcPr>
                <w:p>
                  <w:pPr>
                    <w:autoSpaceDE w:val="0"/>
                    <w:autoSpaceDN w:val="0"/>
                    <w:adjustRightInd w:val="0"/>
                    <w:spacing w:line="0" w:lineRule="atLeast"/>
                    <w:jc w:val="center"/>
                    <w:rPr>
                      <w:rFonts w:hint="eastAsia" w:eastAsia="宋体"/>
                      <w:bCs/>
                      <w:snapToGrid w:val="0"/>
                      <w:color w:val="auto"/>
                      <w:kern w:val="24"/>
                      <w:szCs w:val="21"/>
                      <w:lang w:val="en-US" w:eastAsia="zh-CN"/>
                    </w:rPr>
                  </w:pPr>
                  <w:r>
                    <w:rPr>
                      <w:rFonts w:hint="eastAsia"/>
                      <w:bCs/>
                      <w:snapToGrid w:val="0"/>
                      <w:color w:val="auto"/>
                      <w:kern w:val="24"/>
                      <w:szCs w:val="21"/>
                      <w:lang w:val="en-US" w:eastAsia="zh-CN"/>
                    </w:rPr>
                    <w:t>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731" w:type="dxa"/>
                  <w:vMerge w:val="continue"/>
                  <w:tcBorders>
                    <w:tl2br w:val="nil"/>
                    <w:tr2bl w:val="nil"/>
                  </w:tcBorders>
                  <w:noWrap w:val="0"/>
                  <w:vAlign w:val="center"/>
                </w:tcPr>
                <w:p>
                  <w:pPr>
                    <w:autoSpaceDE w:val="0"/>
                    <w:autoSpaceDN w:val="0"/>
                    <w:adjustRightInd w:val="0"/>
                    <w:spacing w:line="0" w:lineRule="atLeast"/>
                    <w:jc w:val="center"/>
                    <w:rPr>
                      <w:rFonts w:hAnsi="宋体"/>
                      <w:color w:val="auto"/>
                      <w:szCs w:val="21"/>
                    </w:rPr>
                  </w:pPr>
                </w:p>
              </w:tc>
              <w:tc>
                <w:tcPr>
                  <w:tcW w:w="831" w:type="dxa"/>
                  <w:vMerge w:val="continue"/>
                  <w:tcBorders>
                    <w:tl2br w:val="nil"/>
                    <w:tr2bl w:val="nil"/>
                  </w:tcBorders>
                  <w:noWrap w:val="0"/>
                  <w:vAlign w:val="center"/>
                </w:tcPr>
                <w:p>
                  <w:pPr>
                    <w:autoSpaceDE w:val="0"/>
                    <w:autoSpaceDN w:val="0"/>
                    <w:adjustRightInd w:val="0"/>
                    <w:spacing w:line="0" w:lineRule="atLeast"/>
                    <w:jc w:val="center"/>
                    <w:rPr>
                      <w:rFonts w:hAnsi="宋体"/>
                      <w:color w:val="auto"/>
                      <w:szCs w:val="21"/>
                    </w:rPr>
                  </w:pPr>
                </w:p>
              </w:tc>
              <w:tc>
                <w:tcPr>
                  <w:tcW w:w="1552" w:type="dxa"/>
                  <w:gridSpan w:val="2"/>
                  <w:vMerge w:val="continue"/>
                  <w:tcBorders>
                    <w:tl2br w:val="nil"/>
                    <w:tr2bl w:val="nil"/>
                  </w:tcBorders>
                  <w:noWrap w:val="0"/>
                  <w:vAlign w:val="center"/>
                </w:tcPr>
                <w:p>
                  <w:pPr>
                    <w:autoSpaceDE w:val="0"/>
                    <w:autoSpaceDN w:val="0"/>
                    <w:adjustRightInd w:val="0"/>
                    <w:spacing w:line="0" w:lineRule="atLeast"/>
                    <w:jc w:val="center"/>
                    <w:rPr>
                      <w:color w:val="auto"/>
                      <w:szCs w:val="21"/>
                    </w:rPr>
                  </w:pPr>
                </w:p>
              </w:tc>
              <w:tc>
                <w:tcPr>
                  <w:tcW w:w="3003" w:type="dxa"/>
                  <w:tcBorders>
                    <w:tl2br w:val="nil"/>
                    <w:tr2bl w:val="nil"/>
                  </w:tcBorders>
                  <w:noWrap w:val="0"/>
                  <w:vAlign w:val="center"/>
                </w:tcPr>
                <w:p>
                  <w:pPr>
                    <w:spacing w:line="0" w:lineRule="atLeast"/>
                    <w:jc w:val="center"/>
                    <w:rPr>
                      <w:color w:val="auto"/>
                      <w:kern w:val="0"/>
                      <w:szCs w:val="21"/>
                    </w:rPr>
                  </w:pPr>
                  <w:r>
                    <w:rPr>
                      <w:bCs/>
                      <w:color w:val="auto"/>
                      <w:kern w:val="0"/>
                      <w:szCs w:val="21"/>
                    </w:rPr>
                    <w:t>15m高排气筒</w:t>
                  </w:r>
                </w:p>
              </w:tc>
              <w:tc>
                <w:tcPr>
                  <w:tcW w:w="687" w:type="dxa"/>
                  <w:tcBorders>
                    <w:tl2br w:val="nil"/>
                    <w:tr2bl w:val="nil"/>
                  </w:tcBorders>
                  <w:noWrap w:val="0"/>
                  <w:vAlign w:val="center"/>
                </w:tcPr>
                <w:p>
                  <w:pPr>
                    <w:spacing w:line="0" w:lineRule="atLeast"/>
                    <w:jc w:val="center"/>
                    <w:rPr>
                      <w:color w:val="auto"/>
                      <w:szCs w:val="21"/>
                    </w:rPr>
                  </w:pPr>
                  <w:r>
                    <w:rPr>
                      <w:rFonts w:hint="eastAsia"/>
                      <w:color w:val="auto"/>
                      <w:szCs w:val="21"/>
                    </w:rPr>
                    <w:t>1</w:t>
                  </w:r>
                </w:p>
              </w:tc>
              <w:tc>
                <w:tcPr>
                  <w:tcW w:w="1246" w:type="dxa"/>
                  <w:tcBorders>
                    <w:tl2br w:val="nil"/>
                    <w:tr2bl w:val="nil"/>
                  </w:tcBorders>
                  <w:noWrap w:val="0"/>
                  <w:vAlign w:val="center"/>
                </w:tcPr>
                <w:p>
                  <w:pPr>
                    <w:autoSpaceDE w:val="0"/>
                    <w:autoSpaceDN w:val="0"/>
                    <w:adjustRightInd w:val="0"/>
                    <w:spacing w:line="0" w:lineRule="atLeast"/>
                    <w:jc w:val="center"/>
                    <w:rPr>
                      <w:rFonts w:hint="default" w:eastAsia="宋体"/>
                      <w:bCs/>
                      <w:snapToGrid w:val="0"/>
                      <w:color w:val="auto"/>
                      <w:kern w:val="24"/>
                      <w:szCs w:val="21"/>
                      <w:lang w:val="en-US" w:eastAsia="zh-CN"/>
                    </w:rPr>
                  </w:pPr>
                  <w:r>
                    <w:rPr>
                      <w:rFonts w:hint="eastAsia"/>
                      <w:bCs/>
                      <w:snapToGrid w:val="0"/>
                      <w:color w:val="auto"/>
                      <w:kern w:val="24"/>
                      <w:szCs w:val="21"/>
                      <w:lang w:val="en-US" w:eastAsia="zh-CN"/>
                    </w:rPr>
                    <w:t>0.5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814" w:hRule="atLeast"/>
                <w:jc w:val="center"/>
              </w:trPr>
              <w:tc>
                <w:tcPr>
                  <w:tcW w:w="731" w:type="dxa"/>
                  <w:tcBorders>
                    <w:tl2br w:val="nil"/>
                    <w:tr2bl w:val="nil"/>
                  </w:tcBorders>
                  <w:noWrap w:val="0"/>
                  <w:vAlign w:val="center"/>
                </w:tcPr>
                <w:p>
                  <w:pPr>
                    <w:spacing w:line="0" w:lineRule="atLeast"/>
                    <w:jc w:val="center"/>
                    <w:rPr>
                      <w:color w:val="auto"/>
                      <w:spacing w:val="-10"/>
                      <w:szCs w:val="21"/>
                    </w:rPr>
                  </w:pPr>
                  <w:bookmarkStart w:id="9" w:name="_Hlk481159182"/>
                  <w:bookmarkStart w:id="10" w:name="_Hlk24407243"/>
                  <w:bookmarkStart w:id="11" w:name="_Hlk7297329"/>
                  <w:r>
                    <w:rPr>
                      <w:rFonts w:hint="eastAsia"/>
                      <w:color w:val="auto"/>
                      <w:spacing w:val="-10"/>
                      <w:szCs w:val="21"/>
                    </w:rPr>
                    <w:t>2</w:t>
                  </w:r>
                </w:p>
              </w:tc>
              <w:tc>
                <w:tcPr>
                  <w:tcW w:w="831" w:type="dxa"/>
                  <w:tcBorders>
                    <w:tl2br w:val="nil"/>
                    <w:tr2bl w:val="nil"/>
                  </w:tcBorders>
                  <w:noWrap w:val="0"/>
                  <w:vAlign w:val="center"/>
                </w:tcPr>
                <w:p>
                  <w:pPr>
                    <w:spacing w:line="0" w:lineRule="atLeast"/>
                    <w:jc w:val="center"/>
                    <w:rPr>
                      <w:color w:val="auto"/>
                      <w:spacing w:val="-10"/>
                      <w:szCs w:val="21"/>
                    </w:rPr>
                  </w:pPr>
                  <w:r>
                    <w:rPr>
                      <w:rFonts w:hint="eastAsia"/>
                      <w:color w:val="auto"/>
                      <w:szCs w:val="21"/>
                    </w:rPr>
                    <w:t>废水处置措施</w:t>
                  </w:r>
                </w:p>
              </w:tc>
              <w:tc>
                <w:tcPr>
                  <w:tcW w:w="4555" w:type="dxa"/>
                  <w:gridSpan w:val="3"/>
                  <w:tcBorders>
                    <w:tl2br w:val="nil"/>
                    <w:tr2bl w:val="nil"/>
                  </w:tcBorders>
                  <w:noWrap w:val="0"/>
                  <w:vAlign w:val="center"/>
                </w:tcPr>
                <w:p>
                  <w:pPr>
                    <w:spacing w:line="0" w:lineRule="atLeast"/>
                    <w:jc w:val="center"/>
                    <w:rPr>
                      <w:rFonts w:hAnsi="宋体"/>
                      <w:color w:val="auto"/>
                      <w:szCs w:val="21"/>
                    </w:rPr>
                  </w:pPr>
                  <w:r>
                    <w:rPr>
                      <w:rFonts w:hint="eastAsia"/>
                      <w:color w:val="auto"/>
                      <w:lang w:val="en-US" w:eastAsia="zh-CN"/>
                    </w:rPr>
                    <w:t>生活污水</w:t>
                  </w:r>
                  <w:r>
                    <w:rPr>
                      <w:rFonts w:hint="eastAsia"/>
                      <w:color w:val="auto"/>
                    </w:rPr>
                    <w:t>经防渗旱厕收集后，定期淸掏</w:t>
                  </w:r>
                </w:p>
              </w:tc>
              <w:tc>
                <w:tcPr>
                  <w:tcW w:w="687" w:type="dxa"/>
                  <w:tcBorders>
                    <w:tl2br w:val="nil"/>
                    <w:tr2bl w:val="nil"/>
                  </w:tcBorders>
                  <w:noWrap w:val="0"/>
                  <w:vAlign w:val="center"/>
                </w:tcPr>
                <w:p>
                  <w:pPr>
                    <w:spacing w:line="0" w:lineRule="atLeast"/>
                    <w:jc w:val="center"/>
                    <w:rPr>
                      <w:rFonts w:hint="eastAsia" w:eastAsia="宋体"/>
                      <w:color w:val="auto"/>
                      <w:szCs w:val="21"/>
                      <w:lang w:val="en-US" w:eastAsia="zh-CN"/>
                    </w:rPr>
                  </w:pPr>
                  <w:r>
                    <w:rPr>
                      <w:rFonts w:hint="eastAsia"/>
                      <w:color w:val="auto"/>
                      <w:szCs w:val="21"/>
                      <w:lang w:val="en-US" w:eastAsia="zh-CN"/>
                    </w:rPr>
                    <w:t>1</w:t>
                  </w:r>
                </w:p>
              </w:tc>
              <w:tc>
                <w:tcPr>
                  <w:tcW w:w="1246" w:type="dxa"/>
                  <w:tcBorders>
                    <w:tl2br w:val="nil"/>
                    <w:tr2bl w:val="nil"/>
                  </w:tcBorders>
                  <w:noWrap w:val="0"/>
                  <w:vAlign w:val="center"/>
                </w:tcPr>
                <w:p>
                  <w:pPr>
                    <w:spacing w:line="0" w:lineRule="atLeast"/>
                    <w:jc w:val="center"/>
                    <w:rPr>
                      <w:rFonts w:hint="eastAsia" w:eastAsia="宋体"/>
                      <w:color w:val="auto"/>
                      <w:szCs w:val="21"/>
                      <w:lang w:eastAsia="zh-CN"/>
                    </w:rPr>
                  </w:pPr>
                  <w:r>
                    <w:rPr>
                      <w:rFonts w:hint="eastAsia"/>
                      <w:color w:val="auto"/>
                      <w:szCs w:val="21"/>
                      <w:lang w:val="en-US" w:eastAsia="zh-CN"/>
                    </w:rPr>
                    <w:t>1</w:t>
                  </w:r>
                </w:p>
              </w:tc>
            </w:tr>
            <w:bookmarkEnd w:id="9"/>
            <w:bookmarkEnd w:id="10"/>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84" w:hRule="atLeast"/>
                <w:jc w:val="center"/>
              </w:trPr>
              <w:tc>
                <w:tcPr>
                  <w:tcW w:w="731" w:type="dxa"/>
                  <w:tcBorders>
                    <w:tl2br w:val="nil"/>
                    <w:tr2bl w:val="nil"/>
                  </w:tcBorders>
                  <w:noWrap w:val="0"/>
                  <w:vAlign w:val="center"/>
                </w:tcPr>
                <w:p>
                  <w:pPr>
                    <w:spacing w:line="0" w:lineRule="atLeast"/>
                    <w:jc w:val="center"/>
                    <w:rPr>
                      <w:rFonts w:hint="eastAsia" w:eastAsia="宋体"/>
                      <w:color w:val="auto"/>
                      <w:spacing w:val="-10"/>
                      <w:szCs w:val="21"/>
                      <w:lang w:val="en-US" w:eastAsia="zh-CN"/>
                    </w:rPr>
                  </w:pPr>
                  <w:r>
                    <w:rPr>
                      <w:rFonts w:hint="eastAsia"/>
                      <w:color w:val="auto"/>
                      <w:spacing w:val="-10"/>
                      <w:szCs w:val="21"/>
                      <w:lang w:val="en-US" w:eastAsia="zh-CN"/>
                    </w:rPr>
                    <w:t>3</w:t>
                  </w:r>
                </w:p>
              </w:tc>
              <w:tc>
                <w:tcPr>
                  <w:tcW w:w="831" w:type="dxa"/>
                  <w:tcBorders>
                    <w:tl2br w:val="nil"/>
                    <w:tr2bl w:val="nil"/>
                  </w:tcBorders>
                  <w:noWrap w:val="0"/>
                  <w:vAlign w:val="center"/>
                </w:tcPr>
                <w:p>
                  <w:pPr>
                    <w:autoSpaceDE w:val="0"/>
                    <w:autoSpaceDN w:val="0"/>
                    <w:adjustRightInd w:val="0"/>
                    <w:spacing w:line="0" w:lineRule="atLeast"/>
                    <w:jc w:val="center"/>
                    <w:rPr>
                      <w:rFonts w:hAnsi="宋体"/>
                      <w:color w:val="auto"/>
                    </w:rPr>
                  </w:pPr>
                  <w:r>
                    <w:rPr>
                      <w:rFonts w:hint="eastAsia" w:hAnsi="宋体"/>
                      <w:color w:val="auto"/>
                    </w:rPr>
                    <w:t>噪声治理措施</w:t>
                  </w:r>
                </w:p>
              </w:tc>
              <w:tc>
                <w:tcPr>
                  <w:tcW w:w="4555" w:type="dxa"/>
                  <w:gridSpan w:val="3"/>
                  <w:tcBorders>
                    <w:tl2br w:val="nil"/>
                    <w:tr2bl w:val="nil"/>
                  </w:tcBorders>
                  <w:noWrap w:val="0"/>
                  <w:vAlign w:val="center"/>
                </w:tcPr>
                <w:p>
                  <w:pPr>
                    <w:spacing w:line="0" w:lineRule="atLeast"/>
                    <w:jc w:val="center"/>
                    <w:rPr>
                      <w:bCs/>
                      <w:snapToGrid w:val="0"/>
                      <w:color w:val="auto"/>
                      <w:kern w:val="24"/>
                      <w:szCs w:val="21"/>
                    </w:rPr>
                  </w:pPr>
                  <w:r>
                    <w:rPr>
                      <w:color w:val="auto"/>
                    </w:rPr>
                    <w:t>选用低噪声设备</w:t>
                  </w:r>
                  <w:r>
                    <w:rPr>
                      <w:rFonts w:hint="eastAsia"/>
                      <w:color w:val="auto"/>
                    </w:rPr>
                    <w:t>，厂房隔声，设置减震垫</w:t>
                  </w:r>
                </w:p>
              </w:tc>
              <w:tc>
                <w:tcPr>
                  <w:tcW w:w="687" w:type="dxa"/>
                  <w:tcBorders>
                    <w:tl2br w:val="nil"/>
                    <w:tr2bl w:val="nil"/>
                  </w:tcBorders>
                  <w:noWrap w:val="0"/>
                  <w:vAlign w:val="center"/>
                </w:tcPr>
                <w:p>
                  <w:pPr>
                    <w:spacing w:line="0" w:lineRule="atLeast"/>
                    <w:jc w:val="center"/>
                    <w:rPr>
                      <w:rFonts w:hint="eastAsia"/>
                      <w:color w:val="auto"/>
                      <w:szCs w:val="21"/>
                    </w:rPr>
                  </w:pPr>
                  <w:r>
                    <w:rPr>
                      <w:rFonts w:hint="eastAsia"/>
                      <w:color w:val="auto"/>
                      <w:szCs w:val="21"/>
                    </w:rPr>
                    <w:t>—</w:t>
                  </w:r>
                </w:p>
                <w:p>
                  <w:pPr>
                    <w:spacing w:line="0" w:lineRule="atLeast"/>
                    <w:jc w:val="center"/>
                    <w:rPr>
                      <w:color w:val="auto"/>
                      <w:spacing w:val="-10"/>
                      <w:szCs w:val="21"/>
                    </w:rPr>
                  </w:pPr>
                </w:p>
              </w:tc>
              <w:tc>
                <w:tcPr>
                  <w:tcW w:w="1246" w:type="dxa"/>
                  <w:tcBorders>
                    <w:tl2br w:val="nil"/>
                    <w:tr2bl w:val="nil"/>
                  </w:tcBorders>
                  <w:noWrap w:val="0"/>
                  <w:vAlign w:val="center"/>
                </w:tcPr>
                <w:p>
                  <w:pPr>
                    <w:spacing w:line="0" w:lineRule="atLeast"/>
                    <w:jc w:val="center"/>
                    <w:rPr>
                      <w:rFonts w:hint="eastAsia" w:eastAsia="宋体"/>
                      <w:color w:val="auto"/>
                      <w:szCs w:val="21"/>
                      <w:lang w:val="en-US" w:eastAsia="zh-CN"/>
                    </w:rPr>
                  </w:pPr>
                  <w:r>
                    <w:rPr>
                      <w:rFonts w:hint="eastAsia"/>
                      <w:color w:val="auto"/>
                      <w:szCs w:val="21"/>
                      <w:lang w:val="en-US" w:eastAsia="zh-CN"/>
                    </w:rPr>
                    <w:t>2</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27" w:hRule="atLeast"/>
                <w:jc w:val="center"/>
              </w:trPr>
              <w:tc>
                <w:tcPr>
                  <w:tcW w:w="731" w:type="dxa"/>
                  <w:vMerge w:val="restart"/>
                  <w:tcBorders>
                    <w:tl2br w:val="nil"/>
                    <w:tr2bl w:val="nil"/>
                  </w:tcBorders>
                  <w:noWrap w:val="0"/>
                  <w:vAlign w:val="center"/>
                </w:tcPr>
                <w:p>
                  <w:pPr>
                    <w:spacing w:line="0" w:lineRule="atLeast"/>
                    <w:jc w:val="center"/>
                    <w:rPr>
                      <w:rFonts w:hint="eastAsia" w:eastAsia="宋体"/>
                      <w:color w:val="auto"/>
                      <w:spacing w:val="-10"/>
                      <w:szCs w:val="21"/>
                      <w:lang w:val="en-US" w:eastAsia="zh-CN"/>
                    </w:rPr>
                  </w:pPr>
                  <w:r>
                    <w:rPr>
                      <w:rFonts w:hint="eastAsia"/>
                      <w:color w:val="auto"/>
                      <w:spacing w:val="-10"/>
                      <w:szCs w:val="21"/>
                      <w:lang w:val="en-US" w:eastAsia="zh-CN"/>
                    </w:rPr>
                    <w:t>4</w:t>
                  </w:r>
                </w:p>
              </w:tc>
              <w:tc>
                <w:tcPr>
                  <w:tcW w:w="831" w:type="dxa"/>
                  <w:vMerge w:val="restart"/>
                  <w:tcBorders>
                    <w:tl2br w:val="nil"/>
                    <w:tr2bl w:val="nil"/>
                  </w:tcBorders>
                  <w:noWrap w:val="0"/>
                  <w:vAlign w:val="center"/>
                </w:tcPr>
                <w:p>
                  <w:pPr>
                    <w:autoSpaceDE w:val="0"/>
                    <w:autoSpaceDN w:val="0"/>
                    <w:adjustRightInd w:val="0"/>
                    <w:spacing w:line="0" w:lineRule="atLeast"/>
                    <w:rPr>
                      <w:bCs/>
                      <w:snapToGrid w:val="0"/>
                      <w:color w:val="auto"/>
                      <w:kern w:val="24"/>
                      <w:szCs w:val="21"/>
                    </w:rPr>
                  </w:pPr>
                  <w:r>
                    <w:rPr>
                      <w:rFonts w:hint="eastAsia"/>
                      <w:bCs/>
                      <w:snapToGrid w:val="0"/>
                      <w:color w:val="auto"/>
                      <w:kern w:val="24"/>
                      <w:szCs w:val="21"/>
                    </w:rPr>
                    <w:t>固体废物处理</w:t>
                  </w:r>
                  <w:r>
                    <w:rPr>
                      <w:rFonts w:hint="eastAsia"/>
                      <w:color w:val="auto"/>
                      <w:szCs w:val="21"/>
                    </w:rPr>
                    <w:t>措施</w:t>
                  </w:r>
                </w:p>
              </w:tc>
              <w:tc>
                <w:tcPr>
                  <w:tcW w:w="1389" w:type="dxa"/>
                  <w:tcBorders>
                    <w:tl2br w:val="nil"/>
                    <w:tr2bl w:val="nil"/>
                  </w:tcBorders>
                  <w:noWrap w:val="0"/>
                  <w:vAlign w:val="center"/>
                </w:tcPr>
                <w:p>
                  <w:pPr>
                    <w:spacing w:line="0" w:lineRule="atLeast"/>
                    <w:jc w:val="center"/>
                    <w:rPr>
                      <w:color w:val="auto"/>
                      <w:szCs w:val="21"/>
                    </w:rPr>
                  </w:pPr>
                  <w:r>
                    <w:rPr>
                      <w:color w:val="auto"/>
                      <w:szCs w:val="21"/>
                    </w:rPr>
                    <w:t>危险废物</w:t>
                  </w:r>
                </w:p>
              </w:tc>
              <w:tc>
                <w:tcPr>
                  <w:tcW w:w="3166" w:type="dxa"/>
                  <w:gridSpan w:val="2"/>
                  <w:tcBorders>
                    <w:tl2br w:val="nil"/>
                    <w:tr2bl w:val="nil"/>
                  </w:tcBorders>
                  <w:noWrap w:val="0"/>
                  <w:vAlign w:val="center"/>
                </w:tcPr>
                <w:p>
                  <w:pPr>
                    <w:spacing w:line="0" w:lineRule="atLeast"/>
                    <w:jc w:val="center"/>
                    <w:rPr>
                      <w:color w:val="auto"/>
                      <w:szCs w:val="21"/>
                    </w:rPr>
                  </w:pPr>
                  <w:r>
                    <w:rPr>
                      <w:rFonts w:hint="eastAsia"/>
                      <w:color w:val="auto"/>
                      <w:szCs w:val="21"/>
                    </w:rPr>
                    <w:t>危废暂存间</w:t>
                  </w:r>
                  <w:r>
                    <w:rPr>
                      <w:color w:val="auto"/>
                      <w:szCs w:val="21"/>
                    </w:rPr>
                    <w:t>地面</w:t>
                  </w:r>
                  <w:r>
                    <w:rPr>
                      <w:rFonts w:hint="eastAsia"/>
                      <w:color w:val="auto"/>
                      <w:szCs w:val="21"/>
                    </w:rPr>
                    <w:t>采取</w:t>
                  </w:r>
                  <w:r>
                    <w:rPr>
                      <w:color w:val="auto"/>
                      <w:szCs w:val="21"/>
                    </w:rPr>
                    <w:t>防渗与硬化处理，</w:t>
                  </w:r>
                  <w:r>
                    <w:rPr>
                      <w:rFonts w:hint="eastAsia"/>
                      <w:color w:val="auto"/>
                      <w:szCs w:val="21"/>
                    </w:rPr>
                    <w:t>采用2mm厚的HDPE膜防渗，渗透系数≤1.0×10</w:t>
                  </w:r>
                  <w:r>
                    <w:rPr>
                      <w:rFonts w:hint="eastAsia"/>
                      <w:color w:val="auto"/>
                      <w:szCs w:val="21"/>
                      <w:vertAlign w:val="superscript"/>
                    </w:rPr>
                    <w:t>-10</w:t>
                  </w:r>
                  <w:r>
                    <w:rPr>
                      <w:rFonts w:hint="eastAsia"/>
                      <w:color w:val="auto"/>
                      <w:szCs w:val="21"/>
                    </w:rPr>
                    <w:t>cm/s</w:t>
                  </w:r>
                </w:p>
              </w:tc>
              <w:tc>
                <w:tcPr>
                  <w:tcW w:w="687" w:type="dxa"/>
                  <w:tcBorders>
                    <w:tl2br w:val="nil"/>
                    <w:tr2bl w:val="nil"/>
                  </w:tcBorders>
                  <w:noWrap w:val="0"/>
                  <w:vAlign w:val="center"/>
                </w:tcPr>
                <w:p>
                  <w:pPr>
                    <w:spacing w:line="0" w:lineRule="atLeast"/>
                    <w:jc w:val="center"/>
                    <w:rPr>
                      <w:rFonts w:hint="eastAsia" w:eastAsia="宋体"/>
                      <w:color w:val="auto"/>
                      <w:spacing w:val="-10"/>
                      <w:szCs w:val="21"/>
                      <w:lang w:eastAsia="zh-CN"/>
                    </w:rPr>
                  </w:pPr>
                  <w:r>
                    <w:rPr>
                      <w:rFonts w:hint="eastAsia"/>
                      <w:color w:val="auto"/>
                      <w:spacing w:val="-10"/>
                      <w:szCs w:val="21"/>
                      <w:lang w:eastAsia="zh-CN"/>
                    </w:rPr>
                    <w:t>—</w:t>
                  </w:r>
                </w:p>
              </w:tc>
              <w:tc>
                <w:tcPr>
                  <w:tcW w:w="1246" w:type="dxa"/>
                  <w:tcBorders>
                    <w:tl2br w:val="nil"/>
                    <w:tr2bl w:val="nil"/>
                  </w:tcBorders>
                  <w:noWrap w:val="0"/>
                  <w:vAlign w:val="center"/>
                </w:tcPr>
                <w:p>
                  <w:pPr>
                    <w:autoSpaceDE w:val="0"/>
                    <w:autoSpaceDN w:val="0"/>
                    <w:adjustRightInd w:val="0"/>
                    <w:spacing w:line="0" w:lineRule="atLeast"/>
                    <w:jc w:val="center"/>
                    <w:rPr>
                      <w:color w:val="auto"/>
                      <w:spacing w:val="-10"/>
                      <w:szCs w:val="21"/>
                    </w:rPr>
                  </w:pPr>
                  <w:r>
                    <w:rPr>
                      <w:rFonts w:hint="eastAsia"/>
                      <w:bCs/>
                      <w:snapToGrid w:val="0"/>
                      <w:color w:val="auto"/>
                      <w:kern w:val="24"/>
                      <w:szCs w:val="21"/>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25" w:hRule="atLeast"/>
                <w:jc w:val="center"/>
              </w:trPr>
              <w:tc>
                <w:tcPr>
                  <w:tcW w:w="731" w:type="dxa"/>
                  <w:vMerge w:val="continue"/>
                  <w:tcBorders>
                    <w:tl2br w:val="nil"/>
                    <w:tr2bl w:val="nil"/>
                  </w:tcBorders>
                  <w:noWrap w:val="0"/>
                  <w:vAlign w:val="center"/>
                </w:tcPr>
                <w:p>
                  <w:pPr>
                    <w:spacing w:line="0" w:lineRule="atLeast"/>
                    <w:jc w:val="center"/>
                    <w:rPr>
                      <w:color w:val="auto"/>
                      <w:spacing w:val="-10"/>
                      <w:szCs w:val="21"/>
                    </w:rPr>
                  </w:pPr>
                </w:p>
              </w:tc>
              <w:tc>
                <w:tcPr>
                  <w:tcW w:w="831" w:type="dxa"/>
                  <w:vMerge w:val="continue"/>
                  <w:tcBorders>
                    <w:tl2br w:val="nil"/>
                    <w:tr2bl w:val="nil"/>
                  </w:tcBorders>
                  <w:noWrap w:val="0"/>
                  <w:vAlign w:val="center"/>
                </w:tcPr>
                <w:p>
                  <w:pPr>
                    <w:autoSpaceDE w:val="0"/>
                    <w:autoSpaceDN w:val="0"/>
                    <w:adjustRightInd w:val="0"/>
                    <w:spacing w:line="0" w:lineRule="atLeast"/>
                    <w:rPr>
                      <w:bCs/>
                      <w:snapToGrid w:val="0"/>
                      <w:color w:val="auto"/>
                      <w:kern w:val="24"/>
                      <w:szCs w:val="21"/>
                    </w:rPr>
                  </w:pPr>
                </w:p>
              </w:tc>
              <w:tc>
                <w:tcPr>
                  <w:tcW w:w="1389"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生活垃圾</w:t>
                  </w:r>
                </w:p>
              </w:tc>
              <w:tc>
                <w:tcPr>
                  <w:tcW w:w="3166" w:type="dxa"/>
                  <w:gridSpan w:val="2"/>
                  <w:tcBorders>
                    <w:tl2br w:val="nil"/>
                    <w:tr2bl w:val="nil"/>
                  </w:tcBorders>
                  <w:noWrap w:val="0"/>
                  <w:vAlign w:val="center"/>
                </w:tcPr>
                <w:p>
                  <w:pPr>
                    <w:spacing w:line="0" w:lineRule="atLeast"/>
                    <w:jc w:val="center"/>
                    <w:rPr>
                      <w:color w:val="auto"/>
                      <w:szCs w:val="21"/>
                    </w:rPr>
                  </w:pPr>
                  <w:r>
                    <w:rPr>
                      <w:rFonts w:hint="default" w:ascii="Times New Roman" w:hAnsi="Times New Roman" w:eastAsia="宋体" w:cs="Times New Roman"/>
                      <w:bCs/>
                      <w:snapToGrid w:val="0"/>
                      <w:color w:val="auto"/>
                      <w:kern w:val="24"/>
                      <w:sz w:val="21"/>
                      <w:szCs w:val="21"/>
                    </w:rPr>
                    <w:t>设置垃圾箱，环卫部门统一清运</w:t>
                  </w:r>
                </w:p>
              </w:tc>
              <w:tc>
                <w:tcPr>
                  <w:tcW w:w="687" w:type="dxa"/>
                  <w:tcBorders>
                    <w:tl2br w:val="nil"/>
                    <w:tr2bl w:val="nil"/>
                  </w:tcBorders>
                  <w:noWrap w:val="0"/>
                  <w:vAlign w:val="center"/>
                </w:tcPr>
                <w:p>
                  <w:pPr>
                    <w:spacing w:line="0" w:lineRule="atLeast"/>
                    <w:jc w:val="center"/>
                    <w:rPr>
                      <w:color w:val="auto"/>
                      <w:szCs w:val="21"/>
                    </w:rPr>
                  </w:pPr>
                  <w:r>
                    <w:rPr>
                      <w:rFonts w:hint="eastAsia"/>
                      <w:color w:val="auto"/>
                      <w:szCs w:val="21"/>
                    </w:rPr>
                    <w:t>—</w:t>
                  </w:r>
                </w:p>
              </w:tc>
              <w:tc>
                <w:tcPr>
                  <w:tcW w:w="1246" w:type="dxa"/>
                  <w:tcBorders>
                    <w:tl2br w:val="nil"/>
                    <w:tr2bl w:val="nil"/>
                  </w:tcBorders>
                  <w:noWrap w:val="0"/>
                  <w:vAlign w:val="center"/>
                </w:tcPr>
                <w:p>
                  <w:pPr>
                    <w:autoSpaceDE w:val="0"/>
                    <w:autoSpaceDN w:val="0"/>
                    <w:adjustRightInd w:val="0"/>
                    <w:spacing w:line="0" w:lineRule="atLeast"/>
                    <w:jc w:val="center"/>
                    <w:rPr>
                      <w:rFonts w:hint="eastAsia" w:eastAsia="宋体"/>
                      <w:bCs/>
                      <w:snapToGrid w:val="0"/>
                      <w:color w:val="auto"/>
                      <w:kern w:val="24"/>
                      <w:szCs w:val="21"/>
                      <w:lang w:eastAsia="zh-CN"/>
                    </w:rPr>
                  </w:pPr>
                  <w:r>
                    <w:rPr>
                      <w:rFonts w:hint="eastAsia"/>
                      <w:color w:val="auto"/>
                      <w:szCs w:val="21"/>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25" w:hRule="atLeast"/>
                <w:jc w:val="center"/>
              </w:trPr>
              <w:tc>
                <w:tcPr>
                  <w:tcW w:w="731" w:type="dxa"/>
                  <w:vMerge w:val="continue"/>
                  <w:tcBorders>
                    <w:tl2br w:val="nil"/>
                    <w:tr2bl w:val="nil"/>
                  </w:tcBorders>
                  <w:noWrap w:val="0"/>
                  <w:vAlign w:val="center"/>
                </w:tcPr>
                <w:p>
                  <w:pPr>
                    <w:spacing w:line="0" w:lineRule="atLeast"/>
                    <w:jc w:val="center"/>
                    <w:rPr>
                      <w:color w:val="auto"/>
                      <w:spacing w:val="-10"/>
                      <w:szCs w:val="21"/>
                    </w:rPr>
                  </w:pPr>
                </w:p>
              </w:tc>
              <w:tc>
                <w:tcPr>
                  <w:tcW w:w="831" w:type="dxa"/>
                  <w:vMerge w:val="continue"/>
                  <w:tcBorders>
                    <w:tl2br w:val="nil"/>
                    <w:tr2bl w:val="nil"/>
                  </w:tcBorders>
                  <w:noWrap w:val="0"/>
                  <w:vAlign w:val="center"/>
                </w:tcPr>
                <w:p>
                  <w:pPr>
                    <w:autoSpaceDE w:val="0"/>
                    <w:autoSpaceDN w:val="0"/>
                    <w:adjustRightInd w:val="0"/>
                    <w:spacing w:line="0" w:lineRule="atLeast"/>
                    <w:rPr>
                      <w:bCs/>
                      <w:snapToGrid w:val="0"/>
                      <w:color w:val="auto"/>
                      <w:kern w:val="24"/>
                      <w:szCs w:val="21"/>
                    </w:rPr>
                  </w:pPr>
                </w:p>
              </w:tc>
              <w:tc>
                <w:tcPr>
                  <w:tcW w:w="1389"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锅炉炉灰、锅炉除尘灰</w:t>
                  </w:r>
                </w:p>
              </w:tc>
              <w:tc>
                <w:tcPr>
                  <w:tcW w:w="3166" w:type="dxa"/>
                  <w:gridSpan w:val="2"/>
                  <w:tcBorders>
                    <w:tl2br w:val="nil"/>
                    <w:tr2bl w:val="nil"/>
                  </w:tcBorders>
                  <w:noWrap w:val="0"/>
                  <w:vAlign w:val="center"/>
                </w:tcPr>
                <w:p>
                  <w:pPr>
                    <w:spacing w:line="0" w:lineRule="atLeast"/>
                    <w:jc w:val="center"/>
                    <w:rPr>
                      <w:color w:val="auto"/>
                      <w:szCs w:val="21"/>
                    </w:rPr>
                  </w:pPr>
                  <w:r>
                    <w:rPr>
                      <w:rFonts w:hint="default" w:ascii="Times New Roman" w:hAnsi="Times New Roman" w:eastAsia="宋体" w:cs="Times New Roman"/>
                      <w:color w:val="0000FF"/>
                      <w:highlight w:val="none"/>
                      <w:lang w:val="en-US" w:eastAsia="zh-CN"/>
                    </w:rPr>
                    <w:t>锅炉产生的除尘灰及炉灰</w:t>
                  </w:r>
                  <w:r>
                    <w:rPr>
                      <w:rFonts w:hint="eastAsia" w:ascii="Times New Roman" w:hAnsi="Times New Roman" w:eastAsia="宋体" w:cs="Times New Roman"/>
                      <w:color w:val="0000FF"/>
                      <w:highlight w:val="none"/>
                      <w:lang w:val="en-US" w:eastAsia="zh-CN"/>
                    </w:rPr>
                    <w:t>拉运至有机肥发酵池，在发酵池内与羊粪拌和发酵。</w:t>
                  </w:r>
                </w:p>
              </w:tc>
              <w:tc>
                <w:tcPr>
                  <w:tcW w:w="687" w:type="dxa"/>
                  <w:tcBorders>
                    <w:tl2br w:val="nil"/>
                    <w:tr2bl w:val="nil"/>
                  </w:tcBorders>
                  <w:noWrap w:val="0"/>
                  <w:vAlign w:val="center"/>
                </w:tcPr>
                <w:p>
                  <w:pPr>
                    <w:spacing w:line="0" w:lineRule="atLeast"/>
                    <w:jc w:val="center"/>
                    <w:rPr>
                      <w:color w:val="auto"/>
                      <w:szCs w:val="21"/>
                    </w:rPr>
                  </w:pPr>
                  <w:r>
                    <w:rPr>
                      <w:rFonts w:hint="eastAsia"/>
                      <w:color w:val="auto"/>
                      <w:szCs w:val="21"/>
                    </w:rPr>
                    <w:t>—</w:t>
                  </w:r>
                </w:p>
              </w:tc>
              <w:tc>
                <w:tcPr>
                  <w:tcW w:w="1246" w:type="dxa"/>
                  <w:tcBorders>
                    <w:tl2br w:val="nil"/>
                    <w:tr2bl w:val="nil"/>
                  </w:tcBorders>
                  <w:noWrap w:val="0"/>
                  <w:vAlign w:val="center"/>
                </w:tcPr>
                <w:p>
                  <w:pPr>
                    <w:autoSpaceDE w:val="0"/>
                    <w:autoSpaceDN w:val="0"/>
                    <w:adjustRightInd w:val="0"/>
                    <w:spacing w:line="0" w:lineRule="atLeast"/>
                    <w:jc w:val="center"/>
                    <w:rPr>
                      <w:bCs/>
                      <w:snapToGrid w:val="0"/>
                      <w:color w:val="auto"/>
                      <w:kern w:val="24"/>
                      <w:szCs w:val="21"/>
                    </w:rPr>
                  </w:pPr>
                  <w:r>
                    <w:rPr>
                      <w:rFonts w:hint="eastAsia"/>
                      <w:color w:val="auto"/>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25" w:hRule="atLeast"/>
                <w:jc w:val="center"/>
              </w:trPr>
              <w:tc>
                <w:tcPr>
                  <w:tcW w:w="731" w:type="dxa"/>
                  <w:vMerge w:val="continue"/>
                  <w:tcBorders>
                    <w:tl2br w:val="nil"/>
                    <w:tr2bl w:val="nil"/>
                  </w:tcBorders>
                  <w:noWrap w:val="0"/>
                  <w:vAlign w:val="center"/>
                </w:tcPr>
                <w:p>
                  <w:pPr>
                    <w:spacing w:line="0" w:lineRule="atLeast"/>
                    <w:jc w:val="center"/>
                    <w:rPr>
                      <w:color w:val="auto"/>
                      <w:spacing w:val="-10"/>
                      <w:szCs w:val="21"/>
                    </w:rPr>
                  </w:pPr>
                </w:p>
              </w:tc>
              <w:tc>
                <w:tcPr>
                  <w:tcW w:w="831" w:type="dxa"/>
                  <w:vMerge w:val="continue"/>
                  <w:tcBorders>
                    <w:tl2br w:val="nil"/>
                    <w:tr2bl w:val="nil"/>
                  </w:tcBorders>
                  <w:noWrap w:val="0"/>
                  <w:vAlign w:val="center"/>
                </w:tcPr>
                <w:p>
                  <w:pPr>
                    <w:autoSpaceDE w:val="0"/>
                    <w:autoSpaceDN w:val="0"/>
                    <w:adjustRightInd w:val="0"/>
                    <w:spacing w:line="0" w:lineRule="atLeast"/>
                    <w:rPr>
                      <w:bCs/>
                      <w:snapToGrid w:val="0"/>
                      <w:color w:val="auto"/>
                      <w:kern w:val="24"/>
                      <w:szCs w:val="21"/>
                    </w:rPr>
                  </w:pPr>
                </w:p>
              </w:tc>
              <w:tc>
                <w:tcPr>
                  <w:tcW w:w="1389"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实验室废物</w:t>
                  </w:r>
                </w:p>
              </w:tc>
              <w:tc>
                <w:tcPr>
                  <w:tcW w:w="3166" w:type="dxa"/>
                  <w:gridSpan w:val="2"/>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rPr>
                  </w:pPr>
                  <w:r>
                    <w:rPr>
                      <w:rFonts w:hint="default" w:ascii="Times New Roman" w:hAnsi="Times New Roman" w:eastAsia="宋体" w:cs="Times New Roman"/>
                      <w:bCs/>
                      <w:snapToGrid w:val="0"/>
                      <w:color w:val="auto"/>
                      <w:kern w:val="24"/>
                      <w:sz w:val="21"/>
                      <w:szCs w:val="21"/>
                    </w:rPr>
                    <w:t>暂存于危废暂存间，交由有资质</w:t>
                  </w:r>
                </w:p>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bidi="ar-SA"/>
                    </w:rPr>
                  </w:pPr>
                  <w:r>
                    <w:rPr>
                      <w:rFonts w:hint="default" w:ascii="Times New Roman" w:hAnsi="Times New Roman" w:eastAsia="宋体" w:cs="Times New Roman"/>
                      <w:bCs/>
                      <w:snapToGrid w:val="0"/>
                      <w:color w:val="auto"/>
                      <w:kern w:val="24"/>
                      <w:sz w:val="21"/>
                      <w:szCs w:val="21"/>
                    </w:rPr>
                    <w:t>单位处理</w:t>
                  </w:r>
                </w:p>
              </w:tc>
              <w:tc>
                <w:tcPr>
                  <w:tcW w:w="687" w:type="dxa"/>
                  <w:tcBorders>
                    <w:tl2br w:val="nil"/>
                    <w:tr2bl w:val="nil"/>
                  </w:tcBorders>
                  <w:noWrap w:val="0"/>
                  <w:vAlign w:val="center"/>
                </w:tcPr>
                <w:p>
                  <w:pPr>
                    <w:spacing w:line="0" w:lineRule="atLeast"/>
                    <w:jc w:val="center"/>
                    <w:rPr>
                      <w:color w:val="auto"/>
                      <w:szCs w:val="21"/>
                    </w:rPr>
                  </w:pPr>
                  <w:r>
                    <w:rPr>
                      <w:rFonts w:hint="eastAsia"/>
                      <w:color w:val="auto"/>
                      <w:szCs w:val="21"/>
                    </w:rPr>
                    <w:t>—</w:t>
                  </w:r>
                </w:p>
              </w:tc>
              <w:tc>
                <w:tcPr>
                  <w:tcW w:w="1246" w:type="dxa"/>
                  <w:tcBorders>
                    <w:tl2br w:val="nil"/>
                    <w:tr2bl w:val="nil"/>
                  </w:tcBorders>
                  <w:noWrap w:val="0"/>
                  <w:vAlign w:val="center"/>
                </w:tcPr>
                <w:p>
                  <w:pPr>
                    <w:autoSpaceDE w:val="0"/>
                    <w:autoSpaceDN w:val="0"/>
                    <w:adjustRightInd w:val="0"/>
                    <w:spacing w:line="0" w:lineRule="atLeast"/>
                    <w:jc w:val="center"/>
                    <w:rPr>
                      <w:bCs/>
                      <w:snapToGrid w:val="0"/>
                      <w:color w:val="auto"/>
                      <w:kern w:val="24"/>
                      <w:szCs w:val="21"/>
                    </w:rPr>
                  </w:pPr>
                  <w:r>
                    <w:rPr>
                      <w:rFonts w:hint="eastAsia"/>
                      <w:color w:val="auto"/>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25" w:hRule="atLeast"/>
                <w:jc w:val="center"/>
              </w:trPr>
              <w:tc>
                <w:tcPr>
                  <w:tcW w:w="731" w:type="dxa"/>
                  <w:vMerge w:val="continue"/>
                  <w:tcBorders>
                    <w:tl2br w:val="nil"/>
                    <w:tr2bl w:val="nil"/>
                  </w:tcBorders>
                  <w:noWrap w:val="0"/>
                  <w:vAlign w:val="center"/>
                </w:tcPr>
                <w:p>
                  <w:pPr>
                    <w:spacing w:line="0" w:lineRule="atLeast"/>
                    <w:jc w:val="center"/>
                    <w:rPr>
                      <w:color w:val="auto"/>
                      <w:spacing w:val="-10"/>
                      <w:szCs w:val="21"/>
                    </w:rPr>
                  </w:pPr>
                </w:p>
              </w:tc>
              <w:tc>
                <w:tcPr>
                  <w:tcW w:w="831" w:type="dxa"/>
                  <w:vMerge w:val="continue"/>
                  <w:tcBorders>
                    <w:tl2br w:val="nil"/>
                    <w:tr2bl w:val="nil"/>
                  </w:tcBorders>
                  <w:noWrap w:val="0"/>
                  <w:vAlign w:val="center"/>
                </w:tcPr>
                <w:p>
                  <w:pPr>
                    <w:autoSpaceDE w:val="0"/>
                    <w:autoSpaceDN w:val="0"/>
                    <w:adjustRightInd w:val="0"/>
                    <w:spacing w:line="0" w:lineRule="atLeast"/>
                    <w:rPr>
                      <w:bCs/>
                      <w:snapToGrid w:val="0"/>
                      <w:color w:val="auto"/>
                      <w:kern w:val="24"/>
                      <w:szCs w:val="21"/>
                    </w:rPr>
                  </w:pPr>
                </w:p>
              </w:tc>
              <w:tc>
                <w:tcPr>
                  <w:tcW w:w="1389"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废包装袋</w:t>
                  </w:r>
                </w:p>
              </w:tc>
              <w:tc>
                <w:tcPr>
                  <w:tcW w:w="3166" w:type="dxa"/>
                  <w:gridSpan w:val="2"/>
                  <w:tcBorders>
                    <w:tl2br w:val="nil"/>
                    <w:tr2bl w:val="nil"/>
                  </w:tcBorders>
                  <w:noWrap w:val="0"/>
                  <w:vAlign w:val="center"/>
                </w:tcPr>
                <w:p>
                  <w:pPr>
                    <w:spacing w:line="0" w:lineRule="atLeast"/>
                    <w:jc w:val="center"/>
                    <w:rPr>
                      <w:color w:val="auto"/>
                      <w:szCs w:val="21"/>
                    </w:rPr>
                  </w:pPr>
                  <w:r>
                    <w:rPr>
                      <w:rFonts w:hint="eastAsia" w:ascii="Times New Roman" w:hAnsi="Times New Roman" w:eastAsia="宋体" w:cs="Times New Roman"/>
                      <w:bCs/>
                      <w:snapToGrid w:val="0"/>
                      <w:color w:val="auto"/>
                      <w:kern w:val="24"/>
                      <w:sz w:val="21"/>
                      <w:szCs w:val="21"/>
                      <w:lang w:eastAsia="zh-CN"/>
                    </w:rPr>
                    <w:t>集中收集后，由环卫部门统一清运</w:t>
                  </w:r>
                </w:p>
              </w:tc>
              <w:tc>
                <w:tcPr>
                  <w:tcW w:w="687" w:type="dxa"/>
                  <w:tcBorders>
                    <w:tl2br w:val="nil"/>
                    <w:tr2bl w:val="nil"/>
                  </w:tcBorders>
                  <w:noWrap w:val="0"/>
                  <w:vAlign w:val="center"/>
                </w:tcPr>
                <w:p>
                  <w:pPr>
                    <w:spacing w:line="0" w:lineRule="atLeast"/>
                    <w:jc w:val="center"/>
                    <w:rPr>
                      <w:rFonts w:hint="eastAsia"/>
                      <w:color w:val="auto"/>
                      <w:szCs w:val="21"/>
                    </w:rPr>
                  </w:pPr>
                  <w:r>
                    <w:rPr>
                      <w:rFonts w:hint="eastAsia"/>
                      <w:color w:val="auto"/>
                      <w:szCs w:val="21"/>
                    </w:rPr>
                    <w:t>—</w:t>
                  </w:r>
                </w:p>
              </w:tc>
              <w:tc>
                <w:tcPr>
                  <w:tcW w:w="1246" w:type="dxa"/>
                  <w:tcBorders>
                    <w:tl2br w:val="nil"/>
                    <w:tr2bl w:val="nil"/>
                  </w:tcBorders>
                  <w:noWrap w:val="0"/>
                  <w:vAlign w:val="center"/>
                </w:tcPr>
                <w:p>
                  <w:pPr>
                    <w:autoSpaceDE w:val="0"/>
                    <w:autoSpaceDN w:val="0"/>
                    <w:adjustRightInd w:val="0"/>
                    <w:spacing w:line="0" w:lineRule="atLeast"/>
                    <w:jc w:val="center"/>
                    <w:rPr>
                      <w:rFonts w:hint="eastAsia"/>
                      <w:color w:val="auto"/>
                      <w:szCs w:val="21"/>
                    </w:rPr>
                  </w:pPr>
                  <w:r>
                    <w:rPr>
                      <w:rFonts w:hint="eastAsia"/>
                      <w:color w:val="auto"/>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25" w:hRule="atLeast"/>
                <w:jc w:val="center"/>
              </w:trPr>
              <w:tc>
                <w:tcPr>
                  <w:tcW w:w="731" w:type="dxa"/>
                  <w:vMerge w:val="continue"/>
                  <w:tcBorders>
                    <w:tl2br w:val="nil"/>
                    <w:tr2bl w:val="nil"/>
                  </w:tcBorders>
                  <w:noWrap w:val="0"/>
                  <w:vAlign w:val="center"/>
                </w:tcPr>
                <w:p>
                  <w:pPr>
                    <w:spacing w:line="0" w:lineRule="atLeast"/>
                    <w:jc w:val="center"/>
                    <w:rPr>
                      <w:color w:val="auto"/>
                      <w:spacing w:val="-10"/>
                      <w:szCs w:val="21"/>
                    </w:rPr>
                  </w:pPr>
                </w:p>
              </w:tc>
              <w:tc>
                <w:tcPr>
                  <w:tcW w:w="831" w:type="dxa"/>
                  <w:vMerge w:val="continue"/>
                  <w:tcBorders>
                    <w:tl2br w:val="nil"/>
                    <w:tr2bl w:val="nil"/>
                  </w:tcBorders>
                  <w:noWrap w:val="0"/>
                  <w:vAlign w:val="center"/>
                </w:tcPr>
                <w:p>
                  <w:pPr>
                    <w:autoSpaceDE w:val="0"/>
                    <w:autoSpaceDN w:val="0"/>
                    <w:adjustRightInd w:val="0"/>
                    <w:spacing w:line="0" w:lineRule="atLeast"/>
                    <w:rPr>
                      <w:bCs/>
                      <w:snapToGrid w:val="0"/>
                      <w:color w:val="auto"/>
                      <w:kern w:val="24"/>
                      <w:szCs w:val="21"/>
                    </w:rPr>
                  </w:pPr>
                </w:p>
              </w:tc>
              <w:tc>
                <w:tcPr>
                  <w:tcW w:w="1389" w:type="dxa"/>
                  <w:tcBorders>
                    <w:tl2br w:val="nil"/>
                    <w:tr2bl w:val="nil"/>
                  </w:tcBorders>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bidi="ar-SA"/>
                    </w:rPr>
                  </w:pPr>
                  <w:r>
                    <w:rPr>
                      <w:rFonts w:hint="default" w:ascii="Times New Roman" w:hAnsi="Times New Roman" w:eastAsia="宋体" w:cs="Times New Roman"/>
                      <w:bCs/>
                      <w:snapToGrid w:val="0"/>
                      <w:color w:val="auto"/>
                      <w:kern w:val="24"/>
                      <w:sz w:val="21"/>
                      <w:szCs w:val="21"/>
                    </w:rPr>
                    <w:t>热风炉炉渣</w:t>
                  </w:r>
                </w:p>
              </w:tc>
              <w:tc>
                <w:tcPr>
                  <w:tcW w:w="3166" w:type="dxa"/>
                  <w:gridSpan w:val="2"/>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外售至临河顺义水泥制品厂</w:t>
                  </w:r>
                </w:p>
              </w:tc>
              <w:tc>
                <w:tcPr>
                  <w:tcW w:w="687" w:type="dxa"/>
                  <w:tcBorders>
                    <w:tl2br w:val="nil"/>
                    <w:tr2bl w:val="nil"/>
                  </w:tcBorders>
                  <w:noWrap w:val="0"/>
                  <w:vAlign w:val="center"/>
                </w:tcPr>
                <w:p>
                  <w:pPr>
                    <w:spacing w:line="0" w:lineRule="atLeast"/>
                    <w:jc w:val="center"/>
                    <w:rPr>
                      <w:rFonts w:hint="eastAsia" w:eastAsia="宋体"/>
                      <w:color w:val="auto"/>
                      <w:szCs w:val="21"/>
                      <w:lang w:eastAsia="zh-CN"/>
                    </w:rPr>
                  </w:pPr>
                  <w:r>
                    <w:rPr>
                      <w:rFonts w:hint="eastAsia"/>
                      <w:color w:val="auto"/>
                      <w:szCs w:val="21"/>
                      <w:lang w:eastAsia="zh-CN"/>
                    </w:rPr>
                    <w:t>—</w:t>
                  </w:r>
                </w:p>
              </w:tc>
              <w:tc>
                <w:tcPr>
                  <w:tcW w:w="1246" w:type="dxa"/>
                  <w:tcBorders>
                    <w:tl2br w:val="nil"/>
                    <w:tr2bl w:val="nil"/>
                  </w:tcBorders>
                  <w:noWrap w:val="0"/>
                  <w:vAlign w:val="center"/>
                </w:tcPr>
                <w:p>
                  <w:pPr>
                    <w:autoSpaceDE w:val="0"/>
                    <w:autoSpaceDN w:val="0"/>
                    <w:adjustRightInd w:val="0"/>
                    <w:spacing w:line="0" w:lineRule="atLeast"/>
                    <w:jc w:val="center"/>
                    <w:rPr>
                      <w:rFonts w:hint="eastAsia" w:eastAsia="宋体"/>
                      <w:color w:val="auto"/>
                      <w:szCs w:val="21"/>
                      <w:lang w:eastAsia="zh-CN"/>
                    </w:rPr>
                  </w:pPr>
                  <w:r>
                    <w:rPr>
                      <w:rFonts w:hint="eastAsia"/>
                      <w:color w:val="auto"/>
                      <w:szCs w:val="21"/>
                      <w:lang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25" w:hRule="atLeast"/>
                <w:jc w:val="center"/>
              </w:trPr>
              <w:tc>
                <w:tcPr>
                  <w:tcW w:w="731" w:type="dxa"/>
                  <w:vMerge w:val="continue"/>
                  <w:tcBorders>
                    <w:tl2br w:val="nil"/>
                    <w:tr2bl w:val="nil"/>
                  </w:tcBorders>
                  <w:noWrap w:val="0"/>
                  <w:vAlign w:val="center"/>
                </w:tcPr>
                <w:p>
                  <w:pPr>
                    <w:spacing w:line="0" w:lineRule="atLeast"/>
                    <w:jc w:val="center"/>
                    <w:rPr>
                      <w:color w:val="auto"/>
                      <w:spacing w:val="-10"/>
                      <w:szCs w:val="21"/>
                    </w:rPr>
                  </w:pPr>
                </w:p>
              </w:tc>
              <w:tc>
                <w:tcPr>
                  <w:tcW w:w="831" w:type="dxa"/>
                  <w:vMerge w:val="continue"/>
                  <w:tcBorders>
                    <w:tl2br w:val="nil"/>
                    <w:tr2bl w:val="nil"/>
                  </w:tcBorders>
                  <w:noWrap w:val="0"/>
                  <w:vAlign w:val="center"/>
                </w:tcPr>
                <w:p>
                  <w:pPr>
                    <w:autoSpaceDE w:val="0"/>
                    <w:autoSpaceDN w:val="0"/>
                    <w:adjustRightInd w:val="0"/>
                    <w:spacing w:line="0" w:lineRule="atLeast"/>
                    <w:rPr>
                      <w:bCs/>
                      <w:snapToGrid w:val="0"/>
                      <w:color w:val="auto"/>
                      <w:kern w:val="24"/>
                      <w:szCs w:val="21"/>
                    </w:rPr>
                  </w:pPr>
                </w:p>
              </w:tc>
              <w:tc>
                <w:tcPr>
                  <w:tcW w:w="1389" w:type="dxa"/>
                  <w:tcBorders>
                    <w:tl2br w:val="nil"/>
                    <w:tr2bl w:val="nil"/>
                  </w:tcBorders>
                  <w:noWrap w:val="0"/>
                  <w:vAlign w:val="center"/>
                </w:tcPr>
                <w:p>
                  <w:pPr>
                    <w:spacing w:line="0" w:lineRule="atLeast"/>
                    <w:jc w:val="center"/>
                    <w:rPr>
                      <w:color w:val="auto"/>
                      <w:szCs w:val="21"/>
                    </w:rPr>
                  </w:pPr>
                  <w:r>
                    <w:rPr>
                      <w:rFonts w:hint="default" w:ascii="Times New Roman" w:hAnsi="Times New Roman" w:eastAsia="宋体" w:cs="Times New Roman"/>
                      <w:bCs/>
                      <w:snapToGrid w:val="0"/>
                      <w:color w:val="auto"/>
                      <w:kern w:val="24"/>
                      <w:sz w:val="21"/>
                      <w:szCs w:val="21"/>
                    </w:rPr>
                    <w:t>脱硫渣</w:t>
                  </w:r>
                </w:p>
              </w:tc>
              <w:tc>
                <w:tcPr>
                  <w:tcW w:w="3166" w:type="dxa"/>
                  <w:gridSpan w:val="2"/>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外售至临河顺义水泥制品厂</w:t>
                  </w:r>
                </w:p>
              </w:tc>
              <w:tc>
                <w:tcPr>
                  <w:tcW w:w="687" w:type="dxa"/>
                  <w:tcBorders>
                    <w:tl2br w:val="nil"/>
                    <w:tr2bl w:val="nil"/>
                  </w:tcBorders>
                  <w:noWrap w:val="0"/>
                  <w:vAlign w:val="center"/>
                </w:tcPr>
                <w:p>
                  <w:pPr>
                    <w:spacing w:line="0" w:lineRule="atLeast"/>
                    <w:jc w:val="center"/>
                    <w:rPr>
                      <w:rFonts w:hint="eastAsia" w:eastAsia="宋体"/>
                      <w:color w:val="auto"/>
                      <w:szCs w:val="21"/>
                      <w:lang w:eastAsia="zh-CN"/>
                    </w:rPr>
                  </w:pPr>
                  <w:r>
                    <w:rPr>
                      <w:rFonts w:hint="eastAsia"/>
                      <w:color w:val="auto"/>
                      <w:szCs w:val="21"/>
                      <w:lang w:eastAsia="zh-CN"/>
                    </w:rPr>
                    <w:t>—</w:t>
                  </w:r>
                </w:p>
              </w:tc>
              <w:tc>
                <w:tcPr>
                  <w:tcW w:w="1246" w:type="dxa"/>
                  <w:tcBorders>
                    <w:tl2br w:val="nil"/>
                    <w:tr2bl w:val="nil"/>
                  </w:tcBorders>
                  <w:noWrap w:val="0"/>
                  <w:vAlign w:val="center"/>
                </w:tcPr>
                <w:p>
                  <w:pPr>
                    <w:autoSpaceDE w:val="0"/>
                    <w:autoSpaceDN w:val="0"/>
                    <w:adjustRightInd w:val="0"/>
                    <w:spacing w:line="0" w:lineRule="atLeast"/>
                    <w:jc w:val="center"/>
                    <w:rPr>
                      <w:rFonts w:hint="eastAsia"/>
                      <w:color w:val="auto"/>
                      <w:szCs w:val="21"/>
                    </w:rPr>
                  </w:pPr>
                  <w:r>
                    <w:rPr>
                      <w:rFonts w:hint="eastAsia"/>
                      <w:color w:val="auto"/>
                      <w:szCs w:val="21"/>
                      <w:lang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25" w:hRule="atLeast"/>
                <w:jc w:val="center"/>
              </w:trPr>
              <w:tc>
                <w:tcPr>
                  <w:tcW w:w="731" w:type="dxa"/>
                  <w:vMerge w:val="continue"/>
                  <w:tcBorders>
                    <w:tl2br w:val="nil"/>
                    <w:tr2bl w:val="nil"/>
                  </w:tcBorders>
                  <w:noWrap w:val="0"/>
                  <w:vAlign w:val="center"/>
                </w:tcPr>
                <w:p>
                  <w:pPr>
                    <w:spacing w:line="0" w:lineRule="atLeast"/>
                    <w:jc w:val="center"/>
                    <w:rPr>
                      <w:color w:val="auto"/>
                      <w:spacing w:val="-10"/>
                      <w:szCs w:val="21"/>
                    </w:rPr>
                  </w:pPr>
                </w:p>
              </w:tc>
              <w:tc>
                <w:tcPr>
                  <w:tcW w:w="831" w:type="dxa"/>
                  <w:vMerge w:val="continue"/>
                  <w:tcBorders>
                    <w:tl2br w:val="nil"/>
                    <w:tr2bl w:val="nil"/>
                  </w:tcBorders>
                  <w:noWrap w:val="0"/>
                  <w:vAlign w:val="center"/>
                </w:tcPr>
                <w:p>
                  <w:pPr>
                    <w:autoSpaceDE w:val="0"/>
                    <w:autoSpaceDN w:val="0"/>
                    <w:adjustRightInd w:val="0"/>
                    <w:spacing w:line="0" w:lineRule="atLeast"/>
                    <w:rPr>
                      <w:bCs/>
                      <w:snapToGrid w:val="0"/>
                      <w:color w:val="auto"/>
                      <w:kern w:val="24"/>
                      <w:szCs w:val="21"/>
                    </w:rPr>
                  </w:pPr>
                </w:p>
              </w:tc>
              <w:tc>
                <w:tcPr>
                  <w:tcW w:w="1389" w:type="dxa"/>
                  <w:tcBorders>
                    <w:tl2br w:val="nil"/>
                    <w:tr2bl w:val="nil"/>
                  </w:tcBorders>
                  <w:noWrap w:val="0"/>
                  <w:vAlign w:val="center"/>
                </w:tcPr>
                <w:p>
                  <w:pPr>
                    <w:spacing w:line="0" w:lineRule="atLeast"/>
                    <w:jc w:val="center"/>
                    <w:rPr>
                      <w:rFonts w:hint="default" w:ascii="Times New Roman" w:hAnsi="Times New Roman" w:eastAsia="宋体" w:cs="Times New Roman"/>
                      <w:bCs/>
                      <w:snapToGrid w:val="0"/>
                      <w:color w:val="auto"/>
                      <w:kern w:val="24"/>
                      <w:sz w:val="21"/>
                      <w:szCs w:val="21"/>
                      <w:lang w:val="en-US" w:eastAsia="zh-CN"/>
                    </w:rPr>
                  </w:pPr>
                  <w:r>
                    <w:rPr>
                      <w:rFonts w:hint="eastAsia" w:cs="Times New Roman"/>
                      <w:bCs/>
                      <w:snapToGrid w:val="0"/>
                      <w:color w:val="auto"/>
                      <w:kern w:val="24"/>
                      <w:sz w:val="21"/>
                      <w:szCs w:val="21"/>
                      <w:lang w:val="en-US" w:eastAsia="zh-CN"/>
                    </w:rPr>
                    <w:t>收集的粉尘</w:t>
                  </w:r>
                </w:p>
              </w:tc>
              <w:tc>
                <w:tcPr>
                  <w:tcW w:w="3166" w:type="dxa"/>
                  <w:gridSpan w:val="2"/>
                  <w:tcBorders>
                    <w:tl2br w:val="nil"/>
                    <w:tr2bl w:val="nil"/>
                  </w:tcBorders>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作为粉状肥外售</w:t>
                  </w:r>
                </w:p>
              </w:tc>
              <w:tc>
                <w:tcPr>
                  <w:tcW w:w="687" w:type="dxa"/>
                  <w:tcBorders>
                    <w:tl2br w:val="nil"/>
                    <w:tr2bl w:val="nil"/>
                  </w:tcBorders>
                  <w:noWrap w:val="0"/>
                  <w:vAlign w:val="center"/>
                </w:tcPr>
                <w:p>
                  <w:pPr>
                    <w:spacing w:line="0" w:lineRule="atLeast"/>
                    <w:jc w:val="center"/>
                    <w:rPr>
                      <w:rFonts w:hint="eastAsia"/>
                      <w:color w:val="auto"/>
                      <w:szCs w:val="21"/>
                      <w:lang w:eastAsia="zh-CN"/>
                    </w:rPr>
                  </w:pPr>
                  <w:r>
                    <w:rPr>
                      <w:rFonts w:hint="eastAsia"/>
                      <w:color w:val="auto"/>
                      <w:szCs w:val="21"/>
                      <w:lang w:eastAsia="zh-CN"/>
                    </w:rPr>
                    <w:t>—</w:t>
                  </w:r>
                </w:p>
              </w:tc>
              <w:tc>
                <w:tcPr>
                  <w:tcW w:w="1246" w:type="dxa"/>
                  <w:tcBorders>
                    <w:tl2br w:val="nil"/>
                    <w:tr2bl w:val="nil"/>
                  </w:tcBorders>
                  <w:noWrap w:val="0"/>
                  <w:vAlign w:val="center"/>
                </w:tcPr>
                <w:p>
                  <w:pPr>
                    <w:autoSpaceDE w:val="0"/>
                    <w:autoSpaceDN w:val="0"/>
                    <w:adjustRightInd w:val="0"/>
                    <w:spacing w:line="0" w:lineRule="atLeast"/>
                    <w:jc w:val="center"/>
                    <w:rPr>
                      <w:rFonts w:hint="eastAsia"/>
                      <w:color w:val="auto"/>
                      <w:szCs w:val="21"/>
                      <w:lang w:eastAsia="zh-CN"/>
                    </w:rPr>
                  </w:pPr>
                  <w:r>
                    <w:rPr>
                      <w:rFonts w:hint="eastAsia"/>
                      <w:color w:val="auto"/>
                      <w:szCs w:val="21"/>
                      <w:lang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25" w:hRule="atLeast"/>
                <w:jc w:val="center"/>
              </w:trPr>
              <w:tc>
                <w:tcPr>
                  <w:tcW w:w="731" w:type="dxa"/>
                  <w:vMerge w:val="continue"/>
                  <w:tcBorders>
                    <w:tl2br w:val="nil"/>
                    <w:tr2bl w:val="nil"/>
                  </w:tcBorders>
                  <w:noWrap w:val="0"/>
                  <w:vAlign w:val="center"/>
                </w:tcPr>
                <w:p>
                  <w:pPr>
                    <w:spacing w:line="0" w:lineRule="atLeast"/>
                    <w:jc w:val="center"/>
                    <w:rPr>
                      <w:color w:val="auto"/>
                      <w:spacing w:val="-10"/>
                      <w:szCs w:val="21"/>
                    </w:rPr>
                  </w:pPr>
                </w:p>
              </w:tc>
              <w:tc>
                <w:tcPr>
                  <w:tcW w:w="831" w:type="dxa"/>
                  <w:vMerge w:val="continue"/>
                  <w:tcBorders>
                    <w:tl2br w:val="nil"/>
                    <w:tr2bl w:val="nil"/>
                  </w:tcBorders>
                  <w:noWrap w:val="0"/>
                  <w:vAlign w:val="center"/>
                </w:tcPr>
                <w:p>
                  <w:pPr>
                    <w:autoSpaceDE w:val="0"/>
                    <w:autoSpaceDN w:val="0"/>
                    <w:adjustRightInd w:val="0"/>
                    <w:spacing w:line="0" w:lineRule="atLeast"/>
                    <w:rPr>
                      <w:bCs/>
                      <w:snapToGrid w:val="0"/>
                      <w:color w:val="auto"/>
                      <w:kern w:val="24"/>
                      <w:szCs w:val="21"/>
                    </w:rPr>
                  </w:pPr>
                </w:p>
              </w:tc>
              <w:tc>
                <w:tcPr>
                  <w:tcW w:w="1389" w:type="dxa"/>
                  <w:tcBorders>
                    <w:tl2br w:val="nil"/>
                    <w:tr2bl w:val="nil"/>
                  </w:tcBorders>
                  <w:noWrap w:val="0"/>
                  <w:vAlign w:val="center"/>
                </w:tcPr>
                <w:p>
                  <w:pPr>
                    <w:spacing w:line="0" w:lineRule="atLeast"/>
                    <w:jc w:val="center"/>
                    <w:rPr>
                      <w:color w:val="auto"/>
                      <w:szCs w:val="21"/>
                    </w:rPr>
                  </w:pPr>
                  <w:r>
                    <w:rPr>
                      <w:rFonts w:hint="eastAsia" w:ascii="Times New Roman" w:hAnsi="Times New Roman" w:eastAsia="宋体" w:cs="Times New Roman"/>
                      <w:color w:val="auto"/>
                      <w:sz w:val="21"/>
                      <w:szCs w:val="21"/>
                    </w:rPr>
                    <w:t>有机肥滤渣</w:t>
                  </w:r>
                </w:p>
              </w:tc>
              <w:tc>
                <w:tcPr>
                  <w:tcW w:w="3166" w:type="dxa"/>
                  <w:gridSpan w:val="2"/>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作为有机肥外售</w:t>
                  </w:r>
                </w:p>
              </w:tc>
              <w:tc>
                <w:tcPr>
                  <w:tcW w:w="687" w:type="dxa"/>
                  <w:tcBorders>
                    <w:tl2br w:val="nil"/>
                    <w:tr2bl w:val="nil"/>
                  </w:tcBorders>
                  <w:noWrap w:val="0"/>
                  <w:vAlign w:val="center"/>
                </w:tcPr>
                <w:p>
                  <w:pPr>
                    <w:spacing w:line="0" w:lineRule="atLeast"/>
                    <w:jc w:val="center"/>
                    <w:rPr>
                      <w:color w:val="auto"/>
                      <w:szCs w:val="21"/>
                    </w:rPr>
                  </w:pPr>
                  <w:r>
                    <w:rPr>
                      <w:rFonts w:hint="eastAsia"/>
                      <w:color w:val="auto"/>
                      <w:szCs w:val="21"/>
                      <w:lang w:eastAsia="zh-CN"/>
                    </w:rPr>
                    <w:t>—</w:t>
                  </w:r>
                </w:p>
              </w:tc>
              <w:tc>
                <w:tcPr>
                  <w:tcW w:w="1246" w:type="dxa"/>
                  <w:tcBorders>
                    <w:tl2br w:val="nil"/>
                    <w:tr2bl w:val="nil"/>
                  </w:tcBorders>
                  <w:noWrap w:val="0"/>
                  <w:vAlign w:val="center"/>
                </w:tcPr>
                <w:p>
                  <w:pPr>
                    <w:autoSpaceDE w:val="0"/>
                    <w:autoSpaceDN w:val="0"/>
                    <w:adjustRightInd w:val="0"/>
                    <w:spacing w:line="0" w:lineRule="atLeast"/>
                    <w:jc w:val="center"/>
                    <w:rPr>
                      <w:bCs/>
                      <w:snapToGrid w:val="0"/>
                      <w:color w:val="auto"/>
                      <w:kern w:val="24"/>
                      <w:szCs w:val="21"/>
                    </w:rPr>
                  </w:pPr>
                  <w:r>
                    <w:rPr>
                      <w:rFonts w:hint="eastAsia"/>
                      <w:color w:val="auto"/>
                      <w:szCs w:val="21"/>
                      <w:lang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6117" w:type="dxa"/>
                  <w:gridSpan w:val="5"/>
                  <w:tcBorders>
                    <w:tl2br w:val="nil"/>
                    <w:tr2bl w:val="nil"/>
                  </w:tcBorders>
                  <w:noWrap w:val="0"/>
                  <w:vAlign w:val="center"/>
                </w:tcPr>
                <w:p>
                  <w:pPr>
                    <w:spacing w:line="0" w:lineRule="atLeast"/>
                    <w:jc w:val="center"/>
                    <w:rPr>
                      <w:color w:val="auto"/>
                      <w:szCs w:val="21"/>
                    </w:rPr>
                  </w:pPr>
                  <w:r>
                    <w:rPr>
                      <w:rFonts w:hint="eastAsia"/>
                      <w:color w:val="auto"/>
                      <w:szCs w:val="21"/>
                    </w:rPr>
                    <w:t>合计</w:t>
                  </w:r>
                </w:p>
              </w:tc>
              <w:tc>
                <w:tcPr>
                  <w:tcW w:w="687" w:type="dxa"/>
                  <w:tcBorders>
                    <w:tl2br w:val="nil"/>
                    <w:tr2bl w:val="nil"/>
                  </w:tcBorders>
                  <w:noWrap w:val="0"/>
                  <w:vAlign w:val="center"/>
                </w:tcPr>
                <w:p>
                  <w:pPr>
                    <w:spacing w:line="0" w:lineRule="atLeast"/>
                    <w:jc w:val="center"/>
                    <w:rPr>
                      <w:color w:val="auto"/>
                      <w:szCs w:val="21"/>
                    </w:rPr>
                  </w:pPr>
                  <w:r>
                    <w:rPr>
                      <w:rFonts w:hint="eastAsia"/>
                      <w:color w:val="auto"/>
                      <w:szCs w:val="21"/>
                    </w:rPr>
                    <w:t>—</w:t>
                  </w:r>
                </w:p>
              </w:tc>
              <w:tc>
                <w:tcPr>
                  <w:tcW w:w="1246" w:type="dxa"/>
                  <w:tcBorders>
                    <w:tl2br w:val="nil"/>
                    <w:tr2bl w:val="nil"/>
                  </w:tcBorders>
                  <w:noWrap w:val="0"/>
                  <w:vAlign w:val="center"/>
                </w:tcPr>
                <w:p>
                  <w:pPr>
                    <w:spacing w:line="0" w:lineRule="atLeast"/>
                    <w:jc w:val="center"/>
                    <w:rPr>
                      <w:rFonts w:hint="default" w:eastAsia="宋体"/>
                      <w:color w:val="auto"/>
                      <w:szCs w:val="21"/>
                      <w:lang w:val="en-US" w:eastAsia="zh-CN"/>
                    </w:rPr>
                  </w:pPr>
                  <w:r>
                    <w:rPr>
                      <w:rFonts w:hint="eastAsia"/>
                      <w:color w:val="auto"/>
                      <w:szCs w:val="21"/>
                      <w:lang w:val="en-US" w:eastAsia="zh-CN"/>
                    </w:rPr>
                    <w:t>29</w:t>
                  </w:r>
                </w:p>
              </w:tc>
            </w:tr>
            <w:bookmarkEnd w:id="11"/>
          </w:tbl>
          <w:p>
            <w:pPr>
              <w:spacing w:before="120" w:beforeLines="50" w:line="360" w:lineRule="auto"/>
              <w:rPr>
                <w:rFonts w:hint="default" w:ascii="Times New Roman" w:hAnsi="Times New Roman" w:eastAsia="宋体" w:cs="Times New Roman"/>
                <w:b/>
                <w:bCs/>
                <w:color w:val="auto"/>
                <w:szCs w:val="21"/>
              </w:rPr>
            </w:pPr>
            <w:r>
              <w:rPr>
                <w:rFonts w:hint="eastAsia" w:ascii="Times New Roman" w:hAnsi="Times New Roman" w:eastAsia="宋体" w:cs="Times New Roman"/>
                <w:b/>
                <w:bCs/>
                <w:color w:val="auto"/>
                <w:szCs w:val="21"/>
                <w:lang w:val="en-US" w:eastAsia="zh-CN"/>
              </w:rPr>
              <w:t>8</w:t>
            </w:r>
            <w:r>
              <w:rPr>
                <w:rFonts w:hint="default" w:ascii="Times New Roman" w:hAnsi="Times New Roman" w:eastAsia="宋体" w:cs="Times New Roman"/>
                <w:b/>
                <w:bCs/>
                <w:color w:val="auto"/>
                <w:szCs w:val="21"/>
              </w:rPr>
              <w:t>改建前后污染物排放量三本账</w:t>
            </w:r>
          </w:p>
          <w:p>
            <w:pPr>
              <w:adjustRightInd w:val="0"/>
              <w:snapToGrid w:val="0"/>
              <w:spacing w:line="360" w:lineRule="auto"/>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本项目“三本账”分析如下表所示：</w:t>
            </w:r>
          </w:p>
          <w:p>
            <w:pPr>
              <w:spacing w:line="240" w:lineRule="auto"/>
              <w:jc w:val="center"/>
              <w:rPr>
                <w:rFonts w:hint="default" w:ascii="宋体" w:hAnsi="宋体" w:eastAsia="宋体" w:cs="宋体"/>
                <w:b/>
                <w:bCs/>
                <w:color w:val="auto"/>
                <w:sz w:val="21"/>
                <w:szCs w:val="21"/>
                <w:highlight w:val="none"/>
                <w:lang w:val="en-US" w:eastAsia="zh-CN"/>
              </w:rPr>
            </w:pPr>
            <w:r>
              <w:rPr>
                <w:rFonts w:hint="default" w:ascii="宋体" w:hAnsi="宋体" w:eastAsia="宋体" w:cs="宋体"/>
                <w:b/>
                <w:bCs/>
                <w:color w:val="auto"/>
                <w:sz w:val="21"/>
                <w:szCs w:val="21"/>
                <w:highlight w:val="none"/>
                <w:lang w:val="en-US" w:eastAsia="zh-CN"/>
              </w:rPr>
              <w:t>表</w:t>
            </w:r>
            <w:r>
              <w:rPr>
                <w:rFonts w:hint="eastAsia" w:ascii="宋体" w:hAnsi="宋体" w:eastAsia="宋体" w:cs="宋体"/>
                <w:b/>
                <w:bCs/>
                <w:color w:val="auto"/>
                <w:sz w:val="21"/>
                <w:szCs w:val="21"/>
                <w:highlight w:val="none"/>
                <w:lang w:val="en-US" w:eastAsia="zh-CN"/>
              </w:rPr>
              <w:t>37</w:t>
            </w:r>
            <w:r>
              <w:rPr>
                <w:rFonts w:hint="default" w:ascii="宋体" w:hAnsi="宋体" w:eastAsia="宋体" w:cs="宋体"/>
                <w:b/>
                <w:bCs/>
                <w:color w:val="auto"/>
                <w:sz w:val="21"/>
                <w:szCs w:val="21"/>
                <w:highlight w:val="none"/>
                <w:lang w:val="en-US" w:eastAsia="zh-CN"/>
              </w:rPr>
              <w:t xml:space="preserve"> “三本账”一览表   单位：t/a</w:t>
            </w:r>
          </w:p>
          <w:tbl>
            <w:tblPr>
              <w:tblStyle w:val="20"/>
              <w:tblW w:w="81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906"/>
              <w:gridCol w:w="892"/>
              <w:gridCol w:w="1090"/>
              <w:gridCol w:w="968"/>
              <w:gridCol w:w="1132"/>
              <w:gridCol w:w="998"/>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项目</w:t>
                  </w:r>
                </w:p>
              </w:tc>
              <w:tc>
                <w:tcPr>
                  <w:tcW w:w="179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污染物</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改扩建前排放量</w:t>
                  </w:r>
                </w:p>
              </w:tc>
              <w:tc>
                <w:tcPr>
                  <w:tcW w:w="9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本项目排放量</w:t>
                  </w:r>
                </w:p>
              </w:tc>
              <w:tc>
                <w:tcPr>
                  <w:tcW w:w="113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“以新代老”消减量</w:t>
                  </w:r>
                </w:p>
              </w:tc>
              <w:tc>
                <w:tcPr>
                  <w:tcW w:w="99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改扩建后排放量</w:t>
                  </w:r>
                </w:p>
              </w:tc>
              <w:tc>
                <w:tcPr>
                  <w:tcW w:w="126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增减量变化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94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lang w:val="en-US" w:eastAsia="zh-CN"/>
                    </w:rPr>
                    <w:t>废气</w:t>
                  </w:r>
                </w:p>
              </w:tc>
              <w:tc>
                <w:tcPr>
                  <w:tcW w:w="1798" w:type="dxa"/>
                  <w:gridSpan w:val="2"/>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颗粒物（粉尘）</w:t>
                  </w:r>
                </w:p>
              </w:tc>
              <w:tc>
                <w:tcPr>
                  <w:tcW w:w="109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6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0.878</w:t>
                  </w:r>
                </w:p>
              </w:tc>
              <w:tc>
                <w:tcPr>
                  <w:tcW w:w="113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9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0.878</w:t>
                  </w:r>
                </w:p>
              </w:tc>
              <w:tc>
                <w:tcPr>
                  <w:tcW w:w="126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+0.878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906" w:type="dxa"/>
                  <w:vMerge w:val="restart"/>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热风炉</w:t>
                  </w:r>
                </w:p>
              </w:tc>
              <w:tc>
                <w:tcPr>
                  <w:tcW w:w="89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default" w:ascii="Times New Roman" w:hAnsi="Times New Roman" w:eastAsia="宋体" w:cs="Times New Roman"/>
                      <w:color w:val="0000FF"/>
                      <w:highlight w:val="none"/>
                      <w:lang w:val="en-US" w:eastAsia="zh-CN"/>
                    </w:rPr>
                    <w:t>颗粒物</w:t>
                  </w:r>
                </w:p>
              </w:tc>
              <w:tc>
                <w:tcPr>
                  <w:tcW w:w="109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6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0.385</w:t>
                  </w:r>
                </w:p>
              </w:tc>
              <w:tc>
                <w:tcPr>
                  <w:tcW w:w="113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9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0.385</w:t>
                  </w:r>
                </w:p>
              </w:tc>
              <w:tc>
                <w:tcPr>
                  <w:tcW w:w="126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+0.385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906" w:type="dxa"/>
                  <w:vMerge w:val="continue"/>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p>
              </w:tc>
              <w:tc>
                <w:tcPr>
                  <w:tcW w:w="89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default" w:ascii="Times New Roman" w:hAnsi="Times New Roman" w:eastAsia="宋体" w:cs="Times New Roman"/>
                      <w:color w:val="0000FF"/>
                      <w:highlight w:val="none"/>
                      <w:lang w:val="en-US" w:eastAsia="zh-CN"/>
                    </w:rPr>
                    <w:t>SO</w:t>
                  </w:r>
                  <w:r>
                    <w:rPr>
                      <w:rFonts w:hint="default" w:ascii="Times New Roman" w:hAnsi="Times New Roman" w:eastAsia="宋体" w:cs="Times New Roman"/>
                      <w:color w:val="0000FF"/>
                      <w:highlight w:val="none"/>
                      <w:vertAlign w:val="subscript"/>
                      <w:lang w:val="en-US" w:eastAsia="zh-CN"/>
                    </w:rPr>
                    <w:t>2</w:t>
                  </w:r>
                </w:p>
              </w:tc>
              <w:tc>
                <w:tcPr>
                  <w:tcW w:w="109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6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1.642</w:t>
                  </w:r>
                </w:p>
              </w:tc>
              <w:tc>
                <w:tcPr>
                  <w:tcW w:w="113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9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1.642</w:t>
                  </w:r>
                </w:p>
              </w:tc>
              <w:tc>
                <w:tcPr>
                  <w:tcW w:w="126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+1.642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906" w:type="dxa"/>
                  <w:vMerge w:val="continue"/>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p>
              </w:tc>
              <w:tc>
                <w:tcPr>
                  <w:tcW w:w="89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default" w:ascii="Times New Roman" w:hAnsi="Times New Roman" w:eastAsia="宋体" w:cs="Times New Roman"/>
                      <w:color w:val="0000FF"/>
                      <w:highlight w:val="none"/>
                      <w:lang w:val="en-US" w:eastAsia="zh-CN"/>
                    </w:rPr>
                    <w:t>NO</w:t>
                  </w:r>
                  <w:r>
                    <w:rPr>
                      <w:rFonts w:hint="default" w:ascii="Times New Roman" w:hAnsi="Times New Roman" w:eastAsia="宋体" w:cs="Times New Roman"/>
                      <w:color w:val="0000FF"/>
                      <w:highlight w:val="none"/>
                      <w:vertAlign w:val="subscript"/>
                      <w:lang w:val="en-US" w:eastAsia="zh-CN"/>
                    </w:rPr>
                    <w:t>X</w:t>
                  </w:r>
                </w:p>
              </w:tc>
              <w:tc>
                <w:tcPr>
                  <w:tcW w:w="109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6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1.764</w:t>
                  </w:r>
                </w:p>
              </w:tc>
              <w:tc>
                <w:tcPr>
                  <w:tcW w:w="113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9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1.764</w:t>
                  </w:r>
                </w:p>
              </w:tc>
              <w:tc>
                <w:tcPr>
                  <w:tcW w:w="126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+1.764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906" w:type="dxa"/>
                  <w:vMerge w:val="restart"/>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生物质锅炉</w:t>
                  </w:r>
                </w:p>
              </w:tc>
              <w:tc>
                <w:tcPr>
                  <w:tcW w:w="89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default" w:ascii="Times New Roman" w:hAnsi="Times New Roman" w:eastAsia="宋体" w:cs="Times New Roman"/>
                      <w:color w:val="0000FF"/>
                      <w:highlight w:val="none"/>
                      <w:lang w:val="en-US" w:eastAsia="zh-CN"/>
                    </w:rPr>
                    <w:t>颗粒物</w:t>
                  </w:r>
                </w:p>
              </w:tc>
              <w:tc>
                <w:tcPr>
                  <w:tcW w:w="109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6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0.752</w:t>
                  </w:r>
                </w:p>
              </w:tc>
              <w:tc>
                <w:tcPr>
                  <w:tcW w:w="113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9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0.752</w:t>
                  </w:r>
                </w:p>
              </w:tc>
              <w:tc>
                <w:tcPr>
                  <w:tcW w:w="126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+0.752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906" w:type="dxa"/>
                  <w:vMerge w:val="continue"/>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p>
              </w:tc>
              <w:tc>
                <w:tcPr>
                  <w:tcW w:w="89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default" w:ascii="Times New Roman" w:hAnsi="Times New Roman" w:eastAsia="宋体" w:cs="Times New Roman"/>
                      <w:color w:val="0000FF"/>
                      <w:highlight w:val="none"/>
                      <w:lang w:val="en-US" w:eastAsia="zh-CN"/>
                    </w:rPr>
                    <w:t>SO</w:t>
                  </w:r>
                  <w:r>
                    <w:rPr>
                      <w:rFonts w:hint="default" w:ascii="Times New Roman" w:hAnsi="Times New Roman" w:eastAsia="宋体" w:cs="Times New Roman"/>
                      <w:color w:val="0000FF"/>
                      <w:highlight w:val="none"/>
                      <w:vertAlign w:val="subscript"/>
                      <w:lang w:val="en-US" w:eastAsia="zh-CN"/>
                    </w:rPr>
                    <w:t>2</w:t>
                  </w:r>
                </w:p>
              </w:tc>
              <w:tc>
                <w:tcPr>
                  <w:tcW w:w="109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6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0.017</w:t>
                  </w:r>
                </w:p>
              </w:tc>
              <w:tc>
                <w:tcPr>
                  <w:tcW w:w="113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9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0.017</w:t>
                  </w:r>
                </w:p>
              </w:tc>
              <w:tc>
                <w:tcPr>
                  <w:tcW w:w="126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906" w:type="dxa"/>
                  <w:vMerge w:val="continue"/>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p>
              </w:tc>
              <w:tc>
                <w:tcPr>
                  <w:tcW w:w="89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default" w:ascii="Times New Roman" w:hAnsi="Times New Roman" w:eastAsia="宋体" w:cs="Times New Roman"/>
                      <w:color w:val="0000FF"/>
                      <w:highlight w:val="none"/>
                      <w:lang w:val="en-US" w:eastAsia="zh-CN"/>
                    </w:rPr>
                    <w:t>NO</w:t>
                  </w:r>
                  <w:r>
                    <w:rPr>
                      <w:rFonts w:hint="default" w:ascii="Times New Roman" w:hAnsi="Times New Roman" w:eastAsia="宋体" w:cs="Times New Roman"/>
                      <w:color w:val="0000FF"/>
                      <w:highlight w:val="none"/>
                      <w:vertAlign w:val="subscript"/>
                      <w:lang w:val="en-US" w:eastAsia="zh-CN"/>
                    </w:rPr>
                    <w:t>X</w:t>
                  </w:r>
                </w:p>
              </w:tc>
              <w:tc>
                <w:tcPr>
                  <w:tcW w:w="109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6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1.02</w:t>
                  </w:r>
                </w:p>
              </w:tc>
              <w:tc>
                <w:tcPr>
                  <w:tcW w:w="1132"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0</w:t>
                  </w:r>
                </w:p>
              </w:tc>
              <w:tc>
                <w:tcPr>
                  <w:tcW w:w="998"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1.02</w:t>
                  </w:r>
                </w:p>
              </w:tc>
              <w:tc>
                <w:tcPr>
                  <w:tcW w:w="1260" w:type="dxa"/>
                  <w:noWrap w:val="0"/>
                  <w:vAlign w:val="center"/>
                </w:tcPr>
                <w:p>
                  <w:pPr>
                    <w:snapToGrid w:val="0"/>
                    <w:spacing w:line="0" w:lineRule="atLeast"/>
                    <w:jc w:val="center"/>
                    <w:rPr>
                      <w:rFonts w:hint="default" w:ascii="Times New Roman" w:hAnsi="Times New Roman" w:eastAsia="宋体" w:cs="Times New Roman"/>
                      <w:color w:val="0000FF"/>
                      <w:highlight w:val="none"/>
                      <w:lang w:val="en-US" w:eastAsia="zh-CN"/>
                    </w:rPr>
                  </w:pPr>
                  <w:r>
                    <w:rPr>
                      <w:rFonts w:hint="eastAsia" w:ascii="Times New Roman" w:hAnsi="Times New Roman" w:eastAsia="宋体" w:cs="Times New Roman"/>
                      <w:color w:val="0000FF"/>
                      <w:highlight w:val="none"/>
                      <w:lang w:val="en-US" w:eastAsia="zh-CN"/>
                    </w:rPr>
                    <w:t>+1.02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废水</w:t>
                  </w:r>
                </w:p>
              </w:tc>
              <w:tc>
                <w:tcPr>
                  <w:tcW w:w="1798" w:type="dxa"/>
                  <w:gridSpan w:val="2"/>
                  <w:noWrap w:val="0"/>
                  <w:vAlign w:val="center"/>
                </w:tcPr>
                <w:p>
                  <w:pPr>
                    <w:tabs>
                      <w:tab w:val="left" w:pos="0"/>
                    </w:tabs>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eastAsia="zh-CN"/>
                    </w:rPr>
                    <w:t>生活污水</w:t>
                  </w:r>
                </w:p>
              </w:tc>
              <w:tc>
                <w:tcPr>
                  <w:tcW w:w="1090" w:type="dxa"/>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cs="Times New Roman"/>
                      <w:b w:val="0"/>
                      <w:bCs w:val="0"/>
                      <w:color w:val="auto"/>
                      <w:kern w:val="2"/>
                      <w:sz w:val="21"/>
                      <w:szCs w:val="21"/>
                      <w:lang w:val="en-US" w:eastAsia="zh-CN" w:bidi="ar-SA"/>
                    </w:rPr>
                    <w:t>216</w:t>
                  </w:r>
                </w:p>
              </w:tc>
              <w:tc>
                <w:tcPr>
                  <w:tcW w:w="9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249.6</w:t>
                  </w:r>
                </w:p>
              </w:tc>
              <w:tc>
                <w:tcPr>
                  <w:tcW w:w="1132"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cs="Times New Roman"/>
                      <w:color w:val="auto"/>
                      <w:sz w:val="21"/>
                      <w:szCs w:val="21"/>
                      <w:lang w:val="en-US" w:eastAsia="zh-CN"/>
                    </w:rPr>
                    <w:t>0</w:t>
                  </w:r>
                </w:p>
              </w:tc>
              <w:tc>
                <w:tcPr>
                  <w:tcW w:w="99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465.6</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cs="Times New Roman"/>
                      <w:color w:val="auto"/>
                      <w:sz w:val="21"/>
                      <w:szCs w:val="21"/>
                      <w:lang w:val="en-US" w:eastAsia="zh-CN"/>
                    </w:rPr>
                    <w:t>+249.6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798" w:type="dxa"/>
                  <w:gridSpan w:val="2"/>
                  <w:noWrap w:val="0"/>
                  <w:vAlign w:val="center"/>
                </w:tcPr>
                <w:p>
                  <w:pPr>
                    <w:tabs>
                      <w:tab w:val="left" w:pos="0"/>
                    </w:tabs>
                    <w:spacing w:line="240" w:lineRule="auto"/>
                    <w:jc w:val="center"/>
                    <w:rPr>
                      <w:rFonts w:hint="default" w:ascii="Times New Roman" w:hAnsi="Times New Roman" w:eastAsia="宋体" w:cs="Times New Roman"/>
                      <w:b w:val="0"/>
                      <w:bCs w:val="0"/>
                      <w:color w:val="auto"/>
                      <w:kern w:val="0"/>
                      <w:sz w:val="21"/>
                      <w:szCs w:val="21"/>
                      <w:lang w:val="en-US" w:eastAsia="zh-CN" w:bidi="ar-SA"/>
                    </w:rPr>
                  </w:pPr>
                  <w:r>
                    <w:rPr>
                      <w:rFonts w:hint="eastAsia" w:ascii="Times New Roman" w:hAnsi="Times New Roman" w:cs="Times New Roman"/>
                      <w:b w:val="0"/>
                      <w:bCs w:val="0"/>
                      <w:color w:val="auto"/>
                      <w:kern w:val="0"/>
                      <w:sz w:val="21"/>
                      <w:szCs w:val="21"/>
                      <w:lang w:val="en-US" w:eastAsia="zh-CN" w:bidi="ar-SA"/>
                    </w:rPr>
                    <w:t>返渗透高盐水</w:t>
                  </w:r>
                </w:p>
              </w:tc>
              <w:tc>
                <w:tcPr>
                  <w:tcW w:w="1090" w:type="dxa"/>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color w:val="auto"/>
                      <w:sz w:val="21"/>
                      <w:szCs w:val="21"/>
                      <w:lang w:val="en-US" w:eastAsia="zh-CN"/>
                    </w:rPr>
                    <w:t>0</w:t>
                  </w:r>
                </w:p>
              </w:tc>
              <w:tc>
                <w:tcPr>
                  <w:tcW w:w="9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686.15</w:t>
                  </w:r>
                </w:p>
              </w:tc>
              <w:tc>
                <w:tcPr>
                  <w:tcW w:w="1132"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cs="Times New Roman"/>
                      <w:b w:val="0"/>
                      <w:bCs w:val="0"/>
                      <w:color w:val="auto"/>
                      <w:kern w:val="2"/>
                      <w:sz w:val="21"/>
                      <w:szCs w:val="21"/>
                      <w:vertAlign w:val="baseline"/>
                      <w:lang w:val="en-US" w:eastAsia="zh-CN" w:bidi="ar-SA"/>
                    </w:rPr>
                    <w:t>0</w:t>
                  </w:r>
                </w:p>
              </w:tc>
              <w:tc>
                <w:tcPr>
                  <w:tcW w:w="99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686.15</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cs="Times New Roman"/>
                      <w:color w:val="auto"/>
                      <w:sz w:val="21"/>
                      <w:szCs w:val="21"/>
                      <w:lang w:val="en-US" w:eastAsia="zh-CN"/>
                    </w:rPr>
                    <w:t>+686.15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798" w:type="dxa"/>
                  <w:gridSpan w:val="2"/>
                  <w:noWrap w:val="0"/>
                  <w:vAlign w:val="center"/>
                </w:tcPr>
                <w:p>
                  <w:pPr>
                    <w:tabs>
                      <w:tab w:val="left" w:pos="0"/>
                    </w:tabs>
                    <w:spacing w:line="240" w:lineRule="auto"/>
                    <w:jc w:val="center"/>
                    <w:rPr>
                      <w:rFonts w:hint="default" w:ascii="Times New Roman" w:hAnsi="Times New Roman" w:eastAsia="宋体" w:cs="Times New Roman"/>
                      <w:b w:val="0"/>
                      <w:bCs w:val="0"/>
                      <w:color w:val="auto"/>
                      <w:kern w:val="0"/>
                      <w:sz w:val="21"/>
                      <w:szCs w:val="21"/>
                      <w:lang w:val="en-US" w:eastAsia="zh-CN" w:bidi="ar-SA"/>
                    </w:rPr>
                  </w:pPr>
                  <w:r>
                    <w:rPr>
                      <w:rFonts w:hint="eastAsia" w:ascii="Times New Roman" w:hAnsi="Times New Roman" w:cs="Times New Roman"/>
                      <w:b w:val="0"/>
                      <w:bCs w:val="0"/>
                      <w:color w:val="auto"/>
                      <w:kern w:val="0"/>
                      <w:sz w:val="21"/>
                      <w:szCs w:val="21"/>
                      <w:lang w:val="en-US" w:eastAsia="zh-CN" w:bidi="ar-SA"/>
                    </w:rPr>
                    <w:t>设备冲洗水</w:t>
                  </w:r>
                </w:p>
              </w:tc>
              <w:tc>
                <w:tcPr>
                  <w:tcW w:w="1090" w:type="dxa"/>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color w:val="auto"/>
                      <w:sz w:val="21"/>
                      <w:szCs w:val="21"/>
                      <w:lang w:val="en-US" w:eastAsia="zh-CN"/>
                    </w:rPr>
                    <w:t>0</w:t>
                  </w:r>
                </w:p>
              </w:tc>
              <w:tc>
                <w:tcPr>
                  <w:tcW w:w="9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w:t>
                  </w:r>
                </w:p>
              </w:tc>
              <w:tc>
                <w:tcPr>
                  <w:tcW w:w="1132"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cs="Times New Roman"/>
                      <w:color w:val="auto"/>
                      <w:sz w:val="21"/>
                      <w:szCs w:val="21"/>
                      <w:lang w:val="en-US" w:eastAsia="zh-CN"/>
                    </w:rPr>
                    <w:t>0</w:t>
                  </w:r>
                </w:p>
              </w:tc>
              <w:tc>
                <w:tcPr>
                  <w:tcW w:w="99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cs="Times New Roman"/>
                      <w:color w:val="auto"/>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798" w:type="dxa"/>
                  <w:gridSpan w:val="2"/>
                  <w:noWrap w:val="0"/>
                  <w:vAlign w:val="center"/>
                </w:tcPr>
                <w:p>
                  <w:pPr>
                    <w:tabs>
                      <w:tab w:val="left" w:pos="0"/>
                    </w:tabs>
                    <w:spacing w:line="240" w:lineRule="auto"/>
                    <w:jc w:val="center"/>
                    <w:rPr>
                      <w:rFonts w:hint="default" w:ascii="Times New Roman" w:hAnsi="Times New Roman" w:cs="Times New Roman"/>
                      <w:b w:val="0"/>
                      <w:bCs w:val="0"/>
                      <w:color w:val="auto"/>
                      <w:kern w:val="0"/>
                      <w:sz w:val="21"/>
                      <w:szCs w:val="21"/>
                      <w:lang w:val="en-US" w:eastAsia="zh-CN" w:bidi="ar-SA"/>
                    </w:rPr>
                  </w:pPr>
                  <w:r>
                    <w:rPr>
                      <w:rFonts w:hint="eastAsia" w:ascii="Times New Roman" w:hAnsi="Times New Roman" w:cs="Times New Roman"/>
                      <w:b w:val="0"/>
                      <w:bCs w:val="0"/>
                      <w:color w:val="auto"/>
                      <w:kern w:val="0"/>
                      <w:sz w:val="21"/>
                      <w:szCs w:val="21"/>
                      <w:lang w:val="en-US" w:eastAsia="zh-CN" w:bidi="ar-SA"/>
                    </w:rPr>
                    <w:t>锅炉排污水</w:t>
                  </w:r>
                </w:p>
              </w:tc>
              <w:tc>
                <w:tcPr>
                  <w:tcW w:w="1090" w:type="dxa"/>
                  <w:noWrap w:val="0"/>
                  <w:vAlign w:val="center"/>
                </w:tcPr>
                <w:p>
                  <w:pPr>
                    <w:spacing w:line="240" w:lineRule="auto"/>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w:t>
                  </w:r>
                </w:p>
              </w:tc>
              <w:tc>
                <w:tcPr>
                  <w:tcW w:w="9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20</w:t>
                  </w:r>
                </w:p>
              </w:tc>
              <w:tc>
                <w:tcPr>
                  <w:tcW w:w="1132"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w:t>
                  </w:r>
                </w:p>
              </w:tc>
              <w:tc>
                <w:tcPr>
                  <w:tcW w:w="99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20</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eastAsia="zh-CN"/>
                    </w:rPr>
                    <w:t>固废</w:t>
                  </w:r>
                </w:p>
              </w:tc>
              <w:tc>
                <w:tcPr>
                  <w:tcW w:w="1798" w:type="dxa"/>
                  <w:gridSpan w:val="2"/>
                  <w:noWrap w:val="0"/>
                  <w:vAlign w:val="center"/>
                </w:tcPr>
                <w:p>
                  <w:pPr>
                    <w:tabs>
                      <w:tab w:val="left" w:pos="0"/>
                    </w:tabs>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eastAsia="zh-CN"/>
                    </w:rPr>
                    <w:t>生活垃圾</w:t>
                  </w:r>
                </w:p>
              </w:tc>
              <w:tc>
                <w:tcPr>
                  <w:tcW w:w="1090" w:type="dxa"/>
                  <w:noWrap w:val="0"/>
                  <w:vAlign w:val="center"/>
                </w:tcPr>
                <w:p>
                  <w:pPr>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cs="Times New Roman"/>
                      <w:b w:val="0"/>
                      <w:bCs w:val="0"/>
                      <w:color w:val="auto"/>
                      <w:sz w:val="21"/>
                      <w:szCs w:val="21"/>
                      <w:lang w:val="en-US" w:eastAsia="zh-CN"/>
                    </w:rPr>
                    <w:t>2.25</w:t>
                  </w:r>
                </w:p>
              </w:tc>
              <w:tc>
                <w:tcPr>
                  <w:tcW w:w="96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2.6</w:t>
                  </w:r>
                </w:p>
              </w:tc>
              <w:tc>
                <w:tcPr>
                  <w:tcW w:w="1132"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kern w:val="2"/>
                      <w:sz w:val="21"/>
                      <w:szCs w:val="21"/>
                      <w:vertAlign w:val="baseline"/>
                      <w:lang w:val="en-US" w:eastAsia="zh-CN" w:bidi="ar-SA"/>
                    </w:rPr>
                    <w:t>0</w:t>
                  </w:r>
                </w:p>
              </w:tc>
              <w:tc>
                <w:tcPr>
                  <w:tcW w:w="99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4.85</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eastAsia="zh-CN"/>
                    </w:rPr>
                  </w:pPr>
                </w:p>
              </w:tc>
              <w:tc>
                <w:tcPr>
                  <w:tcW w:w="1798" w:type="dxa"/>
                  <w:gridSpan w:val="2"/>
                  <w:noWrap w:val="0"/>
                  <w:vAlign w:val="center"/>
                </w:tcPr>
                <w:p>
                  <w:pPr>
                    <w:tabs>
                      <w:tab w:val="left" w:pos="0"/>
                    </w:tabs>
                    <w:spacing w:line="240" w:lineRule="auto"/>
                    <w:jc w:val="center"/>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实验室危废</w:t>
                  </w:r>
                </w:p>
              </w:tc>
              <w:tc>
                <w:tcPr>
                  <w:tcW w:w="1090" w:type="dxa"/>
                  <w:noWrap w:val="0"/>
                  <w:vAlign w:val="center"/>
                </w:tcPr>
                <w:p>
                  <w:pPr>
                    <w:spacing w:line="240" w:lineRule="auto"/>
                    <w:jc w:val="center"/>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0</w:t>
                  </w:r>
                </w:p>
              </w:tc>
              <w:tc>
                <w:tcPr>
                  <w:tcW w:w="96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1</w:t>
                  </w:r>
                </w:p>
              </w:tc>
              <w:tc>
                <w:tcPr>
                  <w:tcW w:w="1132" w:type="dxa"/>
                  <w:noWrap w:val="0"/>
                  <w:vAlign w:val="center"/>
                </w:tcPr>
                <w:p>
                  <w:pPr>
                    <w:spacing w:line="240" w:lineRule="auto"/>
                    <w:jc w:val="center"/>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0</w:t>
                  </w:r>
                </w:p>
              </w:tc>
              <w:tc>
                <w:tcPr>
                  <w:tcW w:w="99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1</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eastAsia="zh-CN"/>
                    </w:rPr>
                  </w:pPr>
                </w:p>
              </w:tc>
              <w:tc>
                <w:tcPr>
                  <w:tcW w:w="1798" w:type="dxa"/>
                  <w:gridSpan w:val="2"/>
                  <w:noWrap w:val="0"/>
                  <w:vAlign w:val="center"/>
                </w:tcPr>
                <w:p>
                  <w:pPr>
                    <w:tabs>
                      <w:tab w:val="left" w:pos="0"/>
                    </w:tabs>
                    <w:spacing w:line="240" w:lineRule="auto"/>
                    <w:jc w:val="center"/>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废包装袋</w:t>
                  </w:r>
                </w:p>
              </w:tc>
              <w:tc>
                <w:tcPr>
                  <w:tcW w:w="1090"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1.5</w:t>
                  </w:r>
                </w:p>
              </w:tc>
              <w:tc>
                <w:tcPr>
                  <w:tcW w:w="96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5</w:t>
                  </w:r>
                </w:p>
              </w:tc>
              <w:tc>
                <w:tcPr>
                  <w:tcW w:w="1132"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9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6.5</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eastAsia="zh-CN"/>
                    </w:rPr>
                  </w:pPr>
                </w:p>
              </w:tc>
              <w:tc>
                <w:tcPr>
                  <w:tcW w:w="1798" w:type="dxa"/>
                  <w:gridSpan w:val="2"/>
                  <w:noWrap w:val="0"/>
                  <w:vAlign w:val="center"/>
                </w:tcPr>
                <w:p>
                  <w:pPr>
                    <w:tabs>
                      <w:tab w:val="left" w:pos="0"/>
                    </w:tabs>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热风炉炉渣</w:t>
                  </w:r>
                </w:p>
              </w:tc>
              <w:tc>
                <w:tcPr>
                  <w:tcW w:w="109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6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33.679</w:t>
                  </w:r>
                </w:p>
              </w:tc>
              <w:tc>
                <w:tcPr>
                  <w:tcW w:w="113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9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33.679</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+33.679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eastAsia="zh-CN"/>
                    </w:rPr>
                  </w:pPr>
                </w:p>
              </w:tc>
              <w:tc>
                <w:tcPr>
                  <w:tcW w:w="1798" w:type="dxa"/>
                  <w:gridSpan w:val="2"/>
                  <w:noWrap w:val="0"/>
                  <w:vAlign w:val="center"/>
                </w:tcPr>
                <w:p>
                  <w:pPr>
                    <w:tabs>
                      <w:tab w:val="left" w:pos="0"/>
                    </w:tabs>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收集的粉尘</w:t>
                  </w:r>
                </w:p>
              </w:tc>
              <w:tc>
                <w:tcPr>
                  <w:tcW w:w="109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6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17.538</w:t>
                  </w:r>
                </w:p>
              </w:tc>
              <w:tc>
                <w:tcPr>
                  <w:tcW w:w="113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9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17.538</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17.538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eastAsia="zh-CN"/>
                    </w:rPr>
                  </w:pPr>
                </w:p>
              </w:tc>
              <w:tc>
                <w:tcPr>
                  <w:tcW w:w="1798" w:type="dxa"/>
                  <w:gridSpan w:val="2"/>
                  <w:noWrap w:val="0"/>
                  <w:vAlign w:val="center"/>
                </w:tcPr>
                <w:p>
                  <w:pPr>
                    <w:tabs>
                      <w:tab w:val="left" w:pos="0"/>
                    </w:tabs>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脱硫渣</w:t>
                  </w:r>
                </w:p>
              </w:tc>
              <w:tc>
                <w:tcPr>
                  <w:tcW w:w="109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6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5</w:t>
                  </w:r>
                </w:p>
              </w:tc>
              <w:tc>
                <w:tcPr>
                  <w:tcW w:w="113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9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5</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eastAsia="zh-CN"/>
                    </w:rPr>
                  </w:pPr>
                </w:p>
              </w:tc>
              <w:tc>
                <w:tcPr>
                  <w:tcW w:w="1798" w:type="dxa"/>
                  <w:gridSpan w:val="2"/>
                  <w:noWrap w:val="0"/>
                  <w:vAlign w:val="center"/>
                </w:tcPr>
                <w:p>
                  <w:pPr>
                    <w:tabs>
                      <w:tab w:val="left" w:pos="0"/>
                    </w:tabs>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生物质锅炉除尘灰</w:t>
                  </w:r>
                </w:p>
              </w:tc>
              <w:tc>
                <w:tcPr>
                  <w:tcW w:w="109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6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33.84</w:t>
                  </w:r>
                </w:p>
              </w:tc>
              <w:tc>
                <w:tcPr>
                  <w:tcW w:w="113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9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33.84</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+33.84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798" w:type="dxa"/>
                  <w:gridSpan w:val="2"/>
                  <w:noWrap w:val="0"/>
                  <w:vAlign w:val="center"/>
                </w:tcPr>
                <w:p>
                  <w:pPr>
                    <w:tabs>
                      <w:tab w:val="left" w:pos="0"/>
                    </w:tabs>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生物质锅炉炉灰</w:t>
                  </w:r>
                </w:p>
              </w:tc>
              <w:tc>
                <w:tcPr>
                  <w:tcW w:w="109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6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20.62</w:t>
                  </w:r>
                </w:p>
              </w:tc>
              <w:tc>
                <w:tcPr>
                  <w:tcW w:w="113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9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20.62</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+20.62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798" w:type="dxa"/>
                  <w:gridSpan w:val="2"/>
                  <w:noWrap w:val="0"/>
                  <w:vAlign w:val="center"/>
                </w:tcPr>
                <w:p>
                  <w:pPr>
                    <w:tabs>
                      <w:tab w:val="left" w:pos="0"/>
                    </w:tabs>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有机肥滤渣</w:t>
                  </w:r>
                </w:p>
              </w:tc>
              <w:tc>
                <w:tcPr>
                  <w:tcW w:w="109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6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40500</w:t>
                  </w:r>
                </w:p>
              </w:tc>
              <w:tc>
                <w:tcPr>
                  <w:tcW w:w="113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0</w:t>
                  </w:r>
                </w:p>
              </w:tc>
              <w:tc>
                <w:tcPr>
                  <w:tcW w:w="998"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40500</w:t>
                  </w:r>
                </w:p>
              </w:tc>
              <w:tc>
                <w:tcPr>
                  <w:tcW w:w="1260" w:type="dxa"/>
                  <w:noWrap w:val="0"/>
                  <w:vAlign w:val="center"/>
                </w:tcPr>
                <w:p>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+40500</w:t>
                  </w:r>
                </w:p>
              </w:tc>
            </w:tr>
          </w:tbl>
          <w:p>
            <w:pPr>
              <w:bidi w:val="0"/>
              <w:rPr>
                <w:b/>
                <w:bCs/>
                <w:color w:val="auto"/>
              </w:rPr>
            </w:pPr>
            <w:r>
              <w:rPr>
                <w:rFonts w:hint="eastAsia"/>
                <w:b/>
                <w:bCs/>
                <w:color w:val="auto"/>
                <w:lang w:val="en-US" w:eastAsia="zh-CN"/>
              </w:rPr>
              <w:t>8、</w:t>
            </w:r>
            <w:r>
              <w:rPr>
                <w:b/>
                <w:bCs/>
                <w:color w:val="auto"/>
              </w:rPr>
              <w:t>“三同时”验收一览表见表</w:t>
            </w:r>
            <w:r>
              <w:rPr>
                <w:rFonts w:hint="eastAsia"/>
                <w:b/>
                <w:bCs/>
                <w:color w:val="auto"/>
                <w:lang w:val="en-US" w:eastAsia="zh-CN"/>
              </w:rPr>
              <w:t>38</w:t>
            </w:r>
            <w:r>
              <w:rPr>
                <w:b/>
                <w:bCs/>
                <w:color w:val="auto"/>
              </w:rPr>
              <w:t>。</w:t>
            </w:r>
          </w:p>
          <w:p>
            <w:pPr>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表</w:t>
            </w:r>
            <w:r>
              <w:rPr>
                <w:rFonts w:hint="eastAsia" w:ascii="宋体" w:hAnsi="宋体" w:eastAsia="宋体" w:cs="宋体"/>
                <w:b/>
                <w:bCs/>
                <w:color w:val="auto"/>
                <w:sz w:val="21"/>
                <w:szCs w:val="21"/>
                <w:lang w:val="en-US" w:eastAsia="zh-CN"/>
              </w:rPr>
              <w:t xml:space="preserve">38 </w:t>
            </w:r>
            <w:r>
              <w:rPr>
                <w:rFonts w:hint="eastAsia" w:ascii="宋体" w:hAnsi="宋体" w:eastAsia="宋体" w:cs="宋体"/>
                <w:b/>
                <w:bCs/>
                <w:color w:val="auto"/>
                <w:sz w:val="21"/>
                <w:szCs w:val="21"/>
              </w:rPr>
              <w:t>环保设施“三同时”验收一览表</w:t>
            </w:r>
          </w:p>
          <w:tbl>
            <w:tblPr>
              <w:tblStyle w:val="19"/>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1138"/>
              <w:gridCol w:w="1422"/>
              <w:gridCol w:w="2048"/>
              <w:gridCol w:w="277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 w:hRule="atLeast"/>
                <w:jc w:val="center"/>
              </w:trPr>
              <w:tc>
                <w:tcPr>
                  <w:tcW w:w="784"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类别</w:t>
                  </w:r>
                </w:p>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验收因子</w:t>
                  </w:r>
                </w:p>
                <w:p>
                  <w:pPr>
                    <w:bidi w:val="0"/>
                    <w:spacing w:line="240" w:lineRule="auto"/>
                    <w:rPr>
                      <w:rFonts w:hint="eastAsia"/>
                      <w:color w:val="auto"/>
                      <w:highlight w:val="none"/>
                    </w:rPr>
                  </w:pPr>
                </w:p>
              </w:tc>
              <w:tc>
                <w:tcPr>
                  <w:tcW w:w="142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验收点位及频次</w:t>
                  </w:r>
                </w:p>
              </w:tc>
              <w:tc>
                <w:tcPr>
                  <w:tcW w:w="2048"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污染防治措施</w:t>
                  </w:r>
                </w:p>
              </w:tc>
              <w:tc>
                <w:tcPr>
                  <w:tcW w:w="277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验收标准</w:t>
                  </w:r>
                </w:p>
                <w:p>
                  <w:pPr>
                    <w:bidi w:val="0"/>
                    <w:spacing w:line="240" w:lineRule="auto"/>
                    <w:rPr>
                      <w:rFonts w:hint="eastAsia"/>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jc w:val="center"/>
              </w:trPr>
              <w:tc>
                <w:tcPr>
                  <w:tcW w:w="784" w:type="dxa"/>
                  <w:vMerge w:val="restart"/>
                  <w:tcBorders>
                    <w:tl2br w:val="nil"/>
                    <w:tr2bl w:val="nil"/>
                  </w:tcBorders>
                  <w:noWrap w:val="0"/>
                  <w:vAlign w:val="center"/>
                </w:tcPr>
                <w:p>
                  <w:pPr>
                    <w:bidi w:val="0"/>
                    <w:spacing w:line="240" w:lineRule="auto"/>
                    <w:rPr>
                      <w:rFonts w:hint="eastAsia"/>
                      <w:color w:val="auto"/>
                      <w:highlight w:val="none"/>
                    </w:rPr>
                  </w:pPr>
                  <w:r>
                    <w:rPr>
                      <w:rFonts w:hint="eastAsia"/>
                      <w:color w:val="auto"/>
                      <w:highlight w:val="none"/>
                    </w:rPr>
                    <w:t>废气</w:t>
                  </w:r>
                </w:p>
              </w:tc>
              <w:tc>
                <w:tcPr>
                  <w:tcW w:w="1138" w:type="dxa"/>
                  <w:tcBorders>
                    <w:tl2br w:val="nil"/>
                    <w:tr2bl w:val="nil"/>
                  </w:tcBorders>
                  <w:noWrap w:val="0"/>
                  <w:tcMar>
                    <w:left w:w="108" w:type="dxa"/>
                    <w:right w:w="108" w:type="dxa"/>
                  </w:tcMar>
                  <w:vAlign w:val="center"/>
                </w:tcPr>
                <w:p>
                  <w:pPr>
                    <w:bidi w:val="0"/>
                    <w:spacing w:line="240" w:lineRule="auto"/>
                    <w:rPr>
                      <w:rFonts w:hint="eastAsia"/>
                      <w:lang w:eastAsia="zh-CN"/>
                    </w:rPr>
                  </w:pPr>
                  <w:r>
                    <w:rPr>
                      <w:rFonts w:hint="eastAsia"/>
                    </w:rPr>
                    <w:t>颗粒物、SO</w:t>
                  </w:r>
                  <w:r>
                    <w:rPr>
                      <w:vertAlign w:val="subscript"/>
                    </w:rPr>
                    <w:t>2</w:t>
                  </w:r>
                  <w:r>
                    <w:rPr>
                      <w:rFonts w:hint="eastAsia"/>
                    </w:rPr>
                    <w:t>、NO</w:t>
                  </w:r>
                  <w:r>
                    <w:rPr>
                      <w:vertAlign w:val="subscript"/>
                    </w:rPr>
                    <w:t>x</w:t>
                  </w:r>
                  <w:r>
                    <w:rPr>
                      <w:rFonts w:hint="eastAsia"/>
                      <w:lang w:eastAsia="zh-CN"/>
                    </w:rPr>
                    <w:t>、</w:t>
                  </w:r>
                </w:p>
                <w:p>
                  <w:pPr>
                    <w:pStyle w:val="18"/>
                    <w:ind w:left="0" w:leftChars="0" w:firstLine="0" w:firstLineChars="0"/>
                    <w:rPr>
                      <w:rFonts w:hint="default"/>
                      <w:lang w:val="en-US" w:eastAsia="zh-CN"/>
                    </w:rPr>
                  </w:pPr>
                  <w:r>
                    <w:rPr>
                      <w:rFonts w:hint="eastAsia" w:ascii="Times New Roman" w:hAnsi="Times New Roman" w:eastAsia="宋体" w:cs="Times New Roman"/>
                      <w:color w:val="0000FF"/>
                      <w:kern w:val="2"/>
                      <w:sz w:val="21"/>
                      <w:szCs w:val="21"/>
                      <w:highlight w:val="none"/>
                      <w:lang w:val="en-US" w:eastAsia="zh-CN" w:bidi="ar-SA"/>
                    </w:rPr>
                    <w:t>烟气黑度</w:t>
                  </w:r>
                </w:p>
              </w:tc>
              <w:tc>
                <w:tcPr>
                  <w:tcW w:w="142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szCs w:val="21"/>
                    </w:rPr>
                    <w:t>除尘设施进口、出口，连续监测</w:t>
                  </w:r>
                  <w:r>
                    <w:rPr>
                      <w:color w:val="auto"/>
                      <w:szCs w:val="21"/>
                    </w:rPr>
                    <w:t>2</w:t>
                  </w:r>
                  <w:r>
                    <w:rPr>
                      <w:rFonts w:hint="eastAsia"/>
                      <w:color w:val="auto"/>
                      <w:szCs w:val="21"/>
                    </w:rPr>
                    <w:t>天，每天至少监测</w:t>
                  </w:r>
                  <w:r>
                    <w:rPr>
                      <w:color w:val="auto"/>
                      <w:szCs w:val="21"/>
                    </w:rPr>
                    <w:t>3</w:t>
                  </w:r>
                  <w:r>
                    <w:rPr>
                      <w:rFonts w:hint="eastAsia"/>
                      <w:color w:val="auto"/>
                      <w:szCs w:val="21"/>
                    </w:rPr>
                    <w:t>次</w:t>
                  </w:r>
                </w:p>
              </w:tc>
              <w:tc>
                <w:tcPr>
                  <w:tcW w:w="2048"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ascii="Times New Roman" w:hAnsi="Times New Roman" w:eastAsia="宋体" w:cs="Times New Roman"/>
                      <w:color w:val="0000FF"/>
                      <w:kern w:val="2"/>
                      <w:sz w:val="21"/>
                      <w:szCs w:val="21"/>
                      <w:highlight w:val="none"/>
                      <w:lang w:val="en-US" w:eastAsia="zh-CN" w:bidi="ar-SA"/>
                    </w:rPr>
                    <w:t>多管旋风除尘器+湿式碱法水浴脱硫（单碱法）处理后经15m排气筒</w:t>
                  </w:r>
                </w:p>
              </w:tc>
              <w:tc>
                <w:tcPr>
                  <w:tcW w:w="277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s="宋体"/>
                      <w:color w:val="auto"/>
                      <w:lang w:val="en-US" w:eastAsia="zh-CN"/>
                    </w:rPr>
                    <w:t>满足</w:t>
                  </w:r>
                  <w:r>
                    <w:rPr>
                      <w:rFonts w:hint="eastAsia" w:cs="宋体"/>
                      <w:color w:val="auto"/>
                    </w:rPr>
                    <w:t>《大气污染物综合排放标准》（</w:t>
                  </w:r>
                  <w:r>
                    <w:rPr>
                      <w:color w:val="auto"/>
                    </w:rPr>
                    <w:t>GB16297-1996</w:t>
                  </w:r>
                  <w:r>
                    <w:rPr>
                      <w:rFonts w:hint="eastAsia" w:ascii="宋体" w:hAnsi="宋体" w:cs="宋体"/>
                      <w:color w:val="auto"/>
                    </w:rPr>
                    <w:t>）</w:t>
                  </w:r>
                  <w:r>
                    <w:rPr>
                      <w:rFonts w:hint="eastAsia" w:ascii="宋体" w:hAnsi="宋体" w:cs="宋体"/>
                      <w:color w:val="auto"/>
                      <w:lang w:eastAsia="zh-CN"/>
                    </w:rPr>
                    <w:t>及</w:t>
                  </w:r>
                  <w:r>
                    <w:rPr>
                      <w:color w:val="auto"/>
                      <w:shd w:val="clear" w:color="auto" w:fill="FFFFFF"/>
                    </w:rPr>
                    <w:t>《</w:t>
                  </w:r>
                  <w:r>
                    <w:rPr>
                      <w:rFonts w:hint="eastAsia"/>
                      <w:color w:val="auto"/>
                      <w:shd w:val="clear" w:color="auto" w:fill="FFFFFF"/>
                    </w:rPr>
                    <w:t>工业炉窑大气污染物排放标准</w:t>
                  </w:r>
                  <w:r>
                    <w:rPr>
                      <w:color w:val="auto"/>
                    </w:rPr>
                    <w:t>》（GB</w:t>
                  </w:r>
                  <w:r>
                    <w:rPr>
                      <w:rFonts w:hint="eastAsia"/>
                      <w:color w:val="auto"/>
                    </w:rPr>
                    <w:t>9078</w:t>
                  </w:r>
                  <w:r>
                    <w:rPr>
                      <w:color w:val="auto"/>
                    </w:rPr>
                    <w:t>-</w:t>
                  </w:r>
                  <w:r>
                    <w:rPr>
                      <w:rFonts w:hint="eastAsia"/>
                      <w:color w:val="auto"/>
                    </w:rPr>
                    <w:t>1996</w:t>
                  </w:r>
                  <w:r>
                    <w:rPr>
                      <w:color w:val="auto"/>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jc w:val="center"/>
              </w:trPr>
              <w:tc>
                <w:tcPr>
                  <w:tcW w:w="784" w:type="dxa"/>
                  <w:vMerge w:val="continue"/>
                  <w:tcBorders>
                    <w:tl2br w:val="nil"/>
                    <w:tr2bl w:val="nil"/>
                  </w:tcBorders>
                  <w:noWrap w:val="0"/>
                  <w:vAlign w:val="center"/>
                </w:tcPr>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szCs w:val="21"/>
                    </w:rPr>
                    <w:t>颗粒物、SO</w:t>
                  </w:r>
                  <w:r>
                    <w:rPr>
                      <w:color w:val="auto"/>
                      <w:szCs w:val="21"/>
                      <w:vertAlign w:val="subscript"/>
                    </w:rPr>
                    <w:t>2</w:t>
                  </w:r>
                  <w:r>
                    <w:rPr>
                      <w:rFonts w:hint="eastAsia"/>
                      <w:color w:val="auto"/>
                      <w:szCs w:val="21"/>
                    </w:rPr>
                    <w:t>、NO</w:t>
                  </w:r>
                  <w:r>
                    <w:rPr>
                      <w:color w:val="auto"/>
                      <w:szCs w:val="21"/>
                      <w:vertAlign w:val="subscript"/>
                    </w:rPr>
                    <w:t>x</w:t>
                  </w:r>
                </w:p>
              </w:tc>
              <w:tc>
                <w:tcPr>
                  <w:tcW w:w="142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szCs w:val="21"/>
                    </w:rPr>
                    <w:t>除尘设施进口、出口，连续监测</w:t>
                  </w:r>
                  <w:r>
                    <w:rPr>
                      <w:color w:val="auto"/>
                      <w:szCs w:val="21"/>
                    </w:rPr>
                    <w:t>2</w:t>
                  </w:r>
                  <w:r>
                    <w:rPr>
                      <w:rFonts w:hint="eastAsia"/>
                      <w:color w:val="auto"/>
                      <w:szCs w:val="21"/>
                    </w:rPr>
                    <w:t>天，每天至少监测</w:t>
                  </w:r>
                  <w:r>
                    <w:rPr>
                      <w:color w:val="auto"/>
                      <w:szCs w:val="21"/>
                    </w:rPr>
                    <w:t>3</w:t>
                  </w:r>
                  <w:r>
                    <w:rPr>
                      <w:rFonts w:hint="eastAsia"/>
                      <w:color w:val="auto"/>
                      <w:szCs w:val="21"/>
                    </w:rPr>
                    <w:t>次</w:t>
                  </w:r>
                </w:p>
              </w:tc>
              <w:tc>
                <w:tcPr>
                  <w:tcW w:w="2048"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ascii="Times New Roman" w:hAnsi="Times New Roman" w:eastAsia="宋体" w:cs="Times New Roman"/>
                      <w:color w:val="0000FF"/>
                      <w:kern w:val="2"/>
                      <w:sz w:val="21"/>
                      <w:szCs w:val="21"/>
                      <w:highlight w:val="none"/>
                      <w:lang w:val="en-US" w:eastAsia="zh-CN" w:bidi="ar-SA"/>
                    </w:rPr>
                    <w:t>布袋除尘器处理（除尘效率为90%）+水浴除尘（除尘效率为80%）+3</w:t>
                  </w:r>
                  <w:r>
                    <w:rPr>
                      <w:rFonts w:hint="default" w:ascii="Times New Roman" w:hAnsi="Times New Roman" w:eastAsia="宋体" w:cs="Times New Roman"/>
                      <w:color w:val="0000FF"/>
                      <w:kern w:val="2"/>
                      <w:sz w:val="21"/>
                      <w:szCs w:val="21"/>
                      <w:highlight w:val="none"/>
                      <w:lang w:val="en-US" w:eastAsia="zh-CN" w:bidi="ar-SA"/>
                    </w:rPr>
                    <w:t>5</w:t>
                  </w:r>
                  <w:r>
                    <w:rPr>
                      <w:rFonts w:hint="eastAsia" w:ascii="Times New Roman" w:hAnsi="Times New Roman" w:eastAsia="宋体" w:cs="Times New Roman"/>
                      <w:color w:val="0000FF"/>
                      <w:kern w:val="2"/>
                      <w:sz w:val="21"/>
                      <w:szCs w:val="21"/>
                      <w:highlight w:val="none"/>
                      <w:lang w:val="en-US" w:eastAsia="zh-CN" w:bidi="ar-SA"/>
                    </w:rPr>
                    <w:t>米高烟囱</w:t>
                  </w:r>
                </w:p>
              </w:tc>
              <w:tc>
                <w:tcPr>
                  <w:tcW w:w="277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sz w:val="21"/>
                      <w:szCs w:val="21"/>
                      <w:highlight w:val="none"/>
                      <w:lang w:val="en-US" w:eastAsia="zh-CN"/>
                    </w:rPr>
                    <w:t>符合</w:t>
                  </w:r>
                  <w:r>
                    <w:rPr>
                      <w:rFonts w:hint="eastAsia"/>
                      <w:color w:val="auto"/>
                      <w:sz w:val="21"/>
                      <w:szCs w:val="21"/>
                      <w:highlight w:val="none"/>
                    </w:rPr>
                    <w:t>《锅炉大气污染物排放标准》（GB13271－2014）表2燃煤锅炉标准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jc w:val="center"/>
              </w:trPr>
              <w:tc>
                <w:tcPr>
                  <w:tcW w:w="784" w:type="dxa"/>
                  <w:vMerge w:val="continue"/>
                  <w:tcBorders>
                    <w:tl2br w:val="nil"/>
                    <w:tr2bl w:val="nil"/>
                  </w:tcBorders>
                  <w:noWrap w:val="0"/>
                  <w:vAlign w:val="center"/>
                </w:tcPr>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bidi w:val="0"/>
                    <w:spacing w:line="240" w:lineRule="auto"/>
                    <w:rPr>
                      <w:rFonts w:hint="eastAsia" w:eastAsia="宋体"/>
                      <w:color w:val="auto"/>
                      <w:highlight w:val="none"/>
                      <w:lang w:val="en-US" w:eastAsia="zh-CN"/>
                    </w:rPr>
                  </w:pPr>
                  <w:r>
                    <w:rPr>
                      <w:rFonts w:hint="eastAsia"/>
                      <w:color w:val="auto"/>
                      <w:highlight w:val="none"/>
                      <w:lang w:val="en-US" w:eastAsia="zh-CN"/>
                    </w:rPr>
                    <w:t>氨气</w:t>
                  </w:r>
                </w:p>
              </w:tc>
              <w:tc>
                <w:tcPr>
                  <w:tcW w:w="1422" w:type="dxa"/>
                  <w:tcBorders>
                    <w:tl2br w:val="nil"/>
                    <w:tr2bl w:val="nil"/>
                  </w:tcBorders>
                  <w:noWrap w:val="0"/>
                  <w:tcMar>
                    <w:left w:w="108" w:type="dxa"/>
                    <w:right w:w="108" w:type="dxa"/>
                  </w:tcMar>
                  <w:vAlign w:val="center"/>
                </w:tcPr>
                <w:p>
                  <w:pPr>
                    <w:bidi w:val="0"/>
                    <w:spacing w:line="240" w:lineRule="auto"/>
                    <w:rPr>
                      <w:rFonts w:hint="eastAsia" w:eastAsia="宋体"/>
                      <w:color w:val="auto"/>
                      <w:highlight w:val="none"/>
                      <w:lang w:val="en-US" w:eastAsia="zh-CN"/>
                    </w:rPr>
                  </w:pPr>
                  <w:r>
                    <w:rPr>
                      <w:rFonts w:hint="eastAsia"/>
                      <w:color w:val="auto"/>
                      <w:highlight w:val="none"/>
                    </w:rPr>
                    <w:t>厂界；连续监测2天，每天</w:t>
                  </w:r>
                  <w:r>
                    <w:rPr>
                      <w:rFonts w:hint="eastAsia"/>
                      <w:color w:val="auto"/>
                      <w:highlight w:val="none"/>
                      <w:lang w:val="en-US" w:eastAsia="zh-CN"/>
                    </w:rPr>
                    <w:t>4</w:t>
                  </w:r>
                  <w:r>
                    <w:rPr>
                      <w:rFonts w:hint="eastAsia"/>
                      <w:color w:val="auto"/>
                      <w:highlight w:val="none"/>
                    </w:rPr>
                    <w:t>次</w:t>
                  </w:r>
                </w:p>
              </w:tc>
              <w:tc>
                <w:tcPr>
                  <w:tcW w:w="2048"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车间全封闭</w:t>
                  </w:r>
                </w:p>
              </w:tc>
              <w:tc>
                <w:tcPr>
                  <w:tcW w:w="277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szCs w:val="24"/>
                    </w:rPr>
                    <w:t>《恶臭污染物排放标准》（GB14554-93</w:t>
                  </w:r>
                  <w:r>
                    <w:rPr>
                      <w:rFonts w:hint="eastAsia" w:ascii="宋体" w:hAnsi="宋体"/>
                      <w:color w:val="auto"/>
                      <w:szCs w:val="24"/>
                    </w:rPr>
                    <w:t>）二级标准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jc w:val="center"/>
              </w:trPr>
              <w:tc>
                <w:tcPr>
                  <w:tcW w:w="784" w:type="dxa"/>
                  <w:vMerge w:val="continue"/>
                  <w:tcBorders>
                    <w:tl2br w:val="nil"/>
                    <w:tr2bl w:val="nil"/>
                  </w:tcBorders>
                  <w:noWrap w:val="0"/>
                  <w:vAlign w:val="center"/>
                </w:tcPr>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bidi w:val="0"/>
                    <w:spacing w:line="240" w:lineRule="auto"/>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臭气浓度</w:t>
                  </w:r>
                </w:p>
              </w:tc>
              <w:tc>
                <w:tcPr>
                  <w:tcW w:w="1422" w:type="dxa"/>
                  <w:tcBorders>
                    <w:tl2br w:val="nil"/>
                    <w:tr2bl w:val="nil"/>
                  </w:tcBorders>
                  <w:noWrap w:val="0"/>
                  <w:tcMar>
                    <w:left w:w="108" w:type="dxa"/>
                    <w:right w:w="108" w:type="dxa"/>
                  </w:tcMar>
                  <w:vAlign w:val="center"/>
                </w:tcPr>
                <w:p>
                  <w:pPr>
                    <w:bidi w:val="0"/>
                    <w:spacing w:line="240" w:lineRule="auto"/>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厂界；连续监测2天，每天4次</w:t>
                  </w:r>
                </w:p>
              </w:tc>
              <w:tc>
                <w:tcPr>
                  <w:tcW w:w="2048"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车间全封闭</w:t>
                  </w:r>
                </w:p>
              </w:tc>
              <w:tc>
                <w:tcPr>
                  <w:tcW w:w="2772" w:type="dxa"/>
                  <w:tcBorders>
                    <w:tl2br w:val="nil"/>
                    <w:tr2bl w:val="nil"/>
                  </w:tcBorders>
                  <w:noWrap w:val="0"/>
                  <w:tcMar>
                    <w:left w:w="108" w:type="dxa"/>
                    <w:right w:w="108" w:type="dxa"/>
                  </w:tcMar>
                  <w:vAlign w:val="center"/>
                </w:tcPr>
                <w:p>
                  <w:pPr>
                    <w:bidi w:val="0"/>
                    <w:spacing w:line="240" w:lineRule="auto"/>
                    <w:rPr>
                      <w:rFonts w:hint="eastAsia"/>
                      <w:color w:val="auto"/>
                      <w:szCs w:val="24"/>
                    </w:rPr>
                  </w:pPr>
                  <w:r>
                    <w:rPr>
                      <w:rFonts w:hint="eastAsia" w:ascii="Times New Roman" w:hAnsi="Times New Roman" w:eastAsia="宋体" w:cs="Times New Roman"/>
                      <w:color w:val="0000FF"/>
                      <w:kern w:val="2"/>
                      <w:sz w:val="21"/>
                      <w:szCs w:val="21"/>
                      <w:highlight w:val="none"/>
                      <w:lang w:val="en-US" w:eastAsia="zh-CN" w:bidi="ar-SA"/>
                    </w:rPr>
                    <w:t>《恶臭污染物排放标准》（GB14554-93）二级标准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jc w:val="center"/>
              </w:trPr>
              <w:tc>
                <w:tcPr>
                  <w:tcW w:w="784" w:type="dxa"/>
                  <w:vMerge w:val="continue"/>
                  <w:tcBorders>
                    <w:tl2br w:val="nil"/>
                    <w:tr2bl w:val="nil"/>
                  </w:tcBorders>
                  <w:noWrap w:val="0"/>
                  <w:vAlign w:val="center"/>
                </w:tcPr>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bidi w:val="0"/>
                    <w:spacing w:line="240" w:lineRule="auto"/>
                    <w:rPr>
                      <w:rFonts w:hint="default" w:eastAsia="宋体"/>
                      <w:color w:val="auto"/>
                      <w:highlight w:val="none"/>
                      <w:lang w:val="en-US" w:eastAsia="zh-CN"/>
                    </w:rPr>
                  </w:pPr>
                  <w:r>
                    <w:rPr>
                      <w:rFonts w:hint="eastAsia"/>
                      <w:color w:val="auto"/>
                      <w:highlight w:val="none"/>
                      <w:lang w:val="en-US" w:eastAsia="zh-CN"/>
                    </w:rPr>
                    <w:t>颗粒物</w:t>
                  </w:r>
                </w:p>
              </w:tc>
              <w:tc>
                <w:tcPr>
                  <w:tcW w:w="142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厂界；连续监测2天，每天</w:t>
                  </w:r>
                  <w:r>
                    <w:rPr>
                      <w:rFonts w:hint="eastAsia"/>
                      <w:color w:val="auto"/>
                      <w:highlight w:val="none"/>
                      <w:lang w:val="en-US" w:eastAsia="zh-CN"/>
                    </w:rPr>
                    <w:t>4</w:t>
                  </w:r>
                  <w:r>
                    <w:rPr>
                      <w:rFonts w:hint="eastAsia"/>
                      <w:color w:val="auto"/>
                      <w:highlight w:val="none"/>
                    </w:rPr>
                    <w:t>次</w:t>
                  </w:r>
                </w:p>
              </w:tc>
              <w:tc>
                <w:tcPr>
                  <w:tcW w:w="2048"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车间全封闭</w:t>
                  </w:r>
                </w:p>
              </w:tc>
              <w:tc>
                <w:tcPr>
                  <w:tcW w:w="277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szCs w:val="21"/>
                    </w:rPr>
                    <w:t>《大气污染物综合排放标准》(GB16297-1996)表 2 中的无组织排放监控浓度限值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784"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噪声</w:t>
                  </w:r>
                </w:p>
              </w:tc>
              <w:tc>
                <w:tcPr>
                  <w:tcW w:w="1138"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噪声</w:t>
                  </w:r>
                </w:p>
              </w:tc>
              <w:tc>
                <w:tcPr>
                  <w:tcW w:w="142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厂界；连续监测2天，昼间1次</w:t>
                  </w:r>
                </w:p>
              </w:tc>
              <w:tc>
                <w:tcPr>
                  <w:tcW w:w="2048"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隔声、减震、加装消音器</w:t>
                  </w:r>
                </w:p>
              </w:tc>
              <w:tc>
                <w:tcPr>
                  <w:tcW w:w="277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满足《工业企业厂界环境噪声排放标准》（GB12348-2008）</w:t>
                  </w:r>
                  <w:r>
                    <w:rPr>
                      <w:rFonts w:hint="eastAsia"/>
                      <w:color w:val="auto"/>
                      <w:highlight w:val="none"/>
                      <w:lang w:val="en-US" w:eastAsia="zh-CN"/>
                    </w:rPr>
                    <w:t>2</w:t>
                  </w:r>
                  <w:r>
                    <w:rPr>
                      <w:rFonts w:hint="eastAsia"/>
                      <w:color w:val="auto"/>
                      <w:highlight w:val="none"/>
                    </w:rPr>
                    <w:t>类区标准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784" w:type="dxa"/>
                  <w:vMerge w:val="restart"/>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固废</w:t>
                  </w:r>
                </w:p>
              </w:tc>
              <w:tc>
                <w:tcPr>
                  <w:tcW w:w="1138" w:type="dxa"/>
                  <w:tcBorders>
                    <w:tl2br w:val="nil"/>
                    <w:tr2bl w:val="nil"/>
                  </w:tcBorders>
                  <w:noWrap w:val="0"/>
                  <w:tcMar>
                    <w:left w:w="108" w:type="dxa"/>
                    <w:right w:w="108" w:type="dxa"/>
                  </w:tcMar>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eastAsia"/>
                      <w:color w:val="auto"/>
                      <w:szCs w:val="21"/>
                      <w:lang w:val="en-US" w:eastAsia="zh-CN"/>
                    </w:rPr>
                    <w:t>生活垃圾</w:t>
                  </w:r>
                </w:p>
              </w:tc>
              <w:tc>
                <w:tcPr>
                  <w:tcW w:w="1422" w:type="dxa"/>
                  <w:vMerge w:val="restart"/>
                  <w:tcBorders>
                    <w:tl2br w:val="nil"/>
                    <w:tr2bl w:val="nil"/>
                  </w:tcBorders>
                  <w:noWrap w:val="0"/>
                  <w:tcMar>
                    <w:left w:w="108" w:type="dxa"/>
                    <w:right w:w="108" w:type="dxa"/>
                  </w:tcMar>
                  <w:vAlign w:val="center"/>
                </w:tcPr>
                <w:p>
                  <w:pPr>
                    <w:bidi w:val="0"/>
                    <w:spacing w:line="240" w:lineRule="auto"/>
                    <w:jc w:val="center"/>
                    <w:rPr>
                      <w:rFonts w:hint="eastAsia"/>
                      <w:color w:val="auto"/>
                      <w:highlight w:val="none"/>
                    </w:rPr>
                  </w:pPr>
                  <w:r>
                    <w:rPr>
                      <w:rFonts w:hint="eastAsia"/>
                      <w:color w:val="auto"/>
                      <w:highlight w:val="none"/>
                    </w:rPr>
                    <w:t>厂区</w:t>
                  </w:r>
                </w:p>
              </w:tc>
              <w:tc>
                <w:tcPr>
                  <w:tcW w:w="2048" w:type="dxa"/>
                  <w:tcBorders>
                    <w:tl2br w:val="nil"/>
                    <w:tr2bl w:val="nil"/>
                  </w:tcBorders>
                  <w:noWrap w:val="0"/>
                  <w:tcMar>
                    <w:left w:w="108" w:type="dxa"/>
                    <w:right w:w="108" w:type="dxa"/>
                  </w:tcMar>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default" w:ascii="Times New Roman" w:hAnsi="Times New Roman" w:eastAsia="宋体" w:cs="Times New Roman"/>
                      <w:bCs/>
                      <w:snapToGrid w:val="0"/>
                      <w:color w:val="auto"/>
                      <w:kern w:val="24"/>
                      <w:sz w:val="21"/>
                      <w:szCs w:val="21"/>
                    </w:rPr>
                    <w:t>设置垃圾箱，环卫部门统一清运</w:t>
                  </w:r>
                </w:p>
              </w:tc>
              <w:tc>
                <w:tcPr>
                  <w:tcW w:w="2772" w:type="dxa"/>
                  <w:vMerge w:val="restart"/>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符合《一般工业固体废物贮存、处置场污染控制标准》（GB18599-2001）及标准修改单中相关标准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784"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eastAsia"/>
                      <w:color w:val="auto"/>
                      <w:szCs w:val="21"/>
                      <w:lang w:val="en-US" w:eastAsia="zh-CN"/>
                    </w:rPr>
                    <w:t>锅炉炉灰、锅炉除尘灰</w:t>
                  </w:r>
                </w:p>
              </w:tc>
              <w:tc>
                <w:tcPr>
                  <w:tcW w:w="142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2048" w:type="dxa"/>
                  <w:tcBorders>
                    <w:tl2br w:val="nil"/>
                    <w:tr2bl w:val="nil"/>
                  </w:tcBorders>
                  <w:noWrap w:val="0"/>
                  <w:tcMar>
                    <w:left w:w="108" w:type="dxa"/>
                    <w:right w:w="108" w:type="dxa"/>
                  </w:tcMar>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eastAsia" w:ascii="Times New Roman" w:hAnsi="Times New Roman" w:eastAsia="宋体" w:cs="Times New Roman"/>
                      <w:color w:val="0000FF"/>
                      <w:kern w:val="2"/>
                      <w:sz w:val="21"/>
                      <w:szCs w:val="21"/>
                      <w:highlight w:val="none"/>
                      <w:lang w:val="en-US" w:eastAsia="zh-CN" w:bidi="ar-SA"/>
                    </w:rPr>
                    <w:t>与羊粪拌和发酵</w:t>
                  </w:r>
                </w:p>
              </w:tc>
              <w:tc>
                <w:tcPr>
                  <w:tcW w:w="277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784"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eastAsia"/>
                      <w:color w:val="auto"/>
                      <w:szCs w:val="21"/>
                      <w:lang w:val="en-US" w:eastAsia="zh-CN"/>
                    </w:rPr>
                    <w:t>废包装袋</w:t>
                  </w:r>
                </w:p>
              </w:tc>
              <w:tc>
                <w:tcPr>
                  <w:tcW w:w="142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2048" w:type="dxa"/>
                  <w:tcBorders>
                    <w:tl2br w:val="nil"/>
                    <w:tr2bl w:val="nil"/>
                  </w:tcBorders>
                  <w:noWrap w:val="0"/>
                  <w:tcMar>
                    <w:left w:w="108" w:type="dxa"/>
                    <w:right w:w="108" w:type="dxa"/>
                  </w:tcMar>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eastAsia" w:ascii="Times New Roman" w:hAnsi="Times New Roman" w:eastAsia="宋体" w:cs="Times New Roman"/>
                      <w:bCs/>
                      <w:snapToGrid w:val="0"/>
                      <w:color w:val="auto"/>
                      <w:kern w:val="24"/>
                      <w:sz w:val="21"/>
                      <w:szCs w:val="21"/>
                      <w:lang w:eastAsia="zh-CN"/>
                    </w:rPr>
                    <w:t>集中收集后，由环卫部门统一清运</w:t>
                  </w:r>
                </w:p>
              </w:tc>
              <w:tc>
                <w:tcPr>
                  <w:tcW w:w="277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784"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pStyle w:val="50"/>
                    <w:spacing w:line="240" w:lineRule="auto"/>
                    <w:ind w:left="-105" w:leftChars="-50" w:right="-105" w:rightChars="-50" w:firstLine="0" w:firstLineChars="0"/>
                    <w:jc w:val="center"/>
                    <w:rPr>
                      <w:rFonts w:hint="eastAsia" w:ascii="Times New Roman" w:hAnsi="Times New Roman" w:eastAsia="宋体" w:cs="Times New Roman"/>
                      <w:bCs/>
                      <w:snapToGrid w:val="0"/>
                      <w:color w:val="auto"/>
                      <w:kern w:val="24"/>
                      <w:sz w:val="21"/>
                      <w:szCs w:val="21"/>
                      <w:lang w:val="en-US" w:eastAsia="zh-CN" w:bidi="ar-SA"/>
                    </w:rPr>
                  </w:pPr>
                  <w:r>
                    <w:rPr>
                      <w:rFonts w:hint="default" w:ascii="Times New Roman" w:hAnsi="Times New Roman" w:eastAsia="宋体" w:cs="Times New Roman"/>
                      <w:bCs/>
                      <w:snapToGrid w:val="0"/>
                      <w:color w:val="auto"/>
                      <w:kern w:val="24"/>
                      <w:sz w:val="21"/>
                      <w:szCs w:val="21"/>
                    </w:rPr>
                    <w:t>热风炉炉渣</w:t>
                  </w:r>
                </w:p>
              </w:tc>
              <w:tc>
                <w:tcPr>
                  <w:tcW w:w="142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2048" w:type="dxa"/>
                  <w:tcBorders>
                    <w:tl2br w:val="nil"/>
                    <w:tr2bl w:val="nil"/>
                  </w:tcBorders>
                  <w:noWrap w:val="0"/>
                  <w:tcMar>
                    <w:left w:w="108" w:type="dxa"/>
                    <w:right w:w="108" w:type="dxa"/>
                  </w:tcMar>
                  <w:vAlign w:val="center"/>
                </w:tcPr>
                <w:p>
                  <w:pPr>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外售至临河顺义水泥制品厂</w:t>
                  </w:r>
                </w:p>
              </w:tc>
              <w:tc>
                <w:tcPr>
                  <w:tcW w:w="277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784"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default" w:ascii="Times New Roman" w:hAnsi="Times New Roman" w:eastAsia="宋体" w:cs="Times New Roman"/>
                      <w:bCs/>
                      <w:snapToGrid w:val="0"/>
                      <w:color w:val="auto"/>
                      <w:kern w:val="24"/>
                      <w:sz w:val="21"/>
                      <w:szCs w:val="21"/>
                    </w:rPr>
                    <w:t>脱硫渣</w:t>
                  </w:r>
                </w:p>
              </w:tc>
              <w:tc>
                <w:tcPr>
                  <w:tcW w:w="142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2048" w:type="dxa"/>
                  <w:tcBorders>
                    <w:tl2br w:val="nil"/>
                    <w:tr2bl w:val="nil"/>
                  </w:tcBorders>
                  <w:noWrap w:val="0"/>
                  <w:tcMar>
                    <w:left w:w="108" w:type="dxa"/>
                    <w:right w:w="108" w:type="dxa"/>
                  </w:tcMar>
                  <w:vAlign w:val="center"/>
                </w:tcPr>
                <w:p>
                  <w:pPr>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kern w:val="2"/>
                      <w:sz w:val="21"/>
                      <w:szCs w:val="21"/>
                      <w:highlight w:val="none"/>
                      <w:lang w:val="en-US" w:eastAsia="zh-CN" w:bidi="ar-SA"/>
                    </w:rPr>
                    <w:t>外售至临河顺义水泥制品厂</w:t>
                  </w:r>
                </w:p>
              </w:tc>
              <w:tc>
                <w:tcPr>
                  <w:tcW w:w="277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784"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spacing w:line="0" w:lineRule="atLeast"/>
                    <w:jc w:val="center"/>
                    <w:rPr>
                      <w:rFonts w:hint="default" w:ascii="Times New Roman" w:hAnsi="Times New Roman" w:eastAsia="宋体" w:cs="Times New Roman"/>
                      <w:bCs/>
                      <w:snapToGrid w:val="0"/>
                      <w:color w:val="auto"/>
                      <w:kern w:val="24"/>
                      <w:sz w:val="21"/>
                      <w:szCs w:val="21"/>
                      <w:lang w:val="en-US" w:eastAsia="zh-CN"/>
                    </w:rPr>
                  </w:pPr>
                  <w:r>
                    <w:rPr>
                      <w:rFonts w:hint="eastAsia" w:cs="Times New Roman"/>
                      <w:bCs/>
                      <w:snapToGrid w:val="0"/>
                      <w:color w:val="auto"/>
                      <w:kern w:val="24"/>
                      <w:sz w:val="21"/>
                      <w:szCs w:val="21"/>
                      <w:lang w:val="en-US" w:eastAsia="zh-CN"/>
                    </w:rPr>
                    <w:t>收集的粉尘</w:t>
                  </w:r>
                </w:p>
              </w:tc>
              <w:tc>
                <w:tcPr>
                  <w:tcW w:w="142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2048" w:type="dxa"/>
                  <w:tcBorders>
                    <w:tl2br w:val="nil"/>
                    <w:tr2bl w:val="nil"/>
                  </w:tcBorders>
                  <w:noWrap w:val="0"/>
                  <w:tcMar>
                    <w:left w:w="108" w:type="dxa"/>
                    <w:right w:w="108" w:type="dxa"/>
                  </w:tcMar>
                  <w:vAlign w:val="center"/>
                </w:tcPr>
                <w:p>
                  <w:pPr>
                    <w:spacing w:line="0" w:lineRule="atLeast"/>
                    <w:jc w:val="center"/>
                    <w:rPr>
                      <w:rFonts w:hint="default"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作为粉状肥外售</w:t>
                  </w:r>
                </w:p>
              </w:tc>
              <w:tc>
                <w:tcPr>
                  <w:tcW w:w="277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784"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eastAsia" w:ascii="Times New Roman" w:hAnsi="Times New Roman" w:eastAsia="宋体" w:cs="Times New Roman"/>
                      <w:color w:val="auto"/>
                      <w:sz w:val="21"/>
                      <w:szCs w:val="21"/>
                    </w:rPr>
                    <w:t>有机肥滤渣</w:t>
                  </w:r>
                </w:p>
              </w:tc>
              <w:tc>
                <w:tcPr>
                  <w:tcW w:w="142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2048" w:type="dxa"/>
                  <w:tcBorders>
                    <w:tl2br w:val="nil"/>
                    <w:tr2bl w:val="nil"/>
                  </w:tcBorders>
                  <w:noWrap w:val="0"/>
                  <w:tcMar>
                    <w:left w:w="108" w:type="dxa"/>
                    <w:right w:w="108" w:type="dxa"/>
                  </w:tcMar>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eastAsia"/>
                      <w:color w:val="auto"/>
                      <w:szCs w:val="21"/>
                      <w:lang w:val="en-US" w:eastAsia="zh-CN"/>
                    </w:rPr>
                    <w:t>作为有机肥外售</w:t>
                  </w:r>
                </w:p>
              </w:tc>
              <w:tc>
                <w:tcPr>
                  <w:tcW w:w="277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784"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1138"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szCs w:val="21"/>
                      <w:lang w:val="en-US" w:eastAsia="zh-CN"/>
                    </w:rPr>
                    <w:t>实验室废物</w:t>
                  </w:r>
                </w:p>
              </w:tc>
              <w:tc>
                <w:tcPr>
                  <w:tcW w:w="1422" w:type="dxa"/>
                  <w:vMerge w:val="continue"/>
                  <w:tcBorders>
                    <w:tl2br w:val="nil"/>
                    <w:tr2bl w:val="nil"/>
                  </w:tcBorders>
                  <w:noWrap w:val="0"/>
                  <w:tcMar>
                    <w:left w:w="108" w:type="dxa"/>
                    <w:right w:w="108" w:type="dxa"/>
                  </w:tcMar>
                  <w:vAlign w:val="center"/>
                </w:tcPr>
                <w:p>
                  <w:pPr>
                    <w:bidi w:val="0"/>
                    <w:spacing w:line="240" w:lineRule="auto"/>
                    <w:rPr>
                      <w:rFonts w:hint="eastAsia"/>
                      <w:color w:val="auto"/>
                      <w:highlight w:val="none"/>
                    </w:rPr>
                  </w:pPr>
                </w:p>
              </w:tc>
              <w:tc>
                <w:tcPr>
                  <w:tcW w:w="2048" w:type="dxa"/>
                  <w:tcBorders>
                    <w:tl2br w:val="nil"/>
                    <w:tr2bl w:val="nil"/>
                  </w:tcBorders>
                  <w:noWrap w:val="0"/>
                  <w:tcMar>
                    <w:left w:w="108" w:type="dxa"/>
                    <w:right w:w="108" w:type="dxa"/>
                  </w:tcMar>
                  <w:vAlign w:val="center"/>
                </w:tcPr>
                <w:p>
                  <w:pPr>
                    <w:pStyle w:val="50"/>
                    <w:spacing w:line="240" w:lineRule="auto"/>
                    <w:ind w:left="-105" w:leftChars="-50" w:right="-105" w:rightChars="-50" w:firstLine="0" w:firstLineChars="0"/>
                    <w:jc w:val="center"/>
                    <w:rPr>
                      <w:rFonts w:hint="eastAsia"/>
                      <w:color w:val="auto"/>
                      <w:highlight w:val="none"/>
                    </w:rPr>
                  </w:pPr>
                  <w:r>
                    <w:rPr>
                      <w:rFonts w:hint="default" w:ascii="Times New Roman" w:hAnsi="Times New Roman" w:eastAsia="宋体" w:cs="Times New Roman"/>
                      <w:bCs/>
                      <w:snapToGrid w:val="0"/>
                      <w:color w:val="auto"/>
                      <w:kern w:val="24"/>
                      <w:sz w:val="21"/>
                      <w:szCs w:val="21"/>
                    </w:rPr>
                    <w:t>暂存于危废暂存间，交由有资质单位处理。</w:t>
                  </w:r>
                </w:p>
              </w:tc>
              <w:tc>
                <w:tcPr>
                  <w:tcW w:w="2772" w:type="dxa"/>
                  <w:tcBorders>
                    <w:tl2br w:val="nil"/>
                    <w:tr2bl w:val="nil"/>
                  </w:tcBorders>
                  <w:noWrap w:val="0"/>
                  <w:tcMar>
                    <w:left w:w="108" w:type="dxa"/>
                    <w:right w:w="108" w:type="dxa"/>
                  </w:tcMar>
                  <w:vAlign w:val="center"/>
                </w:tcPr>
                <w:p>
                  <w:pPr>
                    <w:bidi w:val="0"/>
                    <w:spacing w:line="240" w:lineRule="auto"/>
                    <w:rPr>
                      <w:rFonts w:hint="eastAsia"/>
                      <w:color w:val="auto"/>
                      <w:highlight w:val="none"/>
                    </w:rPr>
                  </w:pPr>
                  <w:r>
                    <w:rPr>
                      <w:rFonts w:hint="eastAsia"/>
                      <w:color w:val="auto"/>
                      <w:highlight w:val="none"/>
                    </w:rPr>
                    <w:t>《危险废物贮存污染控制标准》（GB18597-2001）及其修改单的相关规定</w:t>
                  </w:r>
                </w:p>
              </w:tc>
            </w:tr>
          </w:tbl>
          <w:p>
            <w:pPr>
              <w:bidi w:val="0"/>
              <w:rPr>
                <w:color w:val="auto"/>
              </w:rPr>
            </w:pPr>
          </w:p>
          <w:p>
            <w:pPr>
              <w:bidi w:val="0"/>
              <w:rPr>
                <w:color w:val="auto"/>
              </w:rPr>
            </w:pPr>
          </w:p>
          <w:p>
            <w:pPr>
              <w:adjustRightInd w:val="0"/>
              <w:snapToGrid w:val="0"/>
              <w:spacing w:line="360" w:lineRule="auto"/>
              <w:rPr>
                <w:bCs/>
                <w:color w:val="auto"/>
                <w:spacing w:val="-10"/>
                <w:szCs w:val="21"/>
              </w:rPr>
            </w:pPr>
          </w:p>
          <w:p>
            <w:pPr>
              <w:adjustRightInd w:val="0"/>
              <w:snapToGrid w:val="0"/>
              <w:spacing w:line="360" w:lineRule="auto"/>
              <w:rPr>
                <w:bCs/>
                <w:color w:val="auto"/>
                <w:spacing w:val="-10"/>
                <w:szCs w:val="21"/>
              </w:rPr>
            </w:pPr>
          </w:p>
          <w:p>
            <w:pPr>
              <w:adjustRightInd w:val="0"/>
              <w:snapToGrid w:val="0"/>
              <w:spacing w:line="360" w:lineRule="auto"/>
              <w:rPr>
                <w:bCs/>
                <w:color w:val="auto"/>
                <w:spacing w:val="-10"/>
                <w:szCs w:val="21"/>
              </w:rPr>
            </w:pPr>
          </w:p>
        </w:tc>
      </w:tr>
    </w:tbl>
    <w:p>
      <w:pPr>
        <w:adjustRightInd w:val="0"/>
        <w:snapToGrid w:val="0"/>
        <w:spacing w:line="360" w:lineRule="auto"/>
        <w:rPr>
          <w:b/>
          <w:color w:val="auto"/>
          <w:kern w:val="0"/>
          <w:sz w:val="28"/>
          <w:szCs w:val="28"/>
        </w:rPr>
        <w:sectPr>
          <w:pgSz w:w="11907" w:h="16840"/>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pPr>
    </w:p>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黑体" w:hAnsi="黑体" w:eastAsia="黑体" w:cs="黑体"/>
          <w:b/>
          <w:bCs/>
          <w:snapToGrid w:val="0"/>
          <w:color w:val="auto"/>
          <w:sz w:val="30"/>
          <w:szCs w:val="30"/>
        </w:rPr>
      </w:pPr>
      <w:r>
        <w:rPr>
          <w:rFonts w:hint="eastAsia" w:ascii="黑体" w:hAnsi="黑体" w:eastAsia="黑体" w:cs="黑体"/>
          <w:b/>
          <w:bCs/>
          <w:snapToGrid w:val="0"/>
          <w:color w:val="auto"/>
          <w:sz w:val="30"/>
          <w:szCs w:val="30"/>
        </w:rPr>
        <w:t>五、</w:t>
      </w:r>
      <w:bookmarkStart w:id="12" w:name="_Hlk54167917"/>
      <w:r>
        <w:rPr>
          <w:rFonts w:hint="eastAsia" w:ascii="黑体" w:hAnsi="黑体" w:eastAsia="黑体" w:cs="黑体"/>
          <w:b/>
          <w:bCs/>
          <w:snapToGrid w:val="0"/>
          <w:color w:val="auto"/>
          <w:sz w:val="30"/>
          <w:szCs w:val="30"/>
        </w:rPr>
        <w:t>环境保护措施监督检查清单</w:t>
      </w:r>
      <w:bookmarkEnd w:id="12"/>
    </w:p>
    <w:tbl>
      <w:tblPr>
        <w:tblStyle w:val="19"/>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1583"/>
        <w:gridCol w:w="1509"/>
        <w:gridCol w:w="1695"/>
        <w:gridCol w:w="25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tcBorders>
              <w:tl2br w:val="single" w:color="auto" w:sz="4" w:space="0"/>
            </w:tcBorders>
            <w:noWrap w:val="0"/>
            <w:vAlign w:val="top"/>
          </w:tcPr>
          <w:p>
            <w:pPr>
              <w:bidi w:val="0"/>
              <w:spacing w:line="240" w:lineRule="auto"/>
              <w:ind w:firstLine="843" w:firstLineChars="400"/>
              <w:rPr>
                <w:b/>
                <w:bCs/>
                <w:color w:val="auto"/>
                <w:sz w:val="21"/>
                <w:szCs w:val="21"/>
                <w:highlight w:val="none"/>
              </w:rPr>
            </w:pPr>
            <w:r>
              <w:rPr>
                <w:b/>
                <w:bCs/>
                <w:color w:val="auto"/>
                <w:sz w:val="21"/>
                <w:szCs w:val="21"/>
                <w:highlight w:val="none"/>
              </w:rPr>
              <w:t>内容</w:t>
            </w:r>
          </w:p>
          <w:p>
            <w:pPr>
              <w:bidi w:val="0"/>
              <w:spacing w:line="240" w:lineRule="auto"/>
              <w:rPr>
                <w:b/>
                <w:bCs/>
                <w:color w:val="auto"/>
                <w:sz w:val="21"/>
                <w:szCs w:val="21"/>
                <w:highlight w:val="none"/>
              </w:rPr>
            </w:pPr>
            <w:r>
              <w:rPr>
                <w:b/>
                <w:bCs/>
                <w:color w:val="auto"/>
                <w:sz w:val="21"/>
                <w:szCs w:val="21"/>
                <w:highlight w:val="none"/>
              </w:rPr>
              <w:t>要素</w:t>
            </w:r>
          </w:p>
        </w:tc>
        <w:tc>
          <w:tcPr>
            <w:tcW w:w="1583" w:type="dxa"/>
            <w:noWrap w:val="0"/>
            <w:vAlign w:val="center"/>
          </w:tcPr>
          <w:p>
            <w:pPr>
              <w:bidi w:val="0"/>
              <w:spacing w:line="240" w:lineRule="auto"/>
              <w:jc w:val="center"/>
              <w:rPr>
                <w:b/>
                <w:bCs/>
                <w:color w:val="auto"/>
                <w:sz w:val="21"/>
                <w:szCs w:val="21"/>
                <w:highlight w:val="none"/>
              </w:rPr>
            </w:pPr>
            <w:r>
              <w:rPr>
                <w:b/>
                <w:bCs/>
                <w:color w:val="auto"/>
                <w:sz w:val="21"/>
                <w:szCs w:val="21"/>
                <w:highlight w:val="none"/>
              </w:rPr>
              <w:t>排放口(编号、</w:t>
            </w:r>
          </w:p>
          <w:p>
            <w:pPr>
              <w:bidi w:val="0"/>
              <w:spacing w:line="240" w:lineRule="auto"/>
              <w:jc w:val="center"/>
              <w:rPr>
                <w:b/>
                <w:bCs/>
                <w:color w:val="auto"/>
                <w:sz w:val="21"/>
                <w:szCs w:val="21"/>
                <w:highlight w:val="none"/>
              </w:rPr>
            </w:pPr>
            <w:r>
              <w:rPr>
                <w:b/>
                <w:bCs/>
                <w:color w:val="auto"/>
                <w:sz w:val="21"/>
                <w:szCs w:val="21"/>
                <w:highlight w:val="none"/>
              </w:rPr>
              <w:t>名称)/污染源</w:t>
            </w:r>
          </w:p>
        </w:tc>
        <w:tc>
          <w:tcPr>
            <w:tcW w:w="1509" w:type="dxa"/>
            <w:noWrap w:val="0"/>
            <w:vAlign w:val="center"/>
          </w:tcPr>
          <w:p>
            <w:pPr>
              <w:bidi w:val="0"/>
              <w:spacing w:line="240" w:lineRule="auto"/>
              <w:jc w:val="center"/>
              <w:rPr>
                <w:b/>
                <w:bCs/>
                <w:color w:val="auto"/>
                <w:sz w:val="21"/>
                <w:szCs w:val="21"/>
                <w:highlight w:val="none"/>
              </w:rPr>
            </w:pPr>
            <w:r>
              <w:rPr>
                <w:b/>
                <w:bCs/>
                <w:color w:val="auto"/>
                <w:sz w:val="21"/>
                <w:szCs w:val="21"/>
                <w:highlight w:val="none"/>
              </w:rPr>
              <w:t>污染物项目</w:t>
            </w:r>
          </w:p>
        </w:tc>
        <w:tc>
          <w:tcPr>
            <w:tcW w:w="1695" w:type="dxa"/>
            <w:noWrap w:val="0"/>
            <w:vAlign w:val="center"/>
          </w:tcPr>
          <w:p>
            <w:pPr>
              <w:bidi w:val="0"/>
              <w:spacing w:line="240" w:lineRule="auto"/>
              <w:jc w:val="center"/>
              <w:rPr>
                <w:b/>
                <w:bCs/>
                <w:color w:val="auto"/>
                <w:sz w:val="21"/>
                <w:szCs w:val="21"/>
                <w:highlight w:val="none"/>
              </w:rPr>
            </w:pPr>
            <w:r>
              <w:rPr>
                <w:b/>
                <w:bCs/>
                <w:color w:val="auto"/>
                <w:sz w:val="21"/>
                <w:szCs w:val="21"/>
                <w:highlight w:val="none"/>
              </w:rPr>
              <w:t>环境保护措施</w:t>
            </w:r>
          </w:p>
        </w:tc>
        <w:tc>
          <w:tcPr>
            <w:tcW w:w="2509" w:type="dxa"/>
            <w:noWrap w:val="0"/>
            <w:vAlign w:val="center"/>
          </w:tcPr>
          <w:p>
            <w:pPr>
              <w:bidi w:val="0"/>
              <w:spacing w:line="240" w:lineRule="auto"/>
              <w:jc w:val="center"/>
              <w:rPr>
                <w:b/>
                <w:bCs/>
                <w:color w:val="auto"/>
                <w:sz w:val="21"/>
                <w:szCs w:val="21"/>
                <w:highlight w:val="none"/>
              </w:rPr>
            </w:pPr>
            <w:r>
              <w:rPr>
                <w:b/>
                <w:bCs/>
                <w:color w:val="auto"/>
                <w:sz w:val="21"/>
                <w:szCs w:val="21"/>
                <w:highlight w:val="none"/>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1504" w:type="dxa"/>
            <w:vMerge w:val="restart"/>
            <w:noWrap w:val="0"/>
            <w:vAlign w:val="center"/>
          </w:tcPr>
          <w:p>
            <w:pPr>
              <w:bidi w:val="0"/>
              <w:spacing w:line="240" w:lineRule="auto"/>
              <w:jc w:val="center"/>
              <w:rPr>
                <w:color w:val="auto"/>
                <w:sz w:val="21"/>
                <w:szCs w:val="21"/>
                <w:highlight w:val="none"/>
              </w:rPr>
            </w:pPr>
            <w:r>
              <w:rPr>
                <w:color w:val="auto"/>
                <w:sz w:val="21"/>
                <w:szCs w:val="21"/>
                <w:highlight w:val="none"/>
              </w:rPr>
              <w:t>大气环境</w:t>
            </w:r>
          </w:p>
        </w:tc>
        <w:tc>
          <w:tcPr>
            <w:tcW w:w="1583" w:type="dxa"/>
            <w:noWrap w:val="0"/>
            <w:vAlign w:val="center"/>
          </w:tcPr>
          <w:p>
            <w:pPr>
              <w:bidi w:val="0"/>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生物质锅炉排气筒</w:t>
            </w:r>
          </w:p>
        </w:tc>
        <w:tc>
          <w:tcPr>
            <w:tcW w:w="1509" w:type="dxa"/>
            <w:noWrap w:val="0"/>
            <w:vAlign w:val="center"/>
          </w:tcPr>
          <w:p>
            <w:pPr>
              <w:bidi w:val="0"/>
              <w:spacing w:line="240" w:lineRule="auto"/>
              <w:jc w:val="center"/>
              <w:rPr>
                <w:rFonts w:hint="eastAsia"/>
                <w:lang w:eastAsia="zh-CN"/>
              </w:rPr>
            </w:pPr>
            <w:r>
              <w:rPr>
                <w:rFonts w:hint="eastAsia"/>
              </w:rPr>
              <w:t>颗粒物、SO</w:t>
            </w:r>
            <w:r>
              <w:rPr>
                <w:vertAlign w:val="subscript"/>
              </w:rPr>
              <w:t>2</w:t>
            </w:r>
            <w:r>
              <w:rPr>
                <w:rFonts w:hint="eastAsia"/>
              </w:rPr>
              <w:t>、NO</w:t>
            </w:r>
            <w:r>
              <w:t>x</w:t>
            </w:r>
            <w:r>
              <w:rPr>
                <w:rFonts w:hint="eastAsia"/>
                <w:lang w:eastAsia="zh-CN"/>
              </w:rPr>
              <w:t>、</w:t>
            </w:r>
          </w:p>
          <w:p>
            <w:pPr>
              <w:pStyle w:val="18"/>
              <w:ind w:left="0" w:leftChars="0" w:firstLine="0" w:firstLineChars="0"/>
              <w:rPr>
                <w:rFonts w:hint="default"/>
                <w:lang w:val="en-US" w:eastAsia="zh-CN"/>
              </w:rPr>
            </w:pPr>
            <w:r>
              <w:rPr>
                <w:rFonts w:hint="eastAsia" w:ascii="Times New Roman" w:hAnsi="Times New Roman" w:eastAsia="宋体" w:cs="Times New Roman"/>
                <w:color w:val="0000FF"/>
                <w:kern w:val="2"/>
                <w:sz w:val="21"/>
                <w:szCs w:val="21"/>
                <w:highlight w:val="none"/>
                <w:lang w:val="en-US" w:eastAsia="zh-CN" w:bidi="ar-SA"/>
              </w:rPr>
              <w:t>烟气黑度</w:t>
            </w:r>
          </w:p>
        </w:tc>
        <w:tc>
          <w:tcPr>
            <w:tcW w:w="1695" w:type="dxa"/>
            <w:noWrap w:val="0"/>
            <w:vAlign w:val="center"/>
          </w:tcPr>
          <w:p>
            <w:pPr>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布袋除尘器处理（除尘效率为90%）+水浴除尘（除尘效率为80%）+3</w:t>
            </w:r>
            <w:r>
              <w:rPr>
                <w:rFonts w:hint="default" w:ascii="Times New Roman" w:hAnsi="Times New Roman" w:eastAsia="宋体" w:cs="Times New Roman"/>
                <w:color w:val="0000FF"/>
                <w:kern w:val="2"/>
                <w:sz w:val="21"/>
                <w:szCs w:val="21"/>
                <w:highlight w:val="none"/>
                <w:lang w:val="en-US" w:eastAsia="zh-CN" w:bidi="ar-SA"/>
              </w:rPr>
              <w:t>5</w:t>
            </w:r>
            <w:r>
              <w:rPr>
                <w:rFonts w:hint="eastAsia" w:ascii="Times New Roman" w:hAnsi="Times New Roman" w:eastAsia="宋体" w:cs="Times New Roman"/>
                <w:color w:val="0000FF"/>
                <w:kern w:val="2"/>
                <w:sz w:val="21"/>
                <w:szCs w:val="21"/>
                <w:highlight w:val="none"/>
                <w:lang w:val="en-US" w:eastAsia="zh-CN" w:bidi="ar-SA"/>
              </w:rPr>
              <w:t>米高烟囱</w:t>
            </w:r>
          </w:p>
        </w:tc>
        <w:tc>
          <w:tcPr>
            <w:tcW w:w="2509" w:type="dxa"/>
            <w:noWrap w:val="0"/>
            <w:vAlign w:val="center"/>
          </w:tcPr>
          <w:p>
            <w:pPr>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符合《锅炉大气污染物排放标准》（GB13271－2014）表2燃煤锅炉标准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vMerge w:val="continue"/>
            <w:noWrap w:val="0"/>
            <w:vAlign w:val="center"/>
          </w:tcPr>
          <w:p>
            <w:pPr>
              <w:bidi w:val="0"/>
              <w:spacing w:line="240" w:lineRule="auto"/>
              <w:rPr>
                <w:color w:val="auto"/>
                <w:sz w:val="21"/>
                <w:szCs w:val="21"/>
                <w:highlight w:val="none"/>
              </w:rPr>
            </w:pPr>
          </w:p>
        </w:tc>
        <w:tc>
          <w:tcPr>
            <w:tcW w:w="1583" w:type="dxa"/>
            <w:noWrap w:val="0"/>
            <w:vAlign w:val="center"/>
          </w:tcPr>
          <w:p>
            <w:pPr>
              <w:bidi w:val="0"/>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热风炉排气筒</w:t>
            </w:r>
          </w:p>
        </w:tc>
        <w:tc>
          <w:tcPr>
            <w:tcW w:w="1509" w:type="dxa"/>
            <w:noWrap w:val="0"/>
            <w:vAlign w:val="center"/>
          </w:tcPr>
          <w:p>
            <w:pPr>
              <w:bidi w:val="0"/>
              <w:spacing w:line="240" w:lineRule="auto"/>
              <w:jc w:val="center"/>
              <w:rPr>
                <w:rFonts w:hint="eastAsia"/>
                <w:color w:val="auto"/>
                <w:sz w:val="21"/>
                <w:szCs w:val="21"/>
                <w:highlight w:val="none"/>
                <w:lang w:eastAsia="zh-CN"/>
              </w:rPr>
            </w:pPr>
            <w:r>
              <w:rPr>
                <w:rFonts w:hint="eastAsia"/>
                <w:color w:val="auto"/>
                <w:szCs w:val="21"/>
              </w:rPr>
              <w:t>颗粒物、SO</w:t>
            </w:r>
            <w:r>
              <w:rPr>
                <w:color w:val="auto"/>
                <w:szCs w:val="21"/>
                <w:vertAlign w:val="subscript"/>
              </w:rPr>
              <w:t>2</w:t>
            </w:r>
            <w:r>
              <w:rPr>
                <w:rFonts w:hint="eastAsia"/>
                <w:color w:val="auto"/>
                <w:szCs w:val="21"/>
              </w:rPr>
              <w:t>、NO</w:t>
            </w:r>
            <w:r>
              <w:rPr>
                <w:color w:val="auto"/>
                <w:szCs w:val="21"/>
                <w:vertAlign w:val="subscript"/>
              </w:rPr>
              <w:t>x</w:t>
            </w:r>
          </w:p>
        </w:tc>
        <w:tc>
          <w:tcPr>
            <w:tcW w:w="1695" w:type="dxa"/>
            <w:noWrap w:val="0"/>
            <w:vAlign w:val="center"/>
          </w:tcPr>
          <w:p>
            <w:pPr>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多管旋风除尘器+湿式碱法水浴脱硫除尘处理+15m排气筒</w:t>
            </w:r>
          </w:p>
        </w:tc>
        <w:tc>
          <w:tcPr>
            <w:tcW w:w="2509" w:type="dxa"/>
            <w:noWrap w:val="0"/>
            <w:vAlign w:val="center"/>
          </w:tcPr>
          <w:p>
            <w:pPr>
              <w:spacing w:line="0" w:lineRule="atLeast"/>
              <w:jc w:val="center"/>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满足《大气污染物综合排放标准》（GB16297-1996）及《工业炉窑大气污染物排放标准（GB9078-1996）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vMerge w:val="continue"/>
            <w:noWrap w:val="0"/>
            <w:vAlign w:val="center"/>
          </w:tcPr>
          <w:p>
            <w:pPr>
              <w:bidi w:val="0"/>
              <w:spacing w:line="240" w:lineRule="auto"/>
              <w:rPr>
                <w:color w:val="auto"/>
                <w:sz w:val="21"/>
                <w:szCs w:val="21"/>
                <w:highlight w:val="none"/>
              </w:rPr>
            </w:pPr>
          </w:p>
        </w:tc>
        <w:tc>
          <w:tcPr>
            <w:tcW w:w="1583" w:type="dxa"/>
            <w:noWrap w:val="0"/>
            <w:vAlign w:val="center"/>
          </w:tcPr>
          <w:p>
            <w:pPr>
              <w:bidi w:val="0"/>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厂界无组织废气</w:t>
            </w:r>
          </w:p>
        </w:tc>
        <w:tc>
          <w:tcPr>
            <w:tcW w:w="1509" w:type="dxa"/>
            <w:noWrap w:val="0"/>
            <w:vAlign w:val="center"/>
          </w:tcPr>
          <w:p>
            <w:pPr>
              <w:bidi w:val="0"/>
              <w:spacing w:line="240" w:lineRule="auto"/>
              <w:jc w:val="center"/>
              <w:rPr>
                <w:rFonts w:hint="eastAsia"/>
                <w:color w:val="auto"/>
                <w:sz w:val="21"/>
                <w:szCs w:val="21"/>
                <w:highlight w:val="none"/>
                <w:lang w:val="en-US" w:eastAsia="zh-CN"/>
              </w:rPr>
            </w:pPr>
            <w:r>
              <w:rPr>
                <w:rFonts w:hint="eastAsia"/>
                <w:color w:val="auto"/>
                <w:highlight w:val="none"/>
                <w:lang w:val="en-US" w:eastAsia="zh-CN"/>
              </w:rPr>
              <w:t>氨气</w:t>
            </w:r>
          </w:p>
        </w:tc>
        <w:tc>
          <w:tcPr>
            <w:tcW w:w="1695" w:type="dxa"/>
            <w:noWrap w:val="0"/>
            <w:vAlign w:val="center"/>
          </w:tcPr>
          <w:p>
            <w:pPr>
              <w:bidi w:val="0"/>
              <w:spacing w:line="240"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2509" w:type="dxa"/>
            <w:noWrap w:val="0"/>
            <w:vAlign w:val="center"/>
          </w:tcPr>
          <w:p>
            <w:pPr>
              <w:bidi w:val="0"/>
              <w:spacing w:line="240" w:lineRule="auto"/>
              <w:jc w:val="center"/>
              <w:rPr>
                <w:rFonts w:hint="eastAsia"/>
                <w:color w:val="auto"/>
                <w:sz w:val="21"/>
                <w:szCs w:val="21"/>
                <w:highlight w:val="none"/>
              </w:rPr>
            </w:pPr>
            <w:r>
              <w:rPr>
                <w:rFonts w:hint="eastAsia"/>
                <w:color w:val="auto"/>
                <w:szCs w:val="24"/>
              </w:rPr>
              <w:t>《恶臭污染物排放标准》（GB14554-93</w:t>
            </w:r>
            <w:r>
              <w:rPr>
                <w:rFonts w:hint="eastAsia" w:ascii="宋体" w:hAnsi="宋体"/>
                <w:color w:val="auto"/>
                <w:szCs w:val="24"/>
              </w:rPr>
              <w:t>）二级标准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noWrap w:val="0"/>
            <w:vAlign w:val="center"/>
          </w:tcPr>
          <w:p>
            <w:pPr>
              <w:bidi w:val="0"/>
              <w:spacing w:line="240" w:lineRule="auto"/>
              <w:rPr>
                <w:color w:val="auto"/>
                <w:sz w:val="21"/>
                <w:szCs w:val="21"/>
                <w:highlight w:val="none"/>
              </w:rPr>
            </w:pPr>
          </w:p>
        </w:tc>
        <w:tc>
          <w:tcPr>
            <w:tcW w:w="1583" w:type="dxa"/>
            <w:noWrap w:val="0"/>
            <w:vAlign w:val="center"/>
          </w:tcPr>
          <w:p>
            <w:pPr>
              <w:bidi w:val="0"/>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厂界无组织废气</w:t>
            </w:r>
          </w:p>
        </w:tc>
        <w:tc>
          <w:tcPr>
            <w:tcW w:w="1509" w:type="dxa"/>
            <w:noWrap w:val="0"/>
            <w:vAlign w:val="center"/>
          </w:tcPr>
          <w:p>
            <w:pPr>
              <w:bidi w:val="0"/>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颗粒物</w:t>
            </w:r>
          </w:p>
        </w:tc>
        <w:tc>
          <w:tcPr>
            <w:tcW w:w="1695" w:type="dxa"/>
            <w:noWrap w:val="0"/>
            <w:vAlign w:val="center"/>
          </w:tcPr>
          <w:p>
            <w:pPr>
              <w:bidi w:val="0"/>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2509" w:type="dxa"/>
            <w:noWrap w:val="0"/>
            <w:vAlign w:val="center"/>
          </w:tcPr>
          <w:p>
            <w:pPr>
              <w:bidi w:val="0"/>
              <w:spacing w:line="240" w:lineRule="auto"/>
              <w:jc w:val="center"/>
              <w:rPr>
                <w:rFonts w:hint="eastAsia"/>
                <w:color w:val="auto"/>
                <w:sz w:val="21"/>
                <w:szCs w:val="21"/>
                <w:highlight w:val="none"/>
              </w:rPr>
            </w:pPr>
            <w:r>
              <w:rPr>
                <w:rFonts w:hint="eastAsia"/>
                <w:color w:val="auto"/>
                <w:szCs w:val="21"/>
              </w:rPr>
              <w:t>《大气污染物综合排放标准》(GB16297-1996)表 2 中的无组织排放监控浓度限值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vMerge w:val="restart"/>
            <w:noWrap w:val="0"/>
            <w:vAlign w:val="center"/>
          </w:tcPr>
          <w:p>
            <w:pPr>
              <w:bidi w:val="0"/>
              <w:spacing w:line="240" w:lineRule="auto"/>
              <w:jc w:val="center"/>
              <w:rPr>
                <w:color w:val="auto"/>
                <w:sz w:val="21"/>
                <w:szCs w:val="21"/>
                <w:highlight w:val="none"/>
              </w:rPr>
            </w:pPr>
            <w:r>
              <w:rPr>
                <w:color w:val="auto"/>
                <w:sz w:val="21"/>
                <w:szCs w:val="21"/>
                <w:highlight w:val="none"/>
              </w:rPr>
              <w:t>地表水环境</w:t>
            </w:r>
          </w:p>
        </w:tc>
        <w:tc>
          <w:tcPr>
            <w:tcW w:w="1583" w:type="dxa"/>
            <w:vMerge w:val="restart"/>
            <w:noWrap w:val="0"/>
            <w:vAlign w:val="center"/>
          </w:tcPr>
          <w:p>
            <w:pPr>
              <w:bidi w:val="0"/>
              <w:spacing w:line="240" w:lineRule="auto"/>
              <w:jc w:val="center"/>
              <w:rPr>
                <w:color w:val="auto"/>
                <w:sz w:val="21"/>
                <w:szCs w:val="21"/>
                <w:highlight w:val="none"/>
              </w:rPr>
            </w:pPr>
            <w:r>
              <w:rPr>
                <w:color w:val="auto"/>
                <w:sz w:val="21"/>
                <w:szCs w:val="21"/>
                <w:highlight w:val="none"/>
              </w:rPr>
              <w:t>生活污水</w:t>
            </w:r>
          </w:p>
        </w:tc>
        <w:tc>
          <w:tcPr>
            <w:tcW w:w="1509" w:type="dxa"/>
            <w:noWrap w:val="0"/>
            <w:vAlign w:val="center"/>
          </w:tcPr>
          <w:p>
            <w:pPr>
              <w:bidi w:val="0"/>
              <w:spacing w:line="240" w:lineRule="auto"/>
              <w:jc w:val="center"/>
              <w:rPr>
                <w:color w:val="auto"/>
                <w:sz w:val="21"/>
                <w:szCs w:val="21"/>
                <w:highlight w:val="none"/>
              </w:rPr>
            </w:pPr>
            <w:r>
              <w:rPr>
                <w:color w:val="auto"/>
                <w:sz w:val="21"/>
                <w:szCs w:val="21"/>
                <w:highlight w:val="none"/>
              </w:rPr>
              <w:t>COD</w:t>
            </w:r>
          </w:p>
        </w:tc>
        <w:tc>
          <w:tcPr>
            <w:tcW w:w="1695" w:type="dxa"/>
            <w:vMerge w:val="restart"/>
            <w:noWrap w:val="0"/>
            <w:vAlign w:val="center"/>
          </w:tcPr>
          <w:p>
            <w:pPr>
              <w:bidi w:val="0"/>
              <w:rPr>
                <w:rFonts w:hint="default"/>
                <w:color w:val="auto"/>
                <w:sz w:val="21"/>
                <w:szCs w:val="21"/>
                <w:highlight w:val="none"/>
                <w:lang w:val="en-US" w:eastAsia="zh-CN"/>
              </w:rPr>
            </w:pPr>
            <w:r>
              <w:rPr>
                <w:rFonts w:hint="default" w:ascii="Times New Roman" w:hAnsi="Times New Roman" w:eastAsia="宋体" w:cs="Times New Roman"/>
                <w:color w:val="auto"/>
                <w:highlight w:val="none"/>
                <w:lang w:eastAsia="zh-CN"/>
              </w:rPr>
              <w:t>生活污水</w:t>
            </w:r>
            <w:r>
              <w:rPr>
                <w:rFonts w:hint="eastAsia" w:cs="Times New Roman"/>
                <w:color w:val="auto"/>
                <w:highlight w:val="none"/>
                <w:lang w:val="en-US" w:eastAsia="zh-CN"/>
              </w:rPr>
              <w:t>排入化粪池</w:t>
            </w:r>
          </w:p>
        </w:tc>
        <w:tc>
          <w:tcPr>
            <w:tcW w:w="2509" w:type="dxa"/>
            <w:vMerge w:val="restart"/>
            <w:noWrap w:val="0"/>
            <w:vAlign w:val="center"/>
          </w:tcPr>
          <w:p>
            <w:pPr>
              <w:bidi w:val="0"/>
              <w:spacing w:line="240" w:lineRule="auto"/>
              <w:jc w:val="center"/>
              <w:rPr>
                <w:color w:val="auto"/>
                <w:sz w:val="21"/>
                <w:szCs w:val="21"/>
                <w:highlight w:val="none"/>
              </w:rPr>
            </w:pPr>
            <w:r>
              <w:rPr>
                <w:rFonts w:hint="eastAsia"/>
                <w:color w:val="auto"/>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vMerge w:val="continue"/>
            <w:noWrap w:val="0"/>
            <w:vAlign w:val="center"/>
          </w:tcPr>
          <w:p>
            <w:pPr>
              <w:bidi w:val="0"/>
              <w:spacing w:line="240" w:lineRule="auto"/>
              <w:rPr>
                <w:color w:val="auto"/>
                <w:sz w:val="21"/>
                <w:szCs w:val="21"/>
                <w:highlight w:val="none"/>
              </w:rPr>
            </w:pPr>
          </w:p>
        </w:tc>
        <w:tc>
          <w:tcPr>
            <w:tcW w:w="1583" w:type="dxa"/>
            <w:vMerge w:val="continue"/>
            <w:noWrap w:val="0"/>
            <w:vAlign w:val="center"/>
          </w:tcPr>
          <w:p>
            <w:pPr>
              <w:bidi w:val="0"/>
              <w:spacing w:line="240" w:lineRule="auto"/>
              <w:jc w:val="center"/>
              <w:rPr>
                <w:color w:val="auto"/>
                <w:sz w:val="21"/>
                <w:szCs w:val="21"/>
                <w:highlight w:val="none"/>
              </w:rPr>
            </w:pPr>
          </w:p>
        </w:tc>
        <w:tc>
          <w:tcPr>
            <w:tcW w:w="1509" w:type="dxa"/>
            <w:noWrap w:val="0"/>
            <w:vAlign w:val="center"/>
          </w:tcPr>
          <w:p>
            <w:pPr>
              <w:bidi w:val="0"/>
              <w:spacing w:line="240" w:lineRule="auto"/>
              <w:jc w:val="center"/>
              <w:rPr>
                <w:color w:val="auto"/>
                <w:sz w:val="21"/>
                <w:szCs w:val="21"/>
                <w:highlight w:val="none"/>
              </w:rPr>
            </w:pPr>
            <w:r>
              <w:rPr>
                <w:color w:val="auto"/>
                <w:sz w:val="21"/>
                <w:szCs w:val="21"/>
                <w:highlight w:val="none"/>
              </w:rPr>
              <w:t>BOD</w:t>
            </w:r>
          </w:p>
        </w:tc>
        <w:tc>
          <w:tcPr>
            <w:tcW w:w="1695" w:type="dxa"/>
            <w:vMerge w:val="continue"/>
            <w:noWrap w:val="0"/>
            <w:vAlign w:val="center"/>
          </w:tcPr>
          <w:p>
            <w:pPr>
              <w:bidi w:val="0"/>
              <w:spacing w:line="240" w:lineRule="auto"/>
              <w:jc w:val="center"/>
              <w:rPr>
                <w:color w:val="auto"/>
                <w:sz w:val="21"/>
                <w:szCs w:val="21"/>
                <w:highlight w:val="none"/>
              </w:rPr>
            </w:pPr>
          </w:p>
        </w:tc>
        <w:tc>
          <w:tcPr>
            <w:tcW w:w="2509" w:type="dxa"/>
            <w:vMerge w:val="continue"/>
            <w:noWrap w:val="0"/>
            <w:vAlign w:val="center"/>
          </w:tcPr>
          <w:p>
            <w:pPr>
              <w:bidi w:val="0"/>
              <w:spacing w:line="240" w:lineRule="auto"/>
              <w:jc w:val="center"/>
              <w:rPr>
                <w:color w:val="auto"/>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vMerge w:val="continue"/>
            <w:noWrap w:val="0"/>
            <w:vAlign w:val="center"/>
          </w:tcPr>
          <w:p>
            <w:pPr>
              <w:bidi w:val="0"/>
              <w:spacing w:line="240" w:lineRule="auto"/>
              <w:rPr>
                <w:color w:val="auto"/>
                <w:sz w:val="21"/>
                <w:szCs w:val="21"/>
                <w:highlight w:val="none"/>
              </w:rPr>
            </w:pPr>
          </w:p>
        </w:tc>
        <w:tc>
          <w:tcPr>
            <w:tcW w:w="1583" w:type="dxa"/>
            <w:vMerge w:val="continue"/>
            <w:noWrap w:val="0"/>
            <w:vAlign w:val="center"/>
          </w:tcPr>
          <w:p>
            <w:pPr>
              <w:bidi w:val="0"/>
              <w:spacing w:line="240" w:lineRule="auto"/>
              <w:jc w:val="center"/>
              <w:rPr>
                <w:color w:val="auto"/>
                <w:sz w:val="21"/>
                <w:szCs w:val="21"/>
                <w:highlight w:val="none"/>
              </w:rPr>
            </w:pPr>
          </w:p>
        </w:tc>
        <w:tc>
          <w:tcPr>
            <w:tcW w:w="1509" w:type="dxa"/>
            <w:noWrap w:val="0"/>
            <w:vAlign w:val="center"/>
          </w:tcPr>
          <w:p>
            <w:pPr>
              <w:bidi w:val="0"/>
              <w:spacing w:line="240" w:lineRule="auto"/>
              <w:jc w:val="center"/>
              <w:rPr>
                <w:color w:val="auto"/>
                <w:sz w:val="21"/>
                <w:szCs w:val="21"/>
                <w:highlight w:val="none"/>
              </w:rPr>
            </w:pPr>
            <w:r>
              <w:rPr>
                <w:color w:val="auto"/>
                <w:sz w:val="21"/>
                <w:szCs w:val="21"/>
                <w:highlight w:val="none"/>
              </w:rPr>
              <w:t>SS</w:t>
            </w:r>
          </w:p>
        </w:tc>
        <w:tc>
          <w:tcPr>
            <w:tcW w:w="1695" w:type="dxa"/>
            <w:vMerge w:val="continue"/>
            <w:noWrap w:val="0"/>
            <w:vAlign w:val="center"/>
          </w:tcPr>
          <w:p>
            <w:pPr>
              <w:bidi w:val="0"/>
              <w:spacing w:line="240" w:lineRule="auto"/>
              <w:jc w:val="center"/>
              <w:rPr>
                <w:color w:val="auto"/>
                <w:sz w:val="21"/>
                <w:szCs w:val="21"/>
                <w:highlight w:val="none"/>
              </w:rPr>
            </w:pPr>
          </w:p>
        </w:tc>
        <w:tc>
          <w:tcPr>
            <w:tcW w:w="2509" w:type="dxa"/>
            <w:vMerge w:val="continue"/>
            <w:noWrap w:val="0"/>
            <w:vAlign w:val="center"/>
          </w:tcPr>
          <w:p>
            <w:pPr>
              <w:bidi w:val="0"/>
              <w:spacing w:line="240" w:lineRule="auto"/>
              <w:jc w:val="center"/>
              <w:rPr>
                <w:color w:val="auto"/>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vMerge w:val="continue"/>
            <w:noWrap w:val="0"/>
            <w:vAlign w:val="center"/>
          </w:tcPr>
          <w:p>
            <w:pPr>
              <w:bidi w:val="0"/>
              <w:spacing w:line="240" w:lineRule="auto"/>
              <w:rPr>
                <w:color w:val="auto"/>
                <w:sz w:val="21"/>
                <w:szCs w:val="21"/>
                <w:highlight w:val="none"/>
              </w:rPr>
            </w:pPr>
          </w:p>
        </w:tc>
        <w:tc>
          <w:tcPr>
            <w:tcW w:w="1583" w:type="dxa"/>
            <w:vMerge w:val="continue"/>
            <w:noWrap w:val="0"/>
            <w:vAlign w:val="center"/>
          </w:tcPr>
          <w:p>
            <w:pPr>
              <w:bidi w:val="0"/>
              <w:spacing w:line="240" w:lineRule="auto"/>
              <w:jc w:val="center"/>
              <w:rPr>
                <w:color w:val="auto"/>
                <w:sz w:val="21"/>
                <w:szCs w:val="21"/>
                <w:highlight w:val="none"/>
              </w:rPr>
            </w:pPr>
          </w:p>
        </w:tc>
        <w:tc>
          <w:tcPr>
            <w:tcW w:w="1509" w:type="dxa"/>
            <w:noWrap w:val="0"/>
            <w:vAlign w:val="center"/>
          </w:tcPr>
          <w:p>
            <w:pPr>
              <w:bidi w:val="0"/>
              <w:spacing w:line="240" w:lineRule="auto"/>
              <w:jc w:val="center"/>
              <w:rPr>
                <w:color w:val="auto"/>
                <w:sz w:val="21"/>
                <w:szCs w:val="21"/>
                <w:highlight w:val="none"/>
              </w:rPr>
            </w:pPr>
            <w:r>
              <w:rPr>
                <w:color w:val="auto"/>
                <w:sz w:val="21"/>
                <w:szCs w:val="21"/>
                <w:highlight w:val="none"/>
              </w:rPr>
              <w:t>NH</w:t>
            </w:r>
            <w:r>
              <w:rPr>
                <w:color w:val="auto"/>
                <w:sz w:val="21"/>
                <w:szCs w:val="21"/>
                <w:highlight w:val="none"/>
                <w:vertAlign w:val="subscript"/>
              </w:rPr>
              <w:t>3</w:t>
            </w:r>
            <w:r>
              <w:rPr>
                <w:color w:val="auto"/>
                <w:sz w:val="21"/>
                <w:szCs w:val="21"/>
                <w:highlight w:val="none"/>
              </w:rPr>
              <w:t>-N</w:t>
            </w:r>
          </w:p>
        </w:tc>
        <w:tc>
          <w:tcPr>
            <w:tcW w:w="1695" w:type="dxa"/>
            <w:vMerge w:val="continue"/>
            <w:noWrap w:val="0"/>
            <w:vAlign w:val="center"/>
          </w:tcPr>
          <w:p>
            <w:pPr>
              <w:bidi w:val="0"/>
              <w:spacing w:line="240" w:lineRule="auto"/>
              <w:jc w:val="center"/>
              <w:rPr>
                <w:color w:val="auto"/>
                <w:sz w:val="21"/>
                <w:szCs w:val="21"/>
                <w:highlight w:val="none"/>
              </w:rPr>
            </w:pPr>
          </w:p>
        </w:tc>
        <w:tc>
          <w:tcPr>
            <w:tcW w:w="2509" w:type="dxa"/>
            <w:vMerge w:val="continue"/>
            <w:noWrap w:val="0"/>
            <w:vAlign w:val="center"/>
          </w:tcPr>
          <w:p>
            <w:pPr>
              <w:bidi w:val="0"/>
              <w:spacing w:line="240" w:lineRule="auto"/>
              <w:jc w:val="center"/>
              <w:rPr>
                <w:color w:val="auto"/>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noWrap w:val="0"/>
            <w:vAlign w:val="center"/>
          </w:tcPr>
          <w:p>
            <w:pPr>
              <w:bidi w:val="0"/>
              <w:spacing w:line="240" w:lineRule="auto"/>
              <w:jc w:val="center"/>
              <w:rPr>
                <w:color w:val="auto"/>
                <w:sz w:val="21"/>
                <w:szCs w:val="21"/>
                <w:highlight w:val="none"/>
              </w:rPr>
            </w:pPr>
            <w:r>
              <w:rPr>
                <w:color w:val="auto"/>
                <w:sz w:val="21"/>
                <w:szCs w:val="21"/>
                <w:highlight w:val="none"/>
              </w:rPr>
              <w:t>声环境</w:t>
            </w:r>
          </w:p>
        </w:tc>
        <w:tc>
          <w:tcPr>
            <w:tcW w:w="1583" w:type="dxa"/>
            <w:noWrap w:val="0"/>
            <w:vAlign w:val="center"/>
          </w:tcPr>
          <w:p>
            <w:pPr>
              <w:bidi w:val="0"/>
              <w:spacing w:line="240" w:lineRule="auto"/>
              <w:jc w:val="center"/>
              <w:rPr>
                <w:color w:val="auto"/>
                <w:sz w:val="21"/>
                <w:szCs w:val="21"/>
                <w:highlight w:val="none"/>
              </w:rPr>
            </w:pPr>
            <w:r>
              <w:rPr>
                <w:color w:val="auto"/>
                <w:sz w:val="21"/>
                <w:szCs w:val="21"/>
                <w:highlight w:val="none"/>
              </w:rPr>
              <w:t>各类产噪设备</w:t>
            </w:r>
          </w:p>
        </w:tc>
        <w:tc>
          <w:tcPr>
            <w:tcW w:w="1509" w:type="dxa"/>
            <w:noWrap w:val="0"/>
            <w:vAlign w:val="center"/>
          </w:tcPr>
          <w:p>
            <w:pPr>
              <w:bidi w:val="0"/>
              <w:spacing w:line="240" w:lineRule="auto"/>
              <w:jc w:val="center"/>
              <w:rPr>
                <w:color w:val="auto"/>
                <w:sz w:val="21"/>
                <w:szCs w:val="21"/>
                <w:highlight w:val="none"/>
              </w:rPr>
            </w:pPr>
            <w:r>
              <w:rPr>
                <w:color w:val="auto"/>
                <w:sz w:val="21"/>
                <w:szCs w:val="21"/>
                <w:highlight w:val="none"/>
              </w:rPr>
              <w:t>Leq</w:t>
            </w:r>
          </w:p>
        </w:tc>
        <w:tc>
          <w:tcPr>
            <w:tcW w:w="1695" w:type="dxa"/>
            <w:noWrap w:val="0"/>
            <w:vAlign w:val="center"/>
          </w:tcPr>
          <w:p>
            <w:pPr>
              <w:bidi w:val="0"/>
              <w:spacing w:line="240" w:lineRule="auto"/>
              <w:jc w:val="center"/>
              <w:rPr>
                <w:color w:val="auto"/>
                <w:sz w:val="21"/>
                <w:szCs w:val="21"/>
                <w:highlight w:val="none"/>
              </w:rPr>
            </w:pPr>
            <w:r>
              <w:rPr>
                <w:color w:val="auto"/>
                <w:sz w:val="21"/>
                <w:szCs w:val="21"/>
                <w:highlight w:val="none"/>
              </w:rPr>
              <w:t>厂房隔声+减振基础</w:t>
            </w:r>
          </w:p>
        </w:tc>
        <w:tc>
          <w:tcPr>
            <w:tcW w:w="2509" w:type="dxa"/>
            <w:noWrap w:val="0"/>
            <w:vAlign w:val="center"/>
          </w:tcPr>
          <w:p>
            <w:pPr>
              <w:bidi w:val="0"/>
              <w:spacing w:line="240" w:lineRule="auto"/>
              <w:jc w:val="center"/>
              <w:rPr>
                <w:color w:val="auto"/>
                <w:sz w:val="21"/>
                <w:szCs w:val="21"/>
                <w:highlight w:val="none"/>
              </w:rPr>
            </w:pPr>
            <w:r>
              <w:rPr>
                <w:color w:val="auto"/>
                <w:sz w:val="21"/>
                <w:szCs w:val="21"/>
                <w:highlight w:val="none"/>
              </w:rPr>
              <w:t>《工业企业厂界环境噪声排放标准》（GB12348-2008）</w:t>
            </w:r>
            <w:r>
              <w:rPr>
                <w:rFonts w:hint="eastAsia"/>
                <w:color w:val="auto"/>
                <w:sz w:val="21"/>
                <w:szCs w:val="21"/>
                <w:highlight w:val="none"/>
                <w:lang w:val="en-US" w:eastAsia="zh-CN"/>
              </w:rPr>
              <w:t>2</w:t>
            </w:r>
            <w:r>
              <w:rPr>
                <w:color w:val="auto"/>
                <w:sz w:val="21"/>
                <w:szCs w:val="21"/>
                <w:highlight w:val="none"/>
              </w:rPr>
              <w:t>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4" w:type="dxa"/>
            <w:noWrap w:val="0"/>
            <w:vAlign w:val="center"/>
          </w:tcPr>
          <w:p>
            <w:pPr>
              <w:bidi w:val="0"/>
              <w:spacing w:line="240" w:lineRule="auto"/>
              <w:jc w:val="center"/>
              <w:rPr>
                <w:color w:val="auto"/>
                <w:sz w:val="21"/>
                <w:szCs w:val="21"/>
                <w:highlight w:val="none"/>
              </w:rPr>
            </w:pPr>
            <w:r>
              <w:rPr>
                <w:color w:val="auto"/>
                <w:sz w:val="21"/>
                <w:szCs w:val="21"/>
                <w:highlight w:val="none"/>
              </w:rPr>
              <w:t>电磁辐射</w:t>
            </w:r>
          </w:p>
        </w:tc>
        <w:tc>
          <w:tcPr>
            <w:tcW w:w="1583" w:type="dxa"/>
            <w:noWrap w:val="0"/>
            <w:vAlign w:val="center"/>
          </w:tcPr>
          <w:p>
            <w:pPr>
              <w:bidi w:val="0"/>
              <w:spacing w:line="240" w:lineRule="auto"/>
              <w:jc w:val="center"/>
              <w:rPr>
                <w:color w:val="auto"/>
                <w:sz w:val="21"/>
                <w:szCs w:val="21"/>
                <w:highlight w:val="none"/>
              </w:rPr>
            </w:pPr>
            <w:r>
              <w:rPr>
                <w:color w:val="auto"/>
                <w:sz w:val="21"/>
                <w:szCs w:val="21"/>
                <w:highlight w:val="none"/>
              </w:rPr>
              <w:t>/</w:t>
            </w:r>
          </w:p>
        </w:tc>
        <w:tc>
          <w:tcPr>
            <w:tcW w:w="1509" w:type="dxa"/>
            <w:noWrap w:val="0"/>
            <w:vAlign w:val="center"/>
          </w:tcPr>
          <w:p>
            <w:pPr>
              <w:bidi w:val="0"/>
              <w:spacing w:line="240" w:lineRule="auto"/>
              <w:jc w:val="center"/>
              <w:rPr>
                <w:color w:val="auto"/>
                <w:sz w:val="21"/>
                <w:szCs w:val="21"/>
                <w:highlight w:val="none"/>
              </w:rPr>
            </w:pPr>
            <w:r>
              <w:rPr>
                <w:color w:val="auto"/>
                <w:sz w:val="21"/>
                <w:szCs w:val="21"/>
                <w:highlight w:val="none"/>
              </w:rPr>
              <w:t>/</w:t>
            </w:r>
          </w:p>
        </w:tc>
        <w:tc>
          <w:tcPr>
            <w:tcW w:w="1695" w:type="dxa"/>
            <w:noWrap w:val="0"/>
            <w:vAlign w:val="center"/>
          </w:tcPr>
          <w:p>
            <w:pPr>
              <w:bidi w:val="0"/>
              <w:spacing w:line="240" w:lineRule="auto"/>
              <w:jc w:val="center"/>
              <w:rPr>
                <w:color w:val="auto"/>
                <w:sz w:val="21"/>
                <w:szCs w:val="21"/>
                <w:highlight w:val="none"/>
              </w:rPr>
            </w:pPr>
            <w:r>
              <w:rPr>
                <w:color w:val="auto"/>
                <w:sz w:val="21"/>
                <w:szCs w:val="21"/>
                <w:highlight w:val="none"/>
              </w:rPr>
              <w:t>/</w:t>
            </w:r>
          </w:p>
        </w:tc>
        <w:tc>
          <w:tcPr>
            <w:tcW w:w="2509" w:type="dxa"/>
            <w:noWrap w:val="0"/>
            <w:vAlign w:val="center"/>
          </w:tcPr>
          <w:p>
            <w:pPr>
              <w:bidi w:val="0"/>
              <w:spacing w:line="240" w:lineRule="auto"/>
              <w:jc w:val="center"/>
              <w:rPr>
                <w:color w:val="auto"/>
                <w:sz w:val="21"/>
                <w:szCs w:val="21"/>
                <w:highlight w:val="none"/>
              </w:rPr>
            </w:pPr>
            <w:r>
              <w:rPr>
                <w:color w:val="auto"/>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1504" w:type="dxa"/>
            <w:noWrap w:val="0"/>
            <w:vAlign w:val="center"/>
          </w:tcPr>
          <w:p>
            <w:pPr>
              <w:bidi w:val="0"/>
              <w:spacing w:line="240" w:lineRule="auto"/>
              <w:jc w:val="center"/>
              <w:rPr>
                <w:color w:val="auto"/>
                <w:sz w:val="21"/>
                <w:szCs w:val="21"/>
                <w:highlight w:val="none"/>
              </w:rPr>
            </w:pPr>
            <w:r>
              <w:rPr>
                <w:color w:val="auto"/>
                <w:sz w:val="21"/>
                <w:szCs w:val="21"/>
                <w:highlight w:val="none"/>
              </w:rPr>
              <w:t>固体废物</w:t>
            </w:r>
          </w:p>
        </w:tc>
        <w:tc>
          <w:tcPr>
            <w:tcW w:w="7296" w:type="dxa"/>
            <w:gridSpan w:val="4"/>
            <w:noWrap w:val="0"/>
            <w:vAlign w:val="center"/>
          </w:tcPr>
          <w:p>
            <w:pPr>
              <w:numPr>
                <w:ilvl w:val="0"/>
                <w:numId w:val="2"/>
              </w:numPr>
              <w:bidi w:val="0"/>
              <w:spacing w:line="240" w:lineRule="auto"/>
              <w:rPr>
                <w:color w:val="auto"/>
                <w:sz w:val="21"/>
                <w:szCs w:val="21"/>
              </w:rPr>
            </w:pPr>
            <w:r>
              <w:rPr>
                <w:rFonts w:hint="eastAsia"/>
                <w:color w:val="auto"/>
                <w:sz w:val="21"/>
                <w:szCs w:val="21"/>
                <w:lang w:val="en-US" w:eastAsia="zh-CN"/>
              </w:rPr>
              <w:t>生活垃圾及废包装袋，统一收集后由环卫部门定期清运</w:t>
            </w:r>
            <w:r>
              <w:rPr>
                <w:color w:val="auto"/>
                <w:sz w:val="21"/>
                <w:szCs w:val="21"/>
              </w:rPr>
              <w:t>。</w:t>
            </w:r>
          </w:p>
          <w:p>
            <w:pPr>
              <w:numPr>
                <w:ilvl w:val="0"/>
                <w:numId w:val="0"/>
              </w:numPr>
              <w:bidi w:val="0"/>
              <w:spacing w:line="240" w:lineRule="auto"/>
              <w:rPr>
                <w:rFonts w:hint="default" w:ascii="Times New Roman" w:hAnsi="Times New Roman" w:eastAsia="宋体" w:cs="Times New Roman"/>
                <w:color w:val="0000FF"/>
                <w:kern w:val="2"/>
                <w:sz w:val="21"/>
                <w:szCs w:val="21"/>
                <w:highlight w:val="none"/>
                <w:lang w:val="en-US" w:eastAsia="zh-CN" w:bidi="ar-SA"/>
              </w:rPr>
            </w:pPr>
            <w:r>
              <w:rPr>
                <w:color w:val="auto"/>
                <w:sz w:val="21"/>
                <w:szCs w:val="21"/>
              </w:rPr>
              <w:t>（2）</w:t>
            </w:r>
            <w:r>
              <w:rPr>
                <w:rFonts w:hint="eastAsia" w:ascii="Times New Roman" w:hAnsi="Times New Roman" w:eastAsia="宋体" w:cs="Times New Roman"/>
                <w:color w:val="0000FF"/>
                <w:kern w:val="2"/>
                <w:sz w:val="21"/>
                <w:szCs w:val="21"/>
                <w:highlight w:val="none"/>
                <w:lang w:val="en-US" w:eastAsia="zh-CN" w:bidi="ar-SA"/>
              </w:rPr>
              <w:t>热风炉炉渣、脱硫渣外售至临河顺义水泥制品厂。收集的粉尘作为粉状肥外售。</w:t>
            </w:r>
          </w:p>
          <w:p>
            <w:pPr>
              <w:spacing w:line="0" w:lineRule="atLeast"/>
              <w:jc w:val="both"/>
              <w:rPr>
                <w:rFonts w:hint="eastAsia" w:ascii="Times New Roman" w:hAnsi="Times New Roman" w:eastAsia="宋体" w:cs="Times New Roman"/>
                <w:color w:val="0000FF"/>
                <w:kern w:val="2"/>
                <w:sz w:val="21"/>
                <w:szCs w:val="21"/>
                <w:highlight w:val="none"/>
                <w:lang w:val="en-US" w:eastAsia="zh-CN" w:bidi="ar-SA"/>
              </w:rPr>
            </w:pPr>
            <w:r>
              <w:rPr>
                <w:rFonts w:hint="eastAsia" w:ascii="Times New Roman" w:hAnsi="Times New Roman" w:eastAsia="宋体" w:cs="Times New Roman"/>
                <w:color w:val="0000FF"/>
                <w:kern w:val="2"/>
                <w:sz w:val="21"/>
                <w:szCs w:val="21"/>
                <w:highlight w:val="none"/>
                <w:lang w:val="en-US" w:eastAsia="zh-CN" w:bidi="ar-SA"/>
              </w:rPr>
              <w:t>（3）锅炉炉灰、锅炉除尘灰拉运至有机肥发酵池，在发酵池内与羊粪拌和发酵。</w:t>
            </w:r>
          </w:p>
          <w:p>
            <w:pPr>
              <w:pStyle w:val="18"/>
              <w:spacing w:line="240" w:lineRule="auto"/>
              <w:ind w:left="0" w:leftChars="0" w:firstLine="0" w:firstLineChars="0"/>
              <w:rPr>
                <w:rFonts w:hint="eastAsia"/>
                <w:color w:val="auto"/>
                <w:sz w:val="21"/>
                <w:szCs w:val="21"/>
                <w:lang w:val="en-US" w:eastAsia="zh-CN"/>
              </w:rPr>
            </w:pPr>
            <w:r>
              <w:rPr>
                <w:rFonts w:hint="eastAsia"/>
                <w:color w:val="auto"/>
                <w:sz w:val="21"/>
                <w:szCs w:val="21"/>
                <w:lang w:val="en-US" w:eastAsia="zh-CN"/>
              </w:rPr>
              <w:t>（4）</w:t>
            </w:r>
            <w:r>
              <w:rPr>
                <w:rFonts w:hint="eastAsia"/>
                <w:color w:val="auto"/>
                <w:sz w:val="21"/>
                <w:szCs w:val="21"/>
              </w:rPr>
              <w:t>有机肥滤渣</w:t>
            </w:r>
            <w:r>
              <w:rPr>
                <w:rFonts w:hint="eastAsia"/>
                <w:color w:val="auto"/>
                <w:sz w:val="21"/>
                <w:szCs w:val="21"/>
                <w:lang w:val="en-US" w:eastAsia="zh-CN"/>
              </w:rPr>
              <w:t>作为有机肥外售。</w:t>
            </w:r>
          </w:p>
          <w:p>
            <w:pPr>
              <w:pStyle w:val="18"/>
              <w:spacing w:line="240" w:lineRule="auto"/>
              <w:ind w:left="0" w:leftChars="0" w:firstLine="0" w:firstLineChars="0"/>
              <w:rPr>
                <w:rFonts w:hint="default"/>
                <w:color w:val="auto"/>
                <w:lang w:val="en-US" w:eastAsia="zh-CN"/>
              </w:rPr>
            </w:pPr>
            <w:r>
              <w:rPr>
                <w:rFonts w:hint="eastAsia" w:ascii="Times New Roman" w:hAnsi="Times New Roman" w:eastAsia="宋体" w:cs="Times New Roman"/>
                <w:color w:val="auto"/>
                <w:sz w:val="21"/>
                <w:szCs w:val="21"/>
                <w:lang w:val="en-US" w:eastAsia="zh-CN"/>
              </w:rPr>
              <w:t>（5）实验室废物，暂存于危废间委托有资质单位处置。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504" w:type="dxa"/>
            <w:noWrap w:val="0"/>
            <w:vAlign w:val="center"/>
          </w:tcPr>
          <w:p>
            <w:pPr>
              <w:bidi w:val="0"/>
              <w:spacing w:line="240" w:lineRule="auto"/>
              <w:jc w:val="center"/>
              <w:rPr>
                <w:color w:val="auto"/>
                <w:sz w:val="21"/>
                <w:szCs w:val="21"/>
                <w:highlight w:val="none"/>
              </w:rPr>
            </w:pPr>
            <w:r>
              <w:rPr>
                <w:color w:val="auto"/>
                <w:sz w:val="21"/>
                <w:szCs w:val="21"/>
                <w:highlight w:val="none"/>
              </w:rPr>
              <w:t>土壤及地下水污染防治措施</w:t>
            </w:r>
          </w:p>
        </w:tc>
        <w:tc>
          <w:tcPr>
            <w:tcW w:w="7296" w:type="dxa"/>
            <w:gridSpan w:val="4"/>
            <w:noWrap w:val="0"/>
            <w:vAlign w:val="center"/>
          </w:tcPr>
          <w:p>
            <w:pPr>
              <w:bidi w:val="0"/>
              <w:spacing w:line="240" w:lineRule="auto"/>
              <w:rPr>
                <w:color w:val="auto"/>
                <w:sz w:val="21"/>
                <w:szCs w:val="21"/>
                <w:highlight w:val="none"/>
              </w:rPr>
            </w:pPr>
            <w:r>
              <w:rPr>
                <w:color w:val="auto"/>
                <w:sz w:val="21"/>
                <w:szCs w:val="21"/>
                <w:highlight w:val="none"/>
              </w:rPr>
              <w:t>要求建设单位在厂区及四周加强绿化，选择适宜当地生长、吸附能力强的植物进行种植，进一步减小项目对周边环境的影响。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504" w:type="dxa"/>
            <w:noWrap w:val="0"/>
            <w:vAlign w:val="center"/>
          </w:tcPr>
          <w:p>
            <w:pPr>
              <w:bidi w:val="0"/>
              <w:spacing w:line="240" w:lineRule="auto"/>
              <w:jc w:val="center"/>
              <w:rPr>
                <w:color w:val="auto"/>
                <w:sz w:val="21"/>
                <w:szCs w:val="21"/>
                <w:highlight w:val="none"/>
              </w:rPr>
            </w:pPr>
            <w:r>
              <w:rPr>
                <w:color w:val="auto"/>
                <w:sz w:val="21"/>
                <w:szCs w:val="21"/>
                <w:highlight w:val="none"/>
              </w:rPr>
              <w:t>生态保护措施</w:t>
            </w:r>
          </w:p>
        </w:tc>
        <w:tc>
          <w:tcPr>
            <w:tcW w:w="7296" w:type="dxa"/>
            <w:gridSpan w:val="4"/>
            <w:noWrap w:val="0"/>
            <w:vAlign w:val="center"/>
          </w:tcPr>
          <w:p>
            <w:pPr>
              <w:bidi w:val="0"/>
              <w:spacing w:line="240" w:lineRule="auto"/>
              <w:rPr>
                <w:color w:val="auto"/>
                <w:sz w:val="21"/>
                <w:szCs w:val="21"/>
                <w:highlight w:val="none"/>
              </w:rPr>
            </w:pPr>
            <w:r>
              <w:rPr>
                <w:color w:val="auto"/>
                <w:sz w:val="21"/>
                <w:szCs w:val="21"/>
                <w:highlight w:val="none"/>
              </w:rPr>
              <w:t>加强厂区地面硬化及厂区绿化措施，可起到起到保持水土、美化环境的作用。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04" w:type="dxa"/>
            <w:noWrap w:val="0"/>
            <w:vAlign w:val="center"/>
          </w:tcPr>
          <w:p>
            <w:pPr>
              <w:bidi w:val="0"/>
              <w:spacing w:line="240" w:lineRule="auto"/>
              <w:jc w:val="center"/>
              <w:rPr>
                <w:color w:val="auto"/>
                <w:sz w:val="21"/>
                <w:szCs w:val="21"/>
                <w:highlight w:val="none"/>
              </w:rPr>
            </w:pPr>
            <w:r>
              <w:rPr>
                <w:color w:val="auto"/>
                <w:sz w:val="21"/>
                <w:szCs w:val="21"/>
                <w:highlight w:val="none"/>
              </w:rPr>
              <w:t>环境风险防范措施</w:t>
            </w:r>
          </w:p>
        </w:tc>
        <w:tc>
          <w:tcPr>
            <w:tcW w:w="7296" w:type="dxa"/>
            <w:gridSpan w:val="4"/>
            <w:noWrap w:val="0"/>
            <w:vAlign w:val="center"/>
          </w:tcPr>
          <w:p>
            <w:pPr>
              <w:bidi w:val="0"/>
              <w:spacing w:line="240" w:lineRule="auto"/>
              <w:jc w:val="center"/>
              <w:rPr>
                <w:color w:val="auto"/>
                <w:sz w:val="21"/>
                <w:szCs w:val="21"/>
                <w:highlight w:val="none"/>
              </w:rPr>
            </w:pPr>
            <w:r>
              <w:rPr>
                <w:color w:val="auto"/>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504" w:type="dxa"/>
            <w:noWrap w:val="0"/>
            <w:vAlign w:val="center"/>
          </w:tcPr>
          <w:p>
            <w:pPr>
              <w:bidi w:val="0"/>
              <w:spacing w:line="240" w:lineRule="auto"/>
              <w:jc w:val="center"/>
              <w:rPr>
                <w:color w:val="auto"/>
                <w:sz w:val="21"/>
                <w:szCs w:val="21"/>
                <w:highlight w:val="none"/>
              </w:rPr>
            </w:pPr>
            <w:r>
              <w:rPr>
                <w:color w:val="auto"/>
                <w:sz w:val="21"/>
                <w:szCs w:val="21"/>
                <w:highlight w:val="none"/>
              </w:rPr>
              <w:t>其他环境管理要求</w:t>
            </w:r>
          </w:p>
        </w:tc>
        <w:tc>
          <w:tcPr>
            <w:tcW w:w="7296" w:type="dxa"/>
            <w:gridSpan w:val="4"/>
            <w:noWrap w:val="0"/>
            <w:vAlign w:val="center"/>
          </w:tcPr>
          <w:p>
            <w:pPr>
              <w:bidi w:val="0"/>
              <w:spacing w:line="240"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r>
    </w:tbl>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rPr>
          <w:rFonts w:ascii="Times New Roman" w:hAnsi="Times New Roman" w:eastAsia="黑体"/>
          <w:snapToGrid w:val="0"/>
          <w:color w:val="auto"/>
          <w:sz w:val="30"/>
          <w:szCs w:val="30"/>
        </w:rPr>
      </w:pPr>
      <w:r>
        <w:rPr>
          <w:rFonts w:ascii="Times New Roman" w:hAnsi="Times New Roman"/>
          <w:snapToGrid w:val="0"/>
          <w:color w:val="auto"/>
        </w:rPr>
        <w:br w:type="page"/>
      </w:r>
      <w:r>
        <w:rPr>
          <w:rFonts w:hint="eastAsia" w:ascii="黑体" w:hAnsi="黑体" w:eastAsia="黑体" w:cs="黑体"/>
          <w:b/>
          <w:bCs/>
          <w:snapToGrid w:val="0"/>
          <w:color w:val="auto"/>
          <w:sz w:val="30"/>
          <w:szCs w:val="30"/>
        </w:rPr>
        <w:t>六、结论</w:t>
      </w:r>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66" w:hRule="atLeast"/>
          <w:jc w:val="center"/>
        </w:trPr>
        <w:tc>
          <w:tcPr>
            <w:tcW w:w="8865" w:type="dxa"/>
            <w:noWrap w:val="0"/>
            <w:vAlign w:val="top"/>
          </w:tcPr>
          <w:p>
            <w:pPr>
              <w:keepNext w:val="0"/>
              <w:keepLines w:val="0"/>
              <w:pageBreakBefore w:val="0"/>
              <w:widowControl w:val="0"/>
              <w:kinsoku/>
              <w:wordWrap/>
              <w:overflowPunct/>
              <w:topLinePunct w:val="0"/>
              <w:autoSpaceDE/>
              <w:autoSpaceDN/>
              <w:bidi w:val="0"/>
              <w:adjustRightInd/>
              <w:snapToGrid/>
              <w:spacing w:before="157" w:beforeLines="50"/>
              <w:ind w:firstLine="420" w:firstLineChars="200"/>
              <w:textAlignment w:val="auto"/>
              <w:rPr>
                <w:color w:val="auto"/>
              </w:rPr>
            </w:pPr>
            <w:r>
              <w:rPr>
                <w:color w:val="auto"/>
                <w:szCs w:val="21"/>
              </w:rPr>
              <w:t>本项目的实施符合国家和地方相关产业政策要求；评价区域内无自然保护区、珍稀动植物资源、饮用水源保护区；厂址周边具有可靠的资源开发保障和便利的交通运输条件。因此，项目周边条件具有综合优势，选址是合理的。工程采取了完善的环保治理措施，可以保证各类污染物达标排放，不会对周围环境产生明显影响。因此，从环境保护角度讲，该项目的建设是可行的。</w:t>
            </w:r>
          </w:p>
          <w:p>
            <w:pPr>
              <w:bidi w:val="0"/>
              <w:rPr>
                <w:color w:val="auto"/>
              </w:rPr>
            </w:pPr>
          </w:p>
          <w:p>
            <w:pPr>
              <w:bidi w:val="0"/>
              <w:rPr>
                <w:color w:val="auto"/>
              </w:rPr>
            </w:pPr>
          </w:p>
          <w:p>
            <w:pPr>
              <w:spacing w:before="120" w:beforeLines="50" w:line="360" w:lineRule="auto"/>
              <w:ind w:firstLine="420" w:firstLineChars="200"/>
              <w:rPr>
                <w:color w:val="auto"/>
                <w:szCs w:val="21"/>
                <w:highlight w:val="yellow"/>
              </w:rPr>
            </w:pPr>
          </w:p>
          <w:p>
            <w:pPr>
              <w:spacing w:before="120" w:beforeLines="50" w:line="360" w:lineRule="auto"/>
              <w:ind w:firstLine="420" w:firstLineChars="200"/>
              <w:rPr>
                <w:color w:val="auto"/>
                <w:szCs w:val="21"/>
                <w:highlight w:val="yellow"/>
              </w:rPr>
            </w:pPr>
          </w:p>
          <w:p>
            <w:pPr>
              <w:spacing w:before="120" w:beforeLines="50" w:line="360" w:lineRule="auto"/>
              <w:ind w:firstLine="420" w:firstLineChars="200"/>
              <w:rPr>
                <w:color w:val="auto"/>
                <w:szCs w:val="21"/>
                <w:highlight w:val="yellow"/>
              </w:rPr>
            </w:pPr>
          </w:p>
          <w:p>
            <w:pPr>
              <w:spacing w:before="120" w:beforeLines="50" w:line="360" w:lineRule="auto"/>
              <w:rPr>
                <w:color w:val="auto"/>
                <w:szCs w:val="21"/>
                <w:highlight w:val="yellow"/>
              </w:rPr>
            </w:pPr>
          </w:p>
          <w:p>
            <w:pPr>
              <w:spacing w:before="120" w:beforeLines="50" w:line="360" w:lineRule="auto"/>
              <w:rPr>
                <w:color w:val="auto"/>
                <w:szCs w:val="21"/>
                <w:highlight w:val="yellow"/>
              </w:rPr>
            </w:pPr>
          </w:p>
          <w:p>
            <w:pPr>
              <w:spacing w:before="120" w:beforeLines="50" w:line="360" w:lineRule="auto"/>
              <w:rPr>
                <w:color w:val="auto"/>
                <w:szCs w:val="21"/>
                <w:highlight w:val="yellow"/>
              </w:rPr>
            </w:pPr>
          </w:p>
          <w:p>
            <w:pPr>
              <w:spacing w:before="120" w:beforeLines="50" w:line="360" w:lineRule="auto"/>
              <w:rPr>
                <w:color w:val="auto"/>
                <w:szCs w:val="21"/>
                <w:highlight w:val="yellow"/>
              </w:rPr>
            </w:pPr>
          </w:p>
          <w:p>
            <w:pPr>
              <w:spacing w:before="120" w:beforeLines="50" w:line="360" w:lineRule="auto"/>
              <w:rPr>
                <w:color w:val="auto"/>
                <w:szCs w:val="21"/>
                <w:highlight w:val="yellow"/>
              </w:rPr>
            </w:pPr>
          </w:p>
          <w:p>
            <w:pPr>
              <w:spacing w:before="120" w:beforeLines="50" w:line="360" w:lineRule="auto"/>
              <w:rPr>
                <w:color w:val="auto"/>
                <w:szCs w:val="21"/>
                <w:highlight w:val="yellow"/>
              </w:rPr>
            </w:pPr>
          </w:p>
          <w:p>
            <w:pPr>
              <w:spacing w:before="120" w:beforeLines="50" w:line="360" w:lineRule="auto"/>
              <w:rPr>
                <w:color w:val="auto"/>
                <w:szCs w:val="21"/>
                <w:highlight w:val="yellow"/>
              </w:rPr>
            </w:pPr>
          </w:p>
          <w:p>
            <w:pPr>
              <w:spacing w:before="120" w:beforeLines="50" w:line="360" w:lineRule="auto"/>
              <w:rPr>
                <w:color w:val="auto"/>
                <w:szCs w:val="21"/>
                <w:highlight w:val="yellow"/>
              </w:rPr>
            </w:pPr>
          </w:p>
        </w:tc>
      </w:tr>
    </w:tbl>
    <w:p>
      <w:pPr>
        <w:rPr>
          <w:color w:val="auto"/>
        </w:rPr>
        <w:sectPr>
          <w:pgSz w:w="11906" w:h="16838"/>
          <w:pgMar w:top="1440" w:right="1800" w:bottom="1440" w:left="1800" w:header="851" w:footer="851" w:gutter="0"/>
          <w:pgBorders>
            <w:top w:val="none" w:sz="0" w:space="0"/>
            <w:left w:val="none" w:sz="0" w:space="0"/>
            <w:bottom w:val="none" w:sz="0" w:space="0"/>
            <w:right w:val="none" w:sz="0" w:space="0"/>
          </w:pgBorders>
          <w:pgNumType w:fmt="numberInDash"/>
          <w:cols w:space="720" w:num="1"/>
          <w:docGrid w:linePitch="312" w:charSpace="0"/>
        </w:sectPr>
      </w:pPr>
    </w:p>
    <w:p>
      <w:pPr>
        <w:bidi w:val="0"/>
        <w:rPr>
          <w:rFonts w:hint="eastAsia" w:eastAsia="宋体"/>
          <w:b/>
          <w:bCs/>
          <w:color w:val="auto"/>
          <w:lang w:val="en-US" w:eastAsia="zh-CN"/>
        </w:rPr>
      </w:pPr>
      <w:r>
        <w:rPr>
          <w:b/>
          <w:bCs/>
          <w:color w:val="auto"/>
        </w:rPr>
        <w:t>附表</w:t>
      </w:r>
      <w:r>
        <w:rPr>
          <w:rFonts w:hint="eastAsia"/>
          <w:b/>
          <w:bCs/>
          <w:color w:val="auto"/>
          <w:lang w:val="en-US" w:eastAsia="zh-CN"/>
        </w:rPr>
        <w:t>1：</w:t>
      </w:r>
    </w:p>
    <w:p>
      <w:pPr>
        <w:pStyle w:val="16"/>
        <w:shd w:val="clear" w:color="auto" w:fill="auto"/>
        <w:adjustRightInd w:val="0"/>
        <w:snapToGrid w:val="0"/>
        <w:spacing w:before="0" w:beforeAutospacing="0" w:after="0" w:afterAutospacing="0" w:line="360" w:lineRule="auto"/>
        <w:jc w:val="center"/>
        <w:outlineLvl w:val="0"/>
        <w:rPr>
          <w:rFonts w:hint="eastAsia" w:ascii="黑体" w:hAnsi="黑体" w:eastAsia="黑体" w:cs="黑体"/>
          <w:b/>
          <w:bCs/>
          <w:snapToGrid w:val="0"/>
          <w:color w:val="auto"/>
          <w:sz w:val="30"/>
          <w:szCs w:val="30"/>
        </w:rPr>
      </w:pPr>
      <w:r>
        <w:rPr>
          <w:rFonts w:hint="eastAsia" w:ascii="黑体" w:hAnsi="黑体" w:eastAsia="黑体" w:cs="黑体"/>
          <w:b/>
          <w:bCs/>
          <w:snapToGrid w:val="0"/>
          <w:color w:val="auto"/>
          <w:sz w:val="30"/>
          <w:szCs w:val="30"/>
          <w:highlight w:val="none"/>
        </w:rPr>
        <w:t>建设项目污染物排放量汇总表</w:t>
      </w:r>
    </w:p>
    <w:tbl>
      <w:tblPr>
        <w:tblStyle w:val="19"/>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15"/>
        <w:gridCol w:w="1438"/>
        <w:gridCol w:w="1727"/>
        <w:gridCol w:w="1295"/>
        <w:gridCol w:w="1727"/>
        <w:gridCol w:w="1584"/>
        <w:gridCol w:w="1789"/>
        <w:gridCol w:w="1993"/>
        <w:gridCol w:w="8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76" w:type="pct"/>
            <w:tcBorders>
              <w:tl2br w:val="single" w:color="auto" w:sz="4" w:space="0"/>
            </w:tcBorders>
            <w:noWrap w:val="0"/>
            <w:tcMar>
              <w:left w:w="28" w:type="dxa"/>
              <w:right w:w="28" w:type="dxa"/>
            </w:tcMar>
            <w:vAlign w:val="center"/>
          </w:tcPr>
          <w:p>
            <w:pPr>
              <w:pStyle w:val="39"/>
              <w:spacing w:beforeLines="0" w:afterLines="0" w:line="240" w:lineRule="auto"/>
              <w:jc w:val="right"/>
              <w:rPr>
                <w:rFonts w:ascii="Times New Roman" w:eastAsia="黑体"/>
                <w:snapToGrid w:val="0"/>
                <w:color w:val="auto"/>
                <w:spacing w:val="-6"/>
                <w:kern w:val="21"/>
                <w:szCs w:val="21"/>
              </w:rPr>
            </w:pPr>
            <w:r>
              <w:rPr>
                <w:rFonts w:ascii="Times New Roman" w:eastAsia="黑体"/>
                <w:snapToGrid w:val="0"/>
                <w:color w:val="auto"/>
                <w:spacing w:val="-6"/>
                <w:kern w:val="21"/>
                <w:szCs w:val="21"/>
              </w:rPr>
              <w:t>项目</w:t>
            </w:r>
          </w:p>
          <w:p>
            <w:pPr>
              <w:pStyle w:val="39"/>
              <w:spacing w:beforeLines="0" w:afterLines="0" w:line="240" w:lineRule="auto"/>
              <w:jc w:val="left"/>
              <w:rPr>
                <w:rFonts w:ascii="Times New Roman" w:eastAsia="黑体"/>
                <w:snapToGrid w:val="0"/>
                <w:color w:val="auto"/>
                <w:spacing w:val="-6"/>
                <w:kern w:val="21"/>
                <w:szCs w:val="21"/>
              </w:rPr>
            </w:pPr>
            <w:r>
              <w:rPr>
                <w:rFonts w:ascii="Times New Roman" w:eastAsia="黑体"/>
                <w:snapToGrid w:val="0"/>
                <w:color w:val="auto"/>
                <w:spacing w:val="-6"/>
                <w:kern w:val="21"/>
                <w:szCs w:val="21"/>
              </w:rPr>
              <w:t>分类</w:t>
            </w:r>
          </w:p>
        </w:tc>
        <w:tc>
          <w:tcPr>
            <w:tcW w:w="513" w:type="pct"/>
            <w:noWrap w:val="0"/>
            <w:tcMar>
              <w:left w:w="28" w:type="dxa"/>
              <w:right w:w="28" w:type="dxa"/>
            </w:tcMar>
            <w:vAlign w:val="center"/>
          </w:tcPr>
          <w:p>
            <w:pPr>
              <w:pStyle w:val="39"/>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污染物名称</w:t>
            </w:r>
          </w:p>
        </w:tc>
        <w:tc>
          <w:tcPr>
            <w:tcW w:w="616" w:type="pct"/>
            <w:noWrap w:val="0"/>
            <w:tcMar>
              <w:left w:w="28" w:type="dxa"/>
              <w:right w:w="28" w:type="dxa"/>
            </w:tcMar>
            <w:vAlign w:val="center"/>
          </w:tcPr>
          <w:p>
            <w:pPr>
              <w:pStyle w:val="39"/>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现有工程</w:t>
            </w:r>
          </w:p>
          <w:p>
            <w:pPr>
              <w:pStyle w:val="39"/>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排放量（固体废物产生量）</w:t>
            </w: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1 \* GB3 \* MERGEFORMAT </w:instrText>
            </w:r>
            <w:r>
              <w:rPr>
                <w:rFonts w:ascii="Times New Roman" w:eastAsia="黑体"/>
                <w:snapToGrid w:val="0"/>
                <w:color w:val="auto"/>
                <w:spacing w:val="-6"/>
                <w:kern w:val="21"/>
                <w:szCs w:val="21"/>
              </w:rPr>
              <w:fldChar w:fldCharType="separate"/>
            </w:r>
            <w:r>
              <w:rPr>
                <w:rFonts w:hint="eastAsia" w:hAnsi="宋体" w:cs="宋体"/>
                <w:color w:val="auto"/>
                <w:kern w:val="2"/>
                <w:szCs w:val="21"/>
              </w:rPr>
              <w:t>①</w:t>
            </w:r>
            <w:r>
              <w:rPr>
                <w:rFonts w:ascii="Times New Roman" w:eastAsia="黑体"/>
                <w:snapToGrid w:val="0"/>
                <w:color w:val="auto"/>
                <w:spacing w:val="-6"/>
                <w:kern w:val="21"/>
                <w:szCs w:val="21"/>
              </w:rPr>
              <w:fldChar w:fldCharType="end"/>
            </w:r>
          </w:p>
        </w:tc>
        <w:tc>
          <w:tcPr>
            <w:tcW w:w="462" w:type="pct"/>
            <w:noWrap w:val="0"/>
            <w:tcMar>
              <w:left w:w="28" w:type="dxa"/>
              <w:right w:w="28" w:type="dxa"/>
            </w:tcMar>
            <w:vAlign w:val="center"/>
          </w:tcPr>
          <w:p>
            <w:pPr>
              <w:pStyle w:val="39"/>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现有工程</w:t>
            </w:r>
          </w:p>
          <w:p>
            <w:pPr>
              <w:pStyle w:val="39"/>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许可排放量</w:t>
            </w:r>
          </w:p>
          <w:p>
            <w:pPr>
              <w:pStyle w:val="39"/>
              <w:spacing w:beforeLines="0" w:afterLines="0"/>
              <w:rPr>
                <w:rFonts w:ascii="Times New Roman" w:eastAsia="黑体"/>
                <w:snapToGrid w:val="0"/>
                <w:color w:val="auto"/>
                <w:spacing w:val="-6"/>
                <w:kern w:val="21"/>
                <w:szCs w:val="21"/>
              </w:rPr>
            </w:pP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2 \* GB3 \* MERGEFORMAT </w:instrText>
            </w:r>
            <w:r>
              <w:rPr>
                <w:rFonts w:ascii="Times New Roman" w:eastAsia="黑体"/>
                <w:snapToGrid w:val="0"/>
                <w:color w:val="auto"/>
                <w:spacing w:val="-6"/>
                <w:kern w:val="21"/>
                <w:szCs w:val="21"/>
              </w:rPr>
              <w:fldChar w:fldCharType="separate"/>
            </w:r>
            <w:r>
              <w:rPr>
                <w:rFonts w:hint="eastAsia" w:hAnsi="宋体" w:cs="宋体"/>
                <w:snapToGrid w:val="0"/>
                <w:color w:val="auto"/>
                <w:spacing w:val="-6"/>
                <w:kern w:val="21"/>
                <w:szCs w:val="21"/>
              </w:rPr>
              <w:t>②</w:t>
            </w:r>
            <w:r>
              <w:rPr>
                <w:rFonts w:ascii="Times New Roman" w:eastAsia="黑体"/>
                <w:snapToGrid w:val="0"/>
                <w:color w:val="auto"/>
                <w:spacing w:val="-6"/>
                <w:kern w:val="21"/>
                <w:szCs w:val="21"/>
              </w:rPr>
              <w:fldChar w:fldCharType="end"/>
            </w:r>
          </w:p>
        </w:tc>
        <w:tc>
          <w:tcPr>
            <w:tcW w:w="616" w:type="pct"/>
            <w:noWrap w:val="0"/>
            <w:tcMar>
              <w:left w:w="28" w:type="dxa"/>
              <w:right w:w="28" w:type="dxa"/>
            </w:tcMar>
            <w:vAlign w:val="center"/>
          </w:tcPr>
          <w:p>
            <w:pPr>
              <w:pStyle w:val="39"/>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在建工程</w:t>
            </w:r>
          </w:p>
          <w:p>
            <w:pPr>
              <w:pStyle w:val="39"/>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排放量（固体废物产生量）</w:t>
            </w: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3 \* GB3 \* MERGEFORMAT </w:instrText>
            </w:r>
            <w:r>
              <w:rPr>
                <w:rFonts w:ascii="Times New Roman" w:eastAsia="黑体"/>
                <w:snapToGrid w:val="0"/>
                <w:color w:val="auto"/>
                <w:spacing w:val="-6"/>
                <w:kern w:val="21"/>
                <w:szCs w:val="21"/>
              </w:rPr>
              <w:fldChar w:fldCharType="separate"/>
            </w:r>
            <w:r>
              <w:rPr>
                <w:rFonts w:hint="eastAsia" w:hAnsi="宋体" w:cs="宋体"/>
                <w:color w:val="auto"/>
                <w:kern w:val="2"/>
                <w:szCs w:val="21"/>
              </w:rPr>
              <w:t>③</w:t>
            </w:r>
            <w:r>
              <w:rPr>
                <w:rFonts w:ascii="Times New Roman" w:eastAsia="黑体"/>
                <w:snapToGrid w:val="0"/>
                <w:color w:val="auto"/>
                <w:spacing w:val="-6"/>
                <w:kern w:val="21"/>
                <w:szCs w:val="21"/>
              </w:rPr>
              <w:fldChar w:fldCharType="end"/>
            </w:r>
          </w:p>
        </w:tc>
        <w:tc>
          <w:tcPr>
            <w:tcW w:w="565" w:type="pct"/>
            <w:noWrap w:val="0"/>
            <w:tcMar>
              <w:left w:w="28" w:type="dxa"/>
              <w:right w:w="28" w:type="dxa"/>
            </w:tcMar>
            <w:vAlign w:val="center"/>
          </w:tcPr>
          <w:p>
            <w:pPr>
              <w:pStyle w:val="39"/>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本项目</w:t>
            </w:r>
          </w:p>
          <w:p>
            <w:pPr>
              <w:pStyle w:val="39"/>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排放量（固体废物产生量）</w:t>
            </w: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4 \* GB3 \* MERGEFORMAT </w:instrText>
            </w:r>
            <w:r>
              <w:rPr>
                <w:rFonts w:ascii="Times New Roman" w:eastAsia="黑体"/>
                <w:snapToGrid w:val="0"/>
                <w:color w:val="auto"/>
                <w:spacing w:val="-6"/>
                <w:kern w:val="21"/>
                <w:szCs w:val="21"/>
              </w:rPr>
              <w:fldChar w:fldCharType="separate"/>
            </w:r>
            <w:r>
              <w:rPr>
                <w:rFonts w:hint="eastAsia" w:hAnsi="宋体" w:cs="宋体"/>
                <w:color w:val="auto"/>
                <w:kern w:val="2"/>
                <w:szCs w:val="21"/>
              </w:rPr>
              <w:t>④</w:t>
            </w:r>
            <w:r>
              <w:rPr>
                <w:rFonts w:ascii="Times New Roman" w:eastAsia="黑体"/>
                <w:snapToGrid w:val="0"/>
                <w:color w:val="auto"/>
                <w:spacing w:val="-6"/>
                <w:kern w:val="21"/>
                <w:szCs w:val="21"/>
              </w:rPr>
              <w:fldChar w:fldCharType="end"/>
            </w:r>
          </w:p>
        </w:tc>
        <w:tc>
          <w:tcPr>
            <w:tcW w:w="638" w:type="pct"/>
            <w:noWrap w:val="0"/>
            <w:tcMar>
              <w:left w:w="28" w:type="dxa"/>
              <w:right w:w="28" w:type="dxa"/>
            </w:tcMar>
            <w:vAlign w:val="center"/>
          </w:tcPr>
          <w:p>
            <w:pPr>
              <w:pStyle w:val="39"/>
              <w:spacing w:beforeLines="0" w:afterLines="0" w:line="240" w:lineRule="auto"/>
              <w:rPr>
                <w:rFonts w:ascii="Times New Roman" w:eastAsia="黑体"/>
                <w:snapToGrid w:val="0"/>
                <w:color w:val="auto"/>
                <w:spacing w:val="-16"/>
                <w:kern w:val="21"/>
                <w:szCs w:val="21"/>
              </w:rPr>
            </w:pPr>
            <w:r>
              <w:rPr>
                <w:rFonts w:ascii="Times New Roman" w:eastAsia="黑体"/>
                <w:snapToGrid w:val="0"/>
                <w:color w:val="auto"/>
                <w:spacing w:val="-16"/>
                <w:kern w:val="21"/>
                <w:szCs w:val="21"/>
              </w:rPr>
              <w:t>以新带老削减量</w:t>
            </w:r>
          </w:p>
          <w:p>
            <w:pPr>
              <w:pStyle w:val="39"/>
              <w:spacing w:beforeLines="0" w:afterLines="0" w:line="240" w:lineRule="auto"/>
              <w:rPr>
                <w:rFonts w:ascii="Times New Roman" w:eastAsia="黑体"/>
                <w:snapToGrid w:val="0"/>
                <w:color w:val="auto"/>
                <w:spacing w:val="-16"/>
                <w:kern w:val="21"/>
                <w:szCs w:val="21"/>
              </w:rPr>
            </w:pPr>
            <w:r>
              <w:rPr>
                <w:rFonts w:ascii="Times New Roman" w:eastAsia="黑体"/>
                <w:snapToGrid w:val="0"/>
                <w:color w:val="auto"/>
                <w:spacing w:val="-16"/>
                <w:kern w:val="21"/>
                <w:szCs w:val="21"/>
              </w:rPr>
              <w:t>（新建项目不填）</w:t>
            </w:r>
            <w:r>
              <w:rPr>
                <w:rFonts w:ascii="Times New Roman" w:eastAsia="黑体"/>
                <w:snapToGrid w:val="0"/>
                <w:color w:val="auto"/>
                <w:spacing w:val="-16"/>
                <w:kern w:val="21"/>
                <w:szCs w:val="21"/>
              </w:rPr>
              <w:fldChar w:fldCharType="begin"/>
            </w:r>
            <w:r>
              <w:rPr>
                <w:rFonts w:ascii="Times New Roman" w:eastAsia="黑体"/>
                <w:snapToGrid w:val="0"/>
                <w:color w:val="auto"/>
                <w:spacing w:val="-16"/>
                <w:kern w:val="21"/>
                <w:szCs w:val="21"/>
              </w:rPr>
              <w:instrText xml:space="preserve"> = 5 \* GB3 \* MERGEFORMAT </w:instrText>
            </w:r>
            <w:r>
              <w:rPr>
                <w:rFonts w:ascii="Times New Roman" w:eastAsia="黑体"/>
                <w:snapToGrid w:val="0"/>
                <w:color w:val="auto"/>
                <w:spacing w:val="-16"/>
                <w:kern w:val="21"/>
                <w:szCs w:val="21"/>
              </w:rPr>
              <w:fldChar w:fldCharType="separate"/>
            </w:r>
            <w:r>
              <w:rPr>
                <w:rFonts w:hint="eastAsia" w:hAnsi="宋体" w:cs="宋体"/>
                <w:color w:val="auto"/>
                <w:kern w:val="2"/>
                <w:szCs w:val="21"/>
              </w:rPr>
              <w:t>⑤</w:t>
            </w:r>
            <w:r>
              <w:rPr>
                <w:rFonts w:ascii="Times New Roman" w:eastAsia="黑体"/>
                <w:snapToGrid w:val="0"/>
                <w:color w:val="auto"/>
                <w:spacing w:val="-16"/>
                <w:kern w:val="21"/>
                <w:szCs w:val="21"/>
              </w:rPr>
              <w:fldChar w:fldCharType="end"/>
            </w:r>
          </w:p>
        </w:tc>
        <w:tc>
          <w:tcPr>
            <w:tcW w:w="711" w:type="pct"/>
            <w:noWrap w:val="0"/>
            <w:tcMar>
              <w:left w:w="28" w:type="dxa"/>
              <w:right w:w="28" w:type="dxa"/>
            </w:tcMar>
            <w:vAlign w:val="center"/>
          </w:tcPr>
          <w:p>
            <w:pPr>
              <w:pStyle w:val="39"/>
              <w:spacing w:beforeLines="0" w:afterLines="0" w:line="240" w:lineRule="auto"/>
              <w:rPr>
                <w:rFonts w:ascii="Times New Roman" w:eastAsia="黑体"/>
                <w:snapToGrid w:val="0"/>
                <w:color w:val="auto"/>
                <w:spacing w:val="-16"/>
                <w:kern w:val="21"/>
                <w:szCs w:val="21"/>
              </w:rPr>
            </w:pPr>
            <w:r>
              <w:rPr>
                <w:rFonts w:ascii="Times New Roman" w:eastAsia="黑体"/>
                <w:snapToGrid w:val="0"/>
                <w:color w:val="auto"/>
                <w:spacing w:val="-16"/>
                <w:kern w:val="21"/>
                <w:szCs w:val="21"/>
              </w:rPr>
              <w:t>本项目建成后</w:t>
            </w:r>
          </w:p>
          <w:p>
            <w:pPr>
              <w:pStyle w:val="39"/>
              <w:spacing w:beforeLines="0" w:afterLines="0" w:line="240" w:lineRule="auto"/>
              <w:rPr>
                <w:rFonts w:ascii="Times New Roman" w:eastAsia="黑体"/>
                <w:snapToGrid w:val="0"/>
                <w:color w:val="auto"/>
                <w:spacing w:val="-16"/>
                <w:kern w:val="21"/>
                <w:szCs w:val="21"/>
              </w:rPr>
            </w:pPr>
            <w:r>
              <w:rPr>
                <w:rFonts w:ascii="Times New Roman" w:eastAsia="黑体"/>
                <w:snapToGrid w:val="0"/>
                <w:color w:val="auto"/>
                <w:spacing w:val="-16"/>
                <w:kern w:val="21"/>
                <w:szCs w:val="21"/>
              </w:rPr>
              <w:t>全厂排放量（固体废物产生量）</w:t>
            </w:r>
            <w:r>
              <w:rPr>
                <w:rFonts w:ascii="Times New Roman" w:eastAsia="黑体"/>
                <w:snapToGrid w:val="0"/>
                <w:color w:val="auto"/>
                <w:spacing w:val="-16"/>
                <w:kern w:val="21"/>
                <w:szCs w:val="21"/>
              </w:rPr>
              <w:fldChar w:fldCharType="begin"/>
            </w:r>
            <w:r>
              <w:rPr>
                <w:rFonts w:ascii="Times New Roman" w:eastAsia="黑体"/>
                <w:snapToGrid w:val="0"/>
                <w:color w:val="auto"/>
                <w:spacing w:val="-16"/>
                <w:kern w:val="21"/>
                <w:szCs w:val="21"/>
              </w:rPr>
              <w:instrText xml:space="preserve"> = 6 \* GB3 \* MERGEFORMAT </w:instrText>
            </w:r>
            <w:r>
              <w:rPr>
                <w:rFonts w:ascii="Times New Roman" w:eastAsia="黑体"/>
                <w:snapToGrid w:val="0"/>
                <w:color w:val="auto"/>
                <w:spacing w:val="-16"/>
                <w:kern w:val="21"/>
                <w:szCs w:val="21"/>
              </w:rPr>
              <w:fldChar w:fldCharType="separate"/>
            </w:r>
            <w:r>
              <w:rPr>
                <w:rFonts w:hint="eastAsia" w:hAnsi="宋体" w:cs="宋体"/>
                <w:color w:val="auto"/>
                <w:kern w:val="2"/>
                <w:szCs w:val="21"/>
              </w:rPr>
              <w:t>⑥</w:t>
            </w:r>
            <w:r>
              <w:rPr>
                <w:rFonts w:ascii="Times New Roman" w:eastAsia="黑体"/>
                <w:snapToGrid w:val="0"/>
                <w:color w:val="auto"/>
                <w:spacing w:val="-16"/>
                <w:kern w:val="21"/>
                <w:szCs w:val="21"/>
              </w:rPr>
              <w:fldChar w:fldCharType="end"/>
            </w:r>
          </w:p>
        </w:tc>
        <w:tc>
          <w:tcPr>
            <w:tcW w:w="299" w:type="pct"/>
            <w:noWrap w:val="0"/>
            <w:tcMar>
              <w:left w:w="28" w:type="dxa"/>
              <w:right w:w="28" w:type="dxa"/>
            </w:tcMar>
            <w:vAlign w:val="center"/>
          </w:tcPr>
          <w:p>
            <w:pPr>
              <w:pStyle w:val="39"/>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变化量</w:t>
            </w:r>
          </w:p>
          <w:p>
            <w:pPr>
              <w:pStyle w:val="39"/>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7 \* GB3 \* MERGEFORMAT </w:instrText>
            </w:r>
            <w:r>
              <w:rPr>
                <w:rFonts w:ascii="Times New Roman" w:eastAsia="黑体"/>
                <w:snapToGrid w:val="0"/>
                <w:color w:val="auto"/>
                <w:spacing w:val="-6"/>
                <w:kern w:val="21"/>
                <w:szCs w:val="21"/>
              </w:rPr>
              <w:fldChar w:fldCharType="separate"/>
            </w:r>
            <w:r>
              <w:rPr>
                <w:rFonts w:hint="eastAsia" w:hAnsi="宋体" w:cs="宋体"/>
                <w:color w:val="auto"/>
                <w:kern w:val="2"/>
                <w:szCs w:val="21"/>
              </w:rPr>
              <w:t>⑦</w:t>
            </w:r>
            <w:r>
              <w:rPr>
                <w:rFonts w:ascii="Times New Roman" w:eastAsia="黑体"/>
                <w:snapToGrid w:val="0"/>
                <w:color w:val="auto"/>
                <w:spacing w:val="-6"/>
                <w:kern w:val="21"/>
                <w:szCs w:val="21"/>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restar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废气</w:t>
            </w:r>
          </w:p>
        </w:tc>
        <w:tc>
          <w:tcPr>
            <w:tcW w:w="513" w:type="pct"/>
            <w:noWrap w:val="0"/>
            <w:vAlign w:val="center"/>
          </w:tcPr>
          <w:p>
            <w:pPr>
              <w:pStyle w:val="39"/>
              <w:spacing w:beforeLines="0" w:afterLines="0" w:line="240" w:lineRule="auto"/>
              <w:rPr>
                <w:rFonts w:hint="default"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颗粒物（粉尘）</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hint="eastAsia" w:ascii="Times New Roman" w:hAnsi="Times New Roman" w:eastAsia="宋体" w:cs="Times New Roman"/>
                <w:color w:val="0000FF"/>
                <w:kern w:val="2"/>
                <w:sz w:val="21"/>
                <w:szCs w:val="21"/>
                <w:highlight w:val="none"/>
                <w:lang w:val="en-US" w:eastAsia="zh-CN" w:bidi="ar-SA"/>
              </w:rPr>
              <w:t>0.878t/a</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hint="eastAsia" w:ascii="Times New Roman"/>
                <w:color w:val="auto"/>
                <w:szCs w:val="21"/>
                <w:lang w:val="en-US" w:eastAsia="zh-CN"/>
              </w:rPr>
              <w:t>0.878</w:t>
            </w:r>
            <w:r>
              <w:rPr>
                <w:rFonts w:ascii="Times New Roman"/>
                <w:color w:val="auto"/>
                <w:szCs w:val="21"/>
              </w:rPr>
              <w:t>t/a</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continue"/>
            <w:noWrap w:val="0"/>
            <w:vAlign w:val="center"/>
          </w:tcPr>
          <w:p>
            <w:pPr>
              <w:pStyle w:val="39"/>
              <w:spacing w:beforeLines="0" w:afterLines="0" w:line="240" w:lineRule="auto"/>
              <w:rPr>
                <w:rFonts w:ascii="Times New Roman"/>
                <w:snapToGrid w:val="0"/>
                <w:color w:val="auto"/>
                <w:kern w:val="21"/>
                <w:szCs w:val="21"/>
              </w:rPr>
            </w:pPr>
          </w:p>
        </w:tc>
        <w:tc>
          <w:tcPr>
            <w:tcW w:w="513" w:type="pct"/>
            <w:noWrap w:val="0"/>
            <w:vAlign w:val="center"/>
          </w:tcPr>
          <w:p>
            <w:pPr>
              <w:pStyle w:val="39"/>
              <w:spacing w:beforeLines="0" w:afterLines="0" w:line="240" w:lineRule="auto"/>
              <w:rPr>
                <w:rFonts w:hint="default"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颗粒物</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hint="eastAsia" w:ascii="Times New Roman"/>
                <w:color w:val="auto"/>
                <w:szCs w:val="21"/>
                <w:lang w:val="en-US" w:eastAsia="zh-CN"/>
              </w:rPr>
              <w:t>1.137</w:t>
            </w:r>
            <w:r>
              <w:rPr>
                <w:rFonts w:ascii="Times New Roman"/>
                <w:color w:val="auto"/>
                <w:szCs w:val="21"/>
              </w:rPr>
              <w:t>t/a</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1993" w:type="dxa"/>
            <w:noWrap w:val="0"/>
            <w:vAlign w:val="center"/>
          </w:tcPr>
          <w:p>
            <w:pPr>
              <w:pStyle w:val="39"/>
              <w:spacing w:beforeLines="0" w:afterLines="0" w:line="240" w:lineRule="auto"/>
              <w:rPr>
                <w:rFonts w:ascii="Times New Roman"/>
                <w:snapToGrid w:val="0"/>
                <w:color w:val="auto"/>
                <w:kern w:val="21"/>
                <w:szCs w:val="21"/>
              </w:rPr>
            </w:pPr>
            <w:r>
              <w:rPr>
                <w:rFonts w:hint="eastAsia" w:ascii="Times New Roman"/>
                <w:color w:val="auto"/>
                <w:szCs w:val="21"/>
                <w:lang w:val="en-US" w:eastAsia="zh-CN"/>
              </w:rPr>
              <w:t>1.336</w:t>
            </w:r>
            <w:r>
              <w:rPr>
                <w:rFonts w:ascii="Times New Roman"/>
                <w:color w:val="auto"/>
                <w:szCs w:val="21"/>
              </w:rPr>
              <w:t>t/a</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continue"/>
            <w:noWrap w:val="0"/>
            <w:vAlign w:val="center"/>
          </w:tcPr>
          <w:p>
            <w:pPr>
              <w:pStyle w:val="39"/>
              <w:spacing w:beforeLines="0" w:afterLines="0" w:line="240" w:lineRule="auto"/>
              <w:rPr>
                <w:rFonts w:ascii="Times New Roman"/>
                <w:snapToGrid w:val="0"/>
                <w:color w:val="auto"/>
                <w:kern w:val="21"/>
                <w:szCs w:val="21"/>
              </w:rPr>
            </w:pPr>
          </w:p>
        </w:tc>
        <w:tc>
          <w:tcPr>
            <w:tcW w:w="513" w:type="pct"/>
            <w:noWrap w:val="0"/>
            <w:vAlign w:val="center"/>
          </w:tcPr>
          <w:p>
            <w:pPr>
              <w:pStyle w:val="39"/>
              <w:spacing w:beforeLines="0" w:afterLines="0" w:line="240" w:lineRule="auto"/>
              <w:rPr>
                <w:rFonts w:hint="default"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二氧化硫</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hint="default" w:ascii="Times New Roman" w:eastAsia="宋体"/>
                <w:color w:val="auto"/>
                <w:szCs w:val="21"/>
                <w:lang w:val="en-US" w:eastAsia="zh-CN"/>
              </w:rPr>
            </w:pPr>
            <w:r>
              <w:rPr>
                <w:rFonts w:hint="eastAsia" w:ascii="Times New Roman"/>
                <w:color w:val="auto"/>
                <w:szCs w:val="21"/>
                <w:lang w:val="en-US" w:eastAsia="zh-CN"/>
              </w:rPr>
              <w:t>1.659</w:t>
            </w:r>
            <w:r>
              <w:rPr>
                <w:rFonts w:ascii="Times New Roman"/>
                <w:color w:val="auto"/>
                <w:szCs w:val="21"/>
              </w:rPr>
              <w:t>t/a</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1993" w:type="dxa"/>
            <w:noWrap w:val="0"/>
            <w:vAlign w:val="center"/>
          </w:tcPr>
          <w:p>
            <w:pPr>
              <w:pStyle w:val="39"/>
              <w:spacing w:beforeLines="0" w:afterLines="0" w:line="240" w:lineRule="auto"/>
              <w:rPr>
                <w:rFonts w:ascii="Times New Roman"/>
                <w:color w:val="auto"/>
                <w:szCs w:val="21"/>
              </w:rPr>
            </w:pPr>
            <w:r>
              <w:rPr>
                <w:rFonts w:hint="eastAsia" w:ascii="Times New Roman"/>
                <w:color w:val="auto"/>
                <w:szCs w:val="21"/>
                <w:lang w:val="en-US" w:eastAsia="zh-CN"/>
              </w:rPr>
              <w:t>1.659</w:t>
            </w:r>
            <w:r>
              <w:rPr>
                <w:rFonts w:ascii="Times New Roman"/>
                <w:color w:val="auto"/>
                <w:szCs w:val="21"/>
              </w:rPr>
              <w:t>t/a</w:t>
            </w:r>
          </w:p>
        </w:tc>
        <w:tc>
          <w:tcPr>
            <w:tcW w:w="299" w:type="pct"/>
            <w:noWrap w:val="0"/>
            <w:vAlign w:val="center"/>
          </w:tcPr>
          <w:p>
            <w:pPr>
              <w:pStyle w:val="39"/>
              <w:spacing w:beforeLines="0" w:afterLines="0" w:line="240" w:lineRule="auto"/>
              <w:rPr>
                <w:rFonts w:ascii="Times New Roman"/>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continue"/>
            <w:noWrap w:val="0"/>
            <w:vAlign w:val="center"/>
          </w:tcPr>
          <w:p>
            <w:pPr>
              <w:pStyle w:val="39"/>
              <w:spacing w:beforeLines="0" w:afterLines="0" w:line="240" w:lineRule="auto"/>
              <w:rPr>
                <w:rFonts w:ascii="Times New Roman"/>
                <w:snapToGrid w:val="0"/>
                <w:color w:val="auto"/>
                <w:kern w:val="21"/>
                <w:szCs w:val="21"/>
              </w:rPr>
            </w:pPr>
          </w:p>
        </w:tc>
        <w:tc>
          <w:tcPr>
            <w:tcW w:w="513" w:type="pct"/>
            <w:noWrap w:val="0"/>
            <w:vAlign w:val="center"/>
          </w:tcPr>
          <w:p>
            <w:pPr>
              <w:pStyle w:val="39"/>
              <w:spacing w:beforeLines="0" w:afterLines="0" w:line="240" w:lineRule="auto"/>
              <w:rPr>
                <w:rFonts w:hint="default"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氮氧化物</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hint="default" w:ascii="Times New Roman" w:eastAsia="宋体"/>
                <w:color w:val="auto"/>
                <w:szCs w:val="21"/>
                <w:lang w:val="en-US" w:eastAsia="zh-CN"/>
              </w:rPr>
            </w:pPr>
            <w:r>
              <w:rPr>
                <w:rFonts w:hint="eastAsia" w:ascii="Times New Roman"/>
                <w:color w:val="auto"/>
                <w:szCs w:val="21"/>
                <w:lang w:val="en-US" w:eastAsia="zh-CN"/>
              </w:rPr>
              <w:t>2.784</w:t>
            </w:r>
            <w:r>
              <w:rPr>
                <w:rFonts w:ascii="Times New Roman"/>
                <w:color w:val="auto"/>
                <w:szCs w:val="21"/>
              </w:rPr>
              <w:t>t/a</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1993" w:type="dxa"/>
            <w:noWrap w:val="0"/>
            <w:vAlign w:val="center"/>
          </w:tcPr>
          <w:p>
            <w:pPr>
              <w:pStyle w:val="39"/>
              <w:spacing w:beforeLines="0" w:afterLines="0" w:line="240" w:lineRule="auto"/>
              <w:rPr>
                <w:rFonts w:ascii="Times New Roman"/>
                <w:color w:val="auto"/>
                <w:szCs w:val="21"/>
              </w:rPr>
            </w:pPr>
            <w:r>
              <w:rPr>
                <w:rFonts w:hint="eastAsia" w:ascii="Times New Roman"/>
                <w:color w:val="auto"/>
                <w:szCs w:val="21"/>
                <w:lang w:val="en-US" w:eastAsia="zh-CN"/>
              </w:rPr>
              <w:t>2.784</w:t>
            </w:r>
            <w:r>
              <w:rPr>
                <w:rFonts w:ascii="Times New Roman"/>
                <w:color w:val="auto"/>
                <w:szCs w:val="21"/>
              </w:rPr>
              <w:t>t/a</w:t>
            </w:r>
          </w:p>
        </w:tc>
        <w:tc>
          <w:tcPr>
            <w:tcW w:w="299" w:type="pct"/>
            <w:noWrap w:val="0"/>
            <w:vAlign w:val="center"/>
          </w:tcPr>
          <w:p>
            <w:pPr>
              <w:pStyle w:val="39"/>
              <w:spacing w:beforeLines="0" w:afterLines="0" w:line="240" w:lineRule="auto"/>
              <w:rPr>
                <w:rFonts w:ascii="Times New Roman"/>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restar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废水</w:t>
            </w:r>
          </w:p>
        </w:tc>
        <w:tc>
          <w:tcPr>
            <w:tcW w:w="513"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continue"/>
            <w:noWrap w:val="0"/>
            <w:vAlign w:val="center"/>
          </w:tcPr>
          <w:p>
            <w:pPr>
              <w:pStyle w:val="39"/>
              <w:spacing w:beforeLines="0" w:afterLines="0" w:line="240" w:lineRule="auto"/>
              <w:rPr>
                <w:rFonts w:ascii="Times New Roman"/>
                <w:snapToGrid w:val="0"/>
                <w:color w:val="auto"/>
                <w:kern w:val="21"/>
                <w:szCs w:val="21"/>
              </w:rPr>
            </w:pPr>
          </w:p>
        </w:tc>
        <w:tc>
          <w:tcPr>
            <w:tcW w:w="513"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restar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一般工业</w:t>
            </w:r>
          </w:p>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固体废物</w:t>
            </w:r>
          </w:p>
        </w:tc>
        <w:tc>
          <w:tcPr>
            <w:tcW w:w="513" w:type="pct"/>
            <w:noWrap w:val="0"/>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eastAsia"/>
                <w:color w:val="auto"/>
                <w:szCs w:val="21"/>
                <w:lang w:val="en-US" w:eastAsia="zh-CN"/>
              </w:rPr>
              <w:t>生活垃圾</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continue"/>
            <w:noWrap w:val="0"/>
            <w:vAlign w:val="center"/>
          </w:tcPr>
          <w:p>
            <w:pPr>
              <w:pStyle w:val="39"/>
              <w:spacing w:beforeLines="0" w:afterLines="0" w:line="240" w:lineRule="auto"/>
              <w:rPr>
                <w:rFonts w:ascii="Times New Roman"/>
                <w:snapToGrid w:val="0"/>
                <w:color w:val="auto"/>
                <w:kern w:val="21"/>
                <w:szCs w:val="21"/>
              </w:rPr>
            </w:pPr>
          </w:p>
        </w:tc>
        <w:tc>
          <w:tcPr>
            <w:tcW w:w="513" w:type="pct"/>
            <w:noWrap w:val="0"/>
            <w:vAlign w:val="center"/>
          </w:tcPr>
          <w:p>
            <w:pPr>
              <w:spacing w:line="0" w:lineRule="atLeast"/>
              <w:jc w:val="center"/>
              <w:rPr>
                <w:rFonts w:hint="eastAsia" w:ascii="Times New Roman" w:hAnsi="Times New Roman" w:eastAsia="宋体"/>
                <w:color w:val="auto"/>
                <w:kern w:val="2"/>
                <w:sz w:val="21"/>
                <w:szCs w:val="21"/>
                <w:lang w:val="en-US" w:eastAsia="zh-CN" w:bidi="ar-SA"/>
              </w:rPr>
            </w:pPr>
            <w:r>
              <w:rPr>
                <w:rFonts w:hint="eastAsia"/>
                <w:color w:val="auto"/>
                <w:szCs w:val="21"/>
                <w:lang w:val="en-US" w:eastAsia="zh-CN"/>
              </w:rPr>
              <w:t>锅炉炉灰、锅炉除尘灰</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continue"/>
            <w:noWrap w:val="0"/>
            <w:vAlign w:val="center"/>
          </w:tcPr>
          <w:p>
            <w:pPr>
              <w:pStyle w:val="39"/>
              <w:spacing w:beforeLines="0" w:afterLines="0" w:line="240" w:lineRule="auto"/>
              <w:rPr>
                <w:rFonts w:ascii="Times New Roman"/>
                <w:snapToGrid w:val="0"/>
                <w:color w:val="auto"/>
                <w:kern w:val="21"/>
                <w:szCs w:val="21"/>
              </w:rPr>
            </w:pPr>
          </w:p>
        </w:tc>
        <w:tc>
          <w:tcPr>
            <w:tcW w:w="513" w:type="pct"/>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color w:val="auto"/>
                <w:szCs w:val="21"/>
                <w:lang w:val="en-US" w:eastAsia="zh-CN"/>
              </w:rPr>
              <w:t>废包装袋</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continue"/>
            <w:noWrap w:val="0"/>
            <w:vAlign w:val="center"/>
          </w:tcPr>
          <w:p>
            <w:pPr>
              <w:pStyle w:val="39"/>
              <w:spacing w:beforeLines="0" w:afterLines="0" w:line="240" w:lineRule="auto"/>
              <w:rPr>
                <w:rFonts w:ascii="Times New Roman"/>
                <w:snapToGrid w:val="0"/>
                <w:color w:val="auto"/>
                <w:kern w:val="21"/>
                <w:szCs w:val="21"/>
              </w:rPr>
            </w:pPr>
          </w:p>
        </w:tc>
        <w:tc>
          <w:tcPr>
            <w:tcW w:w="513" w:type="pct"/>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bidi="ar-SA"/>
              </w:rPr>
            </w:pPr>
            <w:r>
              <w:rPr>
                <w:rFonts w:hint="default" w:ascii="Times New Roman" w:hAnsi="Times New Roman" w:eastAsia="宋体" w:cs="Times New Roman"/>
                <w:bCs/>
                <w:snapToGrid w:val="0"/>
                <w:color w:val="auto"/>
                <w:kern w:val="24"/>
                <w:sz w:val="21"/>
                <w:szCs w:val="21"/>
              </w:rPr>
              <w:t>热风炉炉渣</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continue"/>
            <w:noWrap w:val="0"/>
            <w:vAlign w:val="center"/>
          </w:tcPr>
          <w:p>
            <w:pPr>
              <w:pStyle w:val="39"/>
              <w:spacing w:beforeLines="0" w:afterLines="0" w:line="240" w:lineRule="auto"/>
              <w:rPr>
                <w:rFonts w:ascii="Times New Roman"/>
                <w:snapToGrid w:val="0"/>
                <w:color w:val="auto"/>
                <w:kern w:val="21"/>
                <w:szCs w:val="21"/>
              </w:rPr>
            </w:pPr>
          </w:p>
        </w:tc>
        <w:tc>
          <w:tcPr>
            <w:tcW w:w="513" w:type="pct"/>
            <w:noWrap w:val="0"/>
            <w:vAlign w:val="center"/>
          </w:tcPr>
          <w:p>
            <w:pPr>
              <w:pStyle w:val="50"/>
              <w:spacing w:line="240" w:lineRule="auto"/>
              <w:ind w:left="-105" w:leftChars="-50" w:right="-105" w:rightChars="-50" w:firstLine="0" w:firstLineChars="0"/>
              <w:jc w:val="center"/>
              <w:rPr>
                <w:rFonts w:hint="default" w:ascii="Times New Roman" w:hAnsi="Times New Roman" w:eastAsia="宋体" w:cs="Times New Roman"/>
                <w:bCs/>
                <w:snapToGrid w:val="0"/>
                <w:color w:val="auto"/>
                <w:kern w:val="24"/>
                <w:sz w:val="21"/>
                <w:szCs w:val="21"/>
                <w:lang w:val="en-US" w:eastAsia="zh-CN"/>
              </w:rPr>
            </w:pPr>
            <w:r>
              <w:rPr>
                <w:rFonts w:hint="eastAsia" w:cs="Times New Roman"/>
                <w:bCs/>
                <w:snapToGrid w:val="0"/>
                <w:color w:val="auto"/>
                <w:kern w:val="24"/>
                <w:sz w:val="21"/>
                <w:szCs w:val="21"/>
                <w:lang w:val="en-US" w:eastAsia="zh-CN"/>
              </w:rPr>
              <w:t>收集的粉尘</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299" w:type="pct"/>
            <w:noWrap w:val="0"/>
            <w:vAlign w:val="center"/>
          </w:tcPr>
          <w:p>
            <w:pPr>
              <w:pStyle w:val="39"/>
              <w:spacing w:beforeLines="0" w:afterLines="0" w:line="240" w:lineRule="auto"/>
              <w:rPr>
                <w:rFonts w:ascii="Times New Roman"/>
                <w:snapToGrid w:val="0"/>
                <w:color w:val="auto"/>
                <w:kern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continue"/>
            <w:noWrap w:val="0"/>
            <w:vAlign w:val="center"/>
          </w:tcPr>
          <w:p>
            <w:pPr>
              <w:pStyle w:val="39"/>
              <w:spacing w:beforeLines="0" w:afterLines="0" w:line="240" w:lineRule="auto"/>
              <w:rPr>
                <w:rFonts w:ascii="Times New Roman"/>
                <w:snapToGrid w:val="0"/>
                <w:color w:val="auto"/>
                <w:kern w:val="21"/>
                <w:szCs w:val="21"/>
              </w:rPr>
            </w:pPr>
          </w:p>
        </w:tc>
        <w:tc>
          <w:tcPr>
            <w:tcW w:w="513" w:type="pct"/>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default" w:ascii="Times New Roman" w:hAnsi="Times New Roman" w:eastAsia="宋体" w:cs="Times New Roman"/>
                <w:bCs/>
                <w:snapToGrid w:val="0"/>
                <w:color w:val="auto"/>
                <w:kern w:val="24"/>
                <w:sz w:val="21"/>
                <w:szCs w:val="21"/>
              </w:rPr>
              <w:t>脱硫渣</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continue"/>
            <w:noWrap w:val="0"/>
            <w:vAlign w:val="center"/>
          </w:tcPr>
          <w:p>
            <w:pPr>
              <w:pStyle w:val="39"/>
              <w:spacing w:beforeLines="0" w:afterLines="0" w:line="240" w:lineRule="auto"/>
              <w:rPr>
                <w:rFonts w:ascii="Times New Roman"/>
                <w:snapToGrid w:val="0"/>
                <w:color w:val="auto"/>
                <w:kern w:val="21"/>
                <w:szCs w:val="21"/>
              </w:rPr>
            </w:pPr>
          </w:p>
        </w:tc>
        <w:tc>
          <w:tcPr>
            <w:tcW w:w="513" w:type="pct"/>
            <w:noWrap w:val="0"/>
            <w:vAlign w:val="center"/>
          </w:tcPr>
          <w:p>
            <w:pPr>
              <w:spacing w:line="0" w:lineRule="atLeast"/>
              <w:jc w:val="center"/>
              <w:rPr>
                <w:rFonts w:hint="default" w:ascii="Times New Roman" w:hAnsi="Times New Roman" w:eastAsia="宋体"/>
                <w:color w:val="auto"/>
                <w:kern w:val="2"/>
                <w:sz w:val="21"/>
                <w:szCs w:val="21"/>
                <w:lang w:val="en-US" w:eastAsia="zh-CN" w:bidi="ar-SA"/>
              </w:rPr>
            </w:pPr>
            <w:r>
              <w:rPr>
                <w:rFonts w:hint="eastAsia" w:ascii="Times New Roman" w:hAnsi="Times New Roman" w:eastAsia="宋体" w:cs="Times New Roman"/>
                <w:color w:val="auto"/>
                <w:sz w:val="21"/>
                <w:szCs w:val="21"/>
              </w:rPr>
              <w:t>有机肥滤渣</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restar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危险废物</w:t>
            </w:r>
          </w:p>
        </w:tc>
        <w:tc>
          <w:tcPr>
            <w:tcW w:w="513" w:type="pct"/>
            <w:noWrap w:val="0"/>
            <w:vAlign w:val="center"/>
          </w:tcPr>
          <w:p>
            <w:pPr>
              <w:pStyle w:val="39"/>
              <w:spacing w:beforeLines="0" w:afterLines="0" w:line="240" w:lineRule="auto"/>
              <w:rPr>
                <w:rFonts w:hint="default"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实验室废物</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76" w:type="pct"/>
            <w:vMerge w:val="continue"/>
            <w:noWrap w:val="0"/>
            <w:vAlign w:val="center"/>
          </w:tcPr>
          <w:p>
            <w:pPr>
              <w:pStyle w:val="39"/>
              <w:spacing w:beforeLines="0" w:afterLines="0" w:line="240" w:lineRule="auto"/>
              <w:rPr>
                <w:rFonts w:ascii="Times New Roman"/>
                <w:snapToGrid w:val="0"/>
                <w:color w:val="auto"/>
                <w:kern w:val="21"/>
                <w:szCs w:val="21"/>
              </w:rPr>
            </w:pPr>
          </w:p>
        </w:tc>
        <w:tc>
          <w:tcPr>
            <w:tcW w:w="513"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62"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6"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65"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38"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711"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299" w:type="pct"/>
            <w:noWrap w:val="0"/>
            <w:vAlign w:val="center"/>
          </w:tcPr>
          <w:p>
            <w:pPr>
              <w:pStyle w:val="39"/>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r>
    </w:tbl>
    <w:p>
      <w:pPr>
        <w:pStyle w:val="39"/>
        <w:spacing w:before="192" w:beforeLines="80" w:after="24"/>
        <w:jc w:val="left"/>
        <w:rPr>
          <w:rFonts w:ascii="Times New Roman"/>
          <w:snapToGrid w:val="0"/>
          <w:color w:val="auto"/>
          <w:spacing w:val="-6"/>
          <w:kern w:val="21"/>
          <w:szCs w:val="21"/>
        </w:rPr>
        <w:sectPr>
          <w:footerReference r:id="rId8" w:type="default"/>
          <w:pgSz w:w="16838" w:h="11906" w:orient="landscape"/>
          <w:pgMar w:top="1800" w:right="1440" w:bottom="1800" w:left="1440" w:header="851" w:footer="851" w:gutter="0"/>
          <w:pgBorders>
            <w:top w:val="none" w:sz="0" w:space="0"/>
            <w:left w:val="none" w:sz="0" w:space="0"/>
            <w:bottom w:val="none" w:sz="0" w:space="0"/>
            <w:right w:val="none" w:sz="0" w:space="0"/>
          </w:pgBorders>
          <w:pgNumType w:fmt="numberInDash"/>
          <w:cols w:space="720" w:num="1"/>
          <w:docGrid w:linePitch="312" w:charSpace="0"/>
        </w:sectPr>
      </w:pPr>
      <w:r>
        <w:rPr>
          <w:rFonts w:ascii="Times New Roman"/>
          <w:snapToGrid w:val="0"/>
          <w:color w:val="auto"/>
          <w:kern w:val="21"/>
          <w:szCs w:val="21"/>
        </w:rPr>
        <w:t>注：</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hint="eastAsia" w:hAnsi="宋体" w:cs="宋体"/>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hint="eastAsia" w:hAnsi="宋体" w:cs="宋体"/>
          <w:color w:val="auto"/>
          <w:szCs w:val="21"/>
        </w:rPr>
        <w:t>①</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3 \* GB3 \* MERGEFORMAT </w:instrText>
      </w:r>
      <w:r>
        <w:rPr>
          <w:rFonts w:ascii="Times New Roman"/>
          <w:snapToGrid w:val="0"/>
          <w:color w:val="auto"/>
          <w:spacing w:val="-6"/>
          <w:kern w:val="21"/>
          <w:szCs w:val="21"/>
        </w:rPr>
        <w:fldChar w:fldCharType="separate"/>
      </w:r>
      <w:r>
        <w:rPr>
          <w:rFonts w:hint="eastAsia" w:hAnsi="宋体" w:cs="宋体"/>
          <w:color w:val="auto"/>
          <w:szCs w:val="21"/>
        </w:rPr>
        <w:t>③</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4 \* GB3 \* MERGEFORMAT </w:instrText>
      </w:r>
      <w:r>
        <w:rPr>
          <w:rFonts w:ascii="Times New Roman"/>
          <w:snapToGrid w:val="0"/>
          <w:color w:val="auto"/>
          <w:spacing w:val="-6"/>
          <w:kern w:val="21"/>
          <w:szCs w:val="21"/>
        </w:rPr>
        <w:fldChar w:fldCharType="separate"/>
      </w:r>
      <w:r>
        <w:rPr>
          <w:rFonts w:hint="eastAsia" w:hAnsi="宋体" w:cs="宋体"/>
          <w:color w:val="auto"/>
          <w:szCs w:val="21"/>
        </w:rPr>
        <w:t>④</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5 \* GB3 \* MERGEFORMAT </w:instrText>
      </w:r>
      <w:r>
        <w:rPr>
          <w:rFonts w:ascii="Times New Roman"/>
          <w:snapToGrid w:val="0"/>
          <w:color w:val="auto"/>
          <w:spacing w:val="-16"/>
          <w:kern w:val="21"/>
          <w:szCs w:val="21"/>
        </w:rPr>
        <w:fldChar w:fldCharType="separate"/>
      </w:r>
      <w:r>
        <w:rPr>
          <w:rFonts w:hint="eastAsia" w:hAnsi="宋体" w:cs="宋体"/>
          <w:color w:val="auto"/>
          <w:szCs w:val="21"/>
        </w:rPr>
        <w:t>⑤</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7 \* GB3 \* MERGEFORMAT </w:instrText>
      </w:r>
      <w:r>
        <w:rPr>
          <w:rFonts w:ascii="Times New Roman"/>
          <w:snapToGrid w:val="0"/>
          <w:color w:val="auto"/>
          <w:spacing w:val="-6"/>
          <w:kern w:val="21"/>
          <w:szCs w:val="21"/>
        </w:rPr>
        <w:fldChar w:fldCharType="separate"/>
      </w:r>
      <w:r>
        <w:rPr>
          <w:rFonts w:hint="eastAsia" w:hAnsi="宋体" w:cs="宋体"/>
          <w:color w:val="auto"/>
          <w:szCs w:val="21"/>
        </w:rPr>
        <w:t>⑦</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hint="eastAsia" w:hAnsi="宋体" w:cs="宋体"/>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hint="eastAsia" w:hAnsi="宋体" w:cs="宋体"/>
          <w:color w:val="auto"/>
          <w:szCs w:val="21"/>
        </w:rPr>
        <w:t>①</w:t>
      </w:r>
      <w:r>
        <w:rPr>
          <w:rFonts w:ascii="Times New Roman"/>
          <w:snapToGrid w:val="0"/>
          <w:color w:val="auto"/>
          <w:spacing w:val="-6"/>
          <w:kern w:val="21"/>
          <w:szCs w:val="21"/>
        </w:rPr>
        <w:fldChar w:fldCharType="end"/>
      </w:r>
    </w:p>
    <w:p>
      <w:pPr>
        <w:bidi w:val="0"/>
        <w:rPr>
          <w:rFonts w:hint="eastAsia"/>
          <w:b/>
          <w:bCs/>
          <w:color w:val="auto"/>
          <w:lang w:val="en-US" w:eastAsia="zh-CN"/>
        </w:rPr>
      </w:pPr>
      <w:r>
        <w:rPr>
          <w:rFonts w:hint="eastAsia"/>
          <w:b/>
          <w:bCs/>
          <w:color w:val="auto"/>
          <w:lang w:val="en-US" w:eastAsia="zh-CN"/>
        </w:rPr>
        <w:t>附件1 委托书</w:t>
      </w:r>
    </w:p>
    <w:p>
      <w:pPr>
        <w:rPr>
          <w:rFonts w:hint="eastAsia"/>
          <w:lang w:val="en-US" w:eastAsia="zh-CN"/>
        </w:rPr>
      </w:pPr>
      <w:r>
        <w:rPr>
          <w:rFonts w:hint="eastAsia"/>
          <w:lang w:val="en-US" w:eastAsia="zh-CN"/>
        </w:rPr>
        <w:drawing>
          <wp:inline distT="0" distB="0" distL="114300" distR="114300">
            <wp:extent cx="5386070" cy="8246110"/>
            <wp:effectExtent l="0" t="0" r="5080" b="2540"/>
            <wp:docPr id="19" name="图片 19" descr="委托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委托书"/>
                    <pic:cNvPicPr>
                      <a:picLocks noChangeAspect="1"/>
                    </pic:cNvPicPr>
                  </pic:nvPicPr>
                  <pic:blipFill>
                    <a:blip r:embed="rId18"/>
                    <a:stretch>
                      <a:fillRect/>
                    </a:stretch>
                  </pic:blipFill>
                  <pic:spPr>
                    <a:xfrm>
                      <a:off x="0" y="0"/>
                      <a:ext cx="5386070" cy="8246110"/>
                    </a:xfrm>
                    <a:prstGeom prst="rect">
                      <a:avLst/>
                    </a:prstGeom>
                  </pic:spPr>
                </pic:pic>
              </a:graphicData>
            </a:graphic>
          </wp:inline>
        </w:drawing>
      </w:r>
    </w:p>
    <w:p>
      <w:pPr>
        <w:rPr>
          <w:rFonts w:hint="eastAsia"/>
          <w:lang w:val="en-US" w:eastAsia="zh-CN"/>
        </w:rPr>
      </w:pPr>
    </w:p>
    <w:p>
      <w:pPr>
        <w:bidi w:val="0"/>
        <w:rPr>
          <w:rFonts w:hint="default"/>
          <w:b w:val="0"/>
          <w:bCs w:val="0"/>
          <w:color w:val="auto"/>
          <w:lang w:val="en-US" w:eastAsia="zh-CN"/>
        </w:rPr>
      </w:pPr>
      <w:r>
        <w:rPr>
          <w:rFonts w:hint="eastAsia" w:ascii="Times New Roman" w:hAnsi="Times New Roman" w:eastAsia="宋体" w:cs="Times New Roman"/>
          <w:b/>
          <w:bCs/>
          <w:color w:val="auto"/>
          <w:lang w:val="en-US" w:eastAsia="zh-CN"/>
        </w:rPr>
        <w:t>附件2 土地文件</w:t>
      </w:r>
    </w:p>
    <w:p>
      <w:pPr>
        <w:bidi w:val="0"/>
        <w:rPr>
          <w:rFonts w:hint="eastAsia"/>
          <w:b/>
          <w:bCs/>
          <w:color w:val="auto"/>
          <w:lang w:val="en-US" w:eastAsia="zh-CN"/>
        </w:rPr>
      </w:pPr>
      <w:r>
        <w:rPr>
          <w:rFonts w:hint="eastAsia"/>
          <w:b/>
          <w:bCs/>
          <w:color w:val="auto"/>
          <w:sz w:val="24"/>
          <w:szCs w:val="24"/>
          <w:lang w:val="en-US" w:eastAsia="zh-CN"/>
        </w:rPr>
        <w:drawing>
          <wp:anchor distT="0" distB="0" distL="114300" distR="114300" simplePos="0" relativeHeight="251660288" behindDoc="0" locked="0" layoutInCell="1" allowOverlap="1">
            <wp:simplePos x="0" y="0"/>
            <wp:positionH relativeFrom="column">
              <wp:posOffset>-13335</wp:posOffset>
            </wp:positionH>
            <wp:positionV relativeFrom="paragraph">
              <wp:posOffset>118745</wp:posOffset>
            </wp:positionV>
            <wp:extent cx="5289550" cy="8171180"/>
            <wp:effectExtent l="0" t="0" r="6350" b="1270"/>
            <wp:wrapNone/>
            <wp:docPr id="1" name="图片 97" descr="78460029f488fea0b668e9f739327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7" descr="78460029f488fea0b668e9f7393270f"/>
                    <pic:cNvPicPr>
                      <a:picLocks noChangeAspect="1"/>
                    </pic:cNvPicPr>
                  </pic:nvPicPr>
                  <pic:blipFill>
                    <a:blip r:embed="rId19"/>
                    <a:stretch>
                      <a:fillRect/>
                    </a:stretch>
                  </pic:blipFill>
                  <pic:spPr>
                    <a:xfrm>
                      <a:off x="0" y="0"/>
                      <a:ext cx="5289550" cy="8171180"/>
                    </a:xfrm>
                    <a:prstGeom prst="rect">
                      <a:avLst/>
                    </a:prstGeom>
                    <a:noFill/>
                    <a:ln>
                      <a:noFill/>
                    </a:ln>
                  </pic:spPr>
                </pic:pic>
              </a:graphicData>
            </a:graphic>
          </wp:anchor>
        </w:drawing>
      </w:r>
    </w:p>
    <w:p>
      <w:pPr>
        <w:bidi w:val="0"/>
        <w:rPr>
          <w:rFonts w:hint="eastAsia"/>
          <w:b/>
          <w:bCs/>
          <w:color w:val="auto"/>
          <w:lang w:val="en-US" w:eastAsia="zh-CN"/>
        </w:rPr>
      </w:pPr>
    </w:p>
    <w:p>
      <w:pPr>
        <w:rPr>
          <w:rFonts w:hint="eastAsia"/>
          <w:b/>
          <w:bCs/>
          <w:color w:val="auto"/>
          <w:lang w:val="en-US" w:eastAsia="zh-CN"/>
        </w:rPr>
      </w:pPr>
      <w:r>
        <w:rPr>
          <w:rFonts w:hint="eastAsia"/>
          <w:b/>
          <w:bCs/>
          <w:color w:val="auto"/>
          <w:lang w:val="en-US" w:eastAsia="zh-CN"/>
        </w:rPr>
        <w:br w:type="page"/>
      </w:r>
      <w:r>
        <w:rPr>
          <w:rFonts w:hint="eastAsia"/>
          <w:b/>
          <w:bCs/>
          <w:color w:val="auto"/>
          <w:sz w:val="24"/>
          <w:szCs w:val="24"/>
          <w:lang w:val="en-US" w:eastAsia="zh-CN"/>
        </w:rPr>
        <w:drawing>
          <wp:anchor distT="0" distB="0" distL="114300" distR="114300" simplePos="0" relativeHeight="251661312" behindDoc="0" locked="0" layoutInCell="1" allowOverlap="1">
            <wp:simplePos x="0" y="0"/>
            <wp:positionH relativeFrom="column">
              <wp:posOffset>-1553845</wp:posOffset>
            </wp:positionH>
            <wp:positionV relativeFrom="paragraph">
              <wp:posOffset>1679575</wp:posOffset>
            </wp:positionV>
            <wp:extent cx="8330565" cy="5290820"/>
            <wp:effectExtent l="0" t="0" r="5080" b="13335"/>
            <wp:wrapNone/>
            <wp:docPr id="2" name="图片 99" descr="49fa5a77a220a961f1b3b16be8ba3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9" descr="49fa5a77a220a961f1b3b16be8ba3d3"/>
                    <pic:cNvPicPr>
                      <a:picLocks noChangeAspect="1"/>
                    </pic:cNvPicPr>
                  </pic:nvPicPr>
                  <pic:blipFill>
                    <a:blip r:embed="rId20"/>
                    <a:stretch>
                      <a:fillRect/>
                    </a:stretch>
                  </pic:blipFill>
                  <pic:spPr>
                    <a:xfrm rot="-5400000">
                      <a:off x="0" y="0"/>
                      <a:ext cx="8330565" cy="5290820"/>
                    </a:xfrm>
                    <a:prstGeom prst="rect">
                      <a:avLst/>
                    </a:prstGeom>
                    <a:noFill/>
                    <a:ln>
                      <a:noFill/>
                    </a:ln>
                  </pic:spPr>
                </pic:pic>
              </a:graphicData>
            </a:graphic>
          </wp:anchor>
        </w:drawing>
      </w:r>
    </w:p>
    <w:p>
      <w:pPr>
        <w:rPr>
          <w:rFonts w:hint="eastAsia"/>
          <w:color w:val="auto"/>
          <w:lang w:val="en-US" w:eastAsia="zh-CN"/>
        </w:rPr>
      </w:pPr>
    </w:p>
    <w:p>
      <w:pPr>
        <w:rPr>
          <w:rFonts w:hint="eastAsia"/>
          <w:color w:val="auto"/>
          <w:lang w:val="en-US" w:eastAsia="zh-CN"/>
        </w:rPr>
      </w:pPr>
      <w:r>
        <w:rPr>
          <w:rFonts w:hint="eastAsia"/>
          <w:b/>
          <w:bCs/>
          <w:color w:val="auto"/>
          <w:sz w:val="24"/>
          <w:szCs w:val="24"/>
          <w:lang w:val="en-US" w:eastAsia="zh-CN"/>
        </w:rPr>
        <w:drawing>
          <wp:anchor distT="0" distB="0" distL="114300" distR="114300" simplePos="0" relativeHeight="251662336" behindDoc="0" locked="0" layoutInCell="1" allowOverlap="1">
            <wp:simplePos x="0" y="0"/>
            <wp:positionH relativeFrom="column">
              <wp:posOffset>-1440815</wp:posOffset>
            </wp:positionH>
            <wp:positionV relativeFrom="paragraph">
              <wp:posOffset>1501775</wp:posOffset>
            </wp:positionV>
            <wp:extent cx="8107680" cy="5043805"/>
            <wp:effectExtent l="0" t="0" r="4445" b="7620"/>
            <wp:wrapNone/>
            <wp:docPr id="3" name="图片 100" descr="aa8accd8da3bdb5e83ad87e311c91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 descr="aa8accd8da3bdb5e83ad87e311c91ad"/>
                    <pic:cNvPicPr>
                      <a:picLocks noChangeAspect="1"/>
                    </pic:cNvPicPr>
                  </pic:nvPicPr>
                  <pic:blipFill>
                    <a:blip r:embed="rId21"/>
                    <a:stretch>
                      <a:fillRect/>
                    </a:stretch>
                  </pic:blipFill>
                  <pic:spPr>
                    <a:xfrm rot="-5400000">
                      <a:off x="0" y="0"/>
                      <a:ext cx="8107680" cy="5043805"/>
                    </a:xfrm>
                    <a:prstGeom prst="rect">
                      <a:avLst/>
                    </a:prstGeom>
                    <a:noFill/>
                    <a:ln>
                      <a:noFill/>
                    </a:ln>
                  </pic:spPr>
                </pic:pic>
              </a:graphicData>
            </a:graphic>
          </wp:anchor>
        </w:drawing>
      </w:r>
    </w:p>
    <w:p>
      <w:pPr>
        <w:rPr>
          <w:rFonts w:hint="eastAsia"/>
          <w:color w:val="auto"/>
          <w:lang w:val="en-US" w:eastAsia="zh-CN"/>
        </w:rPr>
      </w:pPr>
    </w:p>
    <w:p>
      <w:pPr>
        <w:bidi w:val="0"/>
        <w:rPr>
          <w:rFonts w:hint="eastAsia" w:ascii="Times New Roman" w:hAnsi="Times New Roman" w:eastAsia="宋体"/>
          <w:color w:val="auto"/>
          <w:kern w:val="2"/>
          <w:sz w:val="21"/>
          <w:szCs w:val="21"/>
          <w:lang w:val="en-US" w:eastAsia="zh-CN" w:bidi="ar-SA"/>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bidi w:val="0"/>
        <w:rPr>
          <w:rFonts w:hint="eastAsia"/>
          <w:color w:val="auto"/>
          <w:lang w:val="en-US" w:eastAsia="zh-CN"/>
        </w:rPr>
      </w:pPr>
    </w:p>
    <w:p>
      <w:pPr>
        <w:rPr>
          <w:rFonts w:hint="eastAsia"/>
          <w:color w:val="auto"/>
          <w:lang w:val="en-US" w:eastAsia="zh-CN"/>
        </w:rPr>
      </w:pPr>
      <w:r>
        <w:rPr>
          <w:rFonts w:hint="eastAsia"/>
          <w:b/>
          <w:bCs/>
          <w:color w:val="auto"/>
          <w:sz w:val="24"/>
          <w:szCs w:val="24"/>
          <w:lang w:val="en-US" w:eastAsia="zh-CN"/>
        </w:rPr>
        <w:drawing>
          <wp:anchor distT="0" distB="0" distL="114300" distR="114300" simplePos="0" relativeHeight="251663360" behindDoc="0" locked="0" layoutInCell="1" allowOverlap="1">
            <wp:simplePos x="0" y="0"/>
            <wp:positionH relativeFrom="column">
              <wp:posOffset>65405</wp:posOffset>
            </wp:positionH>
            <wp:positionV relativeFrom="paragraph">
              <wp:posOffset>225425</wp:posOffset>
            </wp:positionV>
            <wp:extent cx="5202555" cy="8035925"/>
            <wp:effectExtent l="0" t="0" r="17145" b="3175"/>
            <wp:wrapNone/>
            <wp:docPr id="4" name="图片 102" descr="2015d061a11ad0526e5d91bae6f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2" descr="2015d061a11ad0526e5d91bae6f1219"/>
                    <pic:cNvPicPr>
                      <a:picLocks noChangeAspect="1"/>
                    </pic:cNvPicPr>
                  </pic:nvPicPr>
                  <pic:blipFill>
                    <a:blip r:embed="rId22"/>
                    <a:stretch>
                      <a:fillRect/>
                    </a:stretch>
                  </pic:blipFill>
                  <pic:spPr>
                    <a:xfrm rot="10800000">
                      <a:off x="0" y="0"/>
                      <a:ext cx="5202555" cy="8035925"/>
                    </a:xfrm>
                    <a:prstGeom prst="rect">
                      <a:avLst/>
                    </a:prstGeom>
                    <a:noFill/>
                    <a:ln>
                      <a:noFill/>
                    </a:ln>
                  </pic:spPr>
                </pic:pic>
              </a:graphicData>
            </a:graphic>
          </wp:anchor>
        </w:drawing>
      </w:r>
    </w:p>
    <w:p>
      <w:pPr>
        <w:rPr>
          <w:rFonts w:hint="eastAsia"/>
          <w:color w:val="auto"/>
          <w:lang w:val="en-US" w:eastAsia="zh-CN"/>
        </w:rPr>
      </w:pPr>
    </w:p>
    <w:p>
      <w:pPr>
        <w:rPr>
          <w:rFonts w:hint="eastAsia"/>
          <w:color w:val="auto"/>
          <w:lang w:val="en-US" w:eastAsia="zh-CN"/>
        </w:rPr>
        <w:sectPr>
          <w:headerReference r:id="rId9" w:type="default"/>
          <w:footerReference r:id="rId10" w:type="default"/>
          <w:pgSz w:w="11906" w:h="16838"/>
          <w:pgMar w:top="1440" w:right="1800" w:bottom="1440" w:left="1800" w:header="851" w:footer="850" w:gutter="0"/>
          <w:pgBorders>
            <w:top w:val="none" w:sz="0" w:space="0"/>
            <w:left w:val="none" w:sz="0" w:space="0"/>
            <w:bottom w:val="none" w:sz="0" w:space="0"/>
            <w:right w:val="none" w:sz="0" w:space="0"/>
          </w:pgBorders>
          <w:pgNumType w:fmt="numberInDash"/>
          <w:cols w:space="720" w:num="1"/>
          <w:rtlGutter w:val="0"/>
          <w:docGrid w:linePitch="312" w:charSpace="0"/>
        </w:sectPr>
      </w:pPr>
    </w:p>
    <w:p>
      <w:pPr>
        <w:bidi w:val="0"/>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附件3 原项目环评批复</w:t>
      </w:r>
    </w:p>
    <w:p>
      <w:pPr>
        <w:pStyle w:val="18"/>
        <w:ind w:left="0" w:leftChars="0" w:firstLine="0" w:firstLineChars="0"/>
        <w:rPr>
          <w:rFonts w:hint="default"/>
          <w:color w:val="auto"/>
          <w:lang w:val="en-US" w:eastAsia="zh-CN"/>
        </w:rPr>
      </w:pPr>
      <w:r>
        <w:rPr>
          <w:rFonts w:hint="default"/>
          <w:color w:val="auto"/>
          <w:lang w:val="en-US" w:eastAsia="zh-CN"/>
        </w:rPr>
        <w:drawing>
          <wp:inline distT="0" distB="0" distL="114300" distR="114300">
            <wp:extent cx="5266055" cy="8228330"/>
            <wp:effectExtent l="0" t="0" r="10795" b="1270"/>
            <wp:docPr id="9" name="图片 42" descr="批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2" descr="批复1"/>
                    <pic:cNvPicPr>
                      <a:picLocks noChangeAspect="1"/>
                    </pic:cNvPicPr>
                  </pic:nvPicPr>
                  <pic:blipFill>
                    <a:blip r:embed="rId23"/>
                    <a:stretch>
                      <a:fillRect/>
                    </a:stretch>
                  </pic:blipFill>
                  <pic:spPr>
                    <a:xfrm>
                      <a:off x="0" y="0"/>
                      <a:ext cx="5266055" cy="8228330"/>
                    </a:xfrm>
                    <a:prstGeom prst="rect">
                      <a:avLst/>
                    </a:prstGeom>
                    <a:noFill/>
                    <a:ln>
                      <a:noFill/>
                    </a:ln>
                  </pic:spPr>
                </pic:pic>
              </a:graphicData>
            </a:graphic>
          </wp:inline>
        </w:drawing>
      </w:r>
    </w:p>
    <w:p>
      <w:pPr>
        <w:rPr>
          <w:rFonts w:hint="default"/>
          <w:color w:val="auto"/>
          <w:lang w:val="en-US" w:eastAsia="zh-CN"/>
        </w:rPr>
      </w:pPr>
    </w:p>
    <w:p>
      <w:pPr>
        <w:pStyle w:val="18"/>
        <w:rPr>
          <w:rFonts w:hint="default"/>
          <w:color w:val="auto"/>
          <w:lang w:val="en-US" w:eastAsia="zh-CN"/>
        </w:rPr>
      </w:pPr>
    </w:p>
    <w:p>
      <w:pPr>
        <w:rPr>
          <w:rFonts w:hint="default"/>
          <w:color w:val="auto"/>
          <w:lang w:val="en-US" w:eastAsia="zh-CN"/>
        </w:rPr>
      </w:pPr>
      <w:r>
        <w:rPr>
          <w:rFonts w:hint="default"/>
          <w:color w:val="auto"/>
          <w:lang w:val="en-US" w:eastAsia="zh-CN"/>
        </w:rPr>
        <w:drawing>
          <wp:inline distT="0" distB="0" distL="114300" distR="114300">
            <wp:extent cx="5266055" cy="8128635"/>
            <wp:effectExtent l="0" t="0" r="10795" b="5715"/>
            <wp:docPr id="10" name="图片 40" descr="批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0" descr="批复2"/>
                    <pic:cNvPicPr>
                      <a:picLocks noChangeAspect="1"/>
                    </pic:cNvPicPr>
                  </pic:nvPicPr>
                  <pic:blipFill>
                    <a:blip r:embed="rId24"/>
                    <a:stretch>
                      <a:fillRect/>
                    </a:stretch>
                  </pic:blipFill>
                  <pic:spPr>
                    <a:xfrm>
                      <a:off x="0" y="0"/>
                      <a:ext cx="5266055" cy="8128635"/>
                    </a:xfrm>
                    <a:prstGeom prst="rect">
                      <a:avLst/>
                    </a:prstGeom>
                    <a:noFill/>
                    <a:ln>
                      <a:noFill/>
                    </a:ln>
                  </pic:spPr>
                </pic:pic>
              </a:graphicData>
            </a:graphic>
          </wp:inline>
        </w:drawing>
      </w:r>
    </w:p>
    <w:p>
      <w:pPr>
        <w:pStyle w:val="18"/>
        <w:rPr>
          <w:rFonts w:hint="default"/>
          <w:color w:val="auto"/>
          <w:lang w:val="en-US" w:eastAsia="zh-CN"/>
        </w:rPr>
      </w:pPr>
    </w:p>
    <w:p>
      <w:pPr>
        <w:rPr>
          <w:rFonts w:hint="default"/>
          <w:color w:val="auto"/>
          <w:lang w:val="en-US" w:eastAsia="zh-CN"/>
        </w:rPr>
      </w:pPr>
    </w:p>
    <w:p>
      <w:pPr>
        <w:pStyle w:val="18"/>
        <w:rPr>
          <w:rFonts w:hint="default"/>
          <w:color w:val="auto"/>
          <w:lang w:val="en-US" w:eastAsia="zh-CN"/>
        </w:rPr>
      </w:pPr>
    </w:p>
    <w:p>
      <w:pPr>
        <w:rPr>
          <w:rFonts w:hint="default"/>
          <w:color w:val="auto"/>
          <w:lang w:val="en-US" w:eastAsia="zh-CN"/>
        </w:rPr>
      </w:pPr>
    </w:p>
    <w:p>
      <w:pPr>
        <w:pStyle w:val="18"/>
        <w:ind w:left="0" w:leftChars="0" w:firstLine="0" w:firstLineChars="0"/>
        <w:rPr>
          <w:rFonts w:hint="default"/>
          <w:color w:val="auto"/>
          <w:lang w:val="en-US" w:eastAsia="zh-CN"/>
        </w:rPr>
      </w:pPr>
      <w:r>
        <w:rPr>
          <w:rFonts w:hint="default"/>
          <w:color w:val="auto"/>
          <w:lang w:val="en-US" w:eastAsia="zh-CN"/>
        </w:rPr>
        <w:drawing>
          <wp:inline distT="0" distB="0" distL="114300" distR="114300">
            <wp:extent cx="5266055" cy="7871460"/>
            <wp:effectExtent l="0" t="0" r="10795" b="15240"/>
            <wp:docPr id="11" name="图片 41" descr="批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1" descr="批复3"/>
                    <pic:cNvPicPr>
                      <a:picLocks noChangeAspect="1"/>
                    </pic:cNvPicPr>
                  </pic:nvPicPr>
                  <pic:blipFill>
                    <a:blip r:embed="rId25"/>
                    <a:stretch>
                      <a:fillRect/>
                    </a:stretch>
                  </pic:blipFill>
                  <pic:spPr>
                    <a:xfrm>
                      <a:off x="0" y="0"/>
                      <a:ext cx="5266055" cy="7871460"/>
                    </a:xfrm>
                    <a:prstGeom prst="rect">
                      <a:avLst/>
                    </a:prstGeom>
                    <a:noFill/>
                    <a:ln>
                      <a:noFill/>
                    </a:ln>
                  </pic:spPr>
                </pic:pic>
              </a:graphicData>
            </a:graphic>
          </wp:inline>
        </w:drawing>
      </w:r>
    </w:p>
    <w:p>
      <w:pPr>
        <w:rPr>
          <w:color w:val="auto"/>
        </w:rPr>
      </w:pPr>
      <w:r>
        <w:rPr>
          <w:color w:val="auto"/>
        </w:rPr>
        <w:br w:type="page"/>
      </w:r>
    </w:p>
    <w:p>
      <w:pPr>
        <w:rPr>
          <w:rFonts w:hint="default" w:ascii="Times New Roman" w:hAnsi="Times New Roman" w:eastAsia="宋体" w:cs="Times New Roman"/>
          <w:b/>
          <w:bCs/>
          <w:color w:val="auto"/>
          <w:lang w:val="en-US" w:eastAsia="zh-CN"/>
        </w:rPr>
      </w:pPr>
      <w:r>
        <w:rPr>
          <w:rFonts w:hint="eastAsia"/>
          <w:b/>
          <w:bCs/>
          <w:color w:val="auto"/>
          <w:sz w:val="24"/>
          <w:szCs w:val="24"/>
          <w:lang w:val="en-US" w:eastAsia="zh-CN"/>
        </w:rPr>
        <w:drawing>
          <wp:anchor distT="0" distB="0" distL="114300" distR="114300" simplePos="0" relativeHeight="251664384" behindDoc="0" locked="0" layoutInCell="1" allowOverlap="1">
            <wp:simplePos x="0" y="0"/>
            <wp:positionH relativeFrom="column">
              <wp:posOffset>-69850</wp:posOffset>
            </wp:positionH>
            <wp:positionV relativeFrom="paragraph">
              <wp:posOffset>249555</wp:posOffset>
            </wp:positionV>
            <wp:extent cx="5333365" cy="7923530"/>
            <wp:effectExtent l="0" t="0" r="635" b="1270"/>
            <wp:wrapNone/>
            <wp:docPr id="5" name="图片 104" descr="6ce6d5fa62cdcc1d447f4d5831f8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4" descr="6ce6d5fa62cdcc1d447f4d5831f8ffe"/>
                    <pic:cNvPicPr>
                      <a:picLocks noChangeAspect="1"/>
                    </pic:cNvPicPr>
                  </pic:nvPicPr>
                  <pic:blipFill>
                    <a:blip r:embed="rId26"/>
                    <a:stretch>
                      <a:fillRect/>
                    </a:stretch>
                  </pic:blipFill>
                  <pic:spPr>
                    <a:xfrm>
                      <a:off x="0" y="0"/>
                      <a:ext cx="5333365" cy="7923530"/>
                    </a:xfrm>
                    <a:prstGeom prst="rect">
                      <a:avLst/>
                    </a:prstGeom>
                    <a:noFill/>
                    <a:ln>
                      <a:noFill/>
                    </a:ln>
                  </pic:spPr>
                </pic:pic>
              </a:graphicData>
            </a:graphic>
          </wp:anchor>
        </w:drawing>
      </w:r>
      <w:r>
        <w:rPr>
          <w:rFonts w:hint="eastAsia" w:ascii="Times New Roman" w:hAnsi="Times New Roman" w:eastAsia="宋体" w:cs="Times New Roman"/>
          <w:b/>
          <w:bCs/>
          <w:color w:val="auto"/>
          <w:lang w:val="en-US" w:eastAsia="zh-CN"/>
        </w:rPr>
        <w:t>附件4 相关文件</w:t>
      </w:r>
    </w:p>
    <w:p>
      <w:pPr>
        <w:rPr>
          <w:color w:val="auto"/>
        </w:rPr>
      </w:pPr>
    </w:p>
    <w:p>
      <w:pPr>
        <w:rPr>
          <w:color w:val="auto"/>
        </w:rPr>
      </w:pPr>
    </w:p>
    <w:p>
      <w:pPr>
        <w:rPr>
          <w:color w:val="auto"/>
        </w:rPr>
      </w:pPr>
    </w:p>
    <w:p>
      <w:pPr>
        <w:rPr>
          <w:color w:val="auto"/>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p>
    <w:p>
      <w:pPr>
        <w:rPr>
          <w:rFonts w:hint="eastAsia"/>
          <w:lang w:val="en-US" w:eastAsia="zh-CN"/>
        </w:rPr>
      </w:pPr>
    </w:p>
    <w:p>
      <w:pPr>
        <w:rPr>
          <w:rFonts w:hint="eastAsia"/>
          <w:lang w:val="en-US" w:eastAsia="zh-CN"/>
        </w:rPr>
      </w:pPr>
      <w:r>
        <w:rPr>
          <w:rFonts w:hint="eastAsia"/>
          <w:b/>
          <w:bCs/>
          <w:color w:val="000000" w:themeColor="text1"/>
          <w:sz w:val="24"/>
          <w:szCs w:val="24"/>
          <w:lang w:val="en-US" w:eastAsia="zh-CN"/>
          <w14:textFill>
            <w14:solidFill>
              <w14:schemeClr w14:val="tx1"/>
            </w14:solidFill>
          </w14:textFill>
        </w:rPr>
        <w:drawing>
          <wp:anchor distT="0" distB="0" distL="114300" distR="114300" simplePos="0" relativeHeight="251666432" behindDoc="0" locked="0" layoutInCell="1" allowOverlap="1">
            <wp:simplePos x="0" y="0"/>
            <wp:positionH relativeFrom="column">
              <wp:posOffset>-16510</wp:posOffset>
            </wp:positionH>
            <wp:positionV relativeFrom="paragraph">
              <wp:posOffset>226695</wp:posOffset>
            </wp:positionV>
            <wp:extent cx="5220335" cy="8366125"/>
            <wp:effectExtent l="0" t="0" r="18415" b="15875"/>
            <wp:wrapNone/>
            <wp:docPr id="7" name="图片 109" descr="1584173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9" descr="1584173441(1)"/>
                    <pic:cNvPicPr>
                      <a:picLocks noChangeAspect="1"/>
                    </pic:cNvPicPr>
                  </pic:nvPicPr>
                  <pic:blipFill>
                    <a:blip r:embed="rId27"/>
                    <a:stretch>
                      <a:fillRect/>
                    </a:stretch>
                  </pic:blipFill>
                  <pic:spPr>
                    <a:xfrm>
                      <a:off x="0" y="0"/>
                      <a:ext cx="5220335" cy="8366125"/>
                    </a:xfrm>
                    <a:prstGeom prst="rect">
                      <a:avLst/>
                    </a:prstGeom>
                    <a:noFill/>
                    <a:ln>
                      <a:noFill/>
                    </a:ln>
                  </pic:spPr>
                </pic:pic>
              </a:graphicData>
            </a:graphic>
          </wp:anchor>
        </w:drawing>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ascii="Times New Roman" w:hAnsi="Times New Roman" w:eastAsia="宋体" w:cs="Times New Roman"/>
          <w:b/>
          <w:bCs/>
          <w:color w:val="auto"/>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附图1 项目地理位置图</w:t>
      </w:r>
    </w:p>
    <w:p>
      <w:pPr>
        <w:rPr>
          <w:color w:val="auto"/>
        </w:rPr>
      </w:pPr>
      <w:r>
        <w:rPr>
          <w:color w:val="auto"/>
        </w:rPr>
        <w:drawing>
          <wp:inline distT="0" distB="0" distL="114300" distR="114300">
            <wp:extent cx="5270500" cy="3833495"/>
            <wp:effectExtent l="0" t="0" r="6350" b="14605"/>
            <wp:docPr id="1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4"/>
                    <pic:cNvPicPr>
                      <a:picLocks noChangeAspect="1"/>
                    </pic:cNvPicPr>
                  </pic:nvPicPr>
                  <pic:blipFill>
                    <a:blip r:embed="rId28"/>
                    <a:stretch>
                      <a:fillRect/>
                    </a:stretch>
                  </pic:blipFill>
                  <pic:spPr>
                    <a:xfrm>
                      <a:off x="0" y="0"/>
                      <a:ext cx="5270500" cy="3833495"/>
                    </a:xfrm>
                    <a:prstGeom prst="rect">
                      <a:avLst/>
                    </a:prstGeom>
                    <a:noFill/>
                    <a:ln>
                      <a:noFill/>
                    </a:ln>
                  </pic:spPr>
                </pic:pic>
              </a:graphicData>
            </a:graphic>
          </wp:inline>
        </w:drawing>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color w:val="auto"/>
          <w:lang w:eastAsia="zh-CN"/>
        </w:rPr>
      </w:pPr>
    </w:p>
    <w:p>
      <w:pPr>
        <w:rPr>
          <w:rFonts w:hint="eastAsia"/>
          <w:color w:val="auto"/>
          <w:lang w:val="en-US" w:eastAsia="zh-CN"/>
        </w:rPr>
      </w:pPr>
    </w:p>
    <w:p>
      <w:pPr>
        <w:rPr>
          <w:color w:val="auto"/>
        </w:rPr>
      </w:pPr>
    </w:p>
    <w:p>
      <w:pPr>
        <w:rPr>
          <w:color w:val="auto"/>
        </w:rPr>
      </w:pPr>
    </w:p>
    <w:p>
      <w:pPr>
        <w:rPr>
          <w:color w:val="auto"/>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附图2 厂区平面布置图</w:t>
      </w:r>
    </w:p>
    <w:p>
      <w:pPr>
        <w:rPr>
          <w:rFonts w:hint="default"/>
          <w:color w:val="auto"/>
          <w:lang w:val="en-US" w:eastAsia="zh-CN"/>
        </w:rPr>
      </w:pPr>
    </w:p>
    <w:p>
      <w:pPr>
        <w:rPr>
          <w:color w:val="auto"/>
        </w:rPr>
      </w:pPr>
      <w:r>
        <w:rPr>
          <w:color w:val="auto"/>
        </w:rPr>
        <w:drawing>
          <wp:inline distT="0" distB="0" distL="114300" distR="114300">
            <wp:extent cx="5263515" cy="3520440"/>
            <wp:effectExtent l="0" t="0" r="13335" b="3810"/>
            <wp:docPr id="1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5"/>
                    <pic:cNvPicPr>
                      <a:picLocks noChangeAspect="1"/>
                    </pic:cNvPicPr>
                  </pic:nvPicPr>
                  <pic:blipFill>
                    <a:blip r:embed="rId29"/>
                    <a:stretch>
                      <a:fillRect/>
                    </a:stretch>
                  </pic:blipFill>
                  <pic:spPr>
                    <a:xfrm>
                      <a:off x="0" y="0"/>
                      <a:ext cx="5263515" cy="3520440"/>
                    </a:xfrm>
                    <a:prstGeom prst="rect">
                      <a:avLst/>
                    </a:prstGeom>
                    <a:noFill/>
                    <a:ln>
                      <a:noFill/>
                    </a:ln>
                  </pic:spPr>
                </pic:pic>
              </a:graphicData>
            </a:graphic>
          </wp:inline>
        </w:drawing>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ascii="Times New Roman" w:hAnsi="Times New Roman" w:eastAsia="宋体" w:cs="Times New Roman"/>
          <w:b/>
          <w:bCs/>
          <w:color w:val="auto"/>
          <w:lang w:val="en-US" w:eastAsia="zh-CN"/>
        </w:rPr>
      </w:pPr>
    </w:p>
    <w:p>
      <w:pPr>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附图3 项目四邻图</w:t>
      </w:r>
    </w:p>
    <w:p>
      <w:pPr>
        <w:rPr>
          <w:color w:val="auto"/>
        </w:rPr>
      </w:pPr>
      <w:r>
        <w:rPr>
          <w:color w:val="auto"/>
        </w:rPr>
        <w:drawing>
          <wp:inline distT="0" distB="0" distL="114300" distR="114300">
            <wp:extent cx="5261610" cy="3701415"/>
            <wp:effectExtent l="0" t="0" r="15240" b="13335"/>
            <wp:docPr id="1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6"/>
                    <pic:cNvPicPr>
                      <a:picLocks noChangeAspect="1"/>
                    </pic:cNvPicPr>
                  </pic:nvPicPr>
                  <pic:blipFill>
                    <a:blip r:embed="rId30"/>
                    <a:stretch>
                      <a:fillRect/>
                    </a:stretch>
                  </pic:blipFill>
                  <pic:spPr>
                    <a:xfrm>
                      <a:off x="0" y="0"/>
                      <a:ext cx="5261610" cy="3701415"/>
                    </a:xfrm>
                    <a:prstGeom prst="rect">
                      <a:avLst/>
                    </a:prstGeom>
                    <a:noFill/>
                    <a:ln>
                      <a:noFill/>
                    </a:ln>
                  </pic:spPr>
                </pic:pic>
              </a:graphicData>
            </a:graphic>
          </wp:inline>
        </w:drawing>
      </w: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color w:val="auto"/>
          <w:sz w:val="21"/>
        </w:rPr>
      </w:pPr>
    </w:p>
    <w:p>
      <w:pPr>
        <w:rPr>
          <w:rFonts w:hint="eastAsia" w:ascii="Times New Roman" w:hAnsi="Times New Roman" w:eastAsia="宋体" w:cs="Times New Roman"/>
          <w:b/>
          <w:bCs/>
          <w:color w:val="auto"/>
          <w:lang w:val="en-US" w:eastAsia="zh-CN"/>
        </w:rPr>
      </w:pPr>
    </w:p>
    <w:p>
      <w:pPr>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附图4 引用数据监测布点图</w:t>
      </w:r>
    </w:p>
    <w:p>
      <w:pPr>
        <w:rPr>
          <w:rFonts w:hint="eastAsia"/>
          <w:lang w:val="en-US" w:eastAsia="zh-CN"/>
        </w:rPr>
      </w:pPr>
      <w:r>
        <w:drawing>
          <wp:inline distT="0" distB="0" distL="114300" distR="114300">
            <wp:extent cx="5265420" cy="3909695"/>
            <wp:effectExtent l="0" t="0" r="11430" b="14605"/>
            <wp:docPr id="1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8"/>
                    <pic:cNvPicPr>
                      <a:picLocks noChangeAspect="1"/>
                    </pic:cNvPicPr>
                  </pic:nvPicPr>
                  <pic:blipFill>
                    <a:blip r:embed="rId31"/>
                    <a:stretch>
                      <a:fillRect/>
                    </a:stretch>
                  </pic:blipFill>
                  <pic:spPr>
                    <a:xfrm>
                      <a:off x="0" y="0"/>
                      <a:ext cx="5265420" cy="3909695"/>
                    </a:xfrm>
                    <a:prstGeom prst="rect">
                      <a:avLst/>
                    </a:prstGeom>
                    <a:noFill/>
                    <a:ln>
                      <a:noFill/>
                    </a:ln>
                  </pic:spPr>
                </pic:pic>
              </a:graphicData>
            </a:graphic>
          </wp:inline>
        </w:drawing>
      </w:r>
    </w:p>
    <w:p>
      <w:pPr>
        <w:rPr>
          <w:rFonts w:hint="default"/>
          <w:color w:val="auto"/>
          <w:lang w:val="en-US" w:eastAsia="zh-CN"/>
        </w:rPr>
      </w:pPr>
    </w:p>
    <w:sectPr>
      <w:pgSz w:w="11906" w:h="16838"/>
      <w:pgMar w:top="1440" w:right="1803" w:bottom="1440" w:left="1803" w:header="851" w:footer="850" w:gutter="0"/>
      <w:pgBorders>
        <w:top w:val="none" w:sz="0" w:space="0"/>
        <w:left w:val="none" w:sz="0" w:space="0"/>
        <w:bottom w:val="none" w:sz="0" w:space="0"/>
        <w:right w:val="none" w:sz="0" w:space="0"/>
      </w:pgBorders>
      <w:pgNumType w:fmt="numberInDash"/>
      <w:cols w:space="72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Cambria">
    <w:altName w:val="Segoe Print"/>
    <w:panose1 w:val="02040503050406030204"/>
    <w:charset w:val="00"/>
    <w:family w:val="roman"/>
    <w:pitch w:val="default"/>
    <w:sig w:usb0="00000000" w:usb1="00000000" w:usb2="00000000" w:usb3="00000000" w:csb0="2000019F" w:csb1="00000000"/>
  </w:font>
  <w:font w:name="Segoe Print">
    <w:panose1 w:val="02000600000000000000"/>
    <w:charset w:val="00"/>
    <w:family w:val="auto"/>
    <w:pitch w:val="default"/>
    <w:sig w:usb0="0000028F" w:usb1="00000000" w:usb2="00000000" w:usb3="00000000" w:csb0="2000009F" w:csb1="4701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2"/>
      </w:rPr>
    </w:pPr>
    <w:r>
      <w:fldChar w:fldCharType="begin"/>
    </w:r>
    <w:r>
      <w:rPr>
        <w:rStyle w:val="22"/>
      </w:rPr>
      <w:instrText xml:space="preserve">PAGE  </w:instrText>
    </w:r>
    <w:r>
      <w:fldChar w:fldCharType="end"/>
    </w:r>
  </w:p>
  <w:p>
    <w:pPr>
      <w:pStyle w:val="1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KqtrgLgAQAAwgMAAA4AAAAA&#10;AAAAAQAgAAAAHgEAAGRycy9lMm9Eb2MueG1sUEsFBgAAAAAGAAYAWQEAAHAFAAAAAA==&#10;">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2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pPr>
                          <w:r>
                            <w:fldChar w:fldCharType="begin"/>
                          </w:r>
                          <w:r>
                            <w:instrText xml:space="preserve"> PAGE  \* MERGEFORMAT </w:instrText>
                          </w:r>
                          <w:r>
                            <w:fldChar w:fldCharType="separate"/>
                          </w:r>
                          <w:r>
                            <w:t>22</w:t>
                          </w:r>
                          <w:r>
                            <w:fldChar w:fldCharType="end"/>
                          </w:r>
                        </w:p>
                      </w:txbxContent>
                    </wps:txbx>
                    <wps:bodyPr vert="horz" wrap="none" lIns="0" tIns="0" rIns="0" bIns="0" anchor="t" anchorCtr="0" upright="0">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CpQrW/gAQAAwgMAAA4AAAAA&#10;AAAAAQAgAAAAHgEAAGRycy9lMm9Eb2MueG1sUEsFBgAAAAAGAAYAWQEAAHAFAAAAAA==&#10;">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75</w:t>
                          </w:r>
                          <w:r>
                            <w:rPr>
                              <w:rFonts w:hint="eastAsia"/>
                              <w:lang w:eastAsia="zh-CN"/>
                            </w:rPr>
                            <w:fldChar w:fldCharType="end"/>
                          </w:r>
                        </w:p>
                      </w:txbxContent>
                    </wps:txbx>
                    <wps:bodyPr wrap="none" lIns="0" tIns="0" rIns="0" bIns="0" upright="0">
                      <a:spAutoFit/>
                    </wps:bodyPr>
                  </wps:wsp>
                </a:graphicData>
              </a:graphic>
            </wp:anchor>
          </w:drawing>
        </mc:Choice>
        <mc:Fallback>
          <w:pict>
            <v:shape id="文本框 205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mIPHsoBAACd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cC5O25x4pfv3y4/fl1+fiWr&#10;6vUyS9QHqDHzIWBuGu78gOmzH9CZmQ8q2vxFTgTjKPD5KrAcEhH50Xq1XlcYEhibL4jPHp+HCOmt&#10;9JZko6ERJ1iE5af3kMbUOSVXc/5eG1OmaNxfDsTMHpZ7H3vMVhr2w0Ro79sz8ulx+A11uOuUmHcO&#10;tc17MhtxNvazcQxRH7qySLkehNtjwiZKb7nCCDsVxqkVdtOG5bX4816yHv+q7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mIPHsoBAACdAwAADgAAAAAAAAABACAAAAAeAQAAZHJzL2Uyb0Rv&#10;Yy54bWxQSwUGAAAAAAYABgBZAQAAWgUAAAAA&#10;">
              <v:fill on="f" focussize="0,0"/>
              <v:stroke on="f"/>
              <v:imagedata o:title=""/>
              <o:lock v:ext="edit" aspectratio="f"/>
              <v:textbox inset="0mm,0mm,0mm,0mm" style="mso-fit-shape-to-text:t;">
                <w:txbxContent>
                  <w:p>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75</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D03821"/>
    <w:multiLevelType w:val="singleLevel"/>
    <w:tmpl w:val="DBD03821"/>
    <w:lvl w:ilvl="0" w:tentative="0">
      <w:start w:val="1"/>
      <w:numFmt w:val="decimal"/>
      <w:suff w:val="nothing"/>
      <w:lvlText w:val="（%1）"/>
      <w:lvlJc w:val="left"/>
    </w:lvl>
  </w:abstractNum>
  <w:abstractNum w:abstractNumId="1">
    <w:nsid w:val="3C542A95"/>
    <w:multiLevelType w:val="singleLevel"/>
    <w:tmpl w:val="3C542A95"/>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2EE8"/>
    <w:rsid w:val="000060B3"/>
    <w:rsid w:val="00017FCC"/>
    <w:rsid w:val="00036D51"/>
    <w:rsid w:val="0004364B"/>
    <w:rsid w:val="00061B1F"/>
    <w:rsid w:val="000733C4"/>
    <w:rsid w:val="00074783"/>
    <w:rsid w:val="0008070B"/>
    <w:rsid w:val="000810AC"/>
    <w:rsid w:val="00081A02"/>
    <w:rsid w:val="00082231"/>
    <w:rsid w:val="00092D38"/>
    <w:rsid w:val="0009377B"/>
    <w:rsid w:val="000A1E1C"/>
    <w:rsid w:val="000A20C9"/>
    <w:rsid w:val="000B058F"/>
    <w:rsid w:val="000B4467"/>
    <w:rsid w:val="000B4DB9"/>
    <w:rsid w:val="000B6CD2"/>
    <w:rsid w:val="000B70FB"/>
    <w:rsid w:val="000C09AC"/>
    <w:rsid w:val="000C767F"/>
    <w:rsid w:val="000D5A44"/>
    <w:rsid w:val="000E3ED2"/>
    <w:rsid w:val="00113FF9"/>
    <w:rsid w:val="00116082"/>
    <w:rsid w:val="00131F42"/>
    <w:rsid w:val="001357F1"/>
    <w:rsid w:val="00140FA8"/>
    <w:rsid w:val="00141E40"/>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3C5D"/>
    <w:rsid w:val="001B72B8"/>
    <w:rsid w:val="001C69B3"/>
    <w:rsid w:val="001D5595"/>
    <w:rsid w:val="001D7874"/>
    <w:rsid w:val="001D7F22"/>
    <w:rsid w:val="001E6391"/>
    <w:rsid w:val="001F0F17"/>
    <w:rsid w:val="001F3347"/>
    <w:rsid w:val="001F69E4"/>
    <w:rsid w:val="002125B4"/>
    <w:rsid w:val="002155B8"/>
    <w:rsid w:val="00215A7A"/>
    <w:rsid w:val="00224839"/>
    <w:rsid w:val="002249B2"/>
    <w:rsid w:val="00226574"/>
    <w:rsid w:val="002278EC"/>
    <w:rsid w:val="00230E7E"/>
    <w:rsid w:val="0023280E"/>
    <w:rsid w:val="00233A01"/>
    <w:rsid w:val="002377D1"/>
    <w:rsid w:val="00241F2A"/>
    <w:rsid w:val="00247BEC"/>
    <w:rsid w:val="002506BC"/>
    <w:rsid w:val="00254345"/>
    <w:rsid w:val="002544E8"/>
    <w:rsid w:val="00254957"/>
    <w:rsid w:val="00260950"/>
    <w:rsid w:val="00264557"/>
    <w:rsid w:val="002805AB"/>
    <w:rsid w:val="00284204"/>
    <w:rsid w:val="00291773"/>
    <w:rsid w:val="00294382"/>
    <w:rsid w:val="002A168C"/>
    <w:rsid w:val="002A1D1C"/>
    <w:rsid w:val="002A3DC7"/>
    <w:rsid w:val="002B49E2"/>
    <w:rsid w:val="002B7B00"/>
    <w:rsid w:val="002B7C44"/>
    <w:rsid w:val="002C2B17"/>
    <w:rsid w:val="002C7F2C"/>
    <w:rsid w:val="002D3DD0"/>
    <w:rsid w:val="002E1F3A"/>
    <w:rsid w:val="002E298A"/>
    <w:rsid w:val="002F5A0D"/>
    <w:rsid w:val="00301978"/>
    <w:rsid w:val="0030332C"/>
    <w:rsid w:val="003051C2"/>
    <w:rsid w:val="00312296"/>
    <w:rsid w:val="00314F0E"/>
    <w:rsid w:val="00321D8E"/>
    <w:rsid w:val="0032511A"/>
    <w:rsid w:val="00325928"/>
    <w:rsid w:val="00332863"/>
    <w:rsid w:val="0033684D"/>
    <w:rsid w:val="00337B42"/>
    <w:rsid w:val="00341B42"/>
    <w:rsid w:val="0034348F"/>
    <w:rsid w:val="0034680C"/>
    <w:rsid w:val="00352D5D"/>
    <w:rsid w:val="00356653"/>
    <w:rsid w:val="0035743F"/>
    <w:rsid w:val="00357BE2"/>
    <w:rsid w:val="0036170C"/>
    <w:rsid w:val="00366E0F"/>
    <w:rsid w:val="00374020"/>
    <w:rsid w:val="00375955"/>
    <w:rsid w:val="00381A72"/>
    <w:rsid w:val="00384676"/>
    <w:rsid w:val="00390857"/>
    <w:rsid w:val="003A4BF3"/>
    <w:rsid w:val="003B2EFB"/>
    <w:rsid w:val="003B420D"/>
    <w:rsid w:val="003C6C16"/>
    <w:rsid w:val="003C6D32"/>
    <w:rsid w:val="003D794D"/>
    <w:rsid w:val="003E3058"/>
    <w:rsid w:val="003E50F2"/>
    <w:rsid w:val="003E76A9"/>
    <w:rsid w:val="003F0809"/>
    <w:rsid w:val="003F0D90"/>
    <w:rsid w:val="003F6A8C"/>
    <w:rsid w:val="003F755C"/>
    <w:rsid w:val="00406F01"/>
    <w:rsid w:val="004131E6"/>
    <w:rsid w:val="00416D50"/>
    <w:rsid w:val="00416FD5"/>
    <w:rsid w:val="00417772"/>
    <w:rsid w:val="00420E6A"/>
    <w:rsid w:val="00425A9E"/>
    <w:rsid w:val="00426D6B"/>
    <w:rsid w:val="00431E6C"/>
    <w:rsid w:val="00433CE7"/>
    <w:rsid w:val="00437554"/>
    <w:rsid w:val="004449A4"/>
    <w:rsid w:val="00452738"/>
    <w:rsid w:val="00454499"/>
    <w:rsid w:val="00456091"/>
    <w:rsid w:val="0046052C"/>
    <w:rsid w:val="00466321"/>
    <w:rsid w:val="00467A32"/>
    <w:rsid w:val="0047099D"/>
    <w:rsid w:val="00484B9B"/>
    <w:rsid w:val="004855F6"/>
    <w:rsid w:val="0048661E"/>
    <w:rsid w:val="00494670"/>
    <w:rsid w:val="004A1448"/>
    <w:rsid w:val="004A3823"/>
    <w:rsid w:val="004A5422"/>
    <w:rsid w:val="004C3858"/>
    <w:rsid w:val="004E01AB"/>
    <w:rsid w:val="004E6946"/>
    <w:rsid w:val="004F1AD8"/>
    <w:rsid w:val="00500D1C"/>
    <w:rsid w:val="005039CB"/>
    <w:rsid w:val="0050558F"/>
    <w:rsid w:val="00506286"/>
    <w:rsid w:val="00510813"/>
    <w:rsid w:val="00511990"/>
    <w:rsid w:val="00511DE0"/>
    <w:rsid w:val="00514870"/>
    <w:rsid w:val="00514B9B"/>
    <w:rsid w:val="00517B01"/>
    <w:rsid w:val="00517F02"/>
    <w:rsid w:val="00524303"/>
    <w:rsid w:val="005258A2"/>
    <w:rsid w:val="00534A1A"/>
    <w:rsid w:val="0053584D"/>
    <w:rsid w:val="005401AE"/>
    <w:rsid w:val="00542E07"/>
    <w:rsid w:val="00545424"/>
    <w:rsid w:val="005504D6"/>
    <w:rsid w:val="00554A7B"/>
    <w:rsid w:val="0055572C"/>
    <w:rsid w:val="0056106A"/>
    <w:rsid w:val="005720AE"/>
    <w:rsid w:val="00575A9A"/>
    <w:rsid w:val="00590A87"/>
    <w:rsid w:val="00594D3C"/>
    <w:rsid w:val="00594D77"/>
    <w:rsid w:val="005969E4"/>
    <w:rsid w:val="005A06B7"/>
    <w:rsid w:val="005A1759"/>
    <w:rsid w:val="005A68A7"/>
    <w:rsid w:val="005C2469"/>
    <w:rsid w:val="005D36AB"/>
    <w:rsid w:val="005F3724"/>
    <w:rsid w:val="00602A0A"/>
    <w:rsid w:val="00617CC3"/>
    <w:rsid w:val="006377A6"/>
    <w:rsid w:val="00637A3D"/>
    <w:rsid w:val="006411EF"/>
    <w:rsid w:val="00657B8B"/>
    <w:rsid w:val="0067409E"/>
    <w:rsid w:val="006748B8"/>
    <w:rsid w:val="006775C3"/>
    <w:rsid w:val="006855FD"/>
    <w:rsid w:val="0069290A"/>
    <w:rsid w:val="0069775A"/>
    <w:rsid w:val="00697813"/>
    <w:rsid w:val="006A3EE8"/>
    <w:rsid w:val="006A72BF"/>
    <w:rsid w:val="006B03F2"/>
    <w:rsid w:val="006B28A9"/>
    <w:rsid w:val="006B37DC"/>
    <w:rsid w:val="006B4F68"/>
    <w:rsid w:val="006C0592"/>
    <w:rsid w:val="006C272E"/>
    <w:rsid w:val="006C5479"/>
    <w:rsid w:val="006D08E6"/>
    <w:rsid w:val="006D13B5"/>
    <w:rsid w:val="006E12FF"/>
    <w:rsid w:val="006E607E"/>
    <w:rsid w:val="00706C5D"/>
    <w:rsid w:val="007107A0"/>
    <w:rsid w:val="00727E12"/>
    <w:rsid w:val="00732922"/>
    <w:rsid w:val="00740723"/>
    <w:rsid w:val="0075162E"/>
    <w:rsid w:val="00754034"/>
    <w:rsid w:val="00756556"/>
    <w:rsid w:val="007618C4"/>
    <w:rsid w:val="00767980"/>
    <w:rsid w:val="00770B19"/>
    <w:rsid w:val="00773EEA"/>
    <w:rsid w:val="0077463F"/>
    <w:rsid w:val="007836EA"/>
    <w:rsid w:val="00784CDA"/>
    <w:rsid w:val="007906C4"/>
    <w:rsid w:val="007940EA"/>
    <w:rsid w:val="007967E8"/>
    <w:rsid w:val="007A2170"/>
    <w:rsid w:val="007A22BF"/>
    <w:rsid w:val="007A3323"/>
    <w:rsid w:val="007B72B8"/>
    <w:rsid w:val="007B7A58"/>
    <w:rsid w:val="007C21B5"/>
    <w:rsid w:val="007D23CE"/>
    <w:rsid w:val="007E4BD2"/>
    <w:rsid w:val="00801393"/>
    <w:rsid w:val="00802F88"/>
    <w:rsid w:val="0081293E"/>
    <w:rsid w:val="00815465"/>
    <w:rsid w:val="00817E9A"/>
    <w:rsid w:val="00827281"/>
    <w:rsid w:val="008273E0"/>
    <w:rsid w:val="008306BD"/>
    <w:rsid w:val="00831A80"/>
    <w:rsid w:val="00833743"/>
    <w:rsid w:val="008340A4"/>
    <w:rsid w:val="00835367"/>
    <w:rsid w:val="00837C12"/>
    <w:rsid w:val="008514BB"/>
    <w:rsid w:val="008666C2"/>
    <w:rsid w:val="0087135F"/>
    <w:rsid w:val="00872D94"/>
    <w:rsid w:val="00880364"/>
    <w:rsid w:val="00886453"/>
    <w:rsid w:val="00891592"/>
    <w:rsid w:val="00891E9E"/>
    <w:rsid w:val="008A2F68"/>
    <w:rsid w:val="008A37B4"/>
    <w:rsid w:val="008B4FA6"/>
    <w:rsid w:val="008B5282"/>
    <w:rsid w:val="008B7C17"/>
    <w:rsid w:val="008C2D01"/>
    <w:rsid w:val="008C40E6"/>
    <w:rsid w:val="008D0F7A"/>
    <w:rsid w:val="008D21C5"/>
    <w:rsid w:val="008D68E4"/>
    <w:rsid w:val="008E0506"/>
    <w:rsid w:val="008E0CFF"/>
    <w:rsid w:val="008E5D6B"/>
    <w:rsid w:val="008E76F0"/>
    <w:rsid w:val="008F15FE"/>
    <w:rsid w:val="008F2D29"/>
    <w:rsid w:val="008F3D7B"/>
    <w:rsid w:val="008F5187"/>
    <w:rsid w:val="008F60D8"/>
    <w:rsid w:val="00902727"/>
    <w:rsid w:val="0090312B"/>
    <w:rsid w:val="00910EF9"/>
    <w:rsid w:val="0091378A"/>
    <w:rsid w:val="00915876"/>
    <w:rsid w:val="00917256"/>
    <w:rsid w:val="0091736D"/>
    <w:rsid w:val="0092284B"/>
    <w:rsid w:val="00924F8F"/>
    <w:rsid w:val="0093037A"/>
    <w:rsid w:val="0094154D"/>
    <w:rsid w:val="0095155F"/>
    <w:rsid w:val="0095292A"/>
    <w:rsid w:val="00954429"/>
    <w:rsid w:val="009563CE"/>
    <w:rsid w:val="00957BCD"/>
    <w:rsid w:val="00976328"/>
    <w:rsid w:val="0097680D"/>
    <w:rsid w:val="00982438"/>
    <w:rsid w:val="0098404C"/>
    <w:rsid w:val="00985283"/>
    <w:rsid w:val="00995992"/>
    <w:rsid w:val="00996CD0"/>
    <w:rsid w:val="009A03E5"/>
    <w:rsid w:val="009A0F3B"/>
    <w:rsid w:val="009A1BB4"/>
    <w:rsid w:val="009A2628"/>
    <w:rsid w:val="009A3200"/>
    <w:rsid w:val="009B0897"/>
    <w:rsid w:val="009B4C15"/>
    <w:rsid w:val="009B57F0"/>
    <w:rsid w:val="009B7BD9"/>
    <w:rsid w:val="009C7DD5"/>
    <w:rsid w:val="009E227D"/>
    <w:rsid w:val="009E4A00"/>
    <w:rsid w:val="009E4A8E"/>
    <w:rsid w:val="009E5019"/>
    <w:rsid w:val="009F0CEF"/>
    <w:rsid w:val="00A015CD"/>
    <w:rsid w:val="00A04F1B"/>
    <w:rsid w:val="00A0501B"/>
    <w:rsid w:val="00A10769"/>
    <w:rsid w:val="00A14947"/>
    <w:rsid w:val="00A22296"/>
    <w:rsid w:val="00A24BFC"/>
    <w:rsid w:val="00A32A83"/>
    <w:rsid w:val="00A368DB"/>
    <w:rsid w:val="00A41037"/>
    <w:rsid w:val="00A42189"/>
    <w:rsid w:val="00A423AA"/>
    <w:rsid w:val="00A53EC6"/>
    <w:rsid w:val="00A55C0F"/>
    <w:rsid w:val="00A767BB"/>
    <w:rsid w:val="00A8713F"/>
    <w:rsid w:val="00A90BA1"/>
    <w:rsid w:val="00A97A9A"/>
    <w:rsid w:val="00AA0671"/>
    <w:rsid w:val="00AA2531"/>
    <w:rsid w:val="00AA5CF6"/>
    <w:rsid w:val="00AB1E09"/>
    <w:rsid w:val="00AB5330"/>
    <w:rsid w:val="00AB7747"/>
    <w:rsid w:val="00AC14CE"/>
    <w:rsid w:val="00AC2A56"/>
    <w:rsid w:val="00AD055E"/>
    <w:rsid w:val="00AD3C5C"/>
    <w:rsid w:val="00AD47A7"/>
    <w:rsid w:val="00AF0CBF"/>
    <w:rsid w:val="00AF257F"/>
    <w:rsid w:val="00AF33CF"/>
    <w:rsid w:val="00AF4D50"/>
    <w:rsid w:val="00AF6179"/>
    <w:rsid w:val="00B1295A"/>
    <w:rsid w:val="00B20A45"/>
    <w:rsid w:val="00B22C5C"/>
    <w:rsid w:val="00B24F30"/>
    <w:rsid w:val="00B310F0"/>
    <w:rsid w:val="00B31ABF"/>
    <w:rsid w:val="00B33BE3"/>
    <w:rsid w:val="00B51222"/>
    <w:rsid w:val="00B52015"/>
    <w:rsid w:val="00B53B5D"/>
    <w:rsid w:val="00B6055E"/>
    <w:rsid w:val="00B6317D"/>
    <w:rsid w:val="00B74872"/>
    <w:rsid w:val="00B7723F"/>
    <w:rsid w:val="00B80534"/>
    <w:rsid w:val="00B8433C"/>
    <w:rsid w:val="00B87491"/>
    <w:rsid w:val="00B9095C"/>
    <w:rsid w:val="00B968BD"/>
    <w:rsid w:val="00BA29E9"/>
    <w:rsid w:val="00BA7142"/>
    <w:rsid w:val="00BB237C"/>
    <w:rsid w:val="00BB41A3"/>
    <w:rsid w:val="00BC32DC"/>
    <w:rsid w:val="00BC35B6"/>
    <w:rsid w:val="00BC6EA0"/>
    <w:rsid w:val="00BD1B51"/>
    <w:rsid w:val="00BD4596"/>
    <w:rsid w:val="00BE1405"/>
    <w:rsid w:val="00BE312D"/>
    <w:rsid w:val="00BF1C20"/>
    <w:rsid w:val="00C10578"/>
    <w:rsid w:val="00C135BC"/>
    <w:rsid w:val="00C15C95"/>
    <w:rsid w:val="00C2245C"/>
    <w:rsid w:val="00C24214"/>
    <w:rsid w:val="00C2596A"/>
    <w:rsid w:val="00C27537"/>
    <w:rsid w:val="00C328FE"/>
    <w:rsid w:val="00C33507"/>
    <w:rsid w:val="00C4409D"/>
    <w:rsid w:val="00C44E72"/>
    <w:rsid w:val="00C459F6"/>
    <w:rsid w:val="00C45A06"/>
    <w:rsid w:val="00C47E5B"/>
    <w:rsid w:val="00C51F18"/>
    <w:rsid w:val="00C61E4B"/>
    <w:rsid w:val="00C64BFF"/>
    <w:rsid w:val="00C704E9"/>
    <w:rsid w:val="00C763C9"/>
    <w:rsid w:val="00C80057"/>
    <w:rsid w:val="00C82232"/>
    <w:rsid w:val="00C82913"/>
    <w:rsid w:val="00C92806"/>
    <w:rsid w:val="00C94623"/>
    <w:rsid w:val="00C969AB"/>
    <w:rsid w:val="00C971E1"/>
    <w:rsid w:val="00C972B1"/>
    <w:rsid w:val="00C97F4D"/>
    <w:rsid w:val="00CA2CCE"/>
    <w:rsid w:val="00CA40C8"/>
    <w:rsid w:val="00CA43FD"/>
    <w:rsid w:val="00CA7EF8"/>
    <w:rsid w:val="00CB4112"/>
    <w:rsid w:val="00CC489B"/>
    <w:rsid w:val="00CD2BCD"/>
    <w:rsid w:val="00CD3A4C"/>
    <w:rsid w:val="00CE10E9"/>
    <w:rsid w:val="00CE2910"/>
    <w:rsid w:val="00CE33AD"/>
    <w:rsid w:val="00CE5393"/>
    <w:rsid w:val="00CF097D"/>
    <w:rsid w:val="00CF36BE"/>
    <w:rsid w:val="00CF5D60"/>
    <w:rsid w:val="00CF6000"/>
    <w:rsid w:val="00D003F3"/>
    <w:rsid w:val="00D0364F"/>
    <w:rsid w:val="00D06834"/>
    <w:rsid w:val="00D23213"/>
    <w:rsid w:val="00D308ED"/>
    <w:rsid w:val="00D36D86"/>
    <w:rsid w:val="00D428AA"/>
    <w:rsid w:val="00D50A34"/>
    <w:rsid w:val="00D53EFA"/>
    <w:rsid w:val="00D54C08"/>
    <w:rsid w:val="00D57154"/>
    <w:rsid w:val="00D94A7C"/>
    <w:rsid w:val="00D95896"/>
    <w:rsid w:val="00DA6116"/>
    <w:rsid w:val="00DB2983"/>
    <w:rsid w:val="00DC1257"/>
    <w:rsid w:val="00DC3DC0"/>
    <w:rsid w:val="00DC5B2B"/>
    <w:rsid w:val="00DD318D"/>
    <w:rsid w:val="00DF2E12"/>
    <w:rsid w:val="00DF514A"/>
    <w:rsid w:val="00DF6690"/>
    <w:rsid w:val="00DF6804"/>
    <w:rsid w:val="00E0358D"/>
    <w:rsid w:val="00E04323"/>
    <w:rsid w:val="00E070A2"/>
    <w:rsid w:val="00E1612E"/>
    <w:rsid w:val="00E2656A"/>
    <w:rsid w:val="00E27D2A"/>
    <w:rsid w:val="00E412D0"/>
    <w:rsid w:val="00E43287"/>
    <w:rsid w:val="00E4572D"/>
    <w:rsid w:val="00E5275B"/>
    <w:rsid w:val="00E56322"/>
    <w:rsid w:val="00E57278"/>
    <w:rsid w:val="00E60982"/>
    <w:rsid w:val="00E62C62"/>
    <w:rsid w:val="00E654C1"/>
    <w:rsid w:val="00E65D97"/>
    <w:rsid w:val="00E66005"/>
    <w:rsid w:val="00E72A5A"/>
    <w:rsid w:val="00E73354"/>
    <w:rsid w:val="00E92284"/>
    <w:rsid w:val="00E9242D"/>
    <w:rsid w:val="00EB202D"/>
    <w:rsid w:val="00EB3BA1"/>
    <w:rsid w:val="00EB5255"/>
    <w:rsid w:val="00EB5C47"/>
    <w:rsid w:val="00EB7F0C"/>
    <w:rsid w:val="00ED0639"/>
    <w:rsid w:val="00EF4755"/>
    <w:rsid w:val="00EF7135"/>
    <w:rsid w:val="00F027DB"/>
    <w:rsid w:val="00F10E33"/>
    <w:rsid w:val="00F14A7A"/>
    <w:rsid w:val="00F20E08"/>
    <w:rsid w:val="00F22985"/>
    <w:rsid w:val="00F3383E"/>
    <w:rsid w:val="00F360BE"/>
    <w:rsid w:val="00F465A7"/>
    <w:rsid w:val="00F47BE2"/>
    <w:rsid w:val="00F50B7C"/>
    <w:rsid w:val="00F550E6"/>
    <w:rsid w:val="00F7383B"/>
    <w:rsid w:val="00F74345"/>
    <w:rsid w:val="00F80A0A"/>
    <w:rsid w:val="00F82B19"/>
    <w:rsid w:val="00F87DDF"/>
    <w:rsid w:val="00F90C0F"/>
    <w:rsid w:val="00F9212D"/>
    <w:rsid w:val="00F9562F"/>
    <w:rsid w:val="00F965DA"/>
    <w:rsid w:val="00FA05FF"/>
    <w:rsid w:val="00FA406A"/>
    <w:rsid w:val="00FB4C26"/>
    <w:rsid w:val="00FB503A"/>
    <w:rsid w:val="00FB516C"/>
    <w:rsid w:val="00FD0236"/>
    <w:rsid w:val="00FD18F4"/>
    <w:rsid w:val="00FD54DB"/>
    <w:rsid w:val="00FD619F"/>
    <w:rsid w:val="00FD6A73"/>
    <w:rsid w:val="00FF19A5"/>
    <w:rsid w:val="01290F7E"/>
    <w:rsid w:val="012F6CAD"/>
    <w:rsid w:val="01460333"/>
    <w:rsid w:val="015D1E09"/>
    <w:rsid w:val="01882D78"/>
    <w:rsid w:val="01AA7960"/>
    <w:rsid w:val="01D92F99"/>
    <w:rsid w:val="01DD626D"/>
    <w:rsid w:val="02387588"/>
    <w:rsid w:val="023929C9"/>
    <w:rsid w:val="02633AA9"/>
    <w:rsid w:val="02697903"/>
    <w:rsid w:val="02811C4E"/>
    <w:rsid w:val="02D25F46"/>
    <w:rsid w:val="02F96569"/>
    <w:rsid w:val="0311589B"/>
    <w:rsid w:val="03194EA6"/>
    <w:rsid w:val="034360B2"/>
    <w:rsid w:val="034D4D29"/>
    <w:rsid w:val="0350795A"/>
    <w:rsid w:val="035337D7"/>
    <w:rsid w:val="03674174"/>
    <w:rsid w:val="037F3DA7"/>
    <w:rsid w:val="03BD0740"/>
    <w:rsid w:val="03EA7B21"/>
    <w:rsid w:val="03F0179C"/>
    <w:rsid w:val="03F35BF0"/>
    <w:rsid w:val="042F32B8"/>
    <w:rsid w:val="0493417F"/>
    <w:rsid w:val="04C87346"/>
    <w:rsid w:val="04EA0E50"/>
    <w:rsid w:val="05242E18"/>
    <w:rsid w:val="059A76AE"/>
    <w:rsid w:val="05F83EAE"/>
    <w:rsid w:val="063451F1"/>
    <w:rsid w:val="063E7D85"/>
    <w:rsid w:val="067C668B"/>
    <w:rsid w:val="06F82126"/>
    <w:rsid w:val="071F06A2"/>
    <w:rsid w:val="07293586"/>
    <w:rsid w:val="07295285"/>
    <w:rsid w:val="072E2BAD"/>
    <w:rsid w:val="07620471"/>
    <w:rsid w:val="07634879"/>
    <w:rsid w:val="07636392"/>
    <w:rsid w:val="07770C56"/>
    <w:rsid w:val="07A110FF"/>
    <w:rsid w:val="07CB52B6"/>
    <w:rsid w:val="081D1349"/>
    <w:rsid w:val="083142F9"/>
    <w:rsid w:val="084D7DA8"/>
    <w:rsid w:val="085B5219"/>
    <w:rsid w:val="08705712"/>
    <w:rsid w:val="08792DBF"/>
    <w:rsid w:val="087E492B"/>
    <w:rsid w:val="089127B1"/>
    <w:rsid w:val="089B2DDD"/>
    <w:rsid w:val="08AC2BC7"/>
    <w:rsid w:val="08AD6DE5"/>
    <w:rsid w:val="08C00645"/>
    <w:rsid w:val="092217DD"/>
    <w:rsid w:val="092E4633"/>
    <w:rsid w:val="093A7294"/>
    <w:rsid w:val="09772242"/>
    <w:rsid w:val="097E4459"/>
    <w:rsid w:val="09DB1854"/>
    <w:rsid w:val="09E63448"/>
    <w:rsid w:val="0A263993"/>
    <w:rsid w:val="0A2D3AC2"/>
    <w:rsid w:val="0A3741C0"/>
    <w:rsid w:val="0A402190"/>
    <w:rsid w:val="0A9B7C98"/>
    <w:rsid w:val="0AA755DF"/>
    <w:rsid w:val="0AFA1C7E"/>
    <w:rsid w:val="0B120D44"/>
    <w:rsid w:val="0B2C6EB3"/>
    <w:rsid w:val="0B4912CC"/>
    <w:rsid w:val="0B6E3684"/>
    <w:rsid w:val="0BA836B1"/>
    <w:rsid w:val="0BB373E7"/>
    <w:rsid w:val="0BD27BF6"/>
    <w:rsid w:val="0C391DD8"/>
    <w:rsid w:val="0C3B3C7D"/>
    <w:rsid w:val="0C4D0266"/>
    <w:rsid w:val="0C5E116C"/>
    <w:rsid w:val="0C8D7E8D"/>
    <w:rsid w:val="0CAB2EAE"/>
    <w:rsid w:val="0D0223B6"/>
    <w:rsid w:val="0D1C02CB"/>
    <w:rsid w:val="0D261BD3"/>
    <w:rsid w:val="0D4A3A72"/>
    <w:rsid w:val="0D621C7D"/>
    <w:rsid w:val="0D7A2DC7"/>
    <w:rsid w:val="0E0D575A"/>
    <w:rsid w:val="0E0F7093"/>
    <w:rsid w:val="0E180B5F"/>
    <w:rsid w:val="0E2670BE"/>
    <w:rsid w:val="0E4F6F23"/>
    <w:rsid w:val="0E73034D"/>
    <w:rsid w:val="0E92319F"/>
    <w:rsid w:val="0EDE3AFC"/>
    <w:rsid w:val="0F0644E4"/>
    <w:rsid w:val="0F13775A"/>
    <w:rsid w:val="0F392E6C"/>
    <w:rsid w:val="0F5F45FE"/>
    <w:rsid w:val="0F840789"/>
    <w:rsid w:val="0F9A112B"/>
    <w:rsid w:val="0F9B1208"/>
    <w:rsid w:val="0FDD4B56"/>
    <w:rsid w:val="106B519D"/>
    <w:rsid w:val="106D2F64"/>
    <w:rsid w:val="10902E16"/>
    <w:rsid w:val="1092115D"/>
    <w:rsid w:val="10B63710"/>
    <w:rsid w:val="10E0421A"/>
    <w:rsid w:val="10E419E6"/>
    <w:rsid w:val="10F10820"/>
    <w:rsid w:val="111C2F7A"/>
    <w:rsid w:val="11203227"/>
    <w:rsid w:val="11355FA2"/>
    <w:rsid w:val="11496757"/>
    <w:rsid w:val="114D0BC6"/>
    <w:rsid w:val="11665CA1"/>
    <w:rsid w:val="116B18A8"/>
    <w:rsid w:val="11835824"/>
    <w:rsid w:val="118A008F"/>
    <w:rsid w:val="11BF7982"/>
    <w:rsid w:val="11DB5300"/>
    <w:rsid w:val="121A11FF"/>
    <w:rsid w:val="12260F9E"/>
    <w:rsid w:val="135E243C"/>
    <w:rsid w:val="13601801"/>
    <w:rsid w:val="13951726"/>
    <w:rsid w:val="13B31867"/>
    <w:rsid w:val="13D267D9"/>
    <w:rsid w:val="13D70467"/>
    <w:rsid w:val="14396509"/>
    <w:rsid w:val="14512123"/>
    <w:rsid w:val="14DD2C3C"/>
    <w:rsid w:val="14F315F1"/>
    <w:rsid w:val="14FA0905"/>
    <w:rsid w:val="15C05D46"/>
    <w:rsid w:val="15D25FC9"/>
    <w:rsid w:val="15F93A79"/>
    <w:rsid w:val="16087E1D"/>
    <w:rsid w:val="160D37A2"/>
    <w:rsid w:val="166C3087"/>
    <w:rsid w:val="16B34FE7"/>
    <w:rsid w:val="16BF30A4"/>
    <w:rsid w:val="16C34B2D"/>
    <w:rsid w:val="16F31E24"/>
    <w:rsid w:val="174A0E8E"/>
    <w:rsid w:val="17701D14"/>
    <w:rsid w:val="17735226"/>
    <w:rsid w:val="178A55EE"/>
    <w:rsid w:val="178E07C7"/>
    <w:rsid w:val="179C1C09"/>
    <w:rsid w:val="17AB4FE5"/>
    <w:rsid w:val="17EC33EF"/>
    <w:rsid w:val="17ED03D5"/>
    <w:rsid w:val="17EE768C"/>
    <w:rsid w:val="17FA5147"/>
    <w:rsid w:val="185B1CE7"/>
    <w:rsid w:val="189D2FF3"/>
    <w:rsid w:val="189F624C"/>
    <w:rsid w:val="18AD394E"/>
    <w:rsid w:val="18D74652"/>
    <w:rsid w:val="18FC483F"/>
    <w:rsid w:val="195540E0"/>
    <w:rsid w:val="198B7D19"/>
    <w:rsid w:val="19CD4F83"/>
    <w:rsid w:val="1A1C66C0"/>
    <w:rsid w:val="1A320F6C"/>
    <w:rsid w:val="1A42393B"/>
    <w:rsid w:val="1A4A7D41"/>
    <w:rsid w:val="1A7267EE"/>
    <w:rsid w:val="1AAD45DE"/>
    <w:rsid w:val="1AFE2FF3"/>
    <w:rsid w:val="1B046F80"/>
    <w:rsid w:val="1B1D7165"/>
    <w:rsid w:val="1B3267B5"/>
    <w:rsid w:val="1B40161D"/>
    <w:rsid w:val="1B441859"/>
    <w:rsid w:val="1B5C7E29"/>
    <w:rsid w:val="1B6019D9"/>
    <w:rsid w:val="1B6606B1"/>
    <w:rsid w:val="1B935E8E"/>
    <w:rsid w:val="1B9B05ED"/>
    <w:rsid w:val="1BB07D16"/>
    <w:rsid w:val="1BD46BA6"/>
    <w:rsid w:val="1C070C89"/>
    <w:rsid w:val="1C5273FC"/>
    <w:rsid w:val="1C5E7925"/>
    <w:rsid w:val="1C6642C0"/>
    <w:rsid w:val="1C735D4C"/>
    <w:rsid w:val="1C9D45B7"/>
    <w:rsid w:val="1CA304A8"/>
    <w:rsid w:val="1CB4092B"/>
    <w:rsid w:val="1CE40E8D"/>
    <w:rsid w:val="1CFD070F"/>
    <w:rsid w:val="1CFF6BE9"/>
    <w:rsid w:val="1CFF786F"/>
    <w:rsid w:val="1D1E0480"/>
    <w:rsid w:val="1D53032B"/>
    <w:rsid w:val="1D57356D"/>
    <w:rsid w:val="1D5F6196"/>
    <w:rsid w:val="1D6132A5"/>
    <w:rsid w:val="1D8E56D5"/>
    <w:rsid w:val="1DB26A66"/>
    <w:rsid w:val="1DD45198"/>
    <w:rsid w:val="1DE27039"/>
    <w:rsid w:val="1E4C7ECD"/>
    <w:rsid w:val="1E76724A"/>
    <w:rsid w:val="1E7A43DA"/>
    <w:rsid w:val="1E857ADE"/>
    <w:rsid w:val="1EA92032"/>
    <w:rsid w:val="1EBF15A0"/>
    <w:rsid w:val="1EC60E77"/>
    <w:rsid w:val="1EE0471F"/>
    <w:rsid w:val="1EE10277"/>
    <w:rsid w:val="1EE65E2D"/>
    <w:rsid w:val="1FAD112A"/>
    <w:rsid w:val="1FC21AA0"/>
    <w:rsid w:val="1FE009C2"/>
    <w:rsid w:val="1FE7539E"/>
    <w:rsid w:val="20166772"/>
    <w:rsid w:val="203A083D"/>
    <w:rsid w:val="20671BE0"/>
    <w:rsid w:val="206A5720"/>
    <w:rsid w:val="206E5D9B"/>
    <w:rsid w:val="208A39BD"/>
    <w:rsid w:val="20963CB8"/>
    <w:rsid w:val="20A81A1B"/>
    <w:rsid w:val="20B07FB6"/>
    <w:rsid w:val="20B646FB"/>
    <w:rsid w:val="20D84818"/>
    <w:rsid w:val="213B74B1"/>
    <w:rsid w:val="215A2310"/>
    <w:rsid w:val="21627D15"/>
    <w:rsid w:val="2180086B"/>
    <w:rsid w:val="219A3EDF"/>
    <w:rsid w:val="21B120FA"/>
    <w:rsid w:val="21DD09C2"/>
    <w:rsid w:val="21DE318A"/>
    <w:rsid w:val="21EE0B5A"/>
    <w:rsid w:val="21EF5B80"/>
    <w:rsid w:val="22021AD5"/>
    <w:rsid w:val="221945B1"/>
    <w:rsid w:val="22297E89"/>
    <w:rsid w:val="22576990"/>
    <w:rsid w:val="2259163A"/>
    <w:rsid w:val="225F4530"/>
    <w:rsid w:val="22675424"/>
    <w:rsid w:val="226A75AA"/>
    <w:rsid w:val="228A69C4"/>
    <w:rsid w:val="22A041AD"/>
    <w:rsid w:val="22A75795"/>
    <w:rsid w:val="22AC69F8"/>
    <w:rsid w:val="22C766AB"/>
    <w:rsid w:val="22F47480"/>
    <w:rsid w:val="238B4900"/>
    <w:rsid w:val="23A35D81"/>
    <w:rsid w:val="23C8147C"/>
    <w:rsid w:val="23DE1C48"/>
    <w:rsid w:val="23E07262"/>
    <w:rsid w:val="23EE44EC"/>
    <w:rsid w:val="23F27487"/>
    <w:rsid w:val="240210CD"/>
    <w:rsid w:val="24103251"/>
    <w:rsid w:val="24421E70"/>
    <w:rsid w:val="247807DC"/>
    <w:rsid w:val="248768D7"/>
    <w:rsid w:val="24BF09F7"/>
    <w:rsid w:val="24D24600"/>
    <w:rsid w:val="24E13DDF"/>
    <w:rsid w:val="24FF78C8"/>
    <w:rsid w:val="252D53FE"/>
    <w:rsid w:val="25535846"/>
    <w:rsid w:val="256309EB"/>
    <w:rsid w:val="258C55F5"/>
    <w:rsid w:val="25A10616"/>
    <w:rsid w:val="25D55CBC"/>
    <w:rsid w:val="25EC2D81"/>
    <w:rsid w:val="260C2EC9"/>
    <w:rsid w:val="262A07D4"/>
    <w:rsid w:val="26301F26"/>
    <w:rsid w:val="264B7EBD"/>
    <w:rsid w:val="265E126B"/>
    <w:rsid w:val="265F1E1F"/>
    <w:rsid w:val="268C52DD"/>
    <w:rsid w:val="269B0AAA"/>
    <w:rsid w:val="26B16E6E"/>
    <w:rsid w:val="273D0372"/>
    <w:rsid w:val="2758567A"/>
    <w:rsid w:val="275D4B34"/>
    <w:rsid w:val="277057A2"/>
    <w:rsid w:val="27715D8A"/>
    <w:rsid w:val="27962D70"/>
    <w:rsid w:val="27991E2A"/>
    <w:rsid w:val="28601B79"/>
    <w:rsid w:val="2880780E"/>
    <w:rsid w:val="28C11369"/>
    <w:rsid w:val="28E96D05"/>
    <w:rsid w:val="28F17A46"/>
    <w:rsid w:val="28FD41AF"/>
    <w:rsid w:val="290D349C"/>
    <w:rsid w:val="29206EB8"/>
    <w:rsid w:val="292F1B9B"/>
    <w:rsid w:val="293F2E62"/>
    <w:rsid w:val="29595666"/>
    <w:rsid w:val="2961756B"/>
    <w:rsid w:val="29874881"/>
    <w:rsid w:val="298A575C"/>
    <w:rsid w:val="29997B91"/>
    <w:rsid w:val="29A62B9A"/>
    <w:rsid w:val="29A64FE1"/>
    <w:rsid w:val="29CA19ED"/>
    <w:rsid w:val="29E325E0"/>
    <w:rsid w:val="2A2666DF"/>
    <w:rsid w:val="2A35378F"/>
    <w:rsid w:val="2A3726BB"/>
    <w:rsid w:val="2A3E31B9"/>
    <w:rsid w:val="2A452503"/>
    <w:rsid w:val="2A5B418A"/>
    <w:rsid w:val="2A794BBC"/>
    <w:rsid w:val="2AC93FB0"/>
    <w:rsid w:val="2ADC7C10"/>
    <w:rsid w:val="2B0C2C6E"/>
    <w:rsid w:val="2B182ED1"/>
    <w:rsid w:val="2B1C6FBA"/>
    <w:rsid w:val="2B480AB9"/>
    <w:rsid w:val="2B4B4ED2"/>
    <w:rsid w:val="2B52793E"/>
    <w:rsid w:val="2B7548F6"/>
    <w:rsid w:val="2BA51A00"/>
    <w:rsid w:val="2BA936A8"/>
    <w:rsid w:val="2BC964E1"/>
    <w:rsid w:val="2BD34B5E"/>
    <w:rsid w:val="2C2327E7"/>
    <w:rsid w:val="2C315A5A"/>
    <w:rsid w:val="2C4B1C25"/>
    <w:rsid w:val="2C7353E9"/>
    <w:rsid w:val="2C7928C8"/>
    <w:rsid w:val="2C861CAE"/>
    <w:rsid w:val="2C95299C"/>
    <w:rsid w:val="2D2F0653"/>
    <w:rsid w:val="2D333C96"/>
    <w:rsid w:val="2D845D3E"/>
    <w:rsid w:val="2D9E56F5"/>
    <w:rsid w:val="2DAE712C"/>
    <w:rsid w:val="2DCF4546"/>
    <w:rsid w:val="2DD541DA"/>
    <w:rsid w:val="2DDF1B30"/>
    <w:rsid w:val="2E1C26AC"/>
    <w:rsid w:val="2E203619"/>
    <w:rsid w:val="2E606B8B"/>
    <w:rsid w:val="2E667F96"/>
    <w:rsid w:val="2E8226AB"/>
    <w:rsid w:val="2EA84F12"/>
    <w:rsid w:val="2EC42C07"/>
    <w:rsid w:val="2F782E88"/>
    <w:rsid w:val="2F8072E3"/>
    <w:rsid w:val="2F8D578B"/>
    <w:rsid w:val="2FC34A1F"/>
    <w:rsid w:val="2FD065E6"/>
    <w:rsid w:val="2FD96870"/>
    <w:rsid w:val="2FDA1E2D"/>
    <w:rsid w:val="2FE07DC5"/>
    <w:rsid w:val="301F4EC4"/>
    <w:rsid w:val="304B4AC1"/>
    <w:rsid w:val="30580BC9"/>
    <w:rsid w:val="305C2A58"/>
    <w:rsid w:val="30666059"/>
    <w:rsid w:val="30753894"/>
    <w:rsid w:val="30893BAB"/>
    <w:rsid w:val="30CB759E"/>
    <w:rsid w:val="30E12DAC"/>
    <w:rsid w:val="30EE11DD"/>
    <w:rsid w:val="311766C8"/>
    <w:rsid w:val="311E2ED7"/>
    <w:rsid w:val="31304890"/>
    <w:rsid w:val="315619EE"/>
    <w:rsid w:val="315C449C"/>
    <w:rsid w:val="316D6290"/>
    <w:rsid w:val="3175302B"/>
    <w:rsid w:val="318D48CF"/>
    <w:rsid w:val="318F38C2"/>
    <w:rsid w:val="31984009"/>
    <w:rsid w:val="31B82709"/>
    <w:rsid w:val="31D05482"/>
    <w:rsid w:val="31EF34ED"/>
    <w:rsid w:val="31F64A63"/>
    <w:rsid w:val="32397A4A"/>
    <w:rsid w:val="323A18DC"/>
    <w:rsid w:val="323D5C35"/>
    <w:rsid w:val="32400B34"/>
    <w:rsid w:val="325B420C"/>
    <w:rsid w:val="325C5D5B"/>
    <w:rsid w:val="32844BA8"/>
    <w:rsid w:val="32967756"/>
    <w:rsid w:val="329E6876"/>
    <w:rsid w:val="32B81879"/>
    <w:rsid w:val="32B9158A"/>
    <w:rsid w:val="32FC06AB"/>
    <w:rsid w:val="333015F2"/>
    <w:rsid w:val="334B6320"/>
    <w:rsid w:val="336F6F87"/>
    <w:rsid w:val="338314D4"/>
    <w:rsid w:val="3390345C"/>
    <w:rsid w:val="33941ABD"/>
    <w:rsid w:val="33952731"/>
    <w:rsid w:val="33BF3E64"/>
    <w:rsid w:val="33D934D4"/>
    <w:rsid w:val="33DD7201"/>
    <w:rsid w:val="33FE2F6A"/>
    <w:rsid w:val="340E07E5"/>
    <w:rsid w:val="341240E5"/>
    <w:rsid w:val="34235BF7"/>
    <w:rsid w:val="34351198"/>
    <w:rsid w:val="344204C3"/>
    <w:rsid w:val="344A01D3"/>
    <w:rsid w:val="34B33143"/>
    <w:rsid w:val="34D3720E"/>
    <w:rsid w:val="34EA0E4B"/>
    <w:rsid w:val="34F94E95"/>
    <w:rsid w:val="35290FE1"/>
    <w:rsid w:val="35481852"/>
    <w:rsid w:val="354E0CB5"/>
    <w:rsid w:val="358C5FA8"/>
    <w:rsid w:val="35C15DF1"/>
    <w:rsid w:val="35E92B7B"/>
    <w:rsid w:val="36074A7F"/>
    <w:rsid w:val="363B7C2E"/>
    <w:rsid w:val="367D4D78"/>
    <w:rsid w:val="36923549"/>
    <w:rsid w:val="36B75FBF"/>
    <w:rsid w:val="36BD0C45"/>
    <w:rsid w:val="36DE5E40"/>
    <w:rsid w:val="370327DE"/>
    <w:rsid w:val="370F73F4"/>
    <w:rsid w:val="373F1E3A"/>
    <w:rsid w:val="376C11C7"/>
    <w:rsid w:val="37E00298"/>
    <w:rsid w:val="380B4D10"/>
    <w:rsid w:val="380F439C"/>
    <w:rsid w:val="38230059"/>
    <w:rsid w:val="384738E7"/>
    <w:rsid w:val="385D75EA"/>
    <w:rsid w:val="38740E1F"/>
    <w:rsid w:val="38790034"/>
    <w:rsid w:val="387A309F"/>
    <w:rsid w:val="387F7417"/>
    <w:rsid w:val="38B302F9"/>
    <w:rsid w:val="38BC5DF2"/>
    <w:rsid w:val="38DA2B1E"/>
    <w:rsid w:val="38DD2BAB"/>
    <w:rsid w:val="38E039DE"/>
    <w:rsid w:val="38F12CD3"/>
    <w:rsid w:val="38F94775"/>
    <w:rsid w:val="392971ED"/>
    <w:rsid w:val="39325651"/>
    <w:rsid w:val="394230E1"/>
    <w:rsid w:val="395008B4"/>
    <w:rsid w:val="395C0612"/>
    <w:rsid w:val="39820BBF"/>
    <w:rsid w:val="39E95A7D"/>
    <w:rsid w:val="39F63D60"/>
    <w:rsid w:val="3A74403E"/>
    <w:rsid w:val="3A872856"/>
    <w:rsid w:val="3AAA7297"/>
    <w:rsid w:val="3AAC6F89"/>
    <w:rsid w:val="3ABA3BF0"/>
    <w:rsid w:val="3AE942D7"/>
    <w:rsid w:val="3B08620F"/>
    <w:rsid w:val="3B1752A1"/>
    <w:rsid w:val="3B1C5242"/>
    <w:rsid w:val="3B2008EC"/>
    <w:rsid w:val="3B2978E7"/>
    <w:rsid w:val="3B3763D1"/>
    <w:rsid w:val="3B3D6E79"/>
    <w:rsid w:val="3B42058A"/>
    <w:rsid w:val="3B525DDD"/>
    <w:rsid w:val="3B5F3780"/>
    <w:rsid w:val="3B8C41DF"/>
    <w:rsid w:val="3BBE18EA"/>
    <w:rsid w:val="3C2F6E1E"/>
    <w:rsid w:val="3C4F64BA"/>
    <w:rsid w:val="3C5D0990"/>
    <w:rsid w:val="3C5F0D2A"/>
    <w:rsid w:val="3C784A57"/>
    <w:rsid w:val="3C8544ED"/>
    <w:rsid w:val="3CD26176"/>
    <w:rsid w:val="3CDA245A"/>
    <w:rsid w:val="3D071963"/>
    <w:rsid w:val="3D1E06B7"/>
    <w:rsid w:val="3D6F77D8"/>
    <w:rsid w:val="3D78729D"/>
    <w:rsid w:val="3DE374BB"/>
    <w:rsid w:val="3E0854C0"/>
    <w:rsid w:val="3E453A79"/>
    <w:rsid w:val="3E473FE0"/>
    <w:rsid w:val="3E6A0553"/>
    <w:rsid w:val="3E917B5A"/>
    <w:rsid w:val="3ED40EE4"/>
    <w:rsid w:val="3EDA0523"/>
    <w:rsid w:val="3F0962B9"/>
    <w:rsid w:val="3F677001"/>
    <w:rsid w:val="3FE21934"/>
    <w:rsid w:val="400E00C5"/>
    <w:rsid w:val="4021710D"/>
    <w:rsid w:val="40374C40"/>
    <w:rsid w:val="403D221F"/>
    <w:rsid w:val="40744490"/>
    <w:rsid w:val="407A6407"/>
    <w:rsid w:val="407C67E0"/>
    <w:rsid w:val="40CE2781"/>
    <w:rsid w:val="40F401B6"/>
    <w:rsid w:val="41034676"/>
    <w:rsid w:val="41A6545C"/>
    <w:rsid w:val="41A70E19"/>
    <w:rsid w:val="41BA7977"/>
    <w:rsid w:val="41C303BC"/>
    <w:rsid w:val="41D0596E"/>
    <w:rsid w:val="4200449D"/>
    <w:rsid w:val="42081E92"/>
    <w:rsid w:val="420A4274"/>
    <w:rsid w:val="421550B3"/>
    <w:rsid w:val="42316873"/>
    <w:rsid w:val="423A3BCC"/>
    <w:rsid w:val="424E57D2"/>
    <w:rsid w:val="42711B0A"/>
    <w:rsid w:val="427F5E90"/>
    <w:rsid w:val="42983DD2"/>
    <w:rsid w:val="42AC271D"/>
    <w:rsid w:val="42AE7CCF"/>
    <w:rsid w:val="42B26C49"/>
    <w:rsid w:val="42C22DDB"/>
    <w:rsid w:val="42E45335"/>
    <w:rsid w:val="42FA06F7"/>
    <w:rsid w:val="43143D7A"/>
    <w:rsid w:val="43167CCE"/>
    <w:rsid w:val="433A6FE6"/>
    <w:rsid w:val="43407764"/>
    <w:rsid w:val="43480868"/>
    <w:rsid w:val="4350713C"/>
    <w:rsid w:val="435414E9"/>
    <w:rsid w:val="436653E0"/>
    <w:rsid w:val="436C5812"/>
    <w:rsid w:val="43957598"/>
    <w:rsid w:val="439707E8"/>
    <w:rsid w:val="43C4431A"/>
    <w:rsid w:val="43D61EA9"/>
    <w:rsid w:val="43F05EF8"/>
    <w:rsid w:val="44097363"/>
    <w:rsid w:val="440E0C72"/>
    <w:rsid w:val="447B0B87"/>
    <w:rsid w:val="44AB70C5"/>
    <w:rsid w:val="44B951CC"/>
    <w:rsid w:val="44CD14E0"/>
    <w:rsid w:val="44D446BD"/>
    <w:rsid w:val="44F20B0B"/>
    <w:rsid w:val="44F4726F"/>
    <w:rsid w:val="44FF5466"/>
    <w:rsid w:val="452E5F4C"/>
    <w:rsid w:val="45612018"/>
    <w:rsid w:val="458946E9"/>
    <w:rsid w:val="45915C7F"/>
    <w:rsid w:val="45A47C0E"/>
    <w:rsid w:val="46265129"/>
    <w:rsid w:val="463F0439"/>
    <w:rsid w:val="46577FD6"/>
    <w:rsid w:val="465A4756"/>
    <w:rsid w:val="46637532"/>
    <w:rsid w:val="46D955A7"/>
    <w:rsid w:val="47085624"/>
    <w:rsid w:val="47133957"/>
    <w:rsid w:val="47305063"/>
    <w:rsid w:val="47A07E0C"/>
    <w:rsid w:val="47C847E0"/>
    <w:rsid w:val="47E1372C"/>
    <w:rsid w:val="4807202F"/>
    <w:rsid w:val="48236890"/>
    <w:rsid w:val="482C64CA"/>
    <w:rsid w:val="4870272E"/>
    <w:rsid w:val="488652AA"/>
    <w:rsid w:val="488F6BBC"/>
    <w:rsid w:val="48AF2A23"/>
    <w:rsid w:val="490067C8"/>
    <w:rsid w:val="49316946"/>
    <w:rsid w:val="49605D45"/>
    <w:rsid w:val="4982577A"/>
    <w:rsid w:val="49CA7C98"/>
    <w:rsid w:val="49DC7715"/>
    <w:rsid w:val="4A023139"/>
    <w:rsid w:val="4A50621F"/>
    <w:rsid w:val="4A7B576F"/>
    <w:rsid w:val="4A8E3399"/>
    <w:rsid w:val="4ABF22C6"/>
    <w:rsid w:val="4AEE5F20"/>
    <w:rsid w:val="4AF561A9"/>
    <w:rsid w:val="4B20155E"/>
    <w:rsid w:val="4B4355A1"/>
    <w:rsid w:val="4B564B78"/>
    <w:rsid w:val="4B5818F8"/>
    <w:rsid w:val="4B831B40"/>
    <w:rsid w:val="4BC2008D"/>
    <w:rsid w:val="4BC53522"/>
    <w:rsid w:val="4BC76BF8"/>
    <w:rsid w:val="4BD47F99"/>
    <w:rsid w:val="4BD874CD"/>
    <w:rsid w:val="4C4A0649"/>
    <w:rsid w:val="4C5E739A"/>
    <w:rsid w:val="4C7176D2"/>
    <w:rsid w:val="4C7E5ECA"/>
    <w:rsid w:val="4C876AA5"/>
    <w:rsid w:val="4CC52609"/>
    <w:rsid w:val="4CFB2EF1"/>
    <w:rsid w:val="4D0E00FB"/>
    <w:rsid w:val="4D176606"/>
    <w:rsid w:val="4D247990"/>
    <w:rsid w:val="4D567A11"/>
    <w:rsid w:val="4D581DF3"/>
    <w:rsid w:val="4D8650C1"/>
    <w:rsid w:val="4DAC700D"/>
    <w:rsid w:val="4DEC4FB0"/>
    <w:rsid w:val="4DFF2A2C"/>
    <w:rsid w:val="4E072066"/>
    <w:rsid w:val="4E075D8A"/>
    <w:rsid w:val="4E411D58"/>
    <w:rsid w:val="4E5E2BCF"/>
    <w:rsid w:val="4E8C56FC"/>
    <w:rsid w:val="4E8D1542"/>
    <w:rsid w:val="4EC00FAD"/>
    <w:rsid w:val="4EFF1C19"/>
    <w:rsid w:val="4F284E95"/>
    <w:rsid w:val="4F543A40"/>
    <w:rsid w:val="4F9843DC"/>
    <w:rsid w:val="4FC62A8C"/>
    <w:rsid w:val="4FE20F0D"/>
    <w:rsid w:val="4FE51552"/>
    <w:rsid w:val="50046BF0"/>
    <w:rsid w:val="50504C4B"/>
    <w:rsid w:val="505C5060"/>
    <w:rsid w:val="50677FA5"/>
    <w:rsid w:val="509C6E7C"/>
    <w:rsid w:val="50A06CFD"/>
    <w:rsid w:val="50D6148F"/>
    <w:rsid w:val="510D6EBF"/>
    <w:rsid w:val="51455B53"/>
    <w:rsid w:val="51610ECB"/>
    <w:rsid w:val="5162104E"/>
    <w:rsid w:val="516A47BC"/>
    <w:rsid w:val="518A3623"/>
    <w:rsid w:val="51A958E0"/>
    <w:rsid w:val="51BC4D64"/>
    <w:rsid w:val="51D65BC7"/>
    <w:rsid w:val="52044ADB"/>
    <w:rsid w:val="52196421"/>
    <w:rsid w:val="526A761E"/>
    <w:rsid w:val="52875448"/>
    <w:rsid w:val="530C3ABD"/>
    <w:rsid w:val="532104B3"/>
    <w:rsid w:val="532821D6"/>
    <w:rsid w:val="535B626D"/>
    <w:rsid w:val="53661F5E"/>
    <w:rsid w:val="53A039CC"/>
    <w:rsid w:val="53A1505A"/>
    <w:rsid w:val="53DA6570"/>
    <w:rsid w:val="53F81853"/>
    <w:rsid w:val="53F8493C"/>
    <w:rsid w:val="53FE2A22"/>
    <w:rsid w:val="54063E08"/>
    <w:rsid w:val="543437E8"/>
    <w:rsid w:val="54357AEF"/>
    <w:rsid w:val="5448704D"/>
    <w:rsid w:val="54547FE3"/>
    <w:rsid w:val="54B7774A"/>
    <w:rsid w:val="54C415E9"/>
    <w:rsid w:val="54F56569"/>
    <w:rsid w:val="54F63E9D"/>
    <w:rsid w:val="54F73313"/>
    <w:rsid w:val="54F80955"/>
    <w:rsid w:val="555170A7"/>
    <w:rsid w:val="555C48D4"/>
    <w:rsid w:val="5587536D"/>
    <w:rsid w:val="55893D0C"/>
    <w:rsid w:val="559B174B"/>
    <w:rsid w:val="55CE0CF4"/>
    <w:rsid w:val="55D85AEC"/>
    <w:rsid w:val="561637CA"/>
    <w:rsid w:val="561705A6"/>
    <w:rsid w:val="56595D5C"/>
    <w:rsid w:val="565C445C"/>
    <w:rsid w:val="56974EFE"/>
    <w:rsid w:val="56994695"/>
    <w:rsid w:val="56AC0E73"/>
    <w:rsid w:val="56B22A9C"/>
    <w:rsid w:val="56D337B4"/>
    <w:rsid w:val="56D967E7"/>
    <w:rsid w:val="57B06DFD"/>
    <w:rsid w:val="57B72A76"/>
    <w:rsid w:val="57C3426C"/>
    <w:rsid w:val="57C676DC"/>
    <w:rsid w:val="57CB107D"/>
    <w:rsid w:val="57CE1F93"/>
    <w:rsid w:val="57D109D9"/>
    <w:rsid w:val="57D668B9"/>
    <w:rsid w:val="581F7503"/>
    <w:rsid w:val="58515E39"/>
    <w:rsid w:val="588743D1"/>
    <w:rsid w:val="5887701A"/>
    <w:rsid w:val="589A641F"/>
    <w:rsid w:val="58BB0439"/>
    <w:rsid w:val="591C3BA5"/>
    <w:rsid w:val="59217203"/>
    <w:rsid w:val="596C61BF"/>
    <w:rsid w:val="59850897"/>
    <w:rsid w:val="59903A18"/>
    <w:rsid w:val="59AF58DB"/>
    <w:rsid w:val="59C0439F"/>
    <w:rsid w:val="59C603E8"/>
    <w:rsid w:val="59CB17F9"/>
    <w:rsid w:val="59FC4615"/>
    <w:rsid w:val="59FC5259"/>
    <w:rsid w:val="5A09181D"/>
    <w:rsid w:val="5A261FFB"/>
    <w:rsid w:val="5A6151EC"/>
    <w:rsid w:val="5A9D0726"/>
    <w:rsid w:val="5AA748B6"/>
    <w:rsid w:val="5ABE2233"/>
    <w:rsid w:val="5AD63E6B"/>
    <w:rsid w:val="5AE06B4A"/>
    <w:rsid w:val="5AE66804"/>
    <w:rsid w:val="5B0D6383"/>
    <w:rsid w:val="5B9610CA"/>
    <w:rsid w:val="5BDF5D95"/>
    <w:rsid w:val="5BF86886"/>
    <w:rsid w:val="5BFE7528"/>
    <w:rsid w:val="5C016380"/>
    <w:rsid w:val="5C69414A"/>
    <w:rsid w:val="5C920536"/>
    <w:rsid w:val="5CA60DB5"/>
    <w:rsid w:val="5D2075BA"/>
    <w:rsid w:val="5D241E8C"/>
    <w:rsid w:val="5D5C05D1"/>
    <w:rsid w:val="5D782F14"/>
    <w:rsid w:val="5DE37835"/>
    <w:rsid w:val="5E2467F1"/>
    <w:rsid w:val="5EA62F5B"/>
    <w:rsid w:val="5EA765C8"/>
    <w:rsid w:val="5EE63644"/>
    <w:rsid w:val="5F0541E2"/>
    <w:rsid w:val="5F092368"/>
    <w:rsid w:val="5F1A2B43"/>
    <w:rsid w:val="5F2E7ECF"/>
    <w:rsid w:val="5F401297"/>
    <w:rsid w:val="5F745CF6"/>
    <w:rsid w:val="5F9009BC"/>
    <w:rsid w:val="5FAF4162"/>
    <w:rsid w:val="5FB837BB"/>
    <w:rsid w:val="5FFE3C8B"/>
    <w:rsid w:val="60015672"/>
    <w:rsid w:val="608E0B3D"/>
    <w:rsid w:val="60A73523"/>
    <w:rsid w:val="60CC405A"/>
    <w:rsid w:val="61021185"/>
    <w:rsid w:val="612F0EC1"/>
    <w:rsid w:val="61392CAE"/>
    <w:rsid w:val="61401C36"/>
    <w:rsid w:val="614A0167"/>
    <w:rsid w:val="6150354E"/>
    <w:rsid w:val="6199344D"/>
    <w:rsid w:val="61A90892"/>
    <w:rsid w:val="61E215D8"/>
    <w:rsid w:val="621B3775"/>
    <w:rsid w:val="62364782"/>
    <w:rsid w:val="6240450F"/>
    <w:rsid w:val="627866FB"/>
    <w:rsid w:val="62A34D3E"/>
    <w:rsid w:val="62B11401"/>
    <w:rsid w:val="630677E2"/>
    <w:rsid w:val="63094721"/>
    <w:rsid w:val="634B22D4"/>
    <w:rsid w:val="637D57DA"/>
    <w:rsid w:val="6394356A"/>
    <w:rsid w:val="63C61B2C"/>
    <w:rsid w:val="63D40BE9"/>
    <w:rsid w:val="64102431"/>
    <w:rsid w:val="642C2CDD"/>
    <w:rsid w:val="64424A83"/>
    <w:rsid w:val="6482156C"/>
    <w:rsid w:val="649229F9"/>
    <w:rsid w:val="64A5243A"/>
    <w:rsid w:val="64F531DE"/>
    <w:rsid w:val="651E0C50"/>
    <w:rsid w:val="65373578"/>
    <w:rsid w:val="65B0485D"/>
    <w:rsid w:val="66014A53"/>
    <w:rsid w:val="661B1DD6"/>
    <w:rsid w:val="66334252"/>
    <w:rsid w:val="663A2385"/>
    <w:rsid w:val="66401C3D"/>
    <w:rsid w:val="665E7197"/>
    <w:rsid w:val="66871F1C"/>
    <w:rsid w:val="668C7DEB"/>
    <w:rsid w:val="66C9290E"/>
    <w:rsid w:val="670D283F"/>
    <w:rsid w:val="671F124A"/>
    <w:rsid w:val="673A0118"/>
    <w:rsid w:val="67654522"/>
    <w:rsid w:val="677A33C6"/>
    <w:rsid w:val="677F666F"/>
    <w:rsid w:val="681F6961"/>
    <w:rsid w:val="68345F96"/>
    <w:rsid w:val="68566F8E"/>
    <w:rsid w:val="685F0C07"/>
    <w:rsid w:val="68610A2F"/>
    <w:rsid w:val="686E727C"/>
    <w:rsid w:val="68805514"/>
    <w:rsid w:val="68E03296"/>
    <w:rsid w:val="69163639"/>
    <w:rsid w:val="69316E2F"/>
    <w:rsid w:val="694E2071"/>
    <w:rsid w:val="69766163"/>
    <w:rsid w:val="697A3B33"/>
    <w:rsid w:val="69C3673C"/>
    <w:rsid w:val="69D44760"/>
    <w:rsid w:val="69F37608"/>
    <w:rsid w:val="6A01024A"/>
    <w:rsid w:val="6A3A2711"/>
    <w:rsid w:val="6A520EC7"/>
    <w:rsid w:val="6A5C58B1"/>
    <w:rsid w:val="6A603206"/>
    <w:rsid w:val="6A9A13DB"/>
    <w:rsid w:val="6AA3332A"/>
    <w:rsid w:val="6AC97A74"/>
    <w:rsid w:val="6AF87E20"/>
    <w:rsid w:val="6B322639"/>
    <w:rsid w:val="6B603A42"/>
    <w:rsid w:val="6B6C0831"/>
    <w:rsid w:val="6BA94D58"/>
    <w:rsid w:val="6BAB5AE6"/>
    <w:rsid w:val="6BD0296B"/>
    <w:rsid w:val="6C0C0ED6"/>
    <w:rsid w:val="6C2646E5"/>
    <w:rsid w:val="6C4B38E0"/>
    <w:rsid w:val="6C636C38"/>
    <w:rsid w:val="6C906FB2"/>
    <w:rsid w:val="6C982432"/>
    <w:rsid w:val="6CE27C54"/>
    <w:rsid w:val="6D027CA1"/>
    <w:rsid w:val="6D34717D"/>
    <w:rsid w:val="6D462F8E"/>
    <w:rsid w:val="6D867AA0"/>
    <w:rsid w:val="6DB34098"/>
    <w:rsid w:val="6DB545B6"/>
    <w:rsid w:val="6DE02FB4"/>
    <w:rsid w:val="6DE2143A"/>
    <w:rsid w:val="6E0A44D4"/>
    <w:rsid w:val="6E253DB6"/>
    <w:rsid w:val="6E373926"/>
    <w:rsid w:val="6E514CED"/>
    <w:rsid w:val="6E8136F9"/>
    <w:rsid w:val="6E932B0A"/>
    <w:rsid w:val="6EB563D5"/>
    <w:rsid w:val="6ED92677"/>
    <w:rsid w:val="6F225983"/>
    <w:rsid w:val="6F641995"/>
    <w:rsid w:val="6F8F58CE"/>
    <w:rsid w:val="6FE5472D"/>
    <w:rsid w:val="6FE675DB"/>
    <w:rsid w:val="6FFC5590"/>
    <w:rsid w:val="706D1DD0"/>
    <w:rsid w:val="70722031"/>
    <w:rsid w:val="70802859"/>
    <w:rsid w:val="70856B87"/>
    <w:rsid w:val="70D527EE"/>
    <w:rsid w:val="715B5300"/>
    <w:rsid w:val="71D27F8A"/>
    <w:rsid w:val="72337A9B"/>
    <w:rsid w:val="7236668F"/>
    <w:rsid w:val="72407845"/>
    <w:rsid w:val="72544B5D"/>
    <w:rsid w:val="72553024"/>
    <w:rsid w:val="72A4502B"/>
    <w:rsid w:val="72D940B0"/>
    <w:rsid w:val="73122968"/>
    <w:rsid w:val="731F5D5E"/>
    <w:rsid w:val="7344351D"/>
    <w:rsid w:val="734D6EEB"/>
    <w:rsid w:val="73C51AD5"/>
    <w:rsid w:val="73D24A77"/>
    <w:rsid w:val="73D86A94"/>
    <w:rsid w:val="73DC2541"/>
    <w:rsid w:val="73E86AD4"/>
    <w:rsid w:val="741E793C"/>
    <w:rsid w:val="744E63F8"/>
    <w:rsid w:val="745E3944"/>
    <w:rsid w:val="7464454A"/>
    <w:rsid w:val="746B6DBF"/>
    <w:rsid w:val="74E91DC6"/>
    <w:rsid w:val="754160EC"/>
    <w:rsid w:val="754972F2"/>
    <w:rsid w:val="758D6ABD"/>
    <w:rsid w:val="75EC70CE"/>
    <w:rsid w:val="761D42DE"/>
    <w:rsid w:val="7635099D"/>
    <w:rsid w:val="76681409"/>
    <w:rsid w:val="769A769F"/>
    <w:rsid w:val="76C40D8F"/>
    <w:rsid w:val="76CB683E"/>
    <w:rsid w:val="76DE7E3B"/>
    <w:rsid w:val="7724657C"/>
    <w:rsid w:val="772B6EDC"/>
    <w:rsid w:val="774269DF"/>
    <w:rsid w:val="774C66AC"/>
    <w:rsid w:val="77762421"/>
    <w:rsid w:val="77B56B1F"/>
    <w:rsid w:val="77CF4D4F"/>
    <w:rsid w:val="78036E19"/>
    <w:rsid w:val="780F09F4"/>
    <w:rsid w:val="784B5B74"/>
    <w:rsid w:val="78A90480"/>
    <w:rsid w:val="78A94BAF"/>
    <w:rsid w:val="78CD311A"/>
    <w:rsid w:val="79216BB4"/>
    <w:rsid w:val="79363687"/>
    <w:rsid w:val="79D2268E"/>
    <w:rsid w:val="79D511E0"/>
    <w:rsid w:val="7A364017"/>
    <w:rsid w:val="7A451959"/>
    <w:rsid w:val="7A8265E1"/>
    <w:rsid w:val="7A8C4A86"/>
    <w:rsid w:val="7B442821"/>
    <w:rsid w:val="7B686D42"/>
    <w:rsid w:val="7B841746"/>
    <w:rsid w:val="7B876848"/>
    <w:rsid w:val="7B922C85"/>
    <w:rsid w:val="7C1775DC"/>
    <w:rsid w:val="7C1F1A8F"/>
    <w:rsid w:val="7C270E94"/>
    <w:rsid w:val="7C3C24F1"/>
    <w:rsid w:val="7C3F5AD1"/>
    <w:rsid w:val="7C640384"/>
    <w:rsid w:val="7C664220"/>
    <w:rsid w:val="7C6C5AC7"/>
    <w:rsid w:val="7C956CE4"/>
    <w:rsid w:val="7CC6544B"/>
    <w:rsid w:val="7CCC2EA4"/>
    <w:rsid w:val="7CE771D5"/>
    <w:rsid w:val="7CE91479"/>
    <w:rsid w:val="7CF67D3C"/>
    <w:rsid w:val="7D0239FF"/>
    <w:rsid w:val="7D191E72"/>
    <w:rsid w:val="7D556F98"/>
    <w:rsid w:val="7D5E40CD"/>
    <w:rsid w:val="7DCD56F2"/>
    <w:rsid w:val="7DFF7F18"/>
    <w:rsid w:val="7E25115B"/>
    <w:rsid w:val="7ECD24C5"/>
    <w:rsid w:val="7EEA12F0"/>
    <w:rsid w:val="7F001CE7"/>
    <w:rsid w:val="7F041FD6"/>
    <w:rsid w:val="7F9629ED"/>
    <w:rsid w:val="7FA543F2"/>
    <w:rsid w:val="7FE40FFF"/>
    <w:rsid w:val="7FE47E50"/>
    <w:rsid w:val="7FE94DB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9" w:semiHidden="0" w:name="heading 2" w:locked="1"/>
    <w:lsdException w:qFormat="1" w:unhideWhenUsed="0" w:uiPriority="99" w:semiHidden="0" w:name="heading 3" w:locked="1"/>
    <w:lsdException w:qFormat="1" w:uiPriority="0" w:name="heading 4" w:locked="1"/>
    <w:lsdException w:qFormat="1" w:uiPriority="0"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iPriority="0" w:semiHidden="0" w:name="Body Text Indent 2" w:locked="1"/>
    <w:lsdException w:unhideWhenUsed="0" w:uiPriority="0" w:semiHidden="0" w:name="Body Text Indent 3" w:locked="1"/>
    <w:lsdException w:unhideWhenUsed="0" w:uiPriority="0" w:semiHidden="0" w:name="Block Text" w:locked="1"/>
    <w:lsdException w:qFormat="1" w:uiPriority="99"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99"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left"/>
    </w:pPr>
    <w:rPr>
      <w:rFonts w:ascii="Times New Roman" w:hAnsi="Times New Roman" w:eastAsia="宋体" w:cs="Times New Roman"/>
      <w:kern w:val="2"/>
      <w:sz w:val="21"/>
      <w:szCs w:val="21"/>
      <w:lang w:val="en-US" w:eastAsia="zh-CN" w:bidi="ar-SA"/>
    </w:rPr>
  </w:style>
  <w:style w:type="paragraph" w:styleId="3">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2">
    <w:name w:val="heading 2"/>
    <w:basedOn w:val="1"/>
    <w:next w:val="1"/>
    <w:qFormat/>
    <w:locked/>
    <w:uiPriority w:val="99"/>
    <w:pPr>
      <w:keepNext/>
      <w:keepLines/>
      <w:spacing w:line="360" w:lineRule="auto"/>
      <w:jc w:val="left"/>
      <w:outlineLvl w:val="1"/>
    </w:pPr>
    <w:rPr>
      <w:rFonts w:ascii="Cambria" w:hAnsi="Cambria" w:eastAsia="黑体" w:cs="Cambria"/>
      <w:sz w:val="28"/>
      <w:szCs w:val="28"/>
    </w:rPr>
  </w:style>
  <w:style w:type="paragraph" w:styleId="4">
    <w:name w:val="heading 3"/>
    <w:basedOn w:val="1"/>
    <w:next w:val="1"/>
    <w:qFormat/>
    <w:locked/>
    <w:uiPriority w:val="99"/>
    <w:pPr>
      <w:keepNext/>
      <w:keepLines/>
      <w:spacing w:line="360" w:lineRule="auto"/>
      <w:ind w:firstLine="200" w:firstLineChars="200"/>
      <w:outlineLvl w:val="2"/>
    </w:pPr>
    <w:rPr>
      <w:rFonts w:eastAsia="黑体"/>
    </w:rPr>
  </w:style>
  <w:style w:type="paragraph" w:styleId="5">
    <w:name w:val="heading 5"/>
    <w:basedOn w:val="1"/>
    <w:next w:val="1"/>
    <w:link w:val="26"/>
    <w:unhideWhenUsed/>
    <w:qFormat/>
    <w:locked/>
    <w:uiPriority w:val="0"/>
    <w:pPr>
      <w:keepNext/>
      <w:keepLines/>
      <w:spacing w:before="280" w:after="290" w:line="376" w:lineRule="auto"/>
      <w:outlineLvl w:val="4"/>
    </w:pPr>
    <w:rPr>
      <w:b/>
      <w:bCs/>
      <w:sz w:val="28"/>
      <w:szCs w:val="28"/>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Normal Indent"/>
    <w:basedOn w:val="1"/>
    <w:qFormat/>
    <w:locked/>
    <w:uiPriority w:val="0"/>
    <w:pPr>
      <w:ind w:firstLine="420" w:firstLineChars="200"/>
    </w:pPr>
  </w:style>
  <w:style w:type="paragraph" w:styleId="7">
    <w:name w:val="annotation text"/>
    <w:basedOn w:val="1"/>
    <w:link w:val="27"/>
    <w:semiHidden/>
    <w:qFormat/>
    <w:uiPriority w:val="0"/>
    <w:pPr>
      <w:jc w:val="left"/>
    </w:pPr>
    <w:rPr>
      <w:kern w:val="0"/>
      <w:sz w:val="24"/>
      <w:szCs w:val="20"/>
    </w:rPr>
  </w:style>
  <w:style w:type="paragraph" w:styleId="8">
    <w:name w:val="Body Text"/>
    <w:basedOn w:val="1"/>
    <w:link w:val="28"/>
    <w:qFormat/>
    <w:uiPriority w:val="0"/>
    <w:pPr>
      <w:widowControl/>
      <w:snapToGrid w:val="0"/>
      <w:spacing w:before="60" w:after="160" w:line="259" w:lineRule="auto"/>
      <w:ind w:right="113"/>
    </w:pPr>
    <w:rPr>
      <w:kern w:val="0"/>
      <w:sz w:val="18"/>
      <w:szCs w:val="20"/>
    </w:rPr>
  </w:style>
  <w:style w:type="paragraph" w:styleId="9">
    <w:name w:val="Body Text Indent"/>
    <w:basedOn w:val="1"/>
    <w:next w:val="1"/>
    <w:link w:val="25"/>
    <w:qFormat/>
    <w:uiPriority w:val="0"/>
    <w:pPr>
      <w:spacing w:after="120"/>
      <w:ind w:left="420" w:leftChars="200"/>
    </w:pPr>
    <w:rPr>
      <w:kern w:val="0"/>
      <w:sz w:val="24"/>
      <w:szCs w:val="20"/>
    </w:rPr>
  </w:style>
  <w:style w:type="paragraph" w:styleId="10">
    <w:name w:val="Plain Text"/>
    <w:basedOn w:val="1"/>
    <w:qFormat/>
    <w:locked/>
    <w:uiPriority w:val="99"/>
    <w:rPr>
      <w:rFonts w:ascii="宋体" w:hAnsi="Courier New" w:eastAsia="宋体"/>
      <w:color w:val="000000"/>
      <w:szCs w:val="21"/>
    </w:rPr>
  </w:style>
  <w:style w:type="paragraph" w:styleId="11">
    <w:name w:val="Date"/>
    <w:basedOn w:val="1"/>
    <w:next w:val="1"/>
    <w:link w:val="29"/>
    <w:qFormat/>
    <w:uiPriority w:val="0"/>
    <w:pPr>
      <w:ind w:left="100" w:leftChars="2500"/>
    </w:pPr>
    <w:rPr>
      <w:kern w:val="0"/>
      <w:sz w:val="24"/>
      <w:szCs w:val="20"/>
    </w:rPr>
  </w:style>
  <w:style w:type="paragraph" w:styleId="12">
    <w:name w:val="Body Text Indent 2"/>
    <w:basedOn w:val="1"/>
    <w:next w:val="1"/>
    <w:link w:val="30"/>
    <w:unhideWhenUsed/>
    <w:qFormat/>
    <w:locked/>
    <w:uiPriority w:val="0"/>
    <w:pPr>
      <w:spacing w:after="120" w:line="480" w:lineRule="auto"/>
      <w:ind w:left="420" w:leftChars="200"/>
    </w:pPr>
    <w:rPr>
      <w:szCs w:val="20"/>
    </w:rPr>
  </w:style>
  <w:style w:type="paragraph" w:styleId="13">
    <w:name w:val="Balloon Text"/>
    <w:basedOn w:val="1"/>
    <w:link w:val="31"/>
    <w:semiHidden/>
    <w:qFormat/>
    <w:uiPriority w:val="0"/>
    <w:rPr>
      <w:kern w:val="0"/>
      <w:sz w:val="18"/>
      <w:szCs w:val="20"/>
    </w:rPr>
  </w:style>
  <w:style w:type="paragraph" w:styleId="14">
    <w:name w:val="footer"/>
    <w:basedOn w:val="1"/>
    <w:link w:val="32"/>
    <w:qFormat/>
    <w:uiPriority w:val="99"/>
    <w:pPr>
      <w:tabs>
        <w:tab w:val="center" w:pos="4153"/>
        <w:tab w:val="right" w:pos="8306"/>
      </w:tabs>
      <w:snapToGrid w:val="0"/>
      <w:jc w:val="left"/>
    </w:pPr>
    <w:rPr>
      <w:kern w:val="0"/>
      <w:sz w:val="18"/>
      <w:szCs w:val="20"/>
    </w:rPr>
  </w:style>
  <w:style w:type="paragraph" w:styleId="15">
    <w:name w:val="header"/>
    <w:basedOn w:val="1"/>
    <w:link w:val="33"/>
    <w:qFormat/>
    <w:uiPriority w:val="0"/>
    <w:pPr>
      <w:pBdr>
        <w:bottom w:val="single" w:color="auto" w:sz="6" w:space="1"/>
      </w:pBdr>
      <w:tabs>
        <w:tab w:val="center" w:pos="4153"/>
        <w:tab w:val="right" w:pos="8306"/>
      </w:tabs>
      <w:snapToGrid w:val="0"/>
      <w:jc w:val="center"/>
    </w:pPr>
    <w:rPr>
      <w:kern w:val="0"/>
      <w:sz w:val="18"/>
      <w:szCs w:val="20"/>
    </w:rPr>
  </w:style>
  <w:style w:type="paragraph" w:styleId="16">
    <w:name w:val="Normal (Web)"/>
    <w:basedOn w:val="1"/>
    <w:link w:val="34"/>
    <w:qFormat/>
    <w:uiPriority w:val="0"/>
    <w:pPr>
      <w:widowControl/>
      <w:spacing w:before="100" w:beforeAutospacing="1" w:after="100" w:afterAutospacing="1"/>
      <w:jc w:val="left"/>
    </w:pPr>
    <w:rPr>
      <w:rFonts w:ascii="宋体" w:hAnsi="宋体"/>
      <w:kern w:val="0"/>
      <w:sz w:val="24"/>
      <w:szCs w:val="20"/>
    </w:rPr>
  </w:style>
  <w:style w:type="paragraph" w:styleId="17">
    <w:name w:val="annotation subject"/>
    <w:basedOn w:val="7"/>
    <w:next w:val="7"/>
    <w:link w:val="35"/>
    <w:semiHidden/>
    <w:qFormat/>
    <w:uiPriority w:val="0"/>
    <w:rPr>
      <w:b/>
      <w:sz w:val="24"/>
      <w:szCs w:val="20"/>
    </w:rPr>
  </w:style>
  <w:style w:type="paragraph" w:styleId="18">
    <w:name w:val="Body Text First Indent 2"/>
    <w:basedOn w:val="9"/>
    <w:next w:val="1"/>
    <w:qFormat/>
    <w:locked/>
    <w:uiPriority w:val="0"/>
    <w:pPr>
      <w:spacing w:after="120" w:line="240" w:lineRule="auto"/>
      <w:ind w:left="420" w:leftChars="200" w:firstLine="420" w:firstLineChars="200"/>
    </w:pPr>
    <w:rPr>
      <w:szCs w:val="20"/>
    </w:rPr>
  </w:style>
  <w:style w:type="table" w:styleId="20">
    <w:name w:val="Table Grid"/>
    <w:basedOn w:val="19"/>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locked/>
    <w:uiPriority w:val="0"/>
  </w:style>
  <w:style w:type="character" w:styleId="23">
    <w:name w:val="Hyperlink"/>
    <w:unhideWhenUsed/>
    <w:qFormat/>
    <w:locked/>
    <w:uiPriority w:val="99"/>
    <w:rPr>
      <w:color w:val="0000FF"/>
      <w:u w:val="single"/>
    </w:rPr>
  </w:style>
  <w:style w:type="character" w:styleId="24">
    <w:name w:val="annotation reference"/>
    <w:basedOn w:val="21"/>
    <w:semiHidden/>
    <w:qFormat/>
    <w:uiPriority w:val="0"/>
    <w:rPr>
      <w:sz w:val="21"/>
    </w:rPr>
  </w:style>
  <w:style w:type="character" w:customStyle="1" w:styleId="25">
    <w:name w:val="正文文本缩进 字符"/>
    <w:link w:val="9"/>
    <w:semiHidden/>
    <w:qFormat/>
    <w:locked/>
    <w:uiPriority w:val="0"/>
    <w:rPr>
      <w:rFonts w:ascii="Times New Roman" w:hAnsi="Times New Roman" w:eastAsia="宋体"/>
      <w:sz w:val="24"/>
    </w:rPr>
  </w:style>
  <w:style w:type="character" w:customStyle="1" w:styleId="26">
    <w:name w:val="标题 5 字符"/>
    <w:link w:val="5"/>
    <w:semiHidden/>
    <w:qFormat/>
    <w:uiPriority w:val="0"/>
    <w:rPr>
      <w:b/>
      <w:bCs/>
      <w:kern w:val="2"/>
      <w:sz w:val="28"/>
      <w:szCs w:val="28"/>
    </w:rPr>
  </w:style>
  <w:style w:type="character" w:customStyle="1" w:styleId="27">
    <w:name w:val="批注文字 字符"/>
    <w:link w:val="7"/>
    <w:qFormat/>
    <w:locked/>
    <w:uiPriority w:val="0"/>
    <w:rPr>
      <w:rFonts w:ascii="Times New Roman" w:hAnsi="Times New Roman" w:eastAsia="宋体"/>
      <w:sz w:val="24"/>
    </w:rPr>
  </w:style>
  <w:style w:type="character" w:customStyle="1" w:styleId="28">
    <w:name w:val="正文文本 字符"/>
    <w:link w:val="8"/>
    <w:qFormat/>
    <w:locked/>
    <w:uiPriority w:val="0"/>
    <w:rPr>
      <w:sz w:val="18"/>
    </w:rPr>
  </w:style>
  <w:style w:type="character" w:customStyle="1" w:styleId="29">
    <w:name w:val="日期 字符1"/>
    <w:link w:val="11"/>
    <w:qFormat/>
    <w:locked/>
    <w:uiPriority w:val="0"/>
    <w:rPr>
      <w:rFonts w:ascii="Times New Roman" w:hAnsi="Times New Roman" w:eastAsia="宋体"/>
      <w:sz w:val="24"/>
    </w:rPr>
  </w:style>
  <w:style w:type="character" w:customStyle="1" w:styleId="30">
    <w:name w:val="正文文本缩进 2 字符"/>
    <w:link w:val="12"/>
    <w:qFormat/>
    <w:uiPriority w:val="0"/>
    <w:rPr>
      <w:kern w:val="2"/>
      <w:sz w:val="21"/>
    </w:rPr>
  </w:style>
  <w:style w:type="character" w:customStyle="1" w:styleId="31">
    <w:name w:val="批注框文本 字符"/>
    <w:link w:val="13"/>
    <w:semiHidden/>
    <w:qFormat/>
    <w:locked/>
    <w:uiPriority w:val="0"/>
    <w:rPr>
      <w:rFonts w:ascii="Times New Roman" w:hAnsi="Times New Roman" w:eastAsia="宋体"/>
      <w:sz w:val="18"/>
    </w:rPr>
  </w:style>
  <w:style w:type="character" w:customStyle="1" w:styleId="32">
    <w:name w:val="页脚 字符1"/>
    <w:link w:val="14"/>
    <w:qFormat/>
    <w:locked/>
    <w:uiPriority w:val="99"/>
    <w:rPr>
      <w:sz w:val="18"/>
    </w:rPr>
  </w:style>
  <w:style w:type="character" w:customStyle="1" w:styleId="33">
    <w:name w:val="页眉 字符"/>
    <w:link w:val="15"/>
    <w:qFormat/>
    <w:locked/>
    <w:uiPriority w:val="0"/>
    <w:rPr>
      <w:sz w:val="18"/>
    </w:rPr>
  </w:style>
  <w:style w:type="character" w:customStyle="1" w:styleId="34">
    <w:name w:val="普通(网站) 字符"/>
    <w:link w:val="16"/>
    <w:qFormat/>
    <w:locked/>
    <w:uiPriority w:val="0"/>
    <w:rPr>
      <w:rFonts w:ascii="宋体" w:hAnsi="宋体" w:eastAsia="宋体"/>
      <w:sz w:val="24"/>
    </w:rPr>
  </w:style>
  <w:style w:type="character" w:customStyle="1" w:styleId="35">
    <w:name w:val="批注主题 字符"/>
    <w:link w:val="17"/>
    <w:semiHidden/>
    <w:qFormat/>
    <w:locked/>
    <w:uiPriority w:val="0"/>
    <w:rPr>
      <w:rFonts w:ascii="Times New Roman" w:hAnsi="Times New Roman" w:eastAsia="宋体"/>
      <w:b/>
      <w:kern w:val="2"/>
      <w:sz w:val="24"/>
    </w:rPr>
  </w:style>
  <w:style w:type="character" w:customStyle="1" w:styleId="36">
    <w:name w:val="页脚 字符"/>
    <w:basedOn w:val="21"/>
    <w:qFormat/>
    <w:uiPriority w:val="99"/>
  </w:style>
  <w:style w:type="character" w:customStyle="1" w:styleId="37">
    <w:name w:val="正文文本 字符1"/>
    <w:semiHidden/>
    <w:qFormat/>
    <w:uiPriority w:val="0"/>
    <w:rPr>
      <w:rFonts w:ascii="Times New Roman" w:hAnsi="Times New Roman" w:eastAsia="宋体"/>
      <w:sz w:val="24"/>
    </w:rPr>
  </w:style>
  <w:style w:type="character" w:customStyle="1" w:styleId="38">
    <w:name w:val="表格 Char"/>
    <w:link w:val="39"/>
    <w:qFormat/>
    <w:locked/>
    <w:uiPriority w:val="0"/>
    <w:rPr>
      <w:rFonts w:ascii="宋体"/>
      <w:sz w:val="21"/>
    </w:rPr>
  </w:style>
  <w:style w:type="paragraph" w:customStyle="1" w:styleId="39">
    <w:name w:val="表格"/>
    <w:basedOn w:val="1"/>
    <w:next w:val="1"/>
    <w:link w:val="38"/>
    <w:qFormat/>
    <w:uiPriority w:val="0"/>
    <w:pPr>
      <w:adjustRightInd w:val="0"/>
      <w:snapToGrid w:val="0"/>
      <w:spacing w:beforeLines="10" w:afterLines="10" w:line="259" w:lineRule="auto"/>
      <w:jc w:val="center"/>
    </w:pPr>
    <w:rPr>
      <w:rFonts w:ascii="宋体"/>
      <w:kern w:val="0"/>
      <w:szCs w:val="20"/>
    </w:rPr>
  </w:style>
  <w:style w:type="character" w:customStyle="1" w:styleId="40">
    <w:name w:val="日期 字符"/>
    <w:semiHidden/>
    <w:qFormat/>
    <w:uiPriority w:val="0"/>
    <w:rPr>
      <w:rFonts w:ascii="Times New Roman" w:hAnsi="Times New Roman" w:eastAsia="宋体"/>
      <w:sz w:val="24"/>
    </w:rPr>
  </w:style>
  <w:style w:type="character" w:customStyle="1" w:styleId="41">
    <w:name w:val="批注文字 字符1"/>
    <w:semiHidden/>
    <w:qFormat/>
    <w:uiPriority w:val="0"/>
    <w:rPr>
      <w:rFonts w:ascii="Times New Roman" w:hAnsi="Times New Roman" w:eastAsia="宋体"/>
      <w:sz w:val="24"/>
    </w:rPr>
  </w:style>
  <w:style w:type="paragraph" w:customStyle="1" w:styleId="42">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44">
    <w:name w:val="TIE-表格内容"/>
    <w:basedOn w:val="1"/>
    <w:qFormat/>
    <w:uiPriority w:val="0"/>
    <w:pPr>
      <w:topLinePunct/>
      <w:autoSpaceDE w:val="0"/>
      <w:spacing w:line="360" w:lineRule="exact"/>
      <w:jc w:val="center"/>
    </w:pPr>
    <w:rPr>
      <w:szCs w:val="22"/>
    </w:rPr>
  </w:style>
  <w:style w:type="character" w:customStyle="1" w:styleId="45">
    <w:name w:val="【表头】 Char"/>
    <w:link w:val="46"/>
    <w:qFormat/>
    <w:locked/>
    <w:uiPriority w:val="0"/>
    <w:rPr>
      <w:rFonts w:ascii="黑体" w:hAnsi="黑体" w:eastAsia="黑体" w:cs="宋体"/>
      <w:sz w:val="24"/>
    </w:rPr>
  </w:style>
  <w:style w:type="paragraph" w:customStyle="1" w:styleId="46">
    <w:name w:val="【表头】"/>
    <w:basedOn w:val="1"/>
    <w:link w:val="45"/>
    <w:qFormat/>
    <w:uiPriority w:val="0"/>
    <w:pPr>
      <w:spacing w:line="460" w:lineRule="exact"/>
      <w:jc w:val="center"/>
    </w:pPr>
    <w:rPr>
      <w:rFonts w:ascii="黑体" w:hAnsi="黑体" w:eastAsia="黑体" w:cs="宋体"/>
      <w:kern w:val="0"/>
      <w:sz w:val="24"/>
      <w:szCs w:val="20"/>
    </w:rPr>
  </w:style>
  <w:style w:type="paragraph" w:customStyle="1" w:styleId="47">
    <w:name w:val="表内文字"/>
    <w:basedOn w:val="8"/>
    <w:qFormat/>
    <w:uiPriority w:val="0"/>
    <w:pPr>
      <w:widowControl w:val="0"/>
      <w:snapToGrid/>
      <w:spacing w:before="0" w:after="120" w:line="240" w:lineRule="auto"/>
      <w:ind w:right="0"/>
      <w:jc w:val="center"/>
    </w:pPr>
    <w:rPr>
      <w:kern w:val="2"/>
      <w:sz w:val="21"/>
      <w:szCs w:val="24"/>
    </w:rPr>
  </w:style>
  <w:style w:type="paragraph" w:customStyle="1" w:styleId="48">
    <w:name w:val="正文样式3"/>
    <w:basedOn w:val="1"/>
    <w:semiHidden/>
    <w:qFormat/>
    <w:uiPriority w:val="0"/>
    <w:pPr>
      <w:adjustRightInd w:val="0"/>
      <w:spacing w:line="20" w:lineRule="atLeast"/>
      <w:jc w:val="center"/>
    </w:pPr>
    <w:rPr>
      <w:kern w:val="0"/>
      <w:sz w:val="24"/>
      <w:szCs w:val="20"/>
    </w:rPr>
  </w:style>
  <w:style w:type="character" w:customStyle="1" w:styleId="49">
    <w:name w:val="1正文 Char"/>
    <w:link w:val="50"/>
    <w:qFormat/>
    <w:locked/>
    <w:uiPriority w:val="0"/>
    <w:rPr>
      <w:kern w:val="2"/>
      <w:sz w:val="24"/>
      <w:szCs w:val="24"/>
    </w:rPr>
  </w:style>
  <w:style w:type="paragraph" w:customStyle="1" w:styleId="50">
    <w:name w:val="1正文"/>
    <w:basedOn w:val="1"/>
    <w:link w:val="49"/>
    <w:qFormat/>
    <w:uiPriority w:val="0"/>
    <w:pPr>
      <w:spacing w:line="360" w:lineRule="auto"/>
      <w:ind w:firstLine="198" w:firstLineChars="200"/>
    </w:pPr>
    <w:rPr>
      <w:sz w:val="24"/>
    </w:rPr>
  </w:style>
  <w:style w:type="paragraph" w:customStyle="1" w:styleId="51">
    <w:name w:val="表格样式1"/>
    <w:basedOn w:val="1"/>
    <w:next w:val="1"/>
    <w:qFormat/>
    <w:uiPriority w:val="0"/>
    <w:pPr>
      <w:adjustRightInd w:val="0"/>
      <w:spacing w:line="40" w:lineRule="atLeast"/>
      <w:jc w:val="center"/>
      <w:textAlignment w:val="baseline"/>
    </w:pPr>
    <w:rPr>
      <w:kern w:val="0"/>
      <w:sz w:val="24"/>
      <w:szCs w:val="20"/>
    </w:rPr>
  </w:style>
  <w:style w:type="paragraph" w:customStyle="1" w:styleId="52">
    <w:name w:val="表中"/>
    <w:qFormat/>
    <w:uiPriority w:val="0"/>
    <w:pPr>
      <w:spacing w:line="360" w:lineRule="auto"/>
      <w:ind w:firstLine="200" w:firstLineChars="200"/>
      <w:jc w:val="both"/>
    </w:pPr>
    <w:rPr>
      <w:rFonts w:ascii="Times New Roman" w:hAnsi="Times New Roman" w:eastAsia="宋体" w:cs="Times New Roman"/>
      <w:color w:val="000000"/>
      <w:sz w:val="24"/>
      <w:szCs w:val="24"/>
      <w:lang w:val="en-US" w:eastAsia="zh-CN" w:bidi="ar-SA"/>
    </w:rPr>
  </w:style>
  <w:style w:type="paragraph" w:customStyle="1" w:styleId="53">
    <w:name w:val="样式 首行缩进:  2 字符"/>
    <w:basedOn w:val="1"/>
    <w:qFormat/>
    <w:uiPriority w:val="99"/>
    <w:pPr>
      <w:spacing w:line="440" w:lineRule="exact"/>
      <w:ind w:firstLine="200" w:firstLineChars="200"/>
    </w:pPr>
  </w:style>
  <w:style w:type="paragraph" w:customStyle="1" w:styleId="54">
    <w:name w:val="表格内容"/>
    <w:basedOn w:val="1"/>
    <w:qFormat/>
    <w:uiPriority w:val="0"/>
    <w:pPr>
      <w:spacing w:line="240" w:lineRule="auto"/>
    </w:pPr>
    <w:rPr>
      <w:sz w:val="21"/>
      <w:szCs w:val="21"/>
    </w:rPr>
  </w:style>
  <w:style w:type="paragraph" w:customStyle="1" w:styleId="55">
    <w:name w:val="样式 正文wjh + 首行缩进:  0.99 厘米 段前: 18 磅"/>
    <w:basedOn w:val="1"/>
    <w:qFormat/>
    <w:uiPriority w:val="99"/>
    <w:pPr>
      <w:spacing w:line="360" w:lineRule="auto"/>
      <w:ind w:firstLine="561"/>
      <w:jc w:val="left"/>
    </w:pPr>
    <w:rPr>
      <w:rFonts w:ascii="Calibri" w:hAnsi="Calibri" w:cs="Calibri"/>
    </w:rPr>
  </w:style>
  <w:style w:type="paragraph" w:customStyle="1" w:styleId="56">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7">
    <w:name w:val="【表中文字】"/>
    <w:basedOn w:val="1"/>
    <w:qFormat/>
    <w:uiPriority w:val="0"/>
    <w:pPr>
      <w:jc w:val="center"/>
    </w:pPr>
    <w:rPr>
      <w:szCs w:val="20"/>
    </w:rPr>
  </w:style>
  <w:style w:type="character" w:customStyle="1" w:styleId="58">
    <w:name w:val="font21"/>
    <w:basedOn w:val="21"/>
    <w:qFormat/>
    <w:uiPriority w:val="0"/>
    <w:rPr>
      <w:rFonts w:hint="default" w:ascii="Times New Roman" w:hAnsi="Times New Roman" w:cs="Times New Roman"/>
      <w:color w:val="000000"/>
      <w:sz w:val="21"/>
      <w:szCs w:val="21"/>
      <w:u w:val="none"/>
    </w:rPr>
  </w:style>
  <w:style w:type="character" w:customStyle="1" w:styleId="59">
    <w:name w:val="font31"/>
    <w:basedOn w:val="21"/>
    <w:qFormat/>
    <w:uiPriority w:val="0"/>
    <w:rPr>
      <w:rFonts w:hint="eastAsia" w:ascii="宋体" w:hAnsi="宋体" w:eastAsia="宋体" w:cs="宋体"/>
      <w:color w:val="000000"/>
      <w:sz w:val="21"/>
      <w:szCs w:val="21"/>
      <w:u w:val="none"/>
    </w:rPr>
  </w:style>
  <w:style w:type="character" w:customStyle="1" w:styleId="60">
    <w:name w:val="font01"/>
    <w:basedOn w:val="21"/>
    <w:qFormat/>
    <w:uiPriority w:val="0"/>
    <w:rPr>
      <w:rFonts w:hint="default" w:ascii="Times New Roman" w:hAnsi="Times New Roman" w:cs="Times New Roman"/>
      <w:color w:val="000000"/>
      <w:sz w:val="21"/>
      <w:szCs w:val="21"/>
      <w:u w:val="none"/>
      <w:vertAlign w:val="superscript"/>
    </w:rPr>
  </w:style>
  <w:style w:type="paragraph" w:customStyle="1" w:styleId="61">
    <w:name w:val="3表格内容"/>
    <w:basedOn w:val="1"/>
    <w:unhideWhenUsed/>
    <w:qFormat/>
    <w:uiPriority w:val="0"/>
    <w:pPr>
      <w:adjustRightInd w:val="0"/>
      <w:snapToGrid w:val="0"/>
      <w:jc w:val="center"/>
    </w:pPr>
    <w:rPr>
      <w:rFonts w:ascii="宋体" w:hAnsi="宋体" w:eastAsia="宋体" w:cs="Times New Roman"/>
      <w:kern w:val="0"/>
    </w:rPr>
  </w:style>
  <w:style w:type="paragraph" w:customStyle="1" w:styleId="62">
    <w:name w:val="表格标题"/>
    <w:basedOn w:val="1"/>
    <w:qFormat/>
    <w:uiPriority w:val="0"/>
    <w:pPr>
      <w:ind w:firstLine="240" w:firstLineChars="100"/>
      <w:jc w:val="center"/>
    </w:pPr>
    <w:rPr>
      <w:rFonts w:eastAsia="黑体"/>
      <w:bCs/>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footnotes" Target="footnotes.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jpeg"/><Relationship Id="rId25" Type="http://schemas.openxmlformats.org/officeDocument/2006/relationships/image" Target="media/image12.jpeg"/><Relationship Id="rId24" Type="http://schemas.openxmlformats.org/officeDocument/2006/relationships/image" Target="media/image11.jpeg"/><Relationship Id="rId23" Type="http://schemas.openxmlformats.org/officeDocument/2006/relationships/image" Target="media/image10.jpeg"/><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emf"/><Relationship Id="rId16" Type="http://schemas.openxmlformats.org/officeDocument/2006/relationships/oleObject" Target="embeddings/oleObject2.bin"/><Relationship Id="rId15" Type="http://schemas.openxmlformats.org/officeDocument/2006/relationships/image" Target="media/image3.png"/><Relationship Id="rId14" Type="http://schemas.openxmlformats.org/officeDocument/2006/relationships/image" Target="media/image2.emf"/><Relationship Id="rId13" Type="http://schemas.openxmlformats.org/officeDocument/2006/relationships/oleObject" Target="embeddings/oleObject1.bin"/><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20</Pages>
  <Words>2148</Words>
  <Characters>12247</Characters>
  <Lines>102</Lines>
  <Paragraphs>28</Paragraphs>
  <TotalTime>7</TotalTime>
  <ScaleCrop>false</ScaleCrop>
  <LinksUpToDate>false</LinksUpToDate>
  <CharactersWithSpaces>14367</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崔丽</cp:lastModifiedBy>
  <cp:lastPrinted>2020-12-29T02:43:00Z</cp:lastPrinted>
  <dcterms:modified xsi:type="dcterms:W3CDTF">2021-07-06T10:03:34Z</dcterms:modified>
  <dc:title>附件2</dc:title>
  <cp:revision>108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FB37FBD746B7419994611AF30A275245</vt:lpwstr>
  </property>
</Properties>
</file>