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2.vsd" ContentType="application/vnd.visio"/>
  <Override PartName="/word/embeddings/Microsoft_Visio___1.vsdx" ContentType="application/vnd.ms-visio.drawing"/>
  <Override PartName="/word/embeddings/Microsoft_Visio___3.vsdx" ContentType="application/vnd.ms-visio.drawing"/>
  <Override PartName="/word/embeddings/Microsoft_Visio___4.vsdx" ContentType="application/vnd.ms-visio.drawing"/>
  <Override PartName="/word/embeddings/Microsoft_Visio___5.vsdx" ContentType="application/vnd.ms-visio.drawing"/>
  <Override PartName="/word/embeddings/Microsoft_Visio___6.vsdx" ContentType="application/vnd.ms-visio.drawing"/>
  <Override PartName="/word/embeddings/Microsoft_Visio___7.vsdx" ContentType="application/vnd.ms-visio.drawing"/>
  <Override PartName="/word/embeddings/Microsoft_Visio___8.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outlineLvl w:val="0"/>
        <w:rPr>
          <w:rFonts w:hint="eastAsia" w:ascii="方正小标宋_GBK" w:eastAsia="方正小标宋_GBK"/>
          <w:bCs/>
          <w:sz w:val="72"/>
          <w:szCs w:val="72"/>
        </w:rPr>
      </w:pPr>
    </w:p>
    <w:p>
      <w:pPr>
        <w:ind w:firstLine="0" w:firstLineChars="0"/>
        <w:jc w:val="center"/>
        <w:outlineLvl w:val="0"/>
        <w:rPr>
          <w:rFonts w:ascii="方正小标宋_GBK" w:eastAsia="方正小标宋_GBK"/>
          <w:bCs/>
          <w:sz w:val="56"/>
          <w:szCs w:val="56"/>
        </w:rPr>
      </w:pPr>
      <w:r>
        <w:rPr>
          <w:rFonts w:hint="eastAsia" w:ascii="方正小标宋_GBK" w:eastAsia="方正小标宋_GBK"/>
          <w:bCs/>
          <w:sz w:val="56"/>
          <w:szCs w:val="56"/>
        </w:rPr>
        <w:t>建设项目环境影响报告表</w:t>
      </w:r>
    </w:p>
    <w:p>
      <w:pPr>
        <w:spacing w:before="260" w:beforeLines="80"/>
        <w:ind w:firstLine="0" w:firstLineChars="0"/>
        <w:jc w:val="center"/>
        <w:rPr>
          <w:rFonts w:ascii="楷体_GB2312" w:eastAsia="楷体_GB2312"/>
          <w:b/>
          <w:sz w:val="44"/>
          <w:szCs w:val="44"/>
        </w:rPr>
      </w:pPr>
      <w:r>
        <w:rPr>
          <w:rFonts w:hint="eastAsia" w:ascii="楷体_GB2312" w:eastAsia="楷体_GB2312"/>
          <w:b/>
          <w:sz w:val="44"/>
          <w:szCs w:val="44"/>
        </w:rPr>
        <w:t>（污染影响类）</w:t>
      </w:r>
    </w:p>
    <w:p>
      <w:pPr>
        <w:spacing w:line="288" w:lineRule="auto"/>
        <w:ind w:firstLine="0" w:firstLineChars="0"/>
        <w:jc w:val="center"/>
        <w:outlineLvl w:val="0"/>
        <w:rPr>
          <w:rFonts w:ascii="华文仿宋" w:hAnsi="华文仿宋" w:eastAsia="华文仿宋" w:cs="华文仿宋"/>
          <w:kern w:val="44"/>
          <w:sz w:val="40"/>
          <w:szCs w:val="40"/>
        </w:rPr>
      </w:pPr>
    </w:p>
    <w:p>
      <w:pPr>
        <w:ind w:firstLine="0" w:firstLineChars="0"/>
        <w:jc w:val="center"/>
        <w:rPr>
          <w:rFonts w:eastAsia="仿宋"/>
          <w:sz w:val="48"/>
          <w:szCs w:val="48"/>
        </w:rPr>
      </w:pPr>
    </w:p>
    <w:p>
      <w:pPr>
        <w:ind w:firstLine="0" w:firstLineChars="0"/>
        <w:rPr>
          <w:rFonts w:eastAsia="仿宋"/>
          <w:sz w:val="44"/>
          <w:szCs w:val="44"/>
        </w:rPr>
      </w:pPr>
      <w:r>
        <w:rPr>
          <w:rFonts w:hint="eastAsia" w:eastAsia="仿宋"/>
          <w:sz w:val="44"/>
          <w:szCs w:val="44"/>
        </w:rPr>
        <w:t xml:space="preserve"> </w:t>
      </w:r>
    </w:p>
    <w:p>
      <w:pPr>
        <w:ind w:firstLine="0" w:firstLineChars="0"/>
        <w:rPr>
          <w:rFonts w:eastAsia="仿宋"/>
          <w:sz w:val="44"/>
          <w:szCs w:val="44"/>
        </w:rPr>
      </w:pPr>
    </w:p>
    <w:p>
      <w:pPr>
        <w:ind w:firstLine="0" w:firstLineChars="0"/>
        <w:rPr>
          <w:rFonts w:eastAsia="仿宋"/>
          <w:sz w:val="44"/>
          <w:szCs w:val="44"/>
        </w:rPr>
      </w:pPr>
    </w:p>
    <w:p>
      <w:pPr>
        <w:ind w:firstLine="0" w:firstLineChars="0"/>
        <w:rPr>
          <w:rFonts w:eastAsia="仿宋"/>
          <w:sz w:val="44"/>
          <w:szCs w:val="44"/>
        </w:rPr>
      </w:pPr>
    </w:p>
    <w:p>
      <w:pPr>
        <w:spacing w:line="288" w:lineRule="auto"/>
        <w:ind w:left="480" w:leftChars="200" w:firstLine="0" w:firstLineChars="0"/>
        <w:rPr>
          <w:b/>
          <w:bCs/>
          <w:sz w:val="28"/>
          <w:szCs w:val="21"/>
          <w:u w:val="single"/>
        </w:rPr>
      </w:pPr>
      <w:r>
        <w:rPr>
          <w:rFonts w:hint="eastAsia" w:ascii="仿宋_GB2312" w:eastAsia="仿宋_GB2312"/>
          <w:b/>
          <w:bCs/>
          <w:sz w:val="32"/>
          <w:szCs w:val="32"/>
        </w:rPr>
        <w:t>项目名称：</w:t>
      </w:r>
      <w:r>
        <w:rPr>
          <w:rFonts w:hint="eastAsia" w:ascii="仿宋_GB2312" w:eastAsia="仿宋_GB2312"/>
          <w:b/>
          <w:bCs/>
          <w:sz w:val="32"/>
          <w:szCs w:val="32"/>
          <w:u w:val="single"/>
        </w:rPr>
        <w:t>五原县勇胜再生资源回收利用市场建设项目</w:t>
      </w:r>
      <w:r>
        <w:rPr>
          <w:rFonts w:hint="eastAsia"/>
          <w:b/>
          <w:bCs/>
          <w:sz w:val="28"/>
          <w:szCs w:val="21"/>
          <w:u w:val="single"/>
        </w:rPr>
        <w:t xml:space="preserve">  </w:t>
      </w:r>
    </w:p>
    <w:p>
      <w:pPr>
        <w:spacing w:line="288" w:lineRule="auto"/>
        <w:ind w:left="360" w:leftChars="150" w:firstLine="0" w:firstLineChars="0"/>
        <w:rPr>
          <w:rFonts w:ascii="仿宋_GB2312" w:eastAsia="仿宋_GB2312"/>
          <w:b/>
          <w:bCs/>
          <w:sz w:val="32"/>
          <w:szCs w:val="32"/>
          <w:u w:val="single"/>
        </w:rPr>
      </w:pPr>
      <w:r>
        <w:rPr>
          <w:rFonts w:hint="eastAsia" w:ascii="仿宋_GB2312" w:eastAsia="仿宋_GB2312"/>
          <w:b/>
          <w:bCs/>
          <w:sz w:val="32"/>
          <w:szCs w:val="32"/>
        </w:rPr>
        <w:t>建设单位（盖章）：</w:t>
      </w:r>
      <w:r>
        <w:rPr>
          <w:rFonts w:hint="eastAsia" w:ascii="仿宋_GB2312" w:eastAsia="仿宋_GB2312"/>
          <w:b/>
          <w:bCs/>
          <w:sz w:val="32"/>
          <w:szCs w:val="32"/>
          <w:u w:val="single"/>
        </w:rPr>
        <w:t xml:space="preserve">五原县勇胜再生资源回收利用有限责任公司 </w:t>
      </w:r>
    </w:p>
    <w:p>
      <w:pPr>
        <w:spacing w:line="288" w:lineRule="auto"/>
        <w:ind w:firstLine="498" w:firstLineChars="155"/>
        <w:rPr>
          <w:rFonts w:ascii="仿宋_GB2312" w:eastAsia="仿宋_GB2312"/>
          <w:sz w:val="32"/>
          <w:szCs w:val="32"/>
          <w:u w:val="single"/>
        </w:rPr>
      </w:pPr>
      <w:r>
        <w:rPr>
          <w:rFonts w:hint="eastAsia" w:ascii="仿宋_GB2312" w:eastAsia="仿宋_GB2312"/>
          <w:b/>
          <w:bCs/>
          <w:sz w:val="32"/>
          <w:szCs w:val="32"/>
        </w:rPr>
        <w:t>编制日期：</w:t>
      </w:r>
      <w:r>
        <w:rPr>
          <w:rFonts w:hint="eastAsia" w:ascii="仿宋_GB2312" w:eastAsia="仿宋_GB2312"/>
          <w:b/>
          <w:bCs/>
          <w:sz w:val="32"/>
          <w:szCs w:val="32"/>
          <w:u w:val="single"/>
        </w:rPr>
        <w:t xml:space="preserve"> </w:t>
      </w:r>
      <w:r>
        <w:rPr>
          <w:rFonts w:ascii="仿宋_GB2312" w:eastAsia="仿宋_GB2312"/>
          <w:b/>
          <w:bCs/>
          <w:sz w:val="32"/>
          <w:szCs w:val="32"/>
          <w:u w:val="single"/>
        </w:rPr>
        <w:t xml:space="preserve">         2021</w:t>
      </w:r>
      <w:r>
        <w:rPr>
          <w:rFonts w:hint="eastAsia" w:ascii="仿宋_GB2312" w:eastAsia="仿宋_GB2312"/>
          <w:b/>
          <w:bCs/>
          <w:sz w:val="32"/>
          <w:szCs w:val="32"/>
          <w:u w:val="single"/>
        </w:rPr>
        <w:t>年</w:t>
      </w:r>
      <w:r>
        <w:rPr>
          <w:rFonts w:ascii="仿宋_GB2312" w:eastAsia="仿宋_GB2312"/>
          <w:b/>
          <w:bCs/>
          <w:sz w:val="32"/>
          <w:szCs w:val="32"/>
          <w:u w:val="single"/>
        </w:rPr>
        <w:t>6</w:t>
      </w:r>
      <w:r>
        <w:rPr>
          <w:rFonts w:hint="eastAsia" w:ascii="仿宋_GB2312" w:eastAsia="仿宋_GB2312"/>
          <w:b/>
          <w:bCs/>
          <w:sz w:val="32"/>
          <w:szCs w:val="32"/>
          <w:u w:val="single"/>
        </w:rPr>
        <w:t>月</w:t>
      </w:r>
      <w:r>
        <w:rPr>
          <w:rFonts w:ascii="仿宋_GB2312" w:eastAsia="仿宋_GB2312"/>
          <w:b/>
          <w:bCs/>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p>
    <w:p>
      <w:pPr>
        <w:spacing w:line="288" w:lineRule="auto"/>
        <w:ind w:firstLine="0" w:firstLineChars="0"/>
        <w:rPr>
          <w:rFonts w:ascii="仿宋_GB2312" w:eastAsia="仿宋_GB2312"/>
          <w:sz w:val="32"/>
          <w:szCs w:val="32"/>
          <w:u w:val="single"/>
        </w:rPr>
      </w:pPr>
      <w:bookmarkStart w:id="0" w:name="_Hlk57884087"/>
    </w:p>
    <w:p>
      <w:pPr>
        <w:spacing w:line="288" w:lineRule="auto"/>
        <w:ind w:firstLine="640"/>
        <w:rPr>
          <w:rFonts w:ascii="仿宋_GB2312" w:eastAsia="仿宋_GB2312"/>
          <w:sz w:val="32"/>
          <w:szCs w:val="32"/>
        </w:rPr>
      </w:pPr>
    </w:p>
    <w:p>
      <w:pPr>
        <w:spacing w:line="288" w:lineRule="auto"/>
        <w:ind w:firstLine="720"/>
        <w:rPr>
          <w:rFonts w:ascii="仿宋_GB2312" w:eastAsia="仿宋_GB2312"/>
          <w:sz w:val="36"/>
          <w:szCs w:val="36"/>
        </w:rPr>
      </w:pPr>
    </w:p>
    <w:bookmarkEnd w:id="0"/>
    <w:p>
      <w:pPr>
        <w:ind w:firstLine="0" w:firstLineChars="0"/>
        <w:jc w:val="center"/>
        <w:rPr>
          <w:rFonts w:ascii="楷体_GB2312" w:eastAsia="楷体_GB2312"/>
          <w:b/>
          <w:bCs/>
          <w:sz w:val="40"/>
          <w:szCs w:val="40"/>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326" w:charSpace="0"/>
        </w:sectPr>
      </w:pPr>
      <w:r>
        <w:rPr>
          <w:rFonts w:hint="eastAsia" w:ascii="楷体_GB2312" w:eastAsia="楷体_GB2312"/>
          <w:b/>
          <w:bCs/>
          <w:sz w:val="40"/>
          <w:szCs w:val="40"/>
        </w:rPr>
        <w:t>中华人民共和国生态环境部制</w:t>
      </w:r>
    </w:p>
    <w:p>
      <w:pPr>
        <w:ind w:firstLine="803"/>
        <w:jc w:val="center"/>
        <w:rPr>
          <w:rFonts w:ascii="楷体_GB2312" w:eastAsia="楷体_GB2312"/>
          <w:b/>
          <w:bCs/>
          <w:sz w:val="40"/>
          <w:szCs w:val="40"/>
        </w:rPr>
        <w:sectPr>
          <w:pgSz w:w="11906" w:h="16838"/>
          <w:pgMar w:top="1440" w:right="1800" w:bottom="1440" w:left="1800" w:header="851" w:footer="992" w:gutter="0"/>
          <w:cols w:space="425" w:num="1"/>
          <w:titlePg/>
          <w:docGrid w:type="lines" w:linePitch="326" w:charSpace="0"/>
        </w:sectPr>
      </w:pPr>
    </w:p>
    <w:p>
      <w:pPr>
        <w:pStyle w:val="2"/>
        <w:ind w:firstLine="161" w:firstLineChars="50"/>
      </w:pPr>
      <w:r>
        <w:rPr>
          <w:rFonts w:hint="eastAsia"/>
        </w:rPr>
        <w:t>一、建设项目基本情况</w:t>
      </w:r>
    </w:p>
    <w:tbl>
      <w:tblPr>
        <w:tblStyle w:val="22"/>
        <w:tblW w:w="90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117"/>
        <w:gridCol w:w="1902"/>
        <w:gridCol w:w="2212"/>
        <w:gridCol w:w="283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rPr>
                <w:b/>
                <w:bCs/>
              </w:rPr>
            </w:pPr>
            <w:r>
              <w:rPr>
                <w:rFonts w:hint="eastAsia"/>
                <w:b/>
                <w:bCs/>
              </w:rPr>
              <w:t>建设项目名称</w:t>
            </w:r>
          </w:p>
        </w:tc>
        <w:tc>
          <w:tcPr>
            <w:tcW w:w="6945" w:type="dxa"/>
            <w:gridSpan w:val="3"/>
            <w:vAlign w:val="center"/>
          </w:tcPr>
          <w:p>
            <w:pPr>
              <w:spacing w:line="240" w:lineRule="auto"/>
              <w:ind w:firstLine="0" w:firstLineChars="0"/>
              <w:jc w:val="center"/>
              <w:rPr>
                <w:b/>
                <w:bCs/>
              </w:rPr>
            </w:pPr>
            <w:r>
              <w:rPr>
                <w:rFonts w:hint="eastAsia"/>
                <w:b/>
                <w:bCs/>
              </w:rPr>
              <w:t>五原县勇胜再生资源回收利用市场建设项目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项目代码</w:t>
            </w:r>
          </w:p>
        </w:tc>
        <w:tc>
          <w:tcPr>
            <w:tcW w:w="6945" w:type="dxa"/>
            <w:gridSpan w:val="3"/>
            <w:vAlign w:val="center"/>
          </w:tcPr>
          <w:p>
            <w:pPr>
              <w:spacing w:line="240" w:lineRule="auto"/>
              <w:ind w:firstLine="0" w:firstLineChars="0"/>
              <w:jc w:val="center"/>
            </w:pPr>
            <w:r>
              <w:t>2017-150821-40-03-008634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建设单位联系人</w:t>
            </w:r>
          </w:p>
        </w:tc>
        <w:tc>
          <w:tcPr>
            <w:tcW w:w="1902" w:type="dxa"/>
            <w:vAlign w:val="center"/>
          </w:tcPr>
          <w:p>
            <w:pPr>
              <w:spacing w:line="240" w:lineRule="auto"/>
              <w:ind w:firstLine="0" w:firstLineChars="0"/>
              <w:jc w:val="center"/>
            </w:pPr>
            <w:r>
              <w:rPr>
                <w:rFonts w:hint="eastAsia"/>
              </w:rPr>
              <w:t>冯勇胜</w:t>
            </w:r>
          </w:p>
        </w:tc>
        <w:tc>
          <w:tcPr>
            <w:tcW w:w="2212" w:type="dxa"/>
            <w:vAlign w:val="center"/>
          </w:tcPr>
          <w:p>
            <w:pPr>
              <w:spacing w:line="240" w:lineRule="auto"/>
              <w:ind w:firstLine="0" w:firstLineChars="0"/>
              <w:jc w:val="center"/>
            </w:pPr>
            <w:r>
              <w:rPr>
                <w:rFonts w:hint="eastAsia"/>
              </w:rPr>
              <w:t>联系方式</w:t>
            </w:r>
          </w:p>
        </w:tc>
        <w:tc>
          <w:tcPr>
            <w:tcW w:w="2831" w:type="dxa"/>
            <w:vAlign w:val="center"/>
          </w:tcPr>
          <w:p>
            <w:pPr>
              <w:spacing w:line="240" w:lineRule="auto"/>
              <w:ind w:firstLine="0" w:firstLineChars="0"/>
              <w:jc w:val="center"/>
            </w:pPr>
            <w:r>
              <w:t>13847821468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建设地点</w:t>
            </w:r>
          </w:p>
        </w:tc>
        <w:tc>
          <w:tcPr>
            <w:tcW w:w="6945" w:type="dxa"/>
            <w:gridSpan w:val="3"/>
            <w:vAlign w:val="center"/>
          </w:tcPr>
          <w:p>
            <w:pPr>
              <w:spacing w:line="240" w:lineRule="auto"/>
              <w:ind w:firstLine="0" w:firstLineChars="0"/>
              <w:jc w:val="center"/>
            </w:pPr>
            <w:r>
              <w:rPr>
                <w:rFonts w:hint="eastAsia"/>
              </w:rPr>
              <w:t>巴彦淖尔市五原县同泰玻璃厂北厂区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地理坐标</w:t>
            </w:r>
          </w:p>
        </w:tc>
        <w:tc>
          <w:tcPr>
            <w:tcW w:w="6945" w:type="dxa"/>
            <w:gridSpan w:val="3"/>
            <w:vAlign w:val="center"/>
          </w:tcPr>
          <w:p>
            <w:pPr>
              <w:spacing w:line="240" w:lineRule="auto"/>
              <w:ind w:firstLine="0" w:firstLineChars="0"/>
              <w:jc w:val="center"/>
            </w:pPr>
            <w:r>
              <w:rPr>
                <w:rFonts w:hint="eastAsia"/>
              </w:rPr>
              <w:t>（</w:t>
            </w:r>
            <w:r>
              <w:rPr>
                <w:u w:val="single"/>
              </w:rPr>
              <w:t>108</w:t>
            </w:r>
            <w:r>
              <w:rPr>
                <w:rFonts w:hint="eastAsia"/>
              </w:rPr>
              <w:t>度</w:t>
            </w:r>
            <w:r>
              <w:rPr>
                <w:u w:val="single"/>
              </w:rPr>
              <w:t>14</w:t>
            </w:r>
            <w:r>
              <w:rPr>
                <w:rFonts w:hint="eastAsia"/>
              </w:rPr>
              <w:t>分</w:t>
            </w:r>
            <w:r>
              <w:rPr>
                <w:u w:val="single"/>
              </w:rPr>
              <w:t>43.110</w:t>
            </w:r>
            <w:r>
              <w:rPr>
                <w:rFonts w:hint="eastAsia"/>
              </w:rPr>
              <w:t>秒，</w:t>
            </w:r>
            <w:r>
              <w:rPr>
                <w:u w:val="single"/>
              </w:rPr>
              <w:t>41</w:t>
            </w:r>
            <w:r>
              <w:rPr>
                <w:rFonts w:hint="eastAsia"/>
              </w:rPr>
              <w:t>度</w:t>
            </w:r>
            <w:r>
              <w:rPr>
                <w:u w:val="single"/>
              </w:rPr>
              <w:t>06</w:t>
            </w:r>
            <w:r>
              <w:rPr>
                <w:rFonts w:hint="eastAsia"/>
              </w:rPr>
              <w:t>分</w:t>
            </w:r>
            <w:r>
              <w:rPr>
                <w:u w:val="single"/>
              </w:rPr>
              <w:t>20.639</w:t>
            </w:r>
            <w:r>
              <w:rPr>
                <w:rFonts w:hint="eastAsia"/>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国民经济</w:t>
            </w:r>
          </w:p>
          <w:p>
            <w:pPr>
              <w:spacing w:line="240" w:lineRule="auto"/>
              <w:ind w:firstLine="0" w:firstLineChars="0"/>
              <w:jc w:val="center"/>
            </w:pPr>
            <w:r>
              <w:rPr>
                <w:rFonts w:hint="eastAsia"/>
              </w:rPr>
              <w:t>行业类别</w:t>
            </w:r>
          </w:p>
        </w:tc>
        <w:tc>
          <w:tcPr>
            <w:tcW w:w="1902" w:type="dxa"/>
            <w:vAlign w:val="center"/>
          </w:tcPr>
          <w:p>
            <w:pPr>
              <w:spacing w:line="240" w:lineRule="auto"/>
              <w:ind w:firstLine="0" w:firstLineChars="0"/>
              <w:jc w:val="center"/>
            </w:pPr>
            <w:r>
              <w:t>C4210</w:t>
            </w:r>
            <w:r>
              <w:rPr>
                <w:rFonts w:hint="eastAsia"/>
              </w:rPr>
              <w:t>金属废料和碎屑加工处理、</w:t>
            </w:r>
            <w:r>
              <w:t>C4220</w:t>
            </w:r>
            <w:r>
              <w:rPr>
                <w:rFonts w:hint="eastAsia"/>
              </w:rPr>
              <w:t>非金属废料和碎屑加工处理</w:t>
            </w:r>
          </w:p>
        </w:tc>
        <w:tc>
          <w:tcPr>
            <w:tcW w:w="2212" w:type="dxa"/>
            <w:vAlign w:val="center"/>
          </w:tcPr>
          <w:p>
            <w:pPr>
              <w:spacing w:line="240" w:lineRule="auto"/>
              <w:ind w:firstLine="0" w:firstLineChars="0"/>
              <w:jc w:val="center"/>
            </w:pPr>
            <w:bookmarkStart w:id="1" w:name="_Hlk49843745"/>
            <w:r>
              <w:rPr>
                <w:rFonts w:hint="eastAsia"/>
              </w:rPr>
              <w:t>建设项目</w:t>
            </w:r>
          </w:p>
          <w:p>
            <w:pPr>
              <w:spacing w:line="240" w:lineRule="auto"/>
              <w:ind w:firstLine="0" w:firstLineChars="0"/>
              <w:jc w:val="center"/>
            </w:pPr>
            <w:r>
              <w:rPr>
                <w:rFonts w:hint="eastAsia"/>
              </w:rPr>
              <w:t>行业类别</w:t>
            </w:r>
            <w:bookmarkEnd w:id="1"/>
          </w:p>
        </w:tc>
        <w:tc>
          <w:tcPr>
            <w:tcW w:w="2831" w:type="dxa"/>
            <w:vAlign w:val="center"/>
          </w:tcPr>
          <w:p>
            <w:pPr>
              <w:pStyle w:val="33"/>
            </w:pPr>
            <w:r>
              <w:rPr>
                <w:rFonts w:hint="eastAsia"/>
                <w:sz w:val="24"/>
              </w:rPr>
              <w:t>三十九、弃资源综合利用42、废铁、废塑料（4</w:t>
            </w:r>
            <w:r>
              <w:rPr>
                <w:sz w:val="24"/>
              </w:rPr>
              <w:t>21</w:t>
            </w:r>
            <w:r>
              <w:rPr>
                <w:rFonts w:hint="eastAsia"/>
                <w:sz w:val="24"/>
              </w:rPr>
              <w:t>、</w:t>
            </w:r>
            <w:r>
              <w:rPr>
                <w:sz w:val="24"/>
              </w:rPr>
              <w:t>422</w:t>
            </w:r>
            <w:r>
              <w:rPr>
                <w:rFonts w:hint="eastAsia"/>
                <w:sz w:val="24"/>
              </w:rPr>
              <w:t>）</w:t>
            </w:r>
            <w:bookmarkStart w:id="39" w:name="_GoBack"/>
            <w:bookmarkEnd w:id="39"/>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建设性质</w:t>
            </w:r>
          </w:p>
        </w:tc>
        <w:tc>
          <w:tcPr>
            <w:tcW w:w="1902" w:type="dxa"/>
            <w:vAlign w:val="center"/>
          </w:tcPr>
          <w:p>
            <w:pPr>
              <w:spacing w:line="240" w:lineRule="auto"/>
              <w:ind w:firstLine="110" w:firstLineChars="50"/>
            </w:pPr>
            <w:r>
              <w:rPr>
                <w:spacing w:val="-10"/>
              </w:rPr>
              <w:sym w:font="Wingdings 2" w:char="0052"/>
            </w:r>
            <w:r>
              <w:rPr>
                <w:rFonts w:hint="eastAsia"/>
              </w:rPr>
              <w:t>新建（迁建）</w:t>
            </w:r>
          </w:p>
          <w:p>
            <w:pPr>
              <w:spacing w:line="240" w:lineRule="auto"/>
              <w:ind w:firstLine="120" w:firstLineChars="50"/>
            </w:pPr>
            <w:r>
              <w:rPr>
                <w:rFonts w:hint="eastAsia"/>
              </w:rPr>
              <w:t>□改建</w:t>
            </w:r>
          </w:p>
          <w:p>
            <w:pPr>
              <w:spacing w:line="240" w:lineRule="auto"/>
              <w:ind w:firstLine="120" w:firstLineChars="50"/>
            </w:pPr>
            <w:r>
              <w:rPr>
                <w:rFonts w:hint="eastAsia"/>
              </w:rPr>
              <w:t>□扩建</w:t>
            </w:r>
          </w:p>
          <w:p>
            <w:pPr>
              <w:spacing w:line="240" w:lineRule="auto"/>
              <w:ind w:firstLine="120" w:firstLineChars="50"/>
            </w:pPr>
            <w:r>
              <w:rPr>
                <w:rFonts w:hint="eastAsia"/>
              </w:rPr>
              <w:t>□技术改造</w:t>
            </w:r>
          </w:p>
        </w:tc>
        <w:tc>
          <w:tcPr>
            <w:tcW w:w="2212" w:type="dxa"/>
            <w:vAlign w:val="center"/>
          </w:tcPr>
          <w:p>
            <w:pPr>
              <w:spacing w:line="240" w:lineRule="auto"/>
              <w:ind w:firstLine="0" w:firstLineChars="0"/>
              <w:jc w:val="center"/>
            </w:pPr>
            <w:r>
              <w:rPr>
                <w:rFonts w:hint="eastAsia"/>
              </w:rPr>
              <w:t>建设项目</w:t>
            </w:r>
          </w:p>
          <w:p>
            <w:pPr>
              <w:spacing w:line="240" w:lineRule="auto"/>
              <w:ind w:firstLine="0" w:firstLineChars="0"/>
              <w:jc w:val="center"/>
            </w:pPr>
            <w:r>
              <w:rPr>
                <w:rFonts w:hint="eastAsia"/>
              </w:rPr>
              <w:t>申报情形</w:t>
            </w:r>
          </w:p>
        </w:tc>
        <w:tc>
          <w:tcPr>
            <w:tcW w:w="2831" w:type="dxa"/>
            <w:vAlign w:val="center"/>
          </w:tcPr>
          <w:p>
            <w:pPr>
              <w:spacing w:line="240" w:lineRule="auto"/>
              <w:ind w:firstLine="0" w:firstLineChars="0"/>
            </w:pPr>
            <w:r>
              <w:rPr>
                <w:spacing w:val="-10"/>
              </w:rPr>
              <w:sym w:font="Wingdings 2" w:char="0052"/>
            </w:r>
            <w:r>
              <w:rPr>
                <w:rFonts w:hint="eastAsia"/>
              </w:rPr>
              <w:t>首次申报项目</w:t>
            </w:r>
          </w:p>
          <w:p>
            <w:pPr>
              <w:spacing w:line="240" w:lineRule="auto"/>
              <w:ind w:firstLine="0" w:firstLineChars="0"/>
            </w:pPr>
            <w:r>
              <w:rPr>
                <w:rFonts w:hint="eastAsia"/>
              </w:rPr>
              <w:t>□不予批准后再次申报项目</w:t>
            </w:r>
          </w:p>
          <w:p>
            <w:pPr>
              <w:spacing w:line="240" w:lineRule="auto"/>
              <w:ind w:firstLine="0" w:firstLineChars="0"/>
            </w:pPr>
            <w:r>
              <w:rPr>
                <w:rFonts w:hint="eastAsia"/>
              </w:rPr>
              <w:sym w:font="Wingdings 2" w:char="00A3"/>
            </w:r>
            <w:r>
              <w:rPr>
                <w:rFonts w:hint="eastAsia"/>
              </w:rPr>
              <w:t>超五年重新审核项目</w:t>
            </w:r>
          </w:p>
          <w:p>
            <w:pPr>
              <w:spacing w:line="240" w:lineRule="auto"/>
              <w:ind w:firstLine="0" w:firstLineChars="0"/>
            </w:pPr>
            <w:r>
              <w:rPr>
                <w:rFonts w:hint="eastAsia"/>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项目审批（核准</w:t>
            </w:r>
            <w:r>
              <w:t>/</w:t>
            </w:r>
          </w:p>
          <w:p>
            <w:pPr>
              <w:spacing w:line="240" w:lineRule="auto"/>
              <w:ind w:firstLine="0" w:firstLineChars="0"/>
              <w:jc w:val="center"/>
            </w:pPr>
            <w:r>
              <w:rPr>
                <w:rFonts w:hint="eastAsia"/>
              </w:rPr>
              <w:t>备案）部门（选填）</w:t>
            </w:r>
          </w:p>
        </w:tc>
        <w:tc>
          <w:tcPr>
            <w:tcW w:w="1902" w:type="dxa"/>
            <w:vAlign w:val="center"/>
          </w:tcPr>
          <w:p>
            <w:pPr>
              <w:spacing w:line="240" w:lineRule="auto"/>
              <w:ind w:firstLine="0" w:firstLineChars="0"/>
              <w:jc w:val="center"/>
            </w:pPr>
            <w:r>
              <w:rPr>
                <w:rFonts w:hint="eastAsia"/>
              </w:rPr>
              <w:t>五原县发展和改革局</w:t>
            </w:r>
          </w:p>
        </w:tc>
        <w:tc>
          <w:tcPr>
            <w:tcW w:w="2212" w:type="dxa"/>
            <w:vAlign w:val="center"/>
          </w:tcPr>
          <w:p>
            <w:pPr>
              <w:spacing w:line="240" w:lineRule="auto"/>
              <w:ind w:firstLine="0" w:firstLineChars="0"/>
              <w:jc w:val="center"/>
            </w:pPr>
            <w:r>
              <w:rPr>
                <w:rFonts w:hint="eastAsia"/>
              </w:rPr>
              <w:t>项目审批（核准</w:t>
            </w:r>
            <w:r>
              <w:t>/</w:t>
            </w:r>
          </w:p>
          <w:p>
            <w:pPr>
              <w:spacing w:line="240" w:lineRule="auto"/>
              <w:ind w:firstLine="0" w:firstLineChars="0"/>
              <w:jc w:val="center"/>
            </w:pPr>
            <w:r>
              <w:rPr>
                <w:rFonts w:hint="eastAsia"/>
              </w:rPr>
              <w:t>备案）文号（选填）</w:t>
            </w:r>
          </w:p>
        </w:tc>
        <w:tc>
          <w:tcPr>
            <w:tcW w:w="2831" w:type="dxa"/>
            <w:vAlign w:val="center"/>
          </w:tcPr>
          <w:p>
            <w:pPr>
              <w:spacing w:line="240" w:lineRule="auto"/>
              <w:ind w:firstLine="0" w:firstLineChars="0"/>
              <w:jc w:val="center"/>
            </w:pPr>
            <w:r>
              <w:t>2017-150821-40-03-008634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总投资（万元）</w:t>
            </w:r>
          </w:p>
        </w:tc>
        <w:tc>
          <w:tcPr>
            <w:tcW w:w="1902" w:type="dxa"/>
            <w:vAlign w:val="center"/>
          </w:tcPr>
          <w:p>
            <w:pPr>
              <w:spacing w:line="240" w:lineRule="auto"/>
              <w:ind w:firstLine="0" w:firstLineChars="0"/>
              <w:jc w:val="center"/>
            </w:pPr>
            <w:r>
              <w:t>6638</w:t>
            </w:r>
          </w:p>
        </w:tc>
        <w:tc>
          <w:tcPr>
            <w:tcW w:w="2212" w:type="dxa"/>
            <w:tcMar>
              <w:top w:w="16" w:type="dxa"/>
              <w:left w:w="16" w:type="dxa"/>
              <w:right w:w="16" w:type="dxa"/>
            </w:tcMar>
            <w:vAlign w:val="center"/>
          </w:tcPr>
          <w:p>
            <w:pPr>
              <w:spacing w:line="240" w:lineRule="auto"/>
              <w:ind w:firstLine="0" w:firstLineChars="0"/>
              <w:jc w:val="center"/>
            </w:pPr>
            <w:r>
              <w:rPr>
                <w:rFonts w:hint="eastAsia"/>
              </w:rPr>
              <w:t>环保投资（万元）</w:t>
            </w:r>
          </w:p>
        </w:tc>
        <w:tc>
          <w:tcPr>
            <w:tcW w:w="2831" w:type="dxa"/>
            <w:vAlign w:val="center"/>
          </w:tcPr>
          <w:p>
            <w:pPr>
              <w:spacing w:line="240" w:lineRule="auto"/>
              <w:ind w:firstLine="0" w:firstLineChars="0"/>
              <w:jc w:val="center"/>
            </w:pPr>
            <w:r>
              <w:rPr>
                <w:rFonts w:hint="eastAsia"/>
              </w:rPr>
              <w:t>8</w:t>
            </w:r>
            <w:r>
              <w:t>9.5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环保投资占比（</w:t>
            </w:r>
            <w:r>
              <w:t>%</w:t>
            </w:r>
            <w:r>
              <w:rPr>
                <w:rFonts w:hint="eastAsia"/>
              </w:rPr>
              <w:t>）</w:t>
            </w:r>
          </w:p>
        </w:tc>
        <w:tc>
          <w:tcPr>
            <w:tcW w:w="1902" w:type="dxa"/>
            <w:vAlign w:val="center"/>
          </w:tcPr>
          <w:p>
            <w:pPr>
              <w:spacing w:line="240" w:lineRule="auto"/>
              <w:ind w:firstLine="0" w:firstLineChars="0"/>
              <w:jc w:val="center"/>
            </w:pPr>
            <w:r>
              <w:rPr>
                <w:rFonts w:hint="eastAsia"/>
              </w:rPr>
              <w:t>1</w:t>
            </w:r>
            <w:r>
              <w:t>.35</w:t>
            </w:r>
          </w:p>
        </w:tc>
        <w:tc>
          <w:tcPr>
            <w:tcW w:w="2212" w:type="dxa"/>
            <w:tcMar>
              <w:top w:w="16" w:type="dxa"/>
              <w:left w:w="16" w:type="dxa"/>
              <w:right w:w="16" w:type="dxa"/>
            </w:tcMar>
            <w:vAlign w:val="center"/>
          </w:tcPr>
          <w:p>
            <w:pPr>
              <w:spacing w:line="240" w:lineRule="auto"/>
              <w:ind w:firstLine="0" w:firstLineChars="0"/>
              <w:jc w:val="center"/>
            </w:pPr>
            <w:r>
              <w:rPr>
                <w:rFonts w:hint="eastAsia"/>
              </w:rPr>
              <w:t>施工工期</w:t>
            </w:r>
          </w:p>
        </w:tc>
        <w:tc>
          <w:tcPr>
            <w:tcW w:w="2831" w:type="dxa"/>
            <w:vAlign w:val="center"/>
          </w:tcPr>
          <w:p>
            <w:pPr>
              <w:spacing w:line="240" w:lineRule="auto"/>
              <w:ind w:firstLine="0" w:firstLineChars="0"/>
              <w:jc w:val="center"/>
            </w:pPr>
            <w:r>
              <w:t>2个月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17" w:type="dxa"/>
            <w:tcMar>
              <w:top w:w="16" w:type="dxa"/>
              <w:left w:w="16" w:type="dxa"/>
              <w:right w:w="16" w:type="dxa"/>
            </w:tcMar>
            <w:vAlign w:val="center"/>
          </w:tcPr>
          <w:p>
            <w:pPr>
              <w:spacing w:line="240" w:lineRule="auto"/>
              <w:ind w:firstLine="0" w:firstLineChars="0"/>
              <w:jc w:val="center"/>
            </w:pPr>
            <w:r>
              <w:rPr>
                <w:rFonts w:hint="eastAsia"/>
              </w:rPr>
              <w:t>是否开工建设</w:t>
            </w:r>
          </w:p>
        </w:tc>
        <w:tc>
          <w:tcPr>
            <w:tcW w:w="1902" w:type="dxa"/>
            <w:vAlign w:val="center"/>
          </w:tcPr>
          <w:p>
            <w:pPr>
              <w:spacing w:line="240" w:lineRule="auto"/>
              <w:ind w:firstLine="120" w:firstLineChars="50"/>
            </w:pPr>
            <w:r>
              <w:rPr>
                <w:rFonts w:hint="eastAsia"/>
              </w:rPr>
              <w:sym w:font="Wingdings 2" w:char="00A3"/>
            </w:r>
            <w:r>
              <w:t xml:space="preserve"> </w:t>
            </w:r>
            <w:r>
              <w:rPr>
                <w:rFonts w:hint="eastAsia"/>
              </w:rPr>
              <w:t>否</w:t>
            </w:r>
          </w:p>
          <w:p>
            <w:pPr>
              <w:spacing w:line="240" w:lineRule="auto"/>
              <w:ind w:firstLine="0" w:firstLineChars="0"/>
              <w:jc w:val="center"/>
            </w:pPr>
            <w:r>
              <w:rPr>
                <w:spacing w:val="-10"/>
              </w:rPr>
              <w:t xml:space="preserve"> </w:t>
            </w:r>
            <w:r>
              <w:rPr>
                <w:spacing w:val="-10"/>
              </w:rPr>
              <w:sym w:font="Wingdings 2" w:char="0052"/>
            </w:r>
            <w:r>
              <w:rPr>
                <w:rFonts w:hint="eastAsia"/>
              </w:rPr>
              <w:t>是：已有五环罚告字（2</w:t>
            </w:r>
            <w:r>
              <w:t>021</w:t>
            </w:r>
            <w:r>
              <w:rPr>
                <w:rFonts w:hint="eastAsia"/>
              </w:rPr>
              <w:t>）6号行政处罚事先告知书，已执行。</w:t>
            </w:r>
          </w:p>
        </w:tc>
        <w:tc>
          <w:tcPr>
            <w:tcW w:w="2212" w:type="dxa"/>
            <w:tcMar>
              <w:top w:w="16" w:type="dxa"/>
              <w:left w:w="16" w:type="dxa"/>
              <w:right w:w="16" w:type="dxa"/>
            </w:tcMar>
            <w:vAlign w:val="center"/>
          </w:tcPr>
          <w:p>
            <w:pPr>
              <w:spacing w:line="240" w:lineRule="auto"/>
              <w:ind w:firstLine="0" w:firstLineChars="0"/>
              <w:jc w:val="center"/>
            </w:pPr>
            <w:r>
              <w:rPr>
                <w:rFonts w:hint="eastAsia"/>
              </w:rPr>
              <w:t>用地（用海）</w:t>
            </w:r>
          </w:p>
          <w:p>
            <w:pPr>
              <w:spacing w:line="240" w:lineRule="auto"/>
              <w:ind w:firstLine="0" w:firstLineChars="0"/>
              <w:jc w:val="center"/>
            </w:pPr>
            <w:r>
              <w:rPr>
                <w:rFonts w:hint="eastAsia"/>
              </w:rPr>
              <w:t>面积（</w:t>
            </w:r>
            <w:r>
              <w:t>m</w:t>
            </w:r>
            <w:r>
              <w:rPr>
                <w:vertAlign w:val="superscript"/>
              </w:rPr>
              <w:t>2</w:t>
            </w:r>
            <w:r>
              <w:rPr>
                <w:rFonts w:hint="eastAsia"/>
              </w:rPr>
              <w:t>）</w:t>
            </w:r>
          </w:p>
        </w:tc>
        <w:tc>
          <w:tcPr>
            <w:tcW w:w="2831" w:type="dxa"/>
            <w:vAlign w:val="center"/>
          </w:tcPr>
          <w:p>
            <w:pPr>
              <w:spacing w:line="240" w:lineRule="auto"/>
              <w:ind w:firstLine="0" w:firstLineChars="0"/>
              <w:jc w:val="center"/>
            </w:pPr>
            <w:r>
              <w:t>37366.667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2117" w:type="dxa"/>
            <w:vAlign w:val="center"/>
          </w:tcPr>
          <w:p>
            <w:pPr>
              <w:spacing w:line="240" w:lineRule="auto"/>
              <w:ind w:firstLine="0" w:firstLineChars="0"/>
              <w:jc w:val="center"/>
            </w:pPr>
            <w:r>
              <w:rPr>
                <w:rFonts w:hint="eastAsia"/>
              </w:rPr>
              <w:t>专项评价设置情况</w:t>
            </w:r>
          </w:p>
        </w:tc>
        <w:tc>
          <w:tcPr>
            <w:tcW w:w="6945" w:type="dxa"/>
            <w:gridSpan w:val="3"/>
            <w:vAlign w:val="center"/>
          </w:tcPr>
          <w:p>
            <w:pPr>
              <w:spacing w:line="240" w:lineRule="auto"/>
              <w:ind w:firstLine="0" w:firstLineChars="0"/>
              <w:jc w:val="center"/>
            </w:pPr>
            <w:r>
              <w:rPr>
                <w:rFonts w:hint="eastAsia"/>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2117" w:type="dxa"/>
            <w:vAlign w:val="center"/>
          </w:tcPr>
          <w:p>
            <w:pPr>
              <w:spacing w:line="240" w:lineRule="auto"/>
              <w:ind w:firstLine="0" w:firstLineChars="0"/>
              <w:jc w:val="center"/>
            </w:pPr>
            <w:r>
              <w:rPr>
                <w:rFonts w:hint="eastAsia"/>
              </w:rPr>
              <w:t>规划情况</w:t>
            </w:r>
          </w:p>
        </w:tc>
        <w:tc>
          <w:tcPr>
            <w:tcW w:w="6945" w:type="dxa"/>
            <w:gridSpan w:val="3"/>
            <w:vAlign w:val="center"/>
          </w:tcPr>
          <w:p>
            <w:pPr>
              <w:spacing w:line="240" w:lineRule="auto"/>
              <w:ind w:firstLine="0" w:firstLineChars="0"/>
              <w:jc w:val="center"/>
            </w:pPr>
            <w:r>
              <w:rPr>
                <w:rFonts w:hint="eastAsia"/>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117" w:type="dxa"/>
            <w:vAlign w:val="center"/>
          </w:tcPr>
          <w:p>
            <w:pPr>
              <w:spacing w:line="240" w:lineRule="auto"/>
              <w:ind w:firstLine="0" w:firstLineChars="0"/>
              <w:jc w:val="center"/>
            </w:pPr>
            <w:r>
              <w:rPr>
                <w:rFonts w:hint="eastAsia"/>
              </w:rPr>
              <w:t>规划环境影响</w:t>
            </w:r>
          </w:p>
          <w:p>
            <w:pPr>
              <w:spacing w:line="240" w:lineRule="auto"/>
              <w:ind w:firstLine="0" w:firstLineChars="0"/>
              <w:jc w:val="center"/>
            </w:pPr>
            <w:r>
              <w:rPr>
                <w:rFonts w:hint="eastAsia"/>
              </w:rPr>
              <w:t>评价情况</w:t>
            </w:r>
          </w:p>
        </w:tc>
        <w:tc>
          <w:tcPr>
            <w:tcW w:w="6945" w:type="dxa"/>
            <w:gridSpan w:val="3"/>
            <w:vAlign w:val="center"/>
          </w:tcPr>
          <w:p>
            <w:pPr>
              <w:spacing w:line="240" w:lineRule="auto"/>
              <w:ind w:firstLine="0" w:firstLineChars="0"/>
              <w:jc w:val="center"/>
            </w:pPr>
            <w:r>
              <w:rPr>
                <w:rFonts w:hint="eastAsia"/>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17" w:type="dxa"/>
            <w:vAlign w:val="center"/>
          </w:tcPr>
          <w:p>
            <w:pPr>
              <w:spacing w:line="240" w:lineRule="auto"/>
              <w:ind w:firstLine="0" w:firstLineChars="0"/>
              <w:jc w:val="center"/>
            </w:pPr>
            <w:r>
              <w:rPr>
                <w:rFonts w:hint="eastAsia"/>
              </w:rPr>
              <w:t>规划及规划环境</w:t>
            </w:r>
          </w:p>
          <w:p>
            <w:pPr>
              <w:spacing w:line="240" w:lineRule="auto"/>
              <w:ind w:firstLine="0" w:firstLineChars="0"/>
              <w:jc w:val="center"/>
            </w:pPr>
            <w:r>
              <w:rPr>
                <w:rFonts w:hint="eastAsia"/>
              </w:rPr>
              <w:t>影响评价符合性分析</w:t>
            </w:r>
          </w:p>
        </w:tc>
        <w:tc>
          <w:tcPr>
            <w:tcW w:w="6945" w:type="dxa"/>
            <w:gridSpan w:val="3"/>
            <w:vAlign w:val="center"/>
          </w:tcPr>
          <w:p>
            <w:pPr>
              <w:spacing w:line="240" w:lineRule="auto"/>
              <w:ind w:firstLine="0" w:firstLineChars="0"/>
              <w:jc w:val="center"/>
            </w:pPr>
            <w:r>
              <w:rPr>
                <w:rFonts w:hint="eastAsia"/>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117" w:type="dxa"/>
            <w:vAlign w:val="center"/>
          </w:tcPr>
          <w:p>
            <w:pPr>
              <w:spacing w:line="240" w:lineRule="auto"/>
              <w:ind w:firstLine="0" w:firstLineChars="0"/>
              <w:jc w:val="center"/>
            </w:pPr>
            <w:r>
              <w:rPr>
                <w:rFonts w:hint="eastAsia"/>
              </w:rPr>
              <w:t>其他符合性分析</w:t>
            </w:r>
          </w:p>
        </w:tc>
        <w:tc>
          <w:tcPr>
            <w:tcW w:w="6945" w:type="dxa"/>
            <w:gridSpan w:val="3"/>
            <w:vAlign w:val="center"/>
          </w:tcPr>
          <w:p>
            <w:pPr>
              <w:spacing w:line="240" w:lineRule="auto"/>
              <w:ind w:firstLine="0" w:firstLineChars="0"/>
              <w:rPr>
                <w:b/>
                <w:bCs/>
              </w:rPr>
            </w:pPr>
            <w:r>
              <w:rPr>
                <w:rFonts w:hint="eastAsia"/>
                <w:b/>
                <w:bCs/>
              </w:rPr>
              <w:t>1、产业政策及用地相符性分析</w:t>
            </w:r>
          </w:p>
          <w:p>
            <w:pPr>
              <w:ind w:firstLine="480"/>
            </w:pPr>
            <w:r>
              <w:rPr>
                <w:rFonts w:hint="eastAsia"/>
              </w:rPr>
              <w:t>经对照，本项目为废弃资源综合利用业属于《产业结构调整指导目录)（20</w:t>
            </w:r>
            <w:r>
              <w:t>19</w:t>
            </w:r>
            <w:r>
              <w:rPr>
                <w:rFonts w:hint="eastAsia"/>
              </w:rPr>
              <w:t>年本）》鼓励类项目，符合国家法律和产业政策的要求。</w:t>
            </w:r>
          </w:p>
          <w:p>
            <w:pPr>
              <w:adjustRightInd w:val="0"/>
              <w:snapToGrid w:val="0"/>
              <w:ind w:firstLine="480"/>
            </w:pPr>
            <w:r>
              <w:rPr>
                <w:rFonts w:hint="eastAsia"/>
              </w:rPr>
              <w:t>依据五原县人民政府县长办公会议纪要《关于实施城郊结合部综合整治有关事宜的会议纪要》要求，</w:t>
            </w:r>
            <w:r>
              <w:rPr>
                <w:rFonts w:hint="eastAsia"/>
                <w:szCs w:val="24"/>
              </w:rPr>
              <w:t>五原县勇胜再生资源回收利用有限责任公司在内蒙古河套酒业同泰玻璃制品有限公司后院实施</w:t>
            </w:r>
            <w:r>
              <w:rPr>
                <w:rFonts w:hint="eastAsia"/>
                <w:color w:val="FF0000"/>
                <w:szCs w:val="24"/>
              </w:rPr>
              <w:t>再生资源回收利用市场建设项目</w:t>
            </w:r>
            <w:r>
              <w:rPr>
                <w:rFonts w:hint="eastAsia"/>
              </w:rPr>
              <w:t>，土地性质为建设用地，基础设施较完善，交通便利。项目不在自然保护区、风景名胜区、饮用水水源地保护区等特殊敏感区域，同时周边村庄较少，“三废”处理及处置去向有保障，建厂条件相对优越，</w:t>
            </w:r>
            <w:r>
              <w:rPr>
                <w:rFonts w:hint="eastAsia"/>
                <w:color w:val="FF0000"/>
              </w:rPr>
              <w:t>本项目选址合理可行</w:t>
            </w:r>
            <w:r>
              <w:rPr>
                <w:rFonts w:hint="eastAsia"/>
              </w:rPr>
              <w:t>。</w:t>
            </w:r>
          </w:p>
          <w:p>
            <w:pPr>
              <w:spacing w:line="240" w:lineRule="auto"/>
              <w:ind w:firstLine="0" w:firstLineChars="0"/>
              <w:rPr>
                <w:b/>
                <w:bCs/>
                <w:color w:val="FF0000"/>
              </w:rPr>
            </w:pPr>
            <w:bookmarkStart w:id="2" w:name="_Hlk78287938"/>
            <w:r>
              <w:rPr>
                <w:rFonts w:hint="eastAsia"/>
                <w:b/>
                <w:bCs/>
                <w:color w:val="FF0000"/>
              </w:rPr>
              <w:t>2、与行业规范相符性分析</w:t>
            </w:r>
          </w:p>
          <w:p>
            <w:pPr>
              <w:ind w:firstLine="480"/>
              <w:rPr>
                <w:color w:val="FF0000"/>
              </w:rPr>
            </w:pPr>
            <w:r>
              <w:rPr>
                <w:rFonts w:hint="eastAsia"/>
                <w:color w:val="FF0000"/>
              </w:rPr>
              <w:t>《废塑料综合利用行业规范条件》相符性分析中华人民共和国工业和信息部于2015年12月发布《废塑料综合利用行业规范条件》，于2016 年1月1日起执行。本项目建设与该文件的相符性见下表。</w:t>
            </w:r>
          </w:p>
          <w:p>
            <w:pPr>
              <w:pStyle w:val="35"/>
              <w:rPr>
                <w:color w:val="FF0000"/>
              </w:rPr>
            </w:pPr>
            <w:r>
              <w:rPr>
                <w:rFonts w:hint="eastAsia"/>
                <w:color w:val="FF0000"/>
              </w:rPr>
              <w:t xml:space="preserve">表 </w:t>
            </w:r>
            <w:r>
              <w:rPr>
                <w:color w:val="FF0000"/>
              </w:rPr>
              <w:t xml:space="preserve">1  </w:t>
            </w:r>
            <w:r>
              <w:rPr>
                <w:rFonts w:hint="eastAsia"/>
                <w:color w:val="FF0000"/>
              </w:rPr>
              <w:t>与《废塑料综合利用规范条件》符合性一览表</w:t>
            </w:r>
          </w:p>
          <w:tbl>
            <w:tblPr>
              <w:tblStyle w:val="59"/>
              <w:tblW w:w="5000"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698"/>
              <w:gridCol w:w="3553"/>
              <w:gridCol w:w="1701"/>
              <w:gridCol w:w="777"/>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840" w:hRule="exact"/>
              </w:trPr>
              <w:tc>
                <w:tcPr>
                  <w:tcW w:w="519" w:type="pct"/>
                  <w:vAlign w:val="center"/>
                </w:tcPr>
                <w:p>
                  <w:pPr>
                    <w:pStyle w:val="33"/>
                    <w:widowControl w:val="0"/>
                    <w:rPr>
                      <w:b/>
                      <w:bCs/>
                      <w:color w:val="FF0000"/>
                      <w:lang w:eastAsia="en-US"/>
                    </w:rPr>
                  </w:pPr>
                  <w:r>
                    <w:rPr>
                      <w:rFonts w:hint="eastAsia"/>
                      <w:b/>
                      <w:bCs/>
                      <w:color w:val="FF0000"/>
                      <w:lang w:eastAsia="en-US"/>
                    </w:rPr>
                    <w:t>序 号</w:t>
                  </w:r>
                </w:p>
              </w:tc>
              <w:tc>
                <w:tcPr>
                  <w:tcW w:w="2640" w:type="pct"/>
                  <w:vAlign w:val="center"/>
                </w:tcPr>
                <w:p>
                  <w:pPr>
                    <w:pStyle w:val="33"/>
                    <w:widowControl w:val="0"/>
                    <w:rPr>
                      <w:b/>
                      <w:bCs/>
                      <w:color w:val="FF0000"/>
                      <w:lang w:eastAsia="zh-CN"/>
                    </w:rPr>
                  </w:pPr>
                  <w:r>
                    <w:rPr>
                      <w:rFonts w:hint="eastAsia"/>
                      <w:b/>
                      <w:bCs/>
                      <w:color w:val="FF0000"/>
                      <w:lang w:eastAsia="zh-CN"/>
                    </w:rPr>
                    <w:t>废塑料回收与再生利用污染控制技术规范（试行）</w:t>
                  </w:r>
                </w:p>
              </w:tc>
              <w:tc>
                <w:tcPr>
                  <w:tcW w:w="1264" w:type="pct"/>
                  <w:vAlign w:val="center"/>
                </w:tcPr>
                <w:p>
                  <w:pPr>
                    <w:pStyle w:val="33"/>
                    <w:widowControl w:val="0"/>
                    <w:rPr>
                      <w:b/>
                      <w:bCs/>
                      <w:color w:val="FF0000"/>
                      <w:lang w:eastAsia="en-US"/>
                    </w:rPr>
                  </w:pPr>
                  <w:r>
                    <w:rPr>
                      <w:rFonts w:hint="eastAsia"/>
                      <w:b/>
                      <w:bCs/>
                      <w:color w:val="FF0000"/>
                      <w:lang w:eastAsia="en-US"/>
                    </w:rPr>
                    <w:t>项目情况</w:t>
                  </w:r>
                </w:p>
              </w:tc>
              <w:tc>
                <w:tcPr>
                  <w:tcW w:w="577" w:type="pct"/>
                  <w:vAlign w:val="center"/>
                </w:tcPr>
                <w:p>
                  <w:pPr>
                    <w:pStyle w:val="33"/>
                    <w:widowControl w:val="0"/>
                    <w:rPr>
                      <w:b/>
                      <w:bCs/>
                      <w:color w:val="FF0000"/>
                      <w:lang w:eastAsia="en-US"/>
                    </w:rPr>
                  </w:pPr>
                  <w:r>
                    <w:rPr>
                      <w:rFonts w:hint="eastAsia"/>
                      <w:b/>
                      <w:bCs/>
                      <w:color w:val="FF0000"/>
                      <w:lang w:eastAsia="en-US"/>
                    </w:rPr>
                    <w:t>相符性</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908" w:hRule="exact"/>
              </w:trPr>
              <w:tc>
                <w:tcPr>
                  <w:tcW w:w="519" w:type="pct"/>
                  <w:vMerge w:val="restart"/>
                  <w:vAlign w:val="center"/>
                </w:tcPr>
                <w:p>
                  <w:pPr>
                    <w:pStyle w:val="33"/>
                    <w:widowControl w:val="0"/>
                    <w:rPr>
                      <w:color w:val="FF0000"/>
                      <w:lang w:eastAsia="zh-CN"/>
                    </w:rPr>
                  </w:pPr>
                  <w:r>
                    <w:rPr>
                      <w:rFonts w:hint="eastAsia"/>
                      <w:color w:val="FF0000"/>
                      <w:lang w:eastAsia="zh-CN"/>
                    </w:rPr>
                    <w:t>一、废塑料的 回收、 运输和贮存要求</w:t>
                  </w:r>
                </w:p>
              </w:tc>
              <w:tc>
                <w:tcPr>
                  <w:tcW w:w="2640" w:type="pct"/>
                  <w:vAlign w:val="center"/>
                </w:tcPr>
                <w:p>
                  <w:pPr>
                    <w:pStyle w:val="33"/>
                    <w:widowControl w:val="0"/>
                    <w:jc w:val="left"/>
                    <w:rPr>
                      <w:color w:val="FF0000"/>
                      <w:lang w:eastAsia="zh-CN"/>
                    </w:rPr>
                  </w:pPr>
                  <w:r>
                    <w:rPr>
                      <w:color w:val="FF0000"/>
                      <w:lang w:eastAsia="zh-CN"/>
                    </w:rPr>
                    <w:t>1</w:t>
                  </w:r>
                  <w:r>
                    <w:rPr>
                      <w:rFonts w:hint="eastAsia"/>
                      <w:color w:val="FF0000"/>
                      <w:lang w:eastAsia="zh-CN"/>
                    </w:rPr>
                    <w:t>、回收要求</w:t>
                  </w:r>
                </w:p>
                <w:p>
                  <w:pPr>
                    <w:pStyle w:val="33"/>
                    <w:widowControl w:val="0"/>
                    <w:jc w:val="left"/>
                    <w:rPr>
                      <w:color w:val="FF0000"/>
                      <w:lang w:eastAsia="zh-CN"/>
                    </w:rPr>
                  </w:pPr>
                  <w:r>
                    <w:rPr>
                      <w:rFonts w:hint="eastAsia"/>
                      <w:color w:val="FF0000"/>
                      <w:lang w:eastAsia="zh-CN"/>
                    </w:rPr>
                    <w:t>（</w:t>
                  </w:r>
                  <w:r>
                    <w:rPr>
                      <w:color w:val="FF0000"/>
                      <w:lang w:eastAsia="zh-CN"/>
                    </w:rPr>
                    <w:t>1</w:t>
                  </w:r>
                  <w:r>
                    <w:rPr>
                      <w:rFonts w:hint="eastAsia"/>
                      <w:color w:val="FF0000"/>
                      <w:lang w:eastAsia="zh-CN"/>
                    </w:rPr>
                    <w:t>）废塑料的回收应按原料种类进行分类回收，并严格区分废塑料来源和原用途。不得回收和再生利用属于医疗废物和危险废物的废塑料。</w:t>
                  </w:r>
                </w:p>
                <w:p>
                  <w:pPr>
                    <w:pStyle w:val="33"/>
                    <w:widowControl w:val="0"/>
                    <w:jc w:val="left"/>
                    <w:rPr>
                      <w:color w:val="FF0000"/>
                      <w:lang w:eastAsia="zh-CN"/>
                    </w:rPr>
                  </w:pPr>
                  <w:r>
                    <w:rPr>
                      <w:rFonts w:hint="eastAsia"/>
                      <w:color w:val="FF0000"/>
                      <w:lang w:eastAsia="zh-CN"/>
                    </w:rPr>
                    <w:t>（</w:t>
                  </w:r>
                  <w:r>
                    <w:rPr>
                      <w:color w:val="FF0000"/>
                      <w:lang w:eastAsia="zh-CN"/>
                    </w:rPr>
                    <w:t>2</w:t>
                  </w:r>
                  <w:r>
                    <w:rPr>
                      <w:rFonts w:hint="eastAsia"/>
                      <w:color w:val="FF0000"/>
                      <w:lang w:eastAsia="zh-CN"/>
                    </w:rPr>
                    <w:t>）含卤素废塑料的回收和再生利用应与其他废塑料分开进行。</w:t>
                  </w:r>
                </w:p>
                <w:p>
                  <w:pPr>
                    <w:pStyle w:val="33"/>
                    <w:widowControl w:val="0"/>
                    <w:jc w:val="left"/>
                    <w:rPr>
                      <w:color w:val="FF0000"/>
                      <w:lang w:eastAsia="zh-CN"/>
                    </w:rPr>
                  </w:pPr>
                  <w:r>
                    <w:rPr>
                      <w:rFonts w:hint="eastAsia"/>
                      <w:color w:val="FF0000"/>
                      <w:lang w:eastAsia="zh-CN"/>
                    </w:rPr>
                    <w:t>（</w:t>
                  </w:r>
                  <w:r>
                    <w:rPr>
                      <w:color w:val="FF0000"/>
                      <w:lang w:eastAsia="zh-CN"/>
                    </w:rPr>
                    <w:t>3</w:t>
                  </w:r>
                  <w:r>
                    <w:rPr>
                      <w:rFonts w:hint="eastAsia"/>
                      <w:color w:val="FF0000"/>
                      <w:lang w:eastAsia="zh-CN"/>
                    </w:rPr>
                    <w:t>）废塑料的回收过程中不得进行就地清洗，如需进行减容破碎处理，应使用干法破碎技术，并配备相应的防尘、防噪声设备。</w:t>
                  </w:r>
                </w:p>
                <w:p>
                  <w:pPr>
                    <w:pStyle w:val="33"/>
                    <w:widowControl w:val="0"/>
                    <w:jc w:val="left"/>
                    <w:rPr>
                      <w:color w:val="FF0000"/>
                      <w:lang w:eastAsia="zh-CN"/>
                    </w:rPr>
                  </w:pPr>
                  <w:r>
                    <w:rPr>
                      <w:rFonts w:hint="eastAsia"/>
                      <w:color w:val="FF0000"/>
                      <w:lang w:eastAsia="zh-CN"/>
                    </w:rPr>
                    <w:t>（</w:t>
                  </w:r>
                  <w:r>
                    <w:rPr>
                      <w:color w:val="FF0000"/>
                      <w:lang w:eastAsia="zh-CN"/>
                    </w:rPr>
                    <w:t>4</w:t>
                  </w:r>
                  <w:r>
                    <w:rPr>
                      <w:rFonts w:hint="eastAsia"/>
                      <w:color w:val="FF0000"/>
                      <w:lang w:eastAsia="zh-CN"/>
                    </w:rPr>
                    <w:t>）废塑料的回收过程中应避免遗洒。</w:t>
                  </w:r>
                </w:p>
              </w:tc>
              <w:tc>
                <w:tcPr>
                  <w:tcW w:w="1264" w:type="pct"/>
                  <w:vAlign w:val="center"/>
                </w:tcPr>
                <w:p>
                  <w:pPr>
                    <w:pStyle w:val="33"/>
                    <w:widowControl w:val="0"/>
                    <w:rPr>
                      <w:color w:val="FF0000"/>
                      <w:lang w:eastAsia="zh-CN"/>
                    </w:rPr>
                  </w:pPr>
                  <w:bookmarkStart w:id="3" w:name="_Hlk78299172"/>
                  <w:r>
                    <w:rPr>
                      <w:rFonts w:hint="eastAsia"/>
                      <w:color w:val="FF0000"/>
                      <w:lang w:eastAsia="zh-CN"/>
                    </w:rPr>
                    <w:t>项目回收的废塑料为废塑料瓶、废薄膜、废塑料筐等，</w:t>
                  </w:r>
                  <w:bookmarkStart w:id="4" w:name="_Hlk78299118"/>
                  <w:r>
                    <w:rPr>
                      <w:rFonts w:hint="eastAsia"/>
                      <w:color w:val="FF0000"/>
                      <w:lang w:eastAsia="zh-CN"/>
                    </w:rPr>
                    <w:t>不涉及医疗废物和危险废物</w:t>
                  </w:r>
                  <w:bookmarkEnd w:id="4"/>
                  <w:r>
                    <w:rPr>
                      <w:rFonts w:hint="eastAsia"/>
                      <w:color w:val="FF0000"/>
                      <w:lang w:eastAsia="zh-CN"/>
                    </w:rPr>
                    <w:t>，</w:t>
                  </w:r>
                  <w:bookmarkEnd w:id="3"/>
                  <w:r>
                    <w:rPr>
                      <w:rFonts w:hint="eastAsia"/>
                      <w:color w:val="FF0000"/>
                      <w:lang w:eastAsia="zh-CN"/>
                    </w:rPr>
                    <w:t>项目回收的废塑料在厂房内先进行人工分拣，废塑料筐进行破碎水洗后外售，其它废塑料进行打包压缩后外售。</w:t>
                  </w:r>
                </w:p>
              </w:tc>
              <w:tc>
                <w:tcPr>
                  <w:tcW w:w="577" w:type="pct"/>
                  <w:vAlign w:val="center"/>
                </w:tcPr>
                <w:p>
                  <w:pPr>
                    <w:pStyle w:val="33"/>
                    <w:widowControl w:val="0"/>
                    <w:rPr>
                      <w:color w:val="FF0000"/>
                      <w:lang w:eastAsia="en-US"/>
                    </w:rPr>
                  </w:pPr>
                  <w:r>
                    <w:rPr>
                      <w:rFonts w:hint="eastAsia"/>
                      <w:color w:val="FF0000"/>
                      <w:lang w:eastAsia="en-US"/>
                    </w:rPr>
                    <w:t>相符</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466" w:hRule="exact"/>
              </w:trPr>
              <w:tc>
                <w:tcPr>
                  <w:tcW w:w="519" w:type="pct"/>
                  <w:vMerge w:val="continue"/>
                  <w:vAlign w:val="center"/>
                </w:tcPr>
                <w:p>
                  <w:pPr>
                    <w:pStyle w:val="33"/>
                    <w:widowControl w:val="0"/>
                    <w:rPr>
                      <w:color w:val="FF0000"/>
                      <w:lang w:eastAsia="en-US"/>
                    </w:rPr>
                  </w:pPr>
                </w:p>
              </w:tc>
              <w:tc>
                <w:tcPr>
                  <w:tcW w:w="2640" w:type="pct"/>
                  <w:vAlign w:val="center"/>
                </w:tcPr>
                <w:p>
                  <w:pPr>
                    <w:pStyle w:val="33"/>
                    <w:widowControl w:val="0"/>
                    <w:jc w:val="left"/>
                    <w:rPr>
                      <w:color w:val="FF0000"/>
                      <w:lang w:eastAsia="zh-CN"/>
                    </w:rPr>
                  </w:pPr>
                  <w:r>
                    <w:rPr>
                      <w:color w:val="FF0000"/>
                      <w:lang w:eastAsia="zh-CN"/>
                    </w:rPr>
                    <w:t xml:space="preserve">2 </w:t>
                  </w:r>
                  <w:r>
                    <w:rPr>
                      <w:rFonts w:hint="eastAsia"/>
                      <w:color w:val="FF0000"/>
                      <w:lang w:eastAsia="zh-CN"/>
                    </w:rPr>
                    <w:t>、包装和运输要求</w:t>
                  </w:r>
                </w:p>
                <w:p>
                  <w:pPr>
                    <w:pStyle w:val="33"/>
                    <w:widowControl w:val="0"/>
                    <w:jc w:val="left"/>
                    <w:rPr>
                      <w:color w:val="FF0000"/>
                      <w:lang w:eastAsia="zh-CN"/>
                    </w:rPr>
                  </w:pPr>
                  <w:r>
                    <w:rPr>
                      <w:rFonts w:hint="eastAsia"/>
                      <w:color w:val="FF0000"/>
                      <w:lang w:eastAsia="zh-CN"/>
                    </w:rPr>
                    <w:t>（</w:t>
                  </w:r>
                  <w:r>
                    <w:rPr>
                      <w:color w:val="FF0000"/>
                      <w:lang w:eastAsia="zh-CN"/>
                    </w:rPr>
                    <w:t>1</w:t>
                  </w:r>
                  <w:r>
                    <w:rPr>
                      <w:rFonts w:hint="eastAsia"/>
                      <w:color w:val="FF0000"/>
                      <w:lang w:eastAsia="zh-CN"/>
                    </w:rPr>
                    <w:t>）废塑料运输前应进行包装，或用封闭的交通工具运输，不得裸露运输废塑料。</w:t>
                  </w:r>
                </w:p>
                <w:p>
                  <w:pPr>
                    <w:pStyle w:val="33"/>
                    <w:widowControl w:val="0"/>
                    <w:jc w:val="left"/>
                    <w:rPr>
                      <w:color w:val="FF0000"/>
                      <w:lang w:eastAsia="zh-CN"/>
                    </w:rPr>
                  </w:pPr>
                  <w:r>
                    <w:rPr>
                      <w:rFonts w:hint="eastAsia"/>
                      <w:color w:val="FF0000"/>
                      <w:lang w:eastAsia="zh-CN"/>
                    </w:rPr>
                    <w:t>（</w:t>
                  </w:r>
                  <w:r>
                    <w:rPr>
                      <w:color w:val="FF0000"/>
                      <w:lang w:eastAsia="zh-CN"/>
                    </w:rPr>
                    <w:t>2</w:t>
                  </w:r>
                  <w:r>
                    <w:rPr>
                      <w:rFonts w:hint="eastAsia"/>
                      <w:color w:val="FF0000"/>
                      <w:lang w:eastAsia="zh-CN"/>
                    </w:rPr>
                    <w:t>）废塑料包装物应防水、耐压、遮蔽性好，可多次重复使用；在装卸、运输过程中应确保包装完好，无废塑料遗洒。</w:t>
                  </w:r>
                </w:p>
                <w:p>
                  <w:pPr>
                    <w:pStyle w:val="33"/>
                    <w:widowControl w:val="0"/>
                    <w:jc w:val="left"/>
                    <w:rPr>
                      <w:color w:val="FF0000"/>
                      <w:lang w:eastAsia="zh-CN"/>
                    </w:rPr>
                  </w:pPr>
                  <w:r>
                    <w:rPr>
                      <w:rFonts w:hint="eastAsia"/>
                      <w:color w:val="FF0000"/>
                      <w:lang w:eastAsia="zh-CN"/>
                    </w:rPr>
                    <w:t>（</w:t>
                  </w:r>
                  <w:r>
                    <w:rPr>
                      <w:color w:val="FF0000"/>
                      <w:lang w:eastAsia="zh-CN"/>
                    </w:rPr>
                    <w:t>3</w:t>
                  </w:r>
                  <w:r>
                    <w:rPr>
                      <w:rFonts w:hint="eastAsia"/>
                      <w:color w:val="FF0000"/>
                      <w:lang w:eastAsia="zh-CN"/>
                    </w:rPr>
                    <w:t>）不得超高、超宽、超载运输废塑料， 宜采用密闭集装箱或带有压缩装置的箱式 货车运输。</w:t>
                  </w:r>
                </w:p>
              </w:tc>
              <w:tc>
                <w:tcPr>
                  <w:tcW w:w="1264" w:type="pct"/>
                  <w:vAlign w:val="center"/>
                </w:tcPr>
                <w:p>
                  <w:pPr>
                    <w:pStyle w:val="33"/>
                    <w:widowControl w:val="0"/>
                    <w:rPr>
                      <w:color w:val="FF0000"/>
                      <w:lang w:eastAsia="zh-CN"/>
                    </w:rPr>
                  </w:pPr>
                  <w:r>
                    <w:rPr>
                      <w:rFonts w:hint="eastAsia"/>
                      <w:color w:val="FF0000"/>
                      <w:lang w:eastAsia="zh-CN"/>
                    </w:rPr>
                    <w:t>项目回收的废泡塑料经由加盖篷布的货车外运。</w:t>
                  </w:r>
                </w:p>
              </w:tc>
              <w:tc>
                <w:tcPr>
                  <w:tcW w:w="577" w:type="pct"/>
                  <w:vAlign w:val="center"/>
                </w:tcPr>
                <w:p>
                  <w:pPr>
                    <w:pStyle w:val="33"/>
                    <w:widowControl w:val="0"/>
                    <w:rPr>
                      <w:color w:val="FF0000"/>
                      <w:lang w:eastAsia="en-US"/>
                    </w:rPr>
                  </w:pPr>
                  <w:r>
                    <w:rPr>
                      <w:rFonts w:hint="eastAsia"/>
                      <w:color w:val="FF0000"/>
                      <w:lang w:eastAsia="en-US"/>
                    </w:rPr>
                    <w:t>相符</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266" w:hRule="atLeast"/>
              </w:trPr>
              <w:tc>
                <w:tcPr>
                  <w:tcW w:w="519" w:type="pct"/>
                  <w:vMerge w:val="continue"/>
                  <w:tcBorders>
                    <w:bottom w:val="single" w:color="000000" w:sz="12" w:space="0"/>
                  </w:tcBorders>
                  <w:vAlign w:val="center"/>
                </w:tcPr>
                <w:p>
                  <w:pPr>
                    <w:pStyle w:val="33"/>
                    <w:widowControl w:val="0"/>
                    <w:rPr>
                      <w:color w:val="FF0000"/>
                      <w:lang w:eastAsia="zh-CN"/>
                    </w:rPr>
                  </w:pPr>
                </w:p>
              </w:tc>
              <w:tc>
                <w:tcPr>
                  <w:tcW w:w="2640" w:type="pct"/>
                  <w:tcBorders>
                    <w:bottom w:val="single" w:color="000000" w:sz="12" w:space="0"/>
                  </w:tcBorders>
                  <w:vAlign w:val="center"/>
                </w:tcPr>
                <w:p>
                  <w:pPr>
                    <w:pStyle w:val="33"/>
                    <w:widowControl w:val="0"/>
                    <w:jc w:val="left"/>
                    <w:rPr>
                      <w:color w:val="FF0000"/>
                      <w:lang w:eastAsia="zh-CN"/>
                    </w:rPr>
                  </w:pPr>
                  <w:r>
                    <w:rPr>
                      <w:color w:val="FF0000"/>
                      <w:lang w:eastAsia="zh-CN"/>
                    </w:rPr>
                    <w:t>3</w:t>
                  </w:r>
                  <w:r>
                    <w:rPr>
                      <w:rFonts w:hint="eastAsia"/>
                      <w:color w:val="FF0000"/>
                      <w:lang w:eastAsia="zh-CN"/>
                    </w:rPr>
                    <w:t>、贮存要求</w:t>
                  </w:r>
                </w:p>
                <w:p>
                  <w:pPr>
                    <w:pStyle w:val="33"/>
                    <w:widowControl w:val="0"/>
                    <w:jc w:val="left"/>
                    <w:rPr>
                      <w:color w:val="FF0000"/>
                      <w:lang w:eastAsia="zh-CN"/>
                    </w:rPr>
                  </w:pPr>
                  <w:r>
                    <w:rPr>
                      <w:rFonts w:hint="eastAsia"/>
                      <w:color w:val="FF0000"/>
                      <w:lang w:eastAsia="zh-CN"/>
                    </w:rPr>
                    <w:t>（</w:t>
                  </w:r>
                  <w:r>
                    <w:rPr>
                      <w:color w:val="FF0000"/>
                      <w:lang w:eastAsia="zh-CN"/>
                    </w:rPr>
                    <w:t>1</w:t>
                  </w:r>
                  <w:r>
                    <w:rPr>
                      <w:rFonts w:hint="eastAsia"/>
                      <w:color w:val="FF0000"/>
                      <w:lang w:eastAsia="zh-CN"/>
                    </w:rPr>
                    <w:t>）贮存场所必须为封闭或半封闭型设施，应有防雨、防晒、防渗、防尘、防扬散和防火措施。</w:t>
                  </w:r>
                </w:p>
                <w:p>
                  <w:pPr>
                    <w:pStyle w:val="33"/>
                    <w:widowControl w:val="0"/>
                    <w:jc w:val="left"/>
                    <w:rPr>
                      <w:color w:val="FF0000"/>
                      <w:lang w:eastAsia="zh-CN"/>
                    </w:rPr>
                  </w:pPr>
                  <w:r>
                    <w:rPr>
                      <w:rFonts w:hint="eastAsia"/>
                      <w:color w:val="FF0000"/>
                      <w:lang w:eastAsia="zh-CN"/>
                    </w:rPr>
                    <w:t>（</w:t>
                  </w:r>
                  <w:r>
                    <w:rPr>
                      <w:color w:val="FF0000"/>
                      <w:lang w:eastAsia="zh-CN"/>
                    </w:rPr>
                    <w:t>2</w:t>
                  </w:r>
                  <w:r>
                    <w:rPr>
                      <w:rFonts w:hint="eastAsia"/>
                      <w:color w:val="FF0000"/>
                      <w:lang w:eastAsia="zh-CN"/>
                    </w:rPr>
                    <w:t>）不同种类、不同来源的废塑料，应分开存放。</w:t>
                  </w:r>
                </w:p>
              </w:tc>
              <w:tc>
                <w:tcPr>
                  <w:tcW w:w="1264" w:type="pct"/>
                  <w:tcBorders>
                    <w:bottom w:val="single" w:color="000000" w:sz="12" w:space="0"/>
                  </w:tcBorders>
                  <w:vAlign w:val="center"/>
                </w:tcPr>
                <w:p>
                  <w:pPr>
                    <w:pStyle w:val="33"/>
                    <w:widowControl w:val="0"/>
                    <w:rPr>
                      <w:color w:val="FF0000"/>
                      <w:lang w:eastAsia="zh-CN"/>
                    </w:rPr>
                  </w:pPr>
                  <w:r>
                    <w:rPr>
                      <w:rFonts w:hint="eastAsia"/>
                      <w:color w:val="FF0000"/>
                      <w:lang w:eastAsia="zh-CN"/>
                    </w:rPr>
                    <w:t>项目原料及产品堆放在车间内，且车间内拟设置分区，具有防雨、防风、防渗等功能。</w:t>
                  </w:r>
                </w:p>
              </w:tc>
              <w:tc>
                <w:tcPr>
                  <w:tcW w:w="577" w:type="pct"/>
                  <w:tcBorders>
                    <w:bottom w:val="single" w:color="000000" w:sz="12" w:space="0"/>
                  </w:tcBorders>
                  <w:vAlign w:val="center"/>
                </w:tcPr>
                <w:p>
                  <w:pPr>
                    <w:pStyle w:val="33"/>
                    <w:widowControl w:val="0"/>
                    <w:rPr>
                      <w:color w:val="FF0000"/>
                      <w:lang w:eastAsia="en-US"/>
                    </w:rPr>
                  </w:pPr>
                  <w:r>
                    <w:rPr>
                      <w:rFonts w:hint="eastAsia"/>
                      <w:color w:val="FF0000"/>
                      <w:lang w:eastAsia="en-US"/>
                    </w:rPr>
                    <w:t>相符</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4127" w:hRule="exact"/>
              </w:trPr>
              <w:tc>
                <w:tcPr>
                  <w:tcW w:w="519" w:type="pct"/>
                  <w:vMerge w:val="restart"/>
                  <w:vAlign w:val="center"/>
                </w:tcPr>
                <w:p>
                  <w:pPr>
                    <w:pStyle w:val="33"/>
                    <w:widowControl w:val="0"/>
                    <w:rPr>
                      <w:color w:val="FF0000"/>
                      <w:lang w:eastAsia="zh-CN"/>
                    </w:rPr>
                  </w:pPr>
                  <w:r>
                    <w:rPr>
                      <w:rFonts w:hint="eastAsia"/>
                      <w:color w:val="FF0000"/>
                      <w:lang w:eastAsia="zh-CN"/>
                    </w:rPr>
                    <w:t>二、废塑料的 预处理和再生利用要求</w:t>
                  </w:r>
                </w:p>
              </w:tc>
              <w:tc>
                <w:tcPr>
                  <w:tcW w:w="2640" w:type="pct"/>
                  <w:vAlign w:val="center"/>
                </w:tcPr>
                <w:p>
                  <w:pPr>
                    <w:pStyle w:val="33"/>
                    <w:widowControl w:val="0"/>
                    <w:jc w:val="left"/>
                    <w:rPr>
                      <w:color w:val="FF0000"/>
                      <w:lang w:eastAsia="zh-CN"/>
                    </w:rPr>
                  </w:pPr>
                  <w:r>
                    <w:rPr>
                      <w:color w:val="FF0000"/>
                      <w:lang w:eastAsia="zh-CN"/>
                    </w:rPr>
                    <w:t>1</w:t>
                  </w:r>
                  <w:r>
                    <w:rPr>
                      <w:rFonts w:hint="eastAsia"/>
                      <w:color w:val="FF0000"/>
                      <w:lang w:eastAsia="zh-CN"/>
                    </w:rPr>
                    <w:t>、预处理工艺要求</w:t>
                  </w:r>
                </w:p>
                <w:p>
                  <w:pPr>
                    <w:pStyle w:val="33"/>
                    <w:widowControl w:val="0"/>
                    <w:jc w:val="left"/>
                    <w:rPr>
                      <w:color w:val="FF0000"/>
                      <w:lang w:eastAsia="zh-CN"/>
                    </w:rPr>
                  </w:pPr>
                  <w:r>
                    <w:rPr>
                      <w:rFonts w:hint="eastAsia"/>
                      <w:color w:val="FF0000"/>
                      <w:lang w:eastAsia="zh-CN"/>
                    </w:rPr>
                    <w:t>（</w:t>
                  </w:r>
                  <w:r>
                    <w:rPr>
                      <w:color w:val="FF0000"/>
                      <w:lang w:eastAsia="zh-CN"/>
                    </w:rPr>
                    <w:t>1</w:t>
                  </w:r>
                  <w:r>
                    <w:rPr>
                      <w:rFonts w:hint="eastAsia"/>
                      <w:color w:val="FF0000"/>
                      <w:lang w:eastAsia="zh-CN"/>
                    </w:rPr>
                    <w:t>）废塑料预处理工艺主要包括分选、清洗、破碎和干燥。</w:t>
                  </w:r>
                </w:p>
                <w:p>
                  <w:pPr>
                    <w:pStyle w:val="33"/>
                    <w:widowControl w:val="0"/>
                    <w:jc w:val="left"/>
                    <w:rPr>
                      <w:color w:val="FF0000"/>
                      <w:lang w:eastAsia="zh-CN"/>
                    </w:rPr>
                  </w:pPr>
                  <w:r>
                    <w:rPr>
                      <w:rFonts w:hint="eastAsia"/>
                      <w:color w:val="FF0000"/>
                      <w:lang w:eastAsia="zh-CN"/>
                    </w:rPr>
                    <w:t>（</w:t>
                  </w:r>
                  <w:r>
                    <w:rPr>
                      <w:color w:val="FF0000"/>
                      <w:lang w:eastAsia="zh-CN"/>
                    </w:rPr>
                    <w:t>2</w:t>
                  </w:r>
                  <w:r>
                    <w:rPr>
                      <w:rFonts w:hint="eastAsia"/>
                      <w:color w:val="FF0000"/>
                      <w:lang w:eastAsia="zh-CN"/>
                    </w:rPr>
                    <w:t>）废塑料预处理工艺应当遵循先进、稳定、无二次污染的原则，应采用节水、节能、高效、低污染的技术和设备；宜采用机械化和自动化作业，减少手工操作。</w:t>
                  </w:r>
                </w:p>
                <w:p>
                  <w:pPr>
                    <w:pStyle w:val="33"/>
                    <w:widowControl w:val="0"/>
                    <w:jc w:val="left"/>
                    <w:rPr>
                      <w:color w:val="FF0000"/>
                      <w:lang w:eastAsia="zh-CN"/>
                    </w:rPr>
                  </w:pPr>
                  <w:r>
                    <w:rPr>
                      <w:rFonts w:hint="eastAsia"/>
                      <w:color w:val="FF0000"/>
                      <w:lang w:eastAsia="zh-CN"/>
                    </w:rPr>
                    <w:t>（</w:t>
                  </w:r>
                  <w:r>
                    <w:rPr>
                      <w:color w:val="FF0000"/>
                      <w:lang w:eastAsia="zh-CN"/>
                    </w:rPr>
                    <w:t>3</w:t>
                  </w:r>
                  <w:r>
                    <w:rPr>
                      <w:rFonts w:hint="eastAsia"/>
                      <w:color w:val="FF0000"/>
                      <w:lang w:eastAsia="zh-CN"/>
                    </w:rPr>
                    <w:t>）废塑料的破碎宜采用干法破碎技术，并应配有防治粉尘和噪声污染的设备。</w:t>
                  </w:r>
                </w:p>
                <w:p>
                  <w:pPr>
                    <w:pStyle w:val="33"/>
                    <w:widowControl w:val="0"/>
                    <w:jc w:val="left"/>
                    <w:rPr>
                      <w:color w:val="FF0000"/>
                      <w:lang w:eastAsia="zh-CN"/>
                    </w:rPr>
                  </w:pPr>
                  <w:r>
                    <w:rPr>
                      <w:rFonts w:hint="eastAsia"/>
                      <w:color w:val="FF0000"/>
                      <w:lang w:eastAsia="zh-CN"/>
                    </w:rPr>
                    <w:t>（</w:t>
                  </w:r>
                  <w:r>
                    <w:rPr>
                      <w:color w:val="FF0000"/>
                      <w:lang w:eastAsia="zh-CN"/>
                    </w:rPr>
                    <w:t>4</w:t>
                  </w:r>
                  <w:r>
                    <w:rPr>
                      <w:rFonts w:hint="eastAsia"/>
                      <w:color w:val="FF0000"/>
                      <w:lang w:eastAsia="zh-CN"/>
                    </w:rPr>
                    <w:t>）废塑料的干燥方法可分为人工干燥和自然干燥。</w:t>
                  </w:r>
                </w:p>
              </w:tc>
              <w:tc>
                <w:tcPr>
                  <w:tcW w:w="1264" w:type="pct"/>
                  <w:vAlign w:val="center"/>
                </w:tcPr>
                <w:p>
                  <w:pPr>
                    <w:pStyle w:val="33"/>
                    <w:widowControl w:val="0"/>
                    <w:rPr>
                      <w:color w:val="FF0000"/>
                      <w:lang w:eastAsia="zh-CN"/>
                    </w:rPr>
                  </w:pPr>
                  <w:r>
                    <w:rPr>
                      <w:rFonts w:hint="eastAsia"/>
                      <w:color w:val="FF0000"/>
                      <w:lang w:eastAsia="zh-CN"/>
                    </w:rPr>
                    <w:t>本项目的预处理工 艺主要为破碎和水洗，破碎采用湿法破碎，符合预处理工艺要求。</w:t>
                  </w:r>
                </w:p>
              </w:tc>
              <w:tc>
                <w:tcPr>
                  <w:tcW w:w="577" w:type="pct"/>
                  <w:vAlign w:val="center"/>
                </w:tcPr>
                <w:p>
                  <w:pPr>
                    <w:pStyle w:val="33"/>
                    <w:widowControl w:val="0"/>
                    <w:rPr>
                      <w:color w:val="FF0000"/>
                      <w:lang w:eastAsia="en-US"/>
                    </w:rPr>
                  </w:pPr>
                  <w:r>
                    <w:rPr>
                      <w:rFonts w:hint="eastAsia"/>
                      <w:color w:val="FF0000"/>
                      <w:lang w:eastAsia="en-US"/>
                    </w:rPr>
                    <w:t>相符</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838" w:hRule="exact"/>
              </w:trPr>
              <w:tc>
                <w:tcPr>
                  <w:tcW w:w="519" w:type="pct"/>
                  <w:vMerge w:val="continue"/>
                  <w:vAlign w:val="center"/>
                </w:tcPr>
                <w:p>
                  <w:pPr>
                    <w:pStyle w:val="33"/>
                    <w:widowControl w:val="0"/>
                    <w:jc w:val="left"/>
                    <w:rPr>
                      <w:color w:val="FF0000"/>
                      <w:lang w:eastAsia="zh-CN"/>
                    </w:rPr>
                  </w:pPr>
                </w:p>
              </w:tc>
              <w:tc>
                <w:tcPr>
                  <w:tcW w:w="2640" w:type="pct"/>
                  <w:vMerge w:val="restart"/>
                  <w:vAlign w:val="center"/>
                </w:tcPr>
                <w:p>
                  <w:pPr>
                    <w:pStyle w:val="33"/>
                    <w:widowControl w:val="0"/>
                    <w:jc w:val="left"/>
                    <w:rPr>
                      <w:color w:val="FF0000"/>
                      <w:lang w:eastAsia="zh-CN"/>
                    </w:rPr>
                  </w:pPr>
                  <w:r>
                    <w:rPr>
                      <w:color w:val="FF0000"/>
                      <w:lang w:eastAsia="zh-CN"/>
                    </w:rPr>
                    <w:t>2</w:t>
                  </w:r>
                  <w:r>
                    <w:rPr>
                      <w:rFonts w:hint="eastAsia"/>
                      <w:color w:val="FF0000"/>
                      <w:lang w:eastAsia="zh-CN"/>
                    </w:rPr>
                    <w:t>、污染控制要求</w:t>
                  </w:r>
                </w:p>
                <w:p>
                  <w:pPr>
                    <w:pStyle w:val="33"/>
                    <w:widowControl w:val="0"/>
                    <w:jc w:val="left"/>
                    <w:rPr>
                      <w:color w:val="FF0000"/>
                      <w:lang w:eastAsia="zh-CN"/>
                    </w:rPr>
                  </w:pPr>
                  <w:r>
                    <w:rPr>
                      <w:rFonts w:hint="eastAsia"/>
                      <w:color w:val="FF0000"/>
                      <w:lang w:eastAsia="zh-CN"/>
                    </w:rPr>
                    <w:t>（</w:t>
                  </w:r>
                  <w:r>
                    <w:rPr>
                      <w:color w:val="FF0000"/>
                      <w:lang w:eastAsia="zh-CN"/>
                    </w:rPr>
                    <w:t>1</w:t>
                  </w:r>
                  <w:r>
                    <w:rPr>
                      <w:rFonts w:hint="eastAsia"/>
                      <w:color w:val="FF0000"/>
                      <w:lang w:eastAsia="zh-CN"/>
                    </w:rPr>
                    <w:t>）废塑料预处理、再生利用等过程中产 生的废水和厂区产生的生活废水，企业应 有配套的废水收集设施。废水宜在厂区内 处理并循环利用。</w:t>
                  </w:r>
                </w:p>
                <w:p>
                  <w:pPr>
                    <w:pStyle w:val="33"/>
                    <w:widowControl w:val="0"/>
                    <w:jc w:val="left"/>
                    <w:rPr>
                      <w:color w:val="FF0000"/>
                      <w:lang w:eastAsia="zh-CN"/>
                    </w:rPr>
                  </w:pPr>
                  <w:r>
                    <w:rPr>
                      <w:rFonts w:hint="eastAsia"/>
                      <w:color w:val="FF0000"/>
                      <w:lang w:eastAsia="zh-CN"/>
                    </w:rPr>
                    <w:t>（</w:t>
                  </w:r>
                  <w:r>
                    <w:rPr>
                      <w:color w:val="FF0000"/>
                      <w:lang w:eastAsia="zh-CN"/>
                    </w:rPr>
                    <w:t>2</w:t>
                  </w:r>
                  <w:r>
                    <w:rPr>
                      <w:rFonts w:hint="eastAsia"/>
                      <w:color w:val="FF0000"/>
                      <w:lang w:eastAsia="zh-CN"/>
                    </w:rPr>
                    <w:t>）预处理、再生利用过程中产生的废气，企业应有集气装置收集，经净化处理的废气排放应按企业所在环境功能区类别，应执行</w:t>
                  </w:r>
                  <w:r>
                    <w:rPr>
                      <w:color w:val="FF0000"/>
                      <w:lang w:eastAsia="zh-CN"/>
                    </w:rPr>
                    <w:t>GB16297</w:t>
                  </w:r>
                  <w:r>
                    <w:rPr>
                      <w:rFonts w:hint="eastAsia"/>
                      <w:color w:val="FF0000"/>
                      <w:lang w:eastAsia="zh-CN"/>
                    </w:rPr>
                    <w:t>和</w:t>
                  </w:r>
                  <w:r>
                    <w:rPr>
                      <w:color w:val="FF0000"/>
                      <w:lang w:eastAsia="zh-CN"/>
                    </w:rPr>
                    <w:t>GB14554</w:t>
                  </w:r>
                  <w:r>
                    <w:rPr>
                      <w:rFonts w:hint="eastAsia"/>
                      <w:color w:val="FF0000"/>
                      <w:lang w:eastAsia="zh-CN"/>
                    </w:rPr>
                    <w:t>。</w:t>
                  </w:r>
                </w:p>
                <w:p>
                  <w:pPr>
                    <w:pStyle w:val="33"/>
                    <w:widowControl w:val="0"/>
                    <w:jc w:val="left"/>
                    <w:rPr>
                      <w:color w:val="FF0000"/>
                      <w:lang w:eastAsia="zh-CN"/>
                    </w:rPr>
                  </w:pPr>
                  <w:r>
                    <w:rPr>
                      <w:rFonts w:hint="eastAsia"/>
                      <w:color w:val="FF0000"/>
                      <w:lang w:eastAsia="zh-CN"/>
                    </w:rPr>
                    <w:t>（</w:t>
                  </w:r>
                  <w:r>
                    <w:rPr>
                      <w:color w:val="FF0000"/>
                      <w:lang w:eastAsia="zh-CN"/>
                    </w:rPr>
                    <w:t>3</w:t>
                  </w:r>
                  <w:r>
                    <w:rPr>
                      <w:rFonts w:hint="eastAsia"/>
                      <w:color w:val="FF0000"/>
                      <w:lang w:eastAsia="zh-CN"/>
                    </w:rPr>
                    <w:t>）预处理和再生利用过程中应控制噪声污染，排放噪声应符合</w:t>
                  </w:r>
                  <w:r>
                    <w:rPr>
                      <w:color w:val="FF0000"/>
                      <w:lang w:eastAsia="zh-CN"/>
                    </w:rPr>
                    <w:t>GB12348</w:t>
                  </w:r>
                  <w:r>
                    <w:rPr>
                      <w:rFonts w:hint="eastAsia"/>
                      <w:color w:val="FF0000"/>
                      <w:lang w:eastAsia="zh-CN"/>
                    </w:rPr>
                    <w:t>的要求。</w:t>
                  </w:r>
                </w:p>
                <w:p>
                  <w:pPr>
                    <w:pStyle w:val="33"/>
                    <w:widowControl w:val="0"/>
                    <w:jc w:val="left"/>
                    <w:rPr>
                      <w:color w:val="FF0000"/>
                      <w:lang w:eastAsia="zh-CN"/>
                    </w:rPr>
                  </w:pPr>
                  <w:r>
                    <w:rPr>
                      <w:rFonts w:hint="eastAsia"/>
                      <w:color w:val="FF0000"/>
                      <w:lang w:eastAsia="zh-CN"/>
                    </w:rPr>
                    <w:t>（</w:t>
                  </w:r>
                  <w:r>
                    <w:rPr>
                      <w:color w:val="FF0000"/>
                      <w:lang w:eastAsia="zh-CN"/>
                    </w:rPr>
                    <w:t>4</w:t>
                  </w:r>
                  <w:r>
                    <w:rPr>
                      <w:rFonts w:hint="eastAsia"/>
                      <w:color w:val="FF0000"/>
                      <w:lang w:eastAsia="zh-CN"/>
                    </w:rPr>
                    <w:t>）不得在无燃烧设备和烟气净化装置的条件下焚烧废塑料或用焚烧方式处理塑料挤出机过滤网片。</w:t>
                  </w:r>
                </w:p>
                <w:p>
                  <w:pPr>
                    <w:pStyle w:val="33"/>
                    <w:widowControl w:val="0"/>
                    <w:jc w:val="left"/>
                    <w:rPr>
                      <w:color w:val="FF0000"/>
                      <w:lang w:eastAsia="zh-CN"/>
                    </w:rPr>
                  </w:pPr>
                  <w:r>
                    <w:rPr>
                      <w:rFonts w:hint="eastAsia"/>
                      <w:color w:val="FF0000"/>
                      <w:spacing w:val="-4"/>
                      <w:lang w:eastAsia="zh-CN"/>
                    </w:rPr>
                    <w:t>（</w:t>
                  </w:r>
                  <w:r>
                    <w:rPr>
                      <w:rFonts w:eastAsia="Times New Roman" w:cs="Times New Roman"/>
                      <w:color w:val="FF0000"/>
                      <w:spacing w:val="-4"/>
                      <w:lang w:eastAsia="zh-CN"/>
                    </w:rPr>
                    <w:t>5</w:t>
                  </w:r>
                  <w:r>
                    <w:rPr>
                      <w:rFonts w:hint="eastAsia"/>
                      <w:color w:val="FF0000"/>
                      <w:spacing w:val="-4"/>
                      <w:lang w:eastAsia="zh-CN"/>
                    </w:rPr>
                    <w:t>）废塑料预处理、再生利用过程中产生</w:t>
                  </w:r>
                  <w:r>
                    <w:rPr>
                      <w:rFonts w:hint="eastAsia"/>
                      <w:color w:val="FF0000"/>
                      <w:spacing w:val="2"/>
                      <w:lang w:eastAsia="zh-CN"/>
                    </w:rPr>
                    <w:t>的固体废物，包括分选出的不宜再生利用的废塑料，应按工业固体废物处置，并执</w:t>
                  </w:r>
                  <w:r>
                    <w:rPr>
                      <w:rFonts w:hint="eastAsia"/>
                      <w:color w:val="FF0000"/>
                      <w:lang w:eastAsia="zh-CN"/>
                    </w:rPr>
                    <w:t>行相关环境保护标准。</w:t>
                  </w:r>
                </w:p>
              </w:tc>
              <w:tc>
                <w:tcPr>
                  <w:tcW w:w="1264" w:type="pct"/>
                  <w:vMerge w:val="restart"/>
                  <w:vAlign w:val="center"/>
                </w:tcPr>
                <w:p>
                  <w:pPr>
                    <w:pStyle w:val="33"/>
                    <w:widowControl w:val="0"/>
                    <w:jc w:val="left"/>
                    <w:rPr>
                      <w:color w:val="FF0000"/>
                      <w:lang w:eastAsia="zh-CN"/>
                    </w:rPr>
                  </w:pPr>
                  <w:r>
                    <w:rPr>
                      <w:rFonts w:hint="eastAsia"/>
                      <w:color w:val="FF0000"/>
                      <w:lang w:eastAsia="zh-CN"/>
                    </w:rPr>
                    <w:t>项目产生的废水主</w:t>
                  </w:r>
                </w:p>
                <w:p>
                  <w:pPr>
                    <w:pStyle w:val="33"/>
                    <w:widowControl w:val="0"/>
                    <w:jc w:val="left"/>
                    <w:rPr>
                      <w:color w:val="FF0000"/>
                      <w:lang w:eastAsia="zh-CN"/>
                    </w:rPr>
                  </w:pPr>
                  <w:r>
                    <w:rPr>
                      <w:rFonts w:hint="eastAsia"/>
                      <w:color w:val="FF0000"/>
                      <w:lang w:eastAsia="zh-CN"/>
                    </w:rPr>
                    <w:t>要为员工生活污水，依托现有防渗旱厕定期清掏。废塑料筐破碎后清洗废水排入沉淀池循环使用，沉淀池的沉渣可综合利用，项目不涉及废塑料的再生，只是进行预处理后外售。</w:t>
                  </w:r>
                </w:p>
              </w:tc>
              <w:tc>
                <w:tcPr>
                  <w:tcW w:w="577" w:type="pct"/>
                  <w:vAlign w:val="center"/>
                </w:tcPr>
                <w:p>
                  <w:pPr>
                    <w:pStyle w:val="33"/>
                    <w:widowControl w:val="0"/>
                    <w:rPr>
                      <w:color w:val="FF0000"/>
                      <w:lang w:eastAsia="zh-CN"/>
                    </w:rPr>
                  </w:pPr>
                  <w:r>
                    <w:rPr>
                      <w:rFonts w:hint="eastAsia"/>
                      <w:color w:val="FF0000"/>
                      <w:lang w:eastAsia="zh-CN"/>
                    </w:rPr>
                    <w:t>相符</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77" w:hRule="atLeast"/>
              </w:trPr>
              <w:tc>
                <w:tcPr>
                  <w:tcW w:w="519" w:type="pct"/>
                  <w:vMerge w:val="continue"/>
                  <w:tcBorders>
                    <w:bottom w:val="single" w:color="000000" w:sz="6" w:space="0"/>
                  </w:tcBorders>
                  <w:vAlign w:val="center"/>
                </w:tcPr>
                <w:p>
                  <w:pPr>
                    <w:pStyle w:val="33"/>
                    <w:widowControl w:val="0"/>
                    <w:rPr>
                      <w:rFonts w:eastAsiaTheme="minorEastAsia"/>
                      <w:color w:val="FF0000"/>
                      <w:sz w:val="22"/>
                      <w:lang w:eastAsia="zh-CN"/>
                    </w:rPr>
                  </w:pPr>
                </w:p>
              </w:tc>
              <w:tc>
                <w:tcPr>
                  <w:tcW w:w="2640" w:type="pct"/>
                  <w:vMerge w:val="continue"/>
                  <w:tcBorders>
                    <w:bottom w:val="single" w:color="000000" w:sz="6" w:space="0"/>
                  </w:tcBorders>
                  <w:vAlign w:val="center"/>
                </w:tcPr>
                <w:p>
                  <w:pPr>
                    <w:pStyle w:val="33"/>
                    <w:widowControl w:val="0"/>
                    <w:rPr>
                      <w:color w:val="FF0000"/>
                      <w:lang w:eastAsia="zh-CN"/>
                    </w:rPr>
                  </w:pPr>
                </w:p>
              </w:tc>
              <w:tc>
                <w:tcPr>
                  <w:tcW w:w="1264" w:type="pct"/>
                  <w:vMerge w:val="continue"/>
                  <w:tcBorders>
                    <w:bottom w:val="single" w:color="000000" w:sz="6" w:space="0"/>
                  </w:tcBorders>
                  <w:vAlign w:val="center"/>
                </w:tcPr>
                <w:p>
                  <w:pPr>
                    <w:pStyle w:val="33"/>
                    <w:widowControl w:val="0"/>
                    <w:rPr>
                      <w:color w:val="FF0000"/>
                      <w:lang w:eastAsia="zh-CN"/>
                    </w:rPr>
                  </w:pPr>
                </w:p>
              </w:tc>
              <w:tc>
                <w:tcPr>
                  <w:tcW w:w="577" w:type="pct"/>
                  <w:tcBorders>
                    <w:bottom w:val="single" w:color="000000" w:sz="6" w:space="0"/>
                  </w:tcBorders>
                  <w:vAlign w:val="center"/>
                </w:tcPr>
                <w:p>
                  <w:pPr>
                    <w:pStyle w:val="33"/>
                    <w:widowControl w:val="0"/>
                    <w:rPr>
                      <w:rFonts w:asciiTheme="minorHAnsi" w:hAnsiTheme="minorHAnsi" w:eastAsiaTheme="minorEastAsia"/>
                      <w:color w:val="FF0000"/>
                      <w:sz w:val="22"/>
                      <w:lang w:eastAsia="zh-CN"/>
                    </w:rPr>
                  </w:pPr>
                </w:p>
              </w:tc>
            </w:tr>
            <w:bookmarkEnd w:id="2"/>
          </w:tbl>
          <w:p>
            <w:pPr>
              <w:spacing w:line="240" w:lineRule="auto"/>
              <w:ind w:firstLine="0" w:firstLineChars="0"/>
              <w:rPr>
                <w:b/>
                <w:bCs/>
              </w:rPr>
            </w:pPr>
            <w:bookmarkStart w:id="5" w:name="_Hlk78287630"/>
            <w:r>
              <w:rPr>
                <w:b/>
                <w:bCs/>
              </w:rPr>
              <w:t>3、</w:t>
            </w:r>
            <w:r>
              <w:rPr>
                <w:rFonts w:hint="eastAsia"/>
                <w:b/>
                <w:bCs/>
              </w:rPr>
              <w:t>“</w:t>
            </w:r>
            <w:r>
              <w:rPr>
                <w:b/>
                <w:bCs/>
              </w:rPr>
              <w:t>三线一单</w:t>
            </w:r>
            <w:r>
              <w:rPr>
                <w:rFonts w:hint="eastAsia"/>
                <w:b/>
                <w:bCs/>
              </w:rPr>
              <w:t>”</w:t>
            </w:r>
            <w:r>
              <w:rPr>
                <w:b/>
                <w:bCs/>
              </w:rPr>
              <w:t>符合性分析</w:t>
            </w:r>
          </w:p>
          <w:p>
            <w:pPr>
              <w:ind w:firstLine="480"/>
            </w:pPr>
            <w:r>
              <w:rPr>
                <w:rFonts w:hint="eastAsia"/>
              </w:rPr>
              <w:t>根据《内蒙古自治区人民政府关于实施“三线一单”生态环境分区管控的意见》内政发〔2020〕24号，全区共划分环境管控单元1135个，包括优先保护单元、重点管控单元、一般管控单元三类，实施分类管控。建立五级生态环境准入清单管控体系，即1个自治区总体准入清单、3个重点区域及黄河流域准入清单、12盟市总体准入清单、103个旗县（市、区）准入清单、1135个环境管控单元准入清单。</w:t>
            </w:r>
          </w:p>
          <w:p>
            <w:pPr>
              <w:ind w:firstLine="480"/>
            </w:pPr>
            <w:r>
              <w:rPr>
                <w:rFonts w:hint="eastAsia"/>
              </w:rPr>
              <w:t>本项目位于</w:t>
            </w:r>
            <w:r>
              <w:rPr>
                <w:rFonts w:hint="eastAsia"/>
                <w:color w:val="FF0000"/>
              </w:rPr>
              <w:t>五原县城内</w:t>
            </w:r>
            <w:r>
              <w:rPr>
                <w:rFonts w:hint="eastAsia"/>
              </w:rPr>
              <w:t>属于重点管控单元。</w:t>
            </w:r>
          </w:p>
          <w:p>
            <w:pPr>
              <w:ind w:firstLine="480" w:firstLineChars="0"/>
              <w:rPr>
                <w:b/>
                <w:bCs/>
                <w:color w:val="FF0000"/>
              </w:rPr>
            </w:pPr>
            <w:r>
              <w:rPr>
                <w:b/>
                <w:bCs/>
                <w:color w:val="FF0000"/>
              </w:rPr>
              <w:t>1</w:t>
            </w:r>
            <w:r>
              <w:rPr>
                <w:rFonts w:hint="eastAsia"/>
                <w:b/>
                <w:bCs/>
                <w:color w:val="FF0000"/>
              </w:rPr>
              <w:t>）生态保护红线</w:t>
            </w:r>
          </w:p>
          <w:p>
            <w:pPr>
              <w:ind w:firstLine="480"/>
              <w:rPr>
                <w:color w:val="FF0000"/>
              </w:rPr>
            </w:pPr>
            <w:r>
              <w:rPr>
                <w:rFonts w:hint="eastAsia"/>
                <w:color w:val="FF0000"/>
              </w:rPr>
              <w:t>根据《内蒙古自治区人民政府关于实施“三线一单”生态环境分区管控的意见》（内政发[2020]24 号，2020 年 12 月 29 日），全区共划分环境管控单元 1135个，包括优先保护单元、重点管控单元、一般管控单元三类，实施分类管控。其中，重点管控单元。共 651 个，面积占比为 19.61%。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pPr>
              <w:ind w:firstLine="480"/>
              <w:rPr>
                <w:color w:val="FF0000"/>
              </w:rPr>
            </w:pPr>
            <w:r>
              <w:rPr>
                <w:rFonts w:hint="eastAsia"/>
                <w:color w:val="FF0000"/>
              </w:rPr>
              <w:t>本项目位于巴彦淖尔市五原县同泰玻璃厂北厂区，位于重点管控单元内。评价范围内无珍稀保护的动植物，无饮用水源地保护区，不属生态敏感与脆弱区，不涉及自然保护区等特殊环境敏感区，不在拟定的生态红线范围内。</w:t>
            </w:r>
          </w:p>
          <w:p>
            <w:pPr>
              <w:ind w:firstLine="482"/>
              <w:rPr>
                <w:b/>
                <w:bCs/>
              </w:rPr>
            </w:pPr>
            <w:r>
              <w:rPr>
                <w:b/>
                <w:bCs/>
              </w:rPr>
              <w:t>2）环境质量底线</w:t>
            </w:r>
          </w:p>
          <w:p>
            <w:pPr>
              <w:ind w:firstLine="600" w:firstLineChars="250"/>
            </w:pPr>
            <w:r>
              <w:rPr>
                <w:rFonts w:hint="eastAsia"/>
              </w:rPr>
              <w:t>同时T</w:t>
            </w:r>
            <w:r>
              <w:t>SP</w:t>
            </w:r>
            <w:r>
              <w:rPr>
                <w:rFonts w:hint="eastAsia"/>
              </w:rPr>
              <w:t>、N</w:t>
            </w:r>
            <w:r>
              <w:t>H</w:t>
            </w:r>
            <w:r>
              <w:rPr>
                <w:vertAlign w:val="subscript"/>
              </w:rPr>
              <w:t>3</w:t>
            </w:r>
            <w:r>
              <w:rPr>
                <w:rFonts w:hint="eastAsia"/>
              </w:rPr>
              <w:t>、H</w:t>
            </w:r>
            <w:r>
              <w:rPr>
                <w:vertAlign w:val="subscript"/>
              </w:rPr>
              <w:t>2</w:t>
            </w:r>
            <w:r>
              <w:t>S</w:t>
            </w:r>
            <w:r>
              <w:rPr>
                <w:rFonts w:hint="eastAsia"/>
              </w:rPr>
              <w:t>、臭气浓度为引用近三年现有监测数据，监测结果T</w:t>
            </w:r>
            <w:r>
              <w:t>SP</w:t>
            </w:r>
            <w:r>
              <w:rPr>
                <w:rFonts w:hint="eastAsia"/>
              </w:rPr>
              <w:t>满足《环境空气质量标准》（G</w:t>
            </w:r>
            <w:r>
              <w:t>B3095-2012</w:t>
            </w:r>
            <w:r>
              <w:rPr>
                <w:rFonts w:hint="eastAsia"/>
              </w:rPr>
              <w:t>）中二级标准、N</w:t>
            </w:r>
            <w:r>
              <w:t>H</w:t>
            </w:r>
            <w:r>
              <w:rPr>
                <w:vertAlign w:val="subscript"/>
              </w:rPr>
              <w:t>3</w:t>
            </w:r>
            <w:r>
              <w:rPr>
                <w:rFonts w:hint="eastAsia"/>
              </w:rPr>
              <w:t>、H</w:t>
            </w:r>
            <w:r>
              <w:rPr>
                <w:vertAlign w:val="subscript"/>
              </w:rPr>
              <w:t>2</w:t>
            </w:r>
            <w:r>
              <w:t>S</w:t>
            </w:r>
            <w:r>
              <w:rPr>
                <w:rFonts w:hint="eastAsia"/>
              </w:rPr>
              <w:t>满足《环境影响评价技术导则 大气环境》（</w:t>
            </w:r>
            <w:r>
              <w:t>HJ2.2-2018</w:t>
            </w:r>
            <w:r>
              <w:rPr>
                <w:rFonts w:hint="eastAsia"/>
              </w:rPr>
              <w:t>）中附录D中参考限值。</w:t>
            </w:r>
          </w:p>
          <w:p>
            <w:pPr>
              <w:ind w:firstLine="480"/>
            </w:pPr>
            <w:r>
              <w:t>噪声现状监测</w:t>
            </w:r>
            <w:r>
              <w:rPr>
                <w:rFonts w:hint="eastAsia"/>
              </w:rPr>
              <w:t>西侧、南侧、北侧</w:t>
            </w:r>
            <w:r>
              <w:t>厂界噪声满足《声环境质量标准》（GB3096-2008）2类</w:t>
            </w:r>
            <w:r>
              <w:rPr>
                <w:rFonts w:hint="eastAsia"/>
              </w:rPr>
              <w:t>区</w:t>
            </w:r>
            <w:r>
              <w:t>标准</w:t>
            </w:r>
            <w:r>
              <w:rPr>
                <w:rFonts w:hint="eastAsia"/>
              </w:rPr>
              <w:t>，东侧厂界（临近交通干线）满足4</w:t>
            </w:r>
            <w:r>
              <w:t>a</w:t>
            </w:r>
            <w:r>
              <w:rPr>
                <w:rFonts w:hint="eastAsia"/>
              </w:rPr>
              <w:t>类标准</w:t>
            </w:r>
            <w:r>
              <w:t>。本项目运营后会产生一定的污染物，如废气、固废、生产设备运行产生的噪声等，但在采取相应的污染防治措施后，各类污染物的排放对周边环境造成的不良影响较小，能维持环境功能区质量现状。</w:t>
            </w:r>
          </w:p>
          <w:p>
            <w:pPr>
              <w:ind w:firstLine="482"/>
              <w:rPr>
                <w:b/>
                <w:bCs/>
              </w:rPr>
            </w:pPr>
            <w:r>
              <w:rPr>
                <w:b/>
                <w:bCs/>
              </w:rPr>
              <w:t>3）资源利用上线</w:t>
            </w:r>
          </w:p>
          <w:p>
            <w:pPr>
              <w:ind w:firstLine="480"/>
            </w:pPr>
            <w:r>
              <w:t>项目所需资源电由市政基础设施提供，</w:t>
            </w:r>
            <w:r>
              <w:rPr>
                <w:rFonts w:hint="eastAsia"/>
              </w:rPr>
              <w:t>水由厂区自备井提供，</w:t>
            </w:r>
            <w:r>
              <w:t>本项目建成运行后通过内部管理、设备选择、原辅材料的选用和管理、废物回收利用及污染治理等多方面采取可行的防治措施，以“节能、降耗、减污”为目标，有效的控制污染，项目的水、电等资源不会突破区域的资源利用上线。</w:t>
            </w:r>
          </w:p>
          <w:p>
            <w:pPr>
              <w:ind w:firstLine="482"/>
              <w:rPr>
                <w:b/>
                <w:bCs/>
              </w:rPr>
            </w:pPr>
            <w:r>
              <w:rPr>
                <w:b/>
                <w:bCs/>
              </w:rPr>
              <w:t>4）生态环境准入清单</w:t>
            </w:r>
          </w:p>
          <w:p>
            <w:pPr>
              <w:widowControl w:val="0"/>
              <w:adjustRightInd w:val="0"/>
              <w:snapToGrid w:val="0"/>
              <w:ind w:firstLine="480"/>
              <w:rPr>
                <w:rFonts w:cs="Times New Roman"/>
                <w:kern w:val="2"/>
                <w:szCs w:val="24"/>
              </w:rPr>
            </w:pPr>
            <w:r>
              <w:rPr>
                <w:rFonts w:hint="eastAsia" w:cs="Times New Roman"/>
                <w:kern w:val="2"/>
                <w:szCs w:val="24"/>
              </w:rPr>
              <w:t>根据《内蒙古自治区生态环境准入清单（</w:t>
            </w:r>
            <w:r>
              <w:rPr>
                <w:rFonts w:cs="Times New Roman"/>
                <w:kern w:val="2"/>
                <w:szCs w:val="24"/>
              </w:rPr>
              <w:t>2020</w:t>
            </w:r>
            <w:r>
              <w:rPr>
                <w:rFonts w:hint="eastAsia" w:cs="Times New Roman"/>
                <w:kern w:val="2"/>
                <w:szCs w:val="24"/>
              </w:rPr>
              <w:t>年</w:t>
            </w:r>
            <w:r>
              <w:rPr>
                <w:rFonts w:cs="Times New Roman"/>
                <w:kern w:val="2"/>
                <w:szCs w:val="24"/>
              </w:rPr>
              <w:t>12</w:t>
            </w:r>
            <w:r>
              <w:rPr>
                <w:rFonts w:hint="eastAsia" w:cs="Times New Roman"/>
                <w:kern w:val="2"/>
                <w:szCs w:val="24"/>
              </w:rPr>
              <w:t>月）》中巴彦淖尔市五原县生态环境准入清单，项目位于五原县城内，属于重点管控单元（环境管控单元编码：</w:t>
            </w:r>
            <w:r>
              <w:rPr>
                <w:rFonts w:cs="Times New Roman"/>
                <w:kern w:val="2"/>
                <w:szCs w:val="24"/>
              </w:rPr>
              <w:t>ZH15082120002</w:t>
            </w:r>
            <w:r>
              <w:rPr>
                <w:rFonts w:hint="eastAsia" w:cs="Times New Roman"/>
                <w:kern w:val="2"/>
                <w:szCs w:val="24"/>
              </w:rPr>
              <w:t>），管控要求对比分析如下：</w:t>
            </w:r>
          </w:p>
          <w:p>
            <w:pPr>
              <w:widowControl w:val="0"/>
              <w:tabs>
                <w:tab w:val="left" w:pos="360"/>
              </w:tabs>
              <w:spacing w:before="156" w:beforeLines="50" w:line="240" w:lineRule="auto"/>
              <w:ind w:firstLine="0" w:firstLineChars="0"/>
              <w:jc w:val="center"/>
              <w:rPr>
                <w:rFonts w:cs="Times New Roman"/>
                <w:b/>
                <w:bCs/>
                <w:kern w:val="2"/>
                <w:sz w:val="21"/>
                <w:szCs w:val="21"/>
                <w:highlight w:val="yellow"/>
              </w:rPr>
            </w:pPr>
            <w:r>
              <w:rPr>
                <w:rFonts w:hint="eastAsia" w:cs="Times New Roman"/>
                <w:b/>
                <w:bCs/>
                <w:kern w:val="2"/>
                <w:sz w:val="21"/>
                <w:szCs w:val="21"/>
                <w:highlight w:val="yellow"/>
              </w:rPr>
              <w:t>表</w:t>
            </w:r>
            <w:r>
              <w:rPr>
                <w:rFonts w:cs="Times New Roman"/>
                <w:b/>
                <w:bCs/>
                <w:kern w:val="2"/>
                <w:sz w:val="21"/>
                <w:szCs w:val="21"/>
                <w:highlight w:val="yellow"/>
              </w:rPr>
              <w:t xml:space="preserve">1-1  </w:t>
            </w:r>
            <w:r>
              <w:rPr>
                <w:rFonts w:hint="eastAsia" w:cs="Times New Roman"/>
                <w:b/>
                <w:bCs/>
                <w:kern w:val="2"/>
                <w:sz w:val="21"/>
                <w:szCs w:val="21"/>
                <w:highlight w:val="yellow"/>
              </w:rPr>
              <w:t>本项目与五原县生态环境准入清单符合性分析</w:t>
            </w:r>
          </w:p>
          <w:tbl>
            <w:tblPr>
              <w:tblStyle w:val="22"/>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65"/>
              <w:gridCol w:w="425"/>
              <w:gridCol w:w="426"/>
              <w:gridCol w:w="567"/>
              <w:gridCol w:w="2693"/>
              <w:gridCol w:w="1626"/>
              <w:gridCol w:w="42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2041" w:hRule="atLeast"/>
                <w:jc w:val="center"/>
              </w:trPr>
              <w:tc>
                <w:tcPr>
                  <w:tcW w:w="565" w:type="dxa"/>
                  <w:vAlign w:val="center"/>
                </w:tcPr>
                <w:p>
                  <w:pPr>
                    <w:pStyle w:val="33"/>
                    <w:rPr>
                      <w:b/>
                      <w:bCs/>
                    </w:rPr>
                  </w:pPr>
                  <w:r>
                    <w:rPr>
                      <w:rFonts w:hint="eastAsia"/>
                      <w:b/>
                      <w:bCs/>
                    </w:rPr>
                    <w:t>环境管控单元编码</w:t>
                  </w:r>
                </w:p>
              </w:tc>
              <w:tc>
                <w:tcPr>
                  <w:tcW w:w="851" w:type="dxa"/>
                  <w:gridSpan w:val="2"/>
                  <w:vAlign w:val="center"/>
                </w:tcPr>
                <w:p>
                  <w:pPr>
                    <w:pStyle w:val="33"/>
                    <w:rPr>
                      <w:b/>
                      <w:bCs/>
                    </w:rPr>
                  </w:pPr>
                  <w:r>
                    <w:rPr>
                      <w:rFonts w:hint="eastAsia"/>
                      <w:b/>
                      <w:bCs/>
                    </w:rPr>
                    <w:t>环境管控单元名称</w:t>
                  </w:r>
                </w:p>
              </w:tc>
              <w:tc>
                <w:tcPr>
                  <w:tcW w:w="567" w:type="dxa"/>
                  <w:vAlign w:val="center"/>
                </w:tcPr>
                <w:p>
                  <w:pPr>
                    <w:pStyle w:val="33"/>
                    <w:rPr>
                      <w:b/>
                      <w:bCs/>
                    </w:rPr>
                  </w:pPr>
                  <w:r>
                    <w:rPr>
                      <w:rFonts w:hint="eastAsia"/>
                      <w:b/>
                      <w:bCs/>
                    </w:rPr>
                    <w:t>管控单元类别</w:t>
                  </w:r>
                </w:p>
              </w:tc>
              <w:tc>
                <w:tcPr>
                  <w:tcW w:w="2693" w:type="dxa"/>
                  <w:vAlign w:val="center"/>
                </w:tcPr>
                <w:p>
                  <w:pPr>
                    <w:pStyle w:val="33"/>
                    <w:rPr>
                      <w:b/>
                      <w:bCs/>
                    </w:rPr>
                  </w:pPr>
                  <w:r>
                    <w:rPr>
                      <w:rFonts w:hint="eastAsia"/>
                      <w:b/>
                      <w:bCs/>
                    </w:rPr>
                    <w:t>管控要求</w:t>
                  </w:r>
                </w:p>
              </w:tc>
              <w:tc>
                <w:tcPr>
                  <w:tcW w:w="1626" w:type="dxa"/>
                  <w:vAlign w:val="center"/>
                </w:tcPr>
                <w:p>
                  <w:pPr>
                    <w:pStyle w:val="33"/>
                    <w:rPr>
                      <w:b/>
                      <w:bCs/>
                    </w:rPr>
                  </w:pPr>
                  <w:r>
                    <w:rPr>
                      <w:rFonts w:hint="eastAsia"/>
                      <w:b/>
                      <w:bCs/>
                    </w:rPr>
                    <w:t>本项目建设</w:t>
                  </w:r>
                </w:p>
              </w:tc>
              <w:tc>
                <w:tcPr>
                  <w:tcW w:w="427" w:type="dxa"/>
                  <w:vAlign w:val="center"/>
                </w:tcPr>
                <w:p>
                  <w:pPr>
                    <w:pStyle w:val="33"/>
                    <w:rPr>
                      <w:b/>
                      <w:bCs/>
                    </w:rPr>
                  </w:pPr>
                  <w:r>
                    <w:rPr>
                      <w:rFonts w:hint="eastAsia"/>
                      <w:b/>
                      <w:bCs/>
                    </w:rPr>
                    <w:t>符合性分析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5" w:hRule="atLeast"/>
                <w:jc w:val="center"/>
              </w:trPr>
              <w:tc>
                <w:tcPr>
                  <w:tcW w:w="565" w:type="dxa"/>
                  <w:vMerge w:val="restart"/>
                  <w:vAlign w:val="center"/>
                </w:tcPr>
                <w:p>
                  <w:pPr>
                    <w:pStyle w:val="33"/>
                  </w:pPr>
                  <w:r>
                    <w:t>ZH15082120002</w:t>
                  </w:r>
                </w:p>
              </w:tc>
              <w:tc>
                <w:tcPr>
                  <w:tcW w:w="425" w:type="dxa"/>
                  <w:vMerge w:val="restart"/>
                  <w:vAlign w:val="center"/>
                </w:tcPr>
                <w:p>
                  <w:pPr>
                    <w:pStyle w:val="33"/>
                  </w:pPr>
                  <w:r>
                    <w:rPr>
                      <w:rFonts w:hint="eastAsia"/>
                    </w:rPr>
                    <w:t>五原县城市空间</w:t>
                  </w:r>
                </w:p>
              </w:tc>
              <w:tc>
                <w:tcPr>
                  <w:tcW w:w="426" w:type="dxa"/>
                  <w:vMerge w:val="restart"/>
                  <w:vAlign w:val="center"/>
                </w:tcPr>
                <w:p>
                  <w:pPr>
                    <w:pStyle w:val="33"/>
                  </w:pPr>
                  <w:r>
                    <w:rPr>
                      <w:rFonts w:hint="eastAsia"/>
                    </w:rPr>
                    <w:t>重点管控单元</w:t>
                  </w:r>
                </w:p>
              </w:tc>
              <w:tc>
                <w:tcPr>
                  <w:tcW w:w="567" w:type="dxa"/>
                  <w:vAlign w:val="center"/>
                </w:tcPr>
                <w:p>
                  <w:pPr>
                    <w:pStyle w:val="33"/>
                  </w:pPr>
                  <w:r>
                    <w:rPr>
                      <w:rFonts w:hint="eastAsia"/>
                    </w:rPr>
                    <w:t>空间布局约束</w:t>
                  </w:r>
                </w:p>
              </w:tc>
              <w:tc>
                <w:tcPr>
                  <w:tcW w:w="2693" w:type="dxa"/>
                  <w:vAlign w:val="center"/>
                </w:tcPr>
                <w:p>
                  <w:pPr>
                    <w:pStyle w:val="33"/>
                  </w:pPr>
                  <w:r>
                    <w:rPr>
                      <w:rFonts w:hint="eastAsia"/>
                    </w:rPr>
                    <w:t>1、执行全区总体准入要求中第一条关于空间布局约束的准入要求。</w:t>
                  </w:r>
                </w:p>
                <w:p>
                  <w:pPr>
                    <w:pStyle w:val="33"/>
                  </w:pPr>
                  <w:r>
                    <w:rPr>
                      <w:rFonts w:hint="eastAsia"/>
                    </w:rPr>
                    <w:t>2、禁止在城市主导风向上风向新建涉气重污染项目，形成有利于大气污染物扩散的城市空间布局。</w:t>
                  </w:r>
                </w:p>
                <w:p>
                  <w:pPr>
                    <w:pStyle w:val="33"/>
                  </w:pPr>
                  <w:r>
                    <w:rPr>
                      <w:rFonts w:hint="eastAsia"/>
                    </w:rPr>
                    <w:t>3、旗县（市、区）及以上城市建成区基本淘汰每小时10 蒸吨及以下燃煤锅炉及茶水炉、经营性炉灶、储粮烘干设备等燃煤设施，不再新建每小时35 蒸吨以下的燃煤锅炉，其他地区不再新建每小时10蒸吨以下的燃煤锅炉。</w:t>
                  </w:r>
                </w:p>
                <w:p>
                  <w:pPr>
                    <w:pStyle w:val="33"/>
                  </w:pPr>
                  <w:r>
                    <w:rPr>
                      <w:rFonts w:hint="eastAsia"/>
                    </w:rPr>
                    <w:t>4、推进城市建成区重污染企业退城入园，对位于城市建成区范围内的钢铁、石化、化工、有色、冶金、水泥、制药等污染严重企业，限期完成搬迁、改造，逾期不退城的依法予以停产。</w:t>
                  </w:r>
                </w:p>
                <w:p>
                  <w:pPr>
                    <w:pStyle w:val="33"/>
                  </w:pPr>
                  <w:r>
                    <w:t>5</w:t>
                  </w:r>
                  <w:r>
                    <w:rPr>
                      <w:rFonts w:hint="eastAsia"/>
                    </w:rPr>
                    <w:t>、新建化工项目必须符合规划环评及审查意见相关要求，必须与居民区或城市规划的居住用地保持足够的缓冲距离。</w:t>
                  </w:r>
                </w:p>
              </w:tc>
              <w:tc>
                <w:tcPr>
                  <w:tcW w:w="1626" w:type="dxa"/>
                  <w:vAlign w:val="center"/>
                </w:tcPr>
                <w:p>
                  <w:pPr>
                    <w:pStyle w:val="33"/>
                  </w:pPr>
                  <w:r>
                    <w:t>1.</w:t>
                  </w:r>
                  <w:r>
                    <w:rPr>
                      <w:rFonts w:hint="eastAsia"/>
                    </w:rPr>
                    <w:t>本项目位于巴彦淖尔市五原县同泰玻璃厂北厂区，符合全自治区总体准入要求第一条关于空间布局约束的准入要求。</w:t>
                  </w:r>
                </w:p>
                <w:p>
                  <w:pPr>
                    <w:pStyle w:val="33"/>
                  </w:pPr>
                  <w:r>
                    <w:t>2.</w:t>
                  </w:r>
                  <w:r>
                    <w:rPr>
                      <w:rFonts w:hint="eastAsia"/>
                    </w:rPr>
                    <w:t>本项目为废弃资源综合利用业，排放的废气主要是颗粒物，不含有毒有害重金属物质，在严格污染防治措施的前提下，对周边环境影响较小，且本项目不属于国家明令淘汰的落后产能，符合国家产业政策的项目。</w:t>
                  </w:r>
                </w:p>
              </w:tc>
              <w:tc>
                <w:tcPr>
                  <w:tcW w:w="427" w:type="dxa"/>
                  <w:vAlign w:val="center"/>
                </w:tcPr>
                <w:p>
                  <w:pPr>
                    <w:pStyle w:val="33"/>
                  </w:pPr>
                  <w:r>
                    <w:rPr>
                      <w:rFonts w:hint="eastAsia"/>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565" w:type="dxa"/>
                  <w:vMerge w:val="continue"/>
                  <w:vAlign w:val="center"/>
                </w:tcPr>
                <w:p>
                  <w:pPr>
                    <w:pStyle w:val="33"/>
                  </w:pPr>
                </w:p>
              </w:tc>
              <w:tc>
                <w:tcPr>
                  <w:tcW w:w="425" w:type="dxa"/>
                  <w:vMerge w:val="continue"/>
                  <w:vAlign w:val="center"/>
                </w:tcPr>
                <w:p>
                  <w:pPr>
                    <w:pStyle w:val="33"/>
                  </w:pPr>
                </w:p>
              </w:tc>
              <w:tc>
                <w:tcPr>
                  <w:tcW w:w="426" w:type="dxa"/>
                  <w:vMerge w:val="continue"/>
                  <w:vAlign w:val="center"/>
                </w:tcPr>
                <w:p>
                  <w:pPr>
                    <w:pStyle w:val="33"/>
                  </w:pPr>
                </w:p>
              </w:tc>
              <w:tc>
                <w:tcPr>
                  <w:tcW w:w="567" w:type="dxa"/>
                  <w:vAlign w:val="center"/>
                </w:tcPr>
                <w:p>
                  <w:pPr>
                    <w:pStyle w:val="33"/>
                  </w:pPr>
                  <w:r>
                    <w:rPr>
                      <w:rFonts w:hint="eastAsia"/>
                    </w:rPr>
                    <w:t>污染</w:t>
                  </w:r>
                </w:p>
                <w:p>
                  <w:pPr>
                    <w:pStyle w:val="33"/>
                  </w:pPr>
                  <w:r>
                    <w:rPr>
                      <w:rFonts w:hint="eastAsia"/>
                    </w:rPr>
                    <w:t>物排</w:t>
                  </w:r>
                </w:p>
                <w:p>
                  <w:pPr>
                    <w:pStyle w:val="33"/>
                  </w:pPr>
                  <w:r>
                    <w:rPr>
                      <w:rFonts w:hint="eastAsia"/>
                    </w:rPr>
                    <w:t>放管</w:t>
                  </w:r>
                </w:p>
                <w:p>
                  <w:pPr>
                    <w:pStyle w:val="33"/>
                  </w:pPr>
                  <w:r>
                    <w:rPr>
                      <w:rFonts w:hint="eastAsia"/>
                    </w:rPr>
                    <w:t>控</w:t>
                  </w:r>
                </w:p>
              </w:tc>
              <w:tc>
                <w:tcPr>
                  <w:tcW w:w="2693" w:type="dxa"/>
                  <w:vAlign w:val="center"/>
                </w:tcPr>
                <w:p>
                  <w:pPr>
                    <w:pStyle w:val="33"/>
                  </w:pPr>
                  <w:r>
                    <w:t>1</w:t>
                  </w:r>
                  <w:r>
                    <w:rPr>
                      <w:rFonts w:hint="eastAsia"/>
                    </w:rPr>
                    <w:t>、执行全区总体准入要求中第二条关于污染物排放管控的准入要求。</w:t>
                  </w:r>
                </w:p>
                <w:p>
                  <w:pPr>
                    <w:pStyle w:val="33"/>
                  </w:pPr>
                  <w:r>
                    <w:t>2</w:t>
                  </w:r>
                  <w:r>
                    <w:rPr>
                      <w:rFonts w:hint="eastAsia"/>
                    </w:rPr>
                    <w:t>、新建排放重金属污染物的建设项目全面执行重金属重点污染物特别排放限值。</w:t>
                  </w:r>
                </w:p>
              </w:tc>
              <w:tc>
                <w:tcPr>
                  <w:tcW w:w="1626" w:type="dxa"/>
                  <w:vAlign w:val="center"/>
                </w:tcPr>
                <w:p>
                  <w:pPr>
                    <w:pStyle w:val="33"/>
                  </w:pPr>
                  <w:r>
                    <w:rPr>
                      <w:rFonts w:hint="eastAsia"/>
                    </w:rPr>
                    <w:t xml:space="preserve">项目不涉及重金属污染物 </w:t>
                  </w:r>
                </w:p>
              </w:tc>
              <w:tc>
                <w:tcPr>
                  <w:tcW w:w="427" w:type="dxa"/>
                  <w:vAlign w:val="center"/>
                </w:tcPr>
                <w:p>
                  <w:pPr>
                    <w:pStyle w:val="33"/>
                  </w:pPr>
                  <w:r>
                    <w:rPr>
                      <w:rFonts w:hint="eastAsia"/>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07" w:hRule="atLeast"/>
                <w:jc w:val="center"/>
              </w:trPr>
              <w:tc>
                <w:tcPr>
                  <w:tcW w:w="565" w:type="dxa"/>
                  <w:vMerge w:val="continue"/>
                  <w:vAlign w:val="center"/>
                </w:tcPr>
                <w:p>
                  <w:pPr>
                    <w:pStyle w:val="33"/>
                  </w:pPr>
                </w:p>
              </w:tc>
              <w:tc>
                <w:tcPr>
                  <w:tcW w:w="425" w:type="dxa"/>
                  <w:vMerge w:val="continue"/>
                  <w:vAlign w:val="center"/>
                </w:tcPr>
                <w:p>
                  <w:pPr>
                    <w:pStyle w:val="33"/>
                  </w:pPr>
                </w:p>
              </w:tc>
              <w:tc>
                <w:tcPr>
                  <w:tcW w:w="426" w:type="dxa"/>
                  <w:vMerge w:val="continue"/>
                  <w:vAlign w:val="center"/>
                </w:tcPr>
                <w:p>
                  <w:pPr>
                    <w:pStyle w:val="33"/>
                  </w:pPr>
                </w:p>
              </w:tc>
              <w:tc>
                <w:tcPr>
                  <w:tcW w:w="567" w:type="dxa"/>
                  <w:vAlign w:val="center"/>
                </w:tcPr>
                <w:p>
                  <w:pPr>
                    <w:pStyle w:val="33"/>
                  </w:pPr>
                  <w:r>
                    <w:rPr>
                      <w:rFonts w:hint="eastAsia"/>
                    </w:rPr>
                    <w:t>环境</w:t>
                  </w:r>
                </w:p>
                <w:p>
                  <w:pPr>
                    <w:pStyle w:val="33"/>
                  </w:pPr>
                  <w:r>
                    <w:rPr>
                      <w:rFonts w:hint="eastAsia"/>
                    </w:rPr>
                    <w:t>风险</w:t>
                  </w:r>
                </w:p>
                <w:p>
                  <w:pPr>
                    <w:pStyle w:val="33"/>
                  </w:pPr>
                  <w:r>
                    <w:rPr>
                      <w:rFonts w:hint="eastAsia"/>
                    </w:rPr>
                    <w:t>防控</w:t>
                  </w:r>
                </w:p>
              </w:tc>
              <w:tc>
                <w:tcPr>
                  <w:tcW w:w="2693" w:type="dxa"/>
                  <w:vAlign w:val="center"/>
                </w:tcPr>
                <w:p>
                  <w:pPr>
                    <w:pStyle w:val="33"/>
                  </w:pPr>
                  <w:r>
                    <w:t>1</w:t>
                  </w:r>
                  <w:r>
                    <w:rPr>
                      <w:rFonts w:hint="eastAsia"/>
                    </w:rPr>
                    <w:t>、执行全区总体准入要求中第三条关于环境风险防控的准入要求。</w:t>
                  </w:r>
                </w:p>
                <w:p>
                  <w:pPr>
                    <w:pStyle w:val="33"/>
                  </w:pPr>
                  <w:r>
                    <w:t>2</w:t>
                  </w:r>
                  <w:r>
                    <w:rPr>
                      <w:rFonts w:hint="eastAsia"/>
                    </w:rPr>
                    <w:t>、严格高能耗、高物耗和产能过剩、低水平重复建设项目，以及涉及其他具有重大环境风险建设项目的环评审批。</w:t>
                  </w:r>
                </w:p>
              </w:tc>
              <w:tc>
                <w:tcPr>
                  <w:tcW w:w="1626" w:type="dxa"/>
                  <w:vAlign w:val="center"/>
                </w:tcPr>
                <w:p>
                  <w:pPr>
                    <w:pStyle w:val="33"/>
                  </w:pPr>
                  <w:r>
                    <w:rPr>
                      <w:rFonts w:hint="eastAsia"/>
                    </w:rPr>
                    <w:t>本项目属于废旧资源综合利用项目，环境风险较小。</w:t>
                  </w:r>
                </w:p>
              </w:tc>
              <w:tc>
                <w:tcPr>
                  <w:tcW w:w="427" w:type="dxa"/>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07" w:hRule="atLeast"/>
                <w:jc w:val="center"/>
              </w:trPr>
              <w:tc>
                <w:tcPr>
                  <w:tcW w:w="565" w:type="dxa"/>
                  <w:vMerge w:val="continue"/>
                  <w:vAlign w:val="center"/>
                </w:tcPr>
                <w:p>
                  <w:pPr>
                    <w:pStyle w:val="33"/>
                  </w:pPr>
                </w:p>
              </w:tc>
              <w:tc>
                <w:tcPr>
                  <w:tcW w:w="425" w:type="dxa"/>
                  <w:vMerge w:val="continue"/>
                  <w:vAlign w:val="center"/>
                </w:tcPr>
                <w:p>
                  <w:pPr>
                    <w:pStyle w:val="33"/>
                  </w:pPr>
                </w:p>
              </w:tc>
              <w:tc>
                <w:tcPr>
                  <w:tcW w:w="426" w:type="dxa"/>
                  <w:vMerge w:val="continue"/>
                  <w:vAlign w:val="center"/>
                </w:tcPr>
                <w:p>
                  <w:pPr>
                    <w:pStyle w:val="33"/>
                  </w:pPr>
                </w:p>
              </w:tc>
              <w:tc>
                <w:tcPr>
                  <w:tcW w:w="567" w:type="dxa"/>
                  <w:vAlign w:val="center"/>
                </w:tcPr>
                <w:p>
                  <w:pPr>
                    <w:pStyle w:val="33"/>
                  </w:pPr>
                  <w:r>
                    <w:rPr>
                      <w:rFonts w:hint="eastAsia"/>
                    </w:rPr>
                    <w:t>资源</w:t>
                  </w:r>
                </w:p>
                <w:p>
                  <w:pPr>
                    <w:pStyle w:val="33"/>
                  </w:pPr>
                  <w:r>
                    <w:rPr>
                      <w:rFonts w:hint="eastAsia"/>
                    </w:rPr>
                    <w:t>利用</w:t>
                  </w:r>
                </w:p>
                <w:p>
                  <w:pPr>
                    <w:pStyle w:val="33"/>
                  </w:pPr>
                  <w:r>
                    <w:rPr>
                      <w:rFonts w:hint="eastAsia"/>
                    </w:rPr>
                    <w:t>效率</w:t>
                  </w:r>
                </w:p>
                <w:p>
                  <w:pPr>
                    <w:pStyle w:val="33"/>
                  </w:pPr>
                  <w:r>
                    <w:rPr>
                      <w:rFonts w:hint="eastAsia"/>
                    </w:rPr>
                    <w:t>要求</w:t>
                  </w:r>
                </w:p>
              </w:tc>
              <w:tc>
                <w:tcPr>
                  <w:tcW w:w="2693" w:type="dxa"/>
                  <w:vAlign w:val="center"/>
                </w:tcPr>
                <w:p>
                  <w:pPr>
                    <w:pStyle w:val="33"/>
                  </w:pPr>
                  <w:r>
                    <w:t>1</w:t>
                  </w:r>
                  <w:r>
                    <w:rPr>
                      <w:rFonts w:hint="eastAsia"/>
                    </w:rPr>
                    <w:t>、严控地下水超采。严格执行《地下水超采区和重要地下水水源地水位与水量双控方案》，落实压减灌溉面积、节水改造、水源置换及监测等各项措施，超采区内不予审批工农业生产及服务业新增取用地下水。</w:t>
                  </w:r>
                </w:p>
                <w:p>
                  <w:pPr>
                    <w:pStyle w:val="33"/>
                  </w:pPr>
                  <w:r>
                    <w:t>2</w:t>
                  </w:r>
                  <w:r>
                    <w:rPr>
                      <w:rFonts w:hint="eastAsia"/>
                    </w:rPr>
                    <w:t>、加强超采区压采和替代水源建设，确保按治理方案落实压减灌溉面积、节水改造、水源置换及监测等各项措施。</w:t>
                  </w:r>
                </w:p>
                <w:p>
                  <w:pPr>
                    <w:pStyle w:val="33"/>
                  </w:pPr>
                  <w:r>
                    <w:t>3</w:t>
                  </w:r>
                  <w:r>
                    <w:rPr>
                      <w:rFonts w:hint="eastAsia"/>
                    </w:rPr>
                    <w:t>、实行地下水“五控”制度。“五控”即严格管控地下水开发利用总量、水位、用途、水质及机电井数量。</w:t>
                  </w:r>
                </w:p>
              </w:tc>
              <w:tc>
                <w:tcPr>
                  <w:tcW w:w="1626" w:type="dxa"/>
                  <w:vAlign w:val="center"/>
                </w:tcPr>
                <w:p>
                  <w:pPr>
                    <w:pStyle w:val="33"/>
                  </w:pPr>
                  <w:r>
                    <w:rPr>
                      <w:rFonts w:hint="eastAsia"/>
                    </w:rPr>
                    <w:t>本项目属于废旧资源综合利用项目，对地下水影响较小。</w:t>
                  </w:r>
                </w:p>
                <w:p>
                  <w:pPr>
                    <w:pStyle w:val="33"/>
                  </w:pPr>
                </w:p>
              </w:tc>
              <w:tc>
                <w:tcPr>
                  <w:tcW w:w="427" w:type="dxa"/>
                  <w:vAlign w:val="center"/>
                </w:tcPr>
                <w:p>
                  <w:pPr>
                    <w:pStyle w:val="33"/>
                  </w:pPr>
                </w:p>
              </w:tc>
            </w:tr>
          </w:tbl>
          <w:p>
            <w:pPr>
              <w:widowControl w:val="0"/>
              <w:adjustRightInd w:val="0"/>
              <w:snapToGrid w:val="0"/>
              <w:ind w:firstLine="482"/>
              <w:rPr>
                <w:rFonts w:cs="Times New Roman"/>
                <w:b/>
                <w:bCs/>
                <w:kern w:val="2"/>
                <w:szCs w:val="24"/>
              </w:rPr>
            </w:pPr>
            <w:r>
              <w:rPr>
                <w:rFonts w:hint="eastAsia" w:cs="Times New Roman"/>
                <w:b/>
                <w:bCs/>
                <w:kern w:val="2"/>
                <w:szCs w:val="24"/>
              </w:rPr>
              <w:t>环境准入负面清单</w:t>
            </w:r>
          </w:p>
          <w:p>
            <w:pPr>
              <w:pStyle w:val="13"/>
              <w:ind w:firstLine="480"/>
              <w:rPr>
                <w:rFonts w:cs="Times New Roman"/>
                <w:color w:val="FF0000"/>
                <w:kern w:val="2"/>
                <w:szCs w:val="24"/>
              </w:rPr>
            </w:pPr>
            <w:r>
              <w:rPr>
                <w:rFonts w:hint="eastAsia" w:cs="Times New Roman"/>
                <w:color w:val="FF0000"/>
                <w:kern w:val="2"/>
                <w:szCs w:val="24"/>
              </w:rPr>
              <w:t>查阅相关资料，目前项目区域暂无明确的环境准入负面清单，根据《产业结构调整目录（2019年本）》（国家发改委令2019年第29号）符合国家产业政策，项目为鼓励类项目。根据《内蒙古自治区人民政府关于印发自治区国家重点生态功能区产业准入负面清单(试行)的通知》(内政发［2018］11号)，本项目建设所在地</w:t>
            </w:r>
            <w:r>
              <w:rPr>
                <w:rFonts w:hint="eastAsia"/>
                <w:color w:val="FF0000"/>
              </w:rPr>
              <w:t>不属于重点生态功能区</w:t>
            </w:r>
            <w:r>
              <w:rPr>
                <w:rFonts w:hint="eastAsia" w:cs="Times New Roman"/>
                <w:color w:val="FF0000"/>
                <w:kern w:val="2"/>
                <w:szCs w:val="24"/>
              </w:rPr>
              <w:t>。</w:t>
            </w:r>
          </w:p>
          <w:bookmarkEnd w:id="5"/>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tc>
      </w:tr>
    </w:tbl>
    <w:p>
      <w:pPr>
        <w:pStyle w:val="2"/>
        <w:ind w:firstLine="640"/>
        <w:rPr>
          <w:snapToGrid w:val="0"/>
        </w:rPr>
        <w:sectPr>
          <w:pgSz w:w="11906" w:h="16838"/>
          <w:pgMar w:top="1440" w:right="1800" w:bottom="1440" w:left="1800" w:header="992" w:footer="992" w:gutter="0"/>
          <w:pgNumType w:start="1"/>
          <w:cols w:space="425" w:num="1"/>
          <w:docGrid w:type="lines" w:linePitch="312" w:charSpace="0"/>
        </w:sectPr>
      </w:pPr>
    </w:p>
    <w:p>
      <w:pPr>
        <w:pStyle w:val="2"/>
        <w:ind w:firstLine="640"/>
        <w:rPr>
          <w:snapToGrid w:val="0"/>
        </w:rPr>
      </w:pPr>
      <w:r>
        <w:rPr>
          <w:rFonts w:hint="eastAsia"/>
          <w:snapToGrid w:val="0"/>
        </w:rPr>
        <w:t>二、建设项目工程分析</w:t>
      </w:r>
    </w:p>
    <w:tbl>
      <w:tblPr>
        <w:tblStyle w:val="22"/>
        <w:tblW w:w="920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866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192" w:hRule="atLeast"/>
          <w:jc w:val="center"/>
        </w:trPr>
        <w:tc>
          <w:tcPr>
            <w:tcW w:w="699" w:type="dxa"/>
            <w:vAlign w:val="center"/>
          </w:tcPr>
          <w:p>
            <w:pPr>
              <w:pStyle w:val="33"/>
              <w:rPr>
                <w:b/>
                <w:bCs/>
              </w:rPr>
            </w:pPr>
            <w:r>
              <w:rPr>
                <w:rFonts w:hint="eastAsia"/>
                <w:b/>
                <w:bCs/>
                <w:sz w:val="24"/>
                <w:szCs w:val="32"/>
              </w:rPr>
              <w:t>建设内容</w:t>
            </w:r>
          </w:p>
        </w:tc>
        <w:tc>
          <w:tcPr>
            <w:tcW w:w="8505" w:type="dxa"/>
          </w:tcPr>
          <w:p>
            <w:pPr>
              <w:ind w:firstLine="482"/>
              <w:rPr>
                <w:b/>
                <w:bCs/>
              </w:rPr>
            </w:pPr>
            <w:r>
              <w:rPr>
                <w:rFonts w:hint="eastAsia"/>
                <w:b/>
                <w:bCs/>
              </w:rPr>
              <w:t>1、</w:t>
            </w:r>
            <w:r>
              <w:rPr>
                <w:b/>
                <w:bCs/>
              </w:rPr>
              <w:t>项目简介</w:t>
            </w:r>
          </w:p>
          <w:p>
            <w:pPr>
              <w:ind w:firstLine="482"/>
              <w:rPr>
                <w:b/>
                <w:bCs/>
              </w:rPr>
            </w:pPr>
            <w:r>
              <w:rPr>
                <w:rFonts w:hint="eastAsia"/>
                <w:b/>
                <w:bCs/>
              </w:rPr>
              <w:t>项目由来：</w:t>
            </w:r>
          </w:p>
          <w:p>
            <w:pPr>
              <w:ind w:firstLine="480"/>
            </w:pPr>
            <w:r>
              <w:rPr>
                <w:rFonts w:hint="eastAsia"/>
              </w:rPr>
              <w:t>2</w:t>
            </w:r>
            <w:r>
              <w:t>016</w:t>
            </w:r>
            <w:r>
              <w:rPr>
                <w:rFonts w:hint="eastAsia"/>
              </w:rPr>
              <w:t>年4月1</w:t>
            </w:r>
            <w:r>
              <w:t>5</w:t>
            </w:r>
            <w:r>
              <w:rPr>
                <w:rFonts w:hint="eastAsia"/>
              </w:rPr>
              <w:t>日，五原县人民政府县长办公会议纪要《关于实施城郊结合部综合整治有关事宜的会议纪要》会议指出，近年来，我县城乡面貌得到有效改善，但城郊结合部公共基础建设相对滞后，居住环境“脏乱差”问题突出，给居民正常生活带来了诸多不便，实施城郊结合部综合整治工程，对于进一步提高城镇化发展水平、改善城镇人民环境、提高群众出行条件具有重要意义。</w:t>
            </w:r>
          </w:p>
          <w:p>
            <w:pPr>
              <w:ind w:firstLine="480"/>
            </w:pPr>
            <w:r>
              <w:rPr>
                <w:rFonts w:hint="eastAsia"/>
              </w:rPr>
              <w:t>会议议定：原则同意五原县勇胜再生资源回收利用有限责任公司在内蒙古河套酒业同泰玻璃制品有限公司后院实施再生资源回收利用市场建设项目  再生资源收购市场建设工程，工程占地5</w:t>
            </w:r>
            <w:r>
              <w:t>6.05</w:t>
            </w:r>
            <w:r>
              <w:rPr>
                <w:rFonts w:hint="eastAsia"/>
              </w:rPr>
              <w:t>亩，设立2</w:t>
            </w:r>
            <w:r>
              <w:t>5</w:t>
            </w:r>
            <w:r>
              <w:rPr>
                <w:rFonts w:hint="eastAsia"/>
              </w:rPr>
              <w:t>个收购点，公安局要按照划行归市要求对城区再生资源收购市场进行全面清理，并全部安排到新建再生资源收购市场，由五原县勇胜再生资源回收利用有限公司统一管理。</w:t>
            </w:r>
          </w:p>
          <w:p>
            <w:pPr>
              <w:ind w:firstLine="480"/>
            </w:pPr>
            <w:r>
              <w:rPr>
                <w:rFonts w:hint="eastAsia"/>
              </w:rPr>
              <w:t>根据《建设项目环境影响评价分类管理名录》（2021 版），本项目类别属于“三十九、</w:t>
            </w:r>
            <w:r>
              <w:rPr>
                <w:rFonts w:hint="eastAsia"/>
                <w:vanish/>
              </w:rPr>
              <w:t>废</w:t>
            </w:r>
            <w:r>
              <w:rPr>
                <w:rFonts w:hint="eastAsia"/>
              </w:rPr>
              <w:t>弃资源综合利用4</w:t>
            </w:r>
            <w:r>
              <w:t>2</w:t>
            </w:r>
            <w:r>
              <w:rPr>
                <w:rFonts w:hint="eastAsia"/>
              </w:rPr>
              <w:t>”、“废铁、废塑料”类，应编制环境影响报告表，因此，五原县勇胜再生资源回收利用有限责任公司委托我公司编制本环评报告。</w:t>
            </w:r>
          </w:p>
          <w:p>
            <w:pPr>
              <w:ind w:firstLine="482"/>
            </w:pPr>
            <w:r>
              <w:rPr>
                <w:b/>
                <w:bCs/>
              </w:rPr>
              <w:t>项目名称：</w:t>
            </w:r>
            <w:r>
              <w:rPr>
                <w:rFonts w:hint="eastAsia"/>
              </w:rPr>
              <w:t>五原县勇胜再生资源回收利用市场建设项目</w:t>
            </w:r>
          </w:p>
          <w:p>
            <w:pPr>
              <w:ind w:firstLine="482"/>
            </w:pPr>
            <w:r>
              <w:rPr>
                <w:b/>
                <w:bCs/>
              </w:rPr>
              <w:t>建设地点：</w:t>
            </w:r>
            <w:r>
              <w:rPr>
                <w:rFonts w:hint="eastAsia"/>
              </w:rPr>
              <w:t>巴彦淖尔市五原县同泰玻璃厂北厂区内。</w:t>
            </w:r>
          </w:p>
          <w:p>
            <w:pPr>
              <w:ind w:firstLine="482"/>
            </w:pPr>
            <w:r>
              <w:rPr>
                <w:b/>
                <w:bCs/>
              </w:rPr>
              <w:t>建设性质：</w:t>
            </w:r>
            <w:r>
              <w:rPr>
                <w:rFonts w:hint="eastAsia"/>
              </w:rPr>
              <w:t>新建</w:t>
            </w:r>
          </w:p>
          <w:p>
            <w:pPr>
              <w:ind w:firstLine="482"/>
            </w:pPr>
            <w:r>
              <w:rPr>
                <w:b/>
                <w:bCs/>
              </w:rPr>
              <w:t>建设单位：</w:t>
            </w:r>
            <w:r>
              <w:rPr>
                <w:rFonts w:hint="eastAsia"/>
              </w:rPr>
              <w:t>五原县勇胜再生资源回收利用有限责任公司</w:t>
            </w:r>
          </w:p>
          <w:p>
            <w:pPr>
              <w:ind w:firstLine="482"/>
            </w:pPr>
            <w:r>
              <w:rPr>
                <w:b/>
                <w:bCs/>
              </w:rPr>
              <w:t>占地面积：</w:t>
            </w:r>
            <w:r>
              <w:t>37366.667 m</w:t>
            </w:r>
            <w:r>
              <w:rPr>
                <w:vertAlign w:val="superscript"/>
              </w:rPr>
              <w:t>2</w:t>
            </w:r>
            <w:r>
              <w:t>（在</w:t>
            </w:r>
            <w:r>
              <w:rPr>
                <w:rFonts w:hint="eastAsia"/>
              </w:rPr>
              <w:t>现有内蒙古河套酒业同泰玻璃制品有限公司厂区后院内</w:t>
            </w:r>
            <w:r>
              <w:t>，不新增占地）</w:t>
            </w:r>
          </w:p>
          <w:p>
            <w:pPr>
              <w:ind w:firstLine="482"/>
            </w:pPr>
            <w:r>
              <w:rPr>
                <w:b/>
                <w:bCs/>
              </w:rPr>
              <w:t>项目投资：</w:t>
            </w:r>
            <w:r>
              <w:t>项目总投资6638万元，其中环保投资89.5万元</w:t>
            </w:r>
            <w:r>
              <w:rPr>
                <w:rFonts w:hint="eastAsia"/>
              </w:rPr>
              <w:t>。</w:t>
            </w:r>
          </w:p>
          <w:p>
            <w:pPr>
              <w:ind w:firstLine="482"/>
              <w:rPr>
                <w:color w:val="FF0000"/>
              </w:rPr>
            </w:pPr>
            <w:r>
              <w:rPr>
                <w:rFonts w:hint="eastAsia"/>
                <w:b/>
                <w:bCs/>
              </w:rPr>
              <w:t>建设内容：</w:t>
            </w:r>
            <w:r>
              <w:rPr>
                <w:rFonts w:hint="eastAsia"/>
              </w:rPr>
              <w:t>再生资源回收分拣总量1</w:t>
            </w:r>
            <w:r>
              <w:t>5</w:t>
            </w:r>
            <w:r>
              <w:rPr>
                <w:rFonts w:hint="eastAsia"/>
              </w:rPr>
              <w:t>万t</w:t>
            </w:r>
            <w:r>
              <w:t>/a</w:t>
            </w:r>
            <w:r>
              <w:rPr>
                <w:rFonts w:hint="eastAsia"/>
              </w:rPr>
              <w:t>，其中废塑料4万t</w:t>
            </w:r>
            <w:r>
              <w:t>/a</w:t>
            </w:r>
            <w:r>
              <w:rPr>
                <w:rFonts w:hint="eastAsia"/>
              </w:rPr>
              <w:t>、废钢铁5万t</w:t>
            </w:r>
            <w:r>
              <w:t>/a</w:t>
            </w:r>
            <w:r>
              <w:rPr>
                <w:rFonts w:hint="eastAsia"/>
              </w:rPr>
              <w:t>、废纸6万t</w:t>
            </w:r>
            <w:r>
              <w:t>/a</w:t>
            </w:r>
            <w:r>
              <w:rPr>
                <w:rFonts w:hint="eastAsia"/>
              </w:rPr>
              <w:t>，</w:t>
            </w:r>
            <w:r>
              <w:rPr>
                <w:rFonts w:hint="eastAsia"/>
                <w:color w:val="FF0000"/>
              </w:rPr>
              <w:t>产出塑料工业基础原料（塑料颗粒）</w:t>
            </w:r>
            <w:r>
              <w:rPr>
                <w:color w:val="FF0000"/>
              </w:rPr>
              <w:t>2</w:t>
            </w:r>
            <w:r>
              <w:rPr>
                <w:rFonts w:hint="eastAsia"/>
                <w:color w:val="FF0000"/>
              </w:rPr>
              <w:t>万t</w:t>
            </w:r>
            <w:r>
              <w:rPr>
                <w:color w:val="FF0000"/>
              </w:rPr>
              <w:t>/a</w:t>
            </w:r>
            <w:r>
              <w:rPr>
                <w:rFonts w:hint="eastAsia"/>
                <w:color w:val="FF0000"/>
              </w:rPr>
              <w:t>和</w:t>
            </w:r>
            <w:r>
              <w:rPr>
                <w:color w:val="FF0000"/>
              </w:rPr>
              <w:t>2</w:t>
            </w:r>
            <w:r>
              <w:rPr>
                <w:rFonts w:hint="eastAsia"/>
                <w:color w:val="FF0000"/>
              </w:rPr>
              <w:t>万吨其他废塑料（废塑料瓶和其他废塑料打包压缩）</w:t>
            </w:r>
            <w:r>
              <w:rPr>
                <w:rFonts w:hint="eastAsia"/>
              </w:rPr>
              <w:t>、再生钢铁工业基础原料（中型）</w:t>
            </w:r>
            <w:r>
              <w:t>5</w:t>
            </w:r>
            <w:r>
              <w:rPr>
                <w:rFonts w:hint="eastAsia"/>
              </w:rPr>
              <w:t>万t</w:t>
            </w:r>
            <w:r>
              <w:t>/a</w:t>
            </w:r>
            <w:r>
              <w:rPr>
                <w:rFonts w:hint="eastAsia"/>
              </w:rPr>
              <w:t>、</w:t>
            </w:r>
            <w:r>
              <w:rPr>
                <w:rFonts w:hint="eastAsia"/>
                <w:color w:val="FF0000"/>
              </w:rPr>
              <w:t>再生纸基础原料</w:t>
            </w:r>
            <w:r>
              <w:rPr>
                <w:color w:val="FF0000"/>
              </w:rPr>
              <w:t>6</w:t>
            </w:r>
            <w:r>
              <w:rPr>
                <w:rFonts w:hint="eastAsia"/>
                <w:color w:val="FF0000"/>
              </w:rPr>
              <w:t>万t</w:t>
            </w:r>
            <w:r>
              <w:rPr>
                <w:color w:val="FF0000"/>
              </w:rPr>
              <w:t>/a</w:t>
            </w:r>
            <w:r>
              <w:rPr>
                <w:rFonts w:hint="eastAsia"/>
              </w:rPr>
              <w:t>，同时收购废骨头及废动物油，回收废电视机</w:t>
            </w:r>
            <w:r>
              <w:t>2000</w:t>
            </w:r>
            <w:r>
              <w:rPr>
                <w:rFonts w:hint="eastAsia"/>
              </w:rPr>
              <w:t>台/年，洗衣机</w:t>
            </w:r>
            <w:r>
              <w:t>2000</w:t>
            </w:r>
            <w:r>
              <w:rPr>
                <w:rFonts w:hint="eastAsia"/>
              </w:rPr>
              <w:t>台/年，旧冰箱</w:t>
            </w:r>
            <w:r>
              <w:t>1000</w:t>
            </w:r>
            <w:r>
              <w:rPr>
                <w:rFonts w:hint="eastAsia"/>
              </w:rPr>
              <w:t>台/年，旧电脑</w:t>
            </w:r>
            <w:r>
              <w:t>600</w:t>
            </w:r>
            <w:r>
              <w:rPr>
                <w:rFonts w:hint="eastAsia"/>
              </w:rPr>
              <w:t>台/年。回收后的电视机、洗衣机、旧冰箱、旧电脑不拆解直接外售，</w:t>
            </w:r>
            <w:r>
              <w:rPr>
                <w:rFonts w:hint="eastAsia"/>
                <w:color w:val="FF0000"/>
              </w:rPr>
              <w:t>根据现场勘查，项目已运行，但项目厂区未进行地面硬化、回收的原料露天堆放（除废纸）、废塑料破碎用的水池未做防渗（现已查封），企业针对以上问题作出整改。</w:t>
            </w:r>
          </w:p>
          <w:p>
            <w:pPr>
              <w:ind w:firstLine="482"/>
              <w:rPr>
                <w:b/>
                <w:bCs/>
              </w:rPr>
            </w:pPr>
            <w:r>
              <w:rPr>
                <w:b/>
                <w:bCs/>
              </w:rPr>
              <w:t>2</w:t>
            </w:r>
            <w:r>
              <w:rPr>
                <w:rFonts w:hint="eastAsia"/>
                <w:b/>
                <w:bCs/>
              </w:rPr>
              <w:t>、</w:t>
            </w:r>
            <w:r>
              <w:rPr>
                <w:b/>
                <w:bCs/>
              </w:rPr>
              <w:t>厂址地理位置</w:t>
            </w:r>
          </w:p>
          <w:p>
            <w:pPr>
              <w:ind w:firstLine="480"/>
            </w:pPr>
            <w:r>
              <w:t>本项目位于</w:t>
            </w:r>
            <w:r>
              <w:rPr>
                <w:rFonts w:hint="eastAsia"/>
              </w:rPr>
              <w:t>巴彦淖尔市五原县同泰玻璃厂北厂区内</w:t>
            </w:r>
            <w:r>
              <w:t>，厂址</w:t>
            </w:r>
            <w:r>
              <w:rPr>
                <w:rFonts w:hint="eastAsia"/>
              </w:rPr>
              <w:t>中心</w:t>
            </w:r>
            <w:r>
              <w:t>坐标为</w:t>
            </w:r>
            <w:r>
              <w:rPr>
                <w:rFonts w:hint="eastAsia"/>
              </w:rPr>
              <w:t>东经10</w:t>
            </w:r>
            <w:r>
              <w:t>8</w:t>
            </w:r>
            <w:r>
              <w:rPr>
                <w:rFonts w:hint="eastAsia"/>
              </w:rPr>
              <w:t>°</w:t>
            </w:r>
            <w:r>
              <w:t>14</w:t>
            </w:r>
            <w:r>
              <w:rPr>
                <w:rFonts w:hint="eastAsia"/>
              </w:rPr>
              <w:t>′</w:t>
            </w:r>
            <w:r>
              <w:t>43.110</w:t>
            </w:r>
            <w:r>
              <w:rPr>
                <w:rFonts w:hint="eastAsia"/>
              </w:rPr>
              <w:t>″</w:t>
            </w:r>
            <w:r>
              <w:t>，</w:t>
            </w:r>
            <w:r>
              <w:rPr>
                <w:rFonts w:hint="eastAsia"/>
              </w:rPr>
              <w:t>北纬</w:t>
            </w:r>
            <w:r>
              <w:t>41</w:t>
            </w:r>
            <w:r>
              <w:rPr>
                <w:rFonts w:hint="eastAsia"/>
              </w:rPr>
              <w:t>°</w:t>
            </w:r>
            <w:r>
              <w:t>06</w:t>
            </w:r>
            <w:r>
              <w:rPr>
                <w:rFonts w:hint="eastAsia"/>
              </w:rPr>
              <w:t>′</w:t>
            </w:r>
            <w:r>
              <w:t>20.639</w:t>
            </w:r>
            <w:r>
              <w:rPr>
                <w:rFonts w:hint="eastAsia"/>
              </w:rPr>
              <w:t>″</w:t>
            </w:r>
            <w:r>
              <w:t>，项目</w:t>
            </w:r>
            <w:r>
              <w:rPr>
                <w:rFonts w:hint="eastAsia"/>
              </w:rPr>
              <w:t>东侧为道路，南</w:t>
            </w:r>
            <w:r>
              <w:t>侧为</w:t>
            </w:r>
            <w:r>
              <w:rPr>
                <w:rFonts w:hint="eastAsia"/>
              </w:rPr>
              <w:t>道路</w:t>
            </w:r>
            <w:r>
              <w:t>，西侧为</w:t>
            </w:r>
            <w:r>
              <w:rPr>
                <w:rFonts w:hint="eastAsia"/>
              </w:rPr>
              <w:t>道路</w:t>
            </w:r>
            <w:r>
              <w:t>，北侧</w:t>
            </w:r>
            <w:r>
              <w:rPr>
                <w:rFonts w:hint="eastAsia"/>
              </w:rPr>
              <w:t>为同泰玻璃厂，</w:t>
            </w:r>
            <w:r>
              <w:t>项目地理位置图见</w:t>
            </w:r>
            <w:r>
              <w:rPr>
                <w:rFonts w:hint="eastAsia"/>
              </w:rPr>
              <w:t>附</w:t>
            </w:r>
            <w:r>
              <w:t>图</w:t>
            </w:r>
            <w:r>
              <w:rPr>
                <w:rFonts w:hint="eastAsia"/>
              </w:rPr>
              <w:t>1</w:t>
            </w:r>
            <w:r>
              <w:t>。</w:t>
            </w:r>
          </w:p>
          <w:p>
            <w:pPr>
              <w:ind w:firstLine="482"/>
              <w:rPr>
                <w:b/>
                <w:bCs/>
              </w:rPr>
            </w:pPr>
            <w:bookmarkStart w:id="6" w:name="_Hlk78292312"/>
            <w:r>
              <w:rPr>
                <w:rFonts w:hint="eastAsia"/>
                <w:b/>
                <w:bCs/>
              </w:rPr>
              <w:t>3、</w:t>
            </w:r>
            <w:r>
              <w:rPr>
                <w:b/>
                <w:bCs/>
              </w:rPr>
              <w:t>工程建设内容</w:t>
            </w:r>
          </w:p>
          <w:p>
            <w:pPr>
              <w:ind w:firstLine="480"/>
              <w:rPr>
                <w:b/>
                <w:bCs/>
              </w:rPr>
            </w:pPr>
            <w:r>
              <w:t>本项目建设内容为</w:t>
            </w:r>
            <w:r>
              <w:rPr>
                <w:rFonts w:hint="eastAsia"/>
              </w:rPr>
              <w:t>：在内蒙古河套酒业同泰玻璃制品有限公司后院实施</w:t>
            </w:r>
            <w:r>
              <w:rPr>
                <w:rFonts w:hint="eastAsia"/>
                <w:color w:val="FF0000"/>
              </w:rPr>
              <w:t>再生资源回收利用市场建设项目</w:t>
            </w:r>
            <w:r>
              <w:rPr>
                <w:rFonts w:hint="eastAsia"/>
              </w:rPr>
              <w:t>，市场占地56.05亩，</w:t>
            </w:r>
            <w:r>
              <w:rPr>
                <w:rFonts w:hint="eastAsia"/>
                <w:color w:val="FF0000"/>
              </w:rPr>
              <w:t>划分为2</w:t>
            </w:r>
            <w:r>
              <w:rPr>
                <w:color w:val="FF0000"/>
              </w:rPr>
              <w:t>1</w:t>
            </w:r>
            <w:r>
              <w:rPr>
                <w:rFonts w:hint="eastAsia"/>
                <w:color w:val="FF0000"/>
              </w:rPr>
              <w:t>个收购点，废品在各个收购点内分拣</w:t>
            </w:r>
            <w:r>
              <w:rPr>
                <w:rFonts w:hint="eastAsia"/>
              </w:rPr>
              <w:t>。</w:t>
            </w:r>
            <w:r>
              <w:rPr>
                <w:rFonts w:hint="eastAsia"/>
                <w:b/>
                <w:bCs/>
              </w:rPr>
              <w:t>厂区地面做硬化处理，在1</w:t>
            </w:r>
            <w:r>
              <w:rPr>
                <w:b/>
                <w:bCs/>
              </w:rPr>
              <w:t>~6</w:t>
            </w:r>
            <w:r>
              <w:rPr>
                <w:rFonts w:hint="eastAsia"/>
                <w:b/>
                <w:bCs/>
              </w:rPr>
              <w:t>分区（废钢铁回收区）建设一座1</w:t>
            </w:r>
            <w:r>
              <w:rPr>
                <w:b/>
                <w:bCs/>
              </w:rPr>
              <w:t>0</w:t>
            </w:r>
            <w:r>
              <w:rPr>
                <w:rFonts w:hint="eastAsia"/>
                <w:b/>
                <w:bCs/>
              </w:rPr>
              <w:t>m</w:t>
            </w:r>
            <w:r>
              <w:rPr>
                <w:b/>
                <w:bCs/>
                <w:vertAlign w:val="superscript"/>
              </w:rPr>
              <w:t>2</w:t>
            </w:r>
            <w:r>
              <w:rPr>
                <w:rFonts w:hint="eastAsia"/>
                <w:b/>
                <w:bCs/>
              </w:rPr>
              <w:t>的危废暂存间、</w:t>
            </w:r>
            <w:r>
              <w:rPr>
                <w:b/>
                <w:bCs/>
              </w:rPr>
              <w:t>7~</w:t>
            </w:r>
            <w:r>
              <w:rPr>
                <w:rFonts w:hint="eastAsia"/>
                <w:b/>
                <w:bCs/>
              </w:rPr>
              <w:t>2</w:t>
            </w:r>
            <w:r>
              <w:rPr>
                <w:b/>
                <w:bCs/>
              </w:rPr>
              <w:t>1</w:t>
            </w:r>
            <w:r>
              <w:rPr>
                <w:rFonts w:hint="eastAsia"/>
                <w:b/>
                <w:bCs/>
              </w:rPr>
              <w:t>分区（废塑料、废纸回收等）建设封闭式厂房，同时在厂区北侧设置雨水收集池。</w:t>
            </w:r>
          </w:p>
          <w:p>
            <w:pPr>
              <w:ind w:firstLine="480"/>
            </w:pPr>
            <w:r>
              <w:rPr>
                <w:rFonts w:hint="eastAsia"/>
              </w:rPr>
              <w:t>具体</w:t>
            </w:r>
            <w:r>
              <w:t>建设内容见表2-1。</w:t>
            </w:r>
          </w:p>
          <w:p>
            <w:pPr>
              <w:pStyle w:val="35"/>
            </w:pPr>
            <w:bookmarkStart w:id="7" w:name="_Hlk74150137"/>
            <w:r>
              <w:t>表2-1</w:t>
            </w:r>
            <w:r>
              <w:rPr>
                <w:rFonts w:hint="eastAsia"/>
              </w:rPr>
              <w:t xml:space="preserve">  </w:t>
            </w:r>
            <w:r>
              <w:t>项目组成一览表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57" w:type="dxa"/>
                <w:bottom w:w="0" w:type="dxa"/>
                <w:right w:w="57" w:type="dxa"/>
              </w:tblCellMar>
            </w:tblPr>
            <w:tblGrid>
              <w:gridCol w:w="545"/>
              <w:gridCol w:w="1260"/>
              <w:gridCol w:w="953"/>
              <w:gridCol w:w="3988"/>
              <w:gridCol w:w="169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612" w:hRule="atLeast"/>
                <w:jc w:val="center"/>
              </w:trPr>
              <w:tc>
                <w:tcPr>
                  <w:tcW w:w="323" w:type="pct"/>
                  <w:vAlign w:val="center"/>
                </w:tcPr>
                <w:p>
                  <w:pPr>
                    <w:pStyle w:val="33"/>
                    <w:rPr>
                      <w:b/>
                      <w:bCs/>
                    </w:rPr>
                  </w:pPr>
                  <w:r>
                    <w:rPr>
                      <w:b/>
                      <w:bCs/>
                    </w:rPr>
                    <w:t>工程类别</w:t>
                  </w:r>
                </w:p>
              </w:tc>
              <w:tc>
                <w:tcPr>
                  <w:tcW w:w="746" w:type="pct"/>
                  <w:vAlign w:val="center"/>
                </w:tcPr>
                <w:p>
                  <w:pPr>
                    <w:pStyle w:val="33"/>
                    <w:rPr>
                      <w:b/>
                      <w:bCs/>
                    </w:rPr>
                  </w:pPr>
                  <w:r>
                    <w:rPr>
                      <w:b/>
                      <w:bCs/>
                    </w:rPr>
                    <w:t>单项工程名称</w:t>
                  </w:r>
                </w:p>
              </w:tc>
              <w:tc>
                <w:tcPr>
                  <w:tcW w:w="2925" w:type="pct"/>
                  <w:gridSpan w:val="2"/>
                  <w:vAlign w:val="center"/>
                </w:tcPr>
                <w:p>
                  <w:pPr>
                    <w:pStyle w:val="33"/>
                    <w:rPr>
                      <w:b/>
                      <w:bCs/>
                    </w:rPr>
                  </w:pPr>
                  <w:r>
                    <w:rPr>
                      <w:b/>
                      <w:bCs/>
                      <w:sz w:val="24"/>
                    </w:rPr>
                    <w:t>工程</w:t>
                  </w:r>
                  <w:r>
                    <w:rPr>
                      <w:rFonts w:hint="eastAsia"/>
                      <w:b/>
                      <w:bCs/>
                      <w:sz w:val="24"/>
                    </w:rPr>
                    <w:t>实际建设</w:t>
                  </w:r>
                  <w:r>
                    <w:rPr>
                      <w:b/>
                      <w:bCs/>
                      <w:sz w:val="24"/>
                    </w:rPr>
                    <w:t>内容</w:t>
                  </w:r>
                </w:p>
              </w:tc>
              <w:tc>
                <w:tcPr>
                  <w:tcW w:w="1006" w:type="pct"/>
                  <w:vAlign w:val="center"/>
                </w:tcPr>
                <w:p>
                  <w:pPr>
                    <w:pStyle w:val="33"/>
                    <w:rPr>
                      <w:b/>
                      <w:bCs/>
                    </w:rPr>
                  </w:pPr>
                  <w:r>
                    <w:rPr>
                      <w:rFonts w:hint="eastAsia"/>
                      <w:b/>
                      <w:bCs/>
                    </w:rPr>
                    <w:t>本次整改内容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570" w:hRule="atLeast"/>
                <w:jc w:val="center"/>
              </w:trPr>
              <w:tc>
                <w:tcPr>
                  <w:tcW w:w="323" w:type="pct"/>
                  <w:vMerge w:val="restart"/>
                  <w:vAlign w:val="center"/>
                </w:tcPr>
                <w:p>
                  <w:pPr>
                    <w:pStyle w:val="33"/>
                  </w:pPr>
                  <w:r>
                    <w:t>主体工程</w:t>
                  </w:r>
                </w:p>
              </w:tc>
              <w:tc>
                <w:tcPr>
                  <w:tcW w:w="746" w:type="pct"/>
                  <w:vMerge w:val="restart"/>
                  <w:vAlign w:val="center"/>
                </w:tcPr>
                <w:p>
                  <w:pPr>
                    <w:pStyle w:val="33"/>
                  </w:pPr>
                  <w:r>
                    <w:rPr>
                      <w:rFonts w:hint="eastAsia"/>
                    </w:rPr>
                    <w:t>市场占地面积为3</w:t>
                  </w:r>
                  <w:r>
                    <w:t>7366.667m</w:t>
                  </w:r>
                  <w:r>
                    <w:rPr>
                      <w:vertAlign w:val="superscript"/>
                    </w:rPr>
                    <w:t>2</w:t>
                  </w:r>
                  <w:r>
                    <w:rPr>
                      <w:rFonts w:hint="eastAsia"/>
                    </w:rPr>
                    <w:t>（5</w:t>
                  </w:r>
                  <w:r>
                    <w:t>6.05</w:t>
                  </w:r>
                  <w:r>
                    <w:rPr>
                      <w:rFonts w:hint="eastAsia"/>
                    </w:rPr>
                    <w:t>亩），分2</w:t>
                  </w:r>
                  <w:r>
                    <w:t>1</w:t>
                  </w:r>
                  <w:r>
                    <w:rPr>
                      <w:rFonts w:hint="eastAsia"/>
                    </w:rPr>
                    <w:t>个分区。</w:t>
                  </w:r>
                </w:p>
              </w:tc>
              <w:tc>
                <w:tcPr>
                  <w:tcW w:w="564" w:type="pct"/>
                  <w:vAlign w:val="center"/>
                </w:tcPr>
                <w:p>
                  <w:pPr>
                    <w:pStyle w:val="33"/>
                  </w:pPr>
                  <w:r>
                    <w:t>1-6</w:t>
                  </w:r>
                  <w:r>
                    <w:rPr>
                      <w:rFonts w:hint="eastAsia"/>
                    </w:rPr>
                    <w:t>分区</w:t>
                  </w:r>
                </w:p>
              </w:tc>
              <w:tc>
                <w:tcPr>
                  <w:tcW w:w="2361" w:type="pct"/>
                  <w:vAlign w:val="center"/>
                </w:tcPr>
                <w:p>
                  <w:pPr>
                    <w:pStyle w:val="33"/>
                  </w:pPr>
                  <w:r>
                    <w:rPr>
                      <w:rFonts w:hint="eastAsia"/>
                    </w:rPr>
                    <w:t>每个分区为</w:t>
                  </w:r>
                  <w:r>
                    <w:t>60m×20m</w:t>
                  </w:r>
                  <w:r>
                    <w:rPr>
                      <w:rFonts w:hint="eastAsia"/>
                    </w:rPr>
                    <w:t>，</w:t>
                  </w:r>
                  <w:r>
                    <w:rPr>
                      <w:rFonts w:hint="eastAsia"/>
                      <w:color w:val="FF0000"/>
                    </w:rPr>
                    <w:t>露天回收，</w:t>
                  </w:r>
                  <w:r>
                    <w:rPr>
                      <w:rFonts w:hint="eastAsia"/>
                    </w:rPr>
                    <w:t>主要回收废钢铁，年回收废钢铁5万吨，主要将回收的废钢铁切割后外售。主要设备有切割机、铲车、龙门吊等。</w:t>
                  </w:r>
                </w:p>
              </w:tc>
              <w:tc>
                <w:tcPr>
                  <w:tcW w:w="1006" w:type="pct"/>
                  <w:vAlign w:val="center"/>
                </w:tcPr>
                <w:p>
                  <w:pPr>
                    <w:pStyle w:val="33"/>
                  </w:pPr>
                  <w:r>
                    <w:rPr>
                      <w:rFonts w:hint="eastAsia"/>
                      <w:color w:val="FF0000"/>
                    </w:rPr>
                    <w:t>地面进行混凝土硬化</w:t>
                  </w:r>
                  <w:r>
                    <w:rPr>
                      <w:rFonts w:hint="eastAsia"/>
                    </w:rPr>
                    <w:t>、建设一座1</w:t>
                  </w:r>
                  <w:r>
                    <w:t>0</w:t>
                  </w:r>
                  <w:r>
                    <w:rPr>
                      <w:rFonts w:hint="eastAsia"/>
                    </w:rPr>
                    <w:t xml:space="preserve"> m</w:t>
                  </w:r>
                  <w:r>
                    <w:rPr>
                      <w:vertAlign w:val="superscript"/>
                    </w:rPr>
                    <w:t>2</w:t>
                  </w:r>
                  <w:r>
                    <w:rPr>
                      <w:rFonts w:hint="eastAsia"/>
                    </w:rPr>
                    <w:t>的危废暂存间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570" w:hRule="atLeast"/>
                <w:jc w:val="center"/>
              </w:trPr>
              <w:tc>
                <w:tcPr>
                  <w:tcW w:w="323" w:type="pct"/>
                  <w:vMerge w:val="continue"/>
                  <w:vAlign w:val="center"/>
                </w:tcPr>
                <w:p>
                  <w:pPr>
                    <w:pStyle w:val="33"/>
                  </w:pPr>
                </w:p>
              </w:tc>
              <w:tc>
                <w:tcPr>
                  <w:tcW w:w="746" w:type="pct"/>
                  <w:vMerge w:val="continue"/>
                  <w:vAlign w:val="center"/>
                </w:tcPr>
                <w:p>
                  <w:pPr>
                    <w:pStyle w:val="33"/>
                  </w:pPr>
                </w:p>
              </w:tc>
              <w:tc>
                <w:tcPr>
                  <w:tcW w:w="564" w:type="pct"/>
                  <w:vAlign w:val="center"/>
                </w:tcPr>
                <w:p>
                  <w:pPr>
                    <w:pStyle w:val="33"/>
                  </w:pPr>
                  <w:r>
                    <w:rPr>
                      <w:rFonts w:hint="eastAsia"/>
                    </w:rPr>
                    <w:t>7</w:t>
                  </w:r>
                  <w:r>
                    <w:t>-18</w:t>
                  </w:r>
                  <w:r>
                    <w:rPr>
                      <w:rFonts w:hint="eastAsia"/>
                    </w:rPr>
                    <w:t>，及2</w:t>
                  </w:r>
                  <w:r>
                    <w:t>1</w:t>
                  </w:r>
                  <w:r>
                    <w:rPr>
                      <w:rFonts w:hint="eastAsia"/>
                    </w:rPr>
                    <w:t>分区</w:t>
                  </w:r>
                </w:p>
              </w:tc>
              <w:tc>
                <w:tcPr>
                  <w:tcW w:w="2361" w:type="pct"/>
                  <w:vAlign w:val="center"/>
                </w:tcPr>
                <w:p>
                  <w:pPr>
                    <w:pStyle w:val="33"/>
                  </w:pPr>
                  <w:r>
                    <w:rPr>
                      <w:rFonts w:hint="eastAsia"/>
                    </w:rPr>
                    <w:t>每个分区为2</w:t>
                  </w:r>
                  <w:r>
                    <w:t>0m×60m</w:t>
                  </w:r>
                  <w:r>
                    <w:rPr>
                      <w:rFonts w:hint="eastAsia"/>
                    </w:rPr>
                    <w:t>，主要回收塑料、废纸，年回收废塑料4万吨、年回收废纸6万吨，主要将回收的废纸压缩打捆后外售，废塑料瓶压缩后外售、废塑料进行水洗破碎后外售。</w:t>
                  </w:r>
                </w:p>
              </w:tc>
              <w:tc>
                <w:tcPr>
                  <w:tcW w:w="1006" w:type="pct"/>
                  <w:vAlign w:val="center"/>
                </w:tcPr>
                <w:p>
                  <w:pPr>
                    <w:pStyle w:val="33"/>
                  </w:pPr>
                  <w:r>
                    <w:rPr>
                      <w:rFonts w:hint="eastAsia"/>
                    </w:rPr>
                    <w:t>地面进行硬化、建设封闭式厂房、废塑料筐破碎水池进行防渗处理。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570" w:hRule="atLeast"/>
                <w:jc w:val="center"/>
              </w:trPr>
              <w:tc>
                <w:tcPr>
                  <w:tcW w:w="323" w:type="pct"/>
                  <w:vMerge w:val="continue"/>
                  <w:vAlign w:val="center"/>
                </w:tcPr>
                <w:p>
                  <w:pPr>
                    <w:pStyle w:val="33"/>
                  </w:pPr>
                </w:p>
              </w:tc>
              <w:tc>
                <w:tcPr>
                  <w:tcW w:w="746" w:type="pct"/>
                  <w:vMerge w:val="continue"/>
                  <w:vAlign w:val="center"/>
                </w:tcPr>
                <w:p>
                  <w:pPr>
                    <w:pStyle w:val="33"/>
                  </w:pPr>
                </w:p>
              </w:tc>
              <w:tc>
                <w:tcPr>
                  <w:tcW w:w="564" w:type="pct"/>
                  <w:vAlign w:val="center"/>
                </w:tcPr>
                <w:p>
                  <w:pPr>
                    <w:pStyle w:val="33"/>
                  </w:pPr>
                  <w:r>
                    <w:rPr>
                      <w:rFonts w:hint="eastAsia"/>
                    </w:rPr>
                    <w:t>1</w:t>
                  </w:r>
                  <w:r>
                    <w:t>9</w:t>
                  </w:r>
                  <w:r>
                    <w:rPr>
                      <w:rFonts w:hint="eastAsia"/>
                    </w:rPr>
                    <w:t>分区</w:t>
                  </w:r>
                </w:p>
              </w:tc>
              <w:tc>
                <w:tcPr>
                  <w:tcW w:w="2361" w:type="pct"/>
                  <w:vAlign w:val="center"/>
                </w:tcPr>
                <w:p>
                  <w:pPr>
                    <w:pStyle w:val="33"/>
                  </w:pPr>
                  <w:r>
                    <w:rPr>
                      <w:rFonts w:hint="eastAsia"/>
                    </w:rPr>
                    <w:t>回收废电视机</w:t>
                  </w:r>
                  <w:r>
                    <w:t>2000</w:t>
                  </w:r>
                  <w:r>
                    <w:rPr>
                      <w:rFonts w:hint="eastAsia"/>
                    </w:rPr>
                    <w:t>台/年，洗衣机</w:t>
                  </w:r>
                  <w:r>
                    <w:t>2000</w:t>
                  </w:r>
                  <w:r>
                    <w:rPr>
                      <w:rFonts w:hint="eastAsia"/>
                    </w:rPr>
                    <w:t>台/年，旧冰箱</w:t>
                  </w:r>
                  <w:r>
                    <w:t>1000</w:t>
                  </w:r>
                  <w:r>
                    <w:rPr>
                      <w:rFonts w:hint="eastAsia"/>
                    </w:rPr>
                    <w:t>台/年，旧电脑</w:t>
                  </w:r>
                  <w:r>
                    <w:t>600</w:t>
                  </w:r>
                  <w:r>
                    <w:rPr>
                      <w:rFonts w:hint="eastAsia"/>
                    </w:rPr>
                    <w:t>台/年。回收后的电视机、洗衣机、旧冰箱、旧电脑不拆解直接外售。</w:t>
                  </w:r>
                </w:p>
              </w:tc>
              <w:tc>
                <w:tcPr>
                  <w:tcW w:w="1006" w:type="pct"/>
                  <w:vAlign w:val="center"/>
                </w:tcPr>
                <w:p>
                  <w:pPr>
                    <w:pStyle w:val="33"/>
                  </w:pPr>
                  <w:r>
                    <w:rPr>
                      <w:rFonts w:hint="eastAsia"/>
                    </w:rPr>
                    <w:t>地面进行硬化、建设封闭式厂房。</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570" w:hRule="atLeast"/>
                <w:jc w:val="center"/>
              </w:trPr>
              <w:tc>
                <w:tcPr>
                  <w:tcW w:w="323" w:type="pct"/>
                  <w:vMerge w:val="continue"/>
                  <w:vAlign w:val="center"/>
                </w:tcPr>
                <w:p>
                  <w:pPr>
                    <w:pStyle w:val="33"/>
                  </w:pPr>
                </w:p>
              </w:tc>
              <w:tc>
                <w:tcPr>
                  <w:tcW w:w="746" w:type="pct"/>
                  <w:vMerge w:val="continue"/>
                  <w:vAlign w:val="center"/>
                </w:tcPr>
                <w:p>
                  <w:pPr>
                    <w:pStyle w:val="33"/>
                  </w:pPr>
                </w:p>
              </w:tc>
              <w:tc>
                <w:tcPr>
                  <w:tcW w:w="564" w:type="pct"/>
                  <w:vAlign w:val="center"/>
                </w:tcPr>
                <w:p>
                  <w:pPr>
                    <w:pStyle w:val="33"/>
                  </w:pPr>
                  <w:r>
                    <w:rPr>
                      <w:rFonts w:hint="eastAsia"/>
                    </w:rPr>
                    <w:t>2</w:t>
                  </w:r>
                  <w:r>
                    <w:t>0</w:t>
                  </w:r>
                  <w:r>
                    <w:rPr>
                      <w:rFonts w:hint="eastAsia"/>
                    </w:rPr>
                    <w:t>分区</w:t>
                  </w:r>
                </w:p>
              </w:tc>
              <w:tc>
                <w:tcPr>
                  <w:tcW w:w="2361" w:type="pct"/>
                  <w:vAlign w:val="center"/>
                </w:tcPr>
                <w:p>
                  <w:pPr>
                    <w:pStyle w:val="33"/>
                    <w:rPr>
                      <w:rFonts w:hint="eastAsia"/>
                      <w:color w:val="FF0000"/>
                    </w:rPr>
                  </w:pPr>
                  <w:r>
                    <w:rPr>
                      <w:rFonts w:hint="eastAsia"/>
                      <w:color w:val="FF0000"/>
                    </w:rPr>
                    <w:t>回收骨头及废动物油，废动物由回收在在塑料桶内，骨头为袋装，废动物油和骨头不进行加工，直接外售。暂存时间为</w:t>
                  </w:r>
                  <w:r>
                    <w:rPr>
                      <w:color w:val="FF0000"/>
                    </w:rPr>
                    <w:t>6</w:t>
                  </w:r>
                  <w:r>
                    <w:rPr>
                      <w:rFonts w:hint="eastAsia"/>
                      <w:color w:val="FF0000"/>
                    </w:rPr>
                    <w:t>个月。</w:t>
                  </w:r>
                </w:p>
              </w:tc>
              <w:tc>
                <w:tcPr>
                  <w:tcW w:w="1006" w:type="pct"/>
                  <w:vAlign w:val="center"/>
                </w:tcPr>
                <w:p>
                  <w:pPr>
                    <w:pStyle w:val="33"/>
                  </w:pPr>
                  <w:r>
                    <w:rPr>
                      <w:rFonts w:hint="eastAsia"/>
                    </w:rPr>
                    <w:t>地面进行硬化，建设封闭式厂房。</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restart"/>
                  <w:vAlign w:val="center"/>
                </w:tcPr>
                <w:p>
                  <w:pPr>
                    <w:pStyle w:val="33"/>
                  </w:pPr>
                  <w:r>
                    <w:t>公用工程</w:t>
                  </w:r>
                </w:p>
              </w:tc>
              <w:tc>
                <w:tcPr>
                  <w:tcW w:w="746" w:type="pct"/>
                  <w:vAlign w:val="center"/>
                </w:tcPr>
                <w:p>
                  <w:pPr>
                    <w:pStyle w:val="33"/>
                  </w:pPr>
                  <w:r>
                    <w:t>给水工程</w:t>
                  </w:r>
                </w:p>
              </w:tc>
              <w:tc>
                <w:tcPr>
                  <w:tcW w:w="2925" w:type="pct"/>
                  <w:gridSpan w:val="2"/>
                  <w:vAlign w:val="center"/>
                </w:tcPr>
                <w:p>
                  <w:pPr>
                    <w:pStyle w:val="33"/>
                  </w:pPr>
                  <w:r>
                    <w:rPr>
                      <w:rFonts w:hint="eastAsia"/>
                    </w:rPr>
                    <w:t>现有供水为厂区自备水井</w:t>
                  </w:r>
                </w:p>
              </w:tc>
              <w:tc>
                <w:tcPr>
                  <w:tcW w:w="1006" w:type="pct"/>
                  <w:vAlign w:val="center"/>
                </w:tcPr>
                <w:p>
                  <w:pPr>
                    <w:pStyle w:val="33"/>
                  </w:pPr>
                  <w:r>
                    <w:rPr>
                      <w:rFonts w:hint="eastAsia"/>
                    </w:rPr>
                    <w:t>依托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restart"/>
                  <w:vAlign w:val="center"/>
                </w:tcPr>
                <w:p>
                  <w:pPr>
                    <w:pStyle w:val="33"/>
                  </w:pPr>
                  <w:r>
                    <w:t>排水工程</w:t>
                  </w:r>
                </w:p>
              </w:tc>
              <w:tc>
                <w:tcPr>
                  <w:tcW w:w="2925" w:type="pct"/>
                  <w:gridSpan w:val="2"/>
                  <w:vAlign w:val="center"/>
                </w:tcPr>
                <w:p>
                  <w:pPr>
                    <w:pStyle w:val="33"/>
                    <w:rPr>
                      <w:color w:val="FF0000"/>
                    </w:rPr>
                  </w:pPr>
                  <w:r>
                    <w:rPr>
                      <w:rFonts w:hint="eastAsia"/>
                      <w:color w:val="FF0000"/>
                    </w:rPr>
                    <w:t>生活污水依托厂区</w:t>
                  </w:r>
                  <w:r>
                    <w:rPr>
                      <w:rFonts w:hint="eastAsia"/>
                    </w:rPr>
                    <w:t>现有防渗旱厕</w:t>
                  </w:r>
                  <w:r>
                    <w:rPr>
                      <w:rFonts w:hint="eastAsia"/>
                      <w:color w:val="FF0000"/>
                    </w:rPr>
                    <w:t>，定期清掏。</w:t>
                  </w:r>
                </w:p>
              </w:tc>
              <w:tc>
                <w:tcPr>
                  <w:tcW w:w="1006" w:type="pct"/>
                  <w:vAlign w:val="center"/>
                </w:tcPr>
                <w:p>
                  <w:pPr>
                    <w:pStyle w:val="33"/>
                  </w:pPr>
                  <w:r>
                    <w:rPr>
                      <w:rFonts w:hint="eastAsia"/>
                    </w:rPr>
                    <w:t>依托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pPr>
                  <w:r>
                    <w:rPr>
                      <w:rFonts w:hint="eastAsia"/>
                    </w:rPr>
                    <w:t>废塑料破碎及水洗产生的废水进入沉淀池沉淀后循环使用，不外排。初期雨水进入初期雨水收集池，用于场地洒水降尘，不外排。</w:t>
                  </w:r>
                </w:p>
              </w:tc>
              <w:tc>
                <w:tcPr>
                  <w:tcW w:w="1006" w:type="pct"/>
                  <w:vAlign w:val="center"/>
                </w:tcPr>
                <w:p>
                  <w:pPr>
                    <w:pStyle w:val="33"/>
                  </w:pPr>
                  <w:r>
                    <w:rPr>
                      <w:rFonts w:hint="eastAsia"/>
                    </w:rPr>
                    <w:t>新建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Align w:val="center"/>
                </w:tcPr>
                <w:p>
                  <w:pPr>
                    <w:pStyle w:val="33"/>
                  </w:pPr>
                  <w:r>
                    <w:t>供电工程</w:t>
                  </w:r>
                </w:p>
              </w:tc>
              <w:tc>
                <w:tcPr>
                  <w:tcW w:w="2925" w:type="pct"/>
                  <w:gridSpan w:val="2"/>
                  <w:vAlign w:val="center"/>
                </w:tcPr>
                <w:p>
                  <w:pPr>
                    <w:pStyle w:val="33"/>
                  </w:pPr>
                  <w:r>
                    <w:rPr>
                      <w:rFonts w:hint="eastAsia"/>
                    </w:rPr>
                    <w:t>依托现有供电设施</w:t>
                  </w:r>
                </w:p>
              </w:tc>
              <w:tc>
                <w:tcPr>
                  <w:tcW w:w="1006" w:type="pct"/>
                  <w:vAlign w:val="center"/>
                </w:tcPr>
                <w:p>
                  <w:pPr>
                    <w:pStyle w:val="33"/>
                  </w:pPr>
                  <w:r>
                    <w:rPr>
                      <w:rFonts w:hint="eastAsia"/>
                    </w:rPr>
                    <w:t>依托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Align w:val="center"/>
                </w:tcPr>
                <w:p>
                  <w:pPr>
                    <w:pStyle w:val="33"/>
                  </w:pPr>
                  <w:r>
                    <w:rPr>
                      <w:rFonts w:hint="eastAsia"/>
                    </w:rPr>
                    <w:t>供暖</w:t>
                  </w:r>
                </w:p>
              </w:tc>
              <w:tc>
                <w:tcPr>
                  <w:tcW w:w="2925" w:type="pct"/>
                  <w:gridSpan w:val="2"/>
                  <w:vAlign w:val="center"/>
                </w:tcPr>
                <w:p>
                  <w:pPr>
                    <w:pStyle w:val="33"/>
                  </w:pPr>
                  <w:r>
                    <w:rPr>
                      <w:rFonts w:hint="eastAsia"/>
                    </w:rPr>
                    <w:t>冬季供暖为电采暖</w:t>
                  </w:r>
                </w:p>
              </w:tc>
              <w:tc>
                <w:tcPr>
                  <w:tcW w:w="1006" w:type="pct"/>
                  <w:vAlign w:val="center"/>
                </w:tcPr>
                <w:p>
                  <w:pPr>
                    <w:pStyle w:val="33"/>
                  </w:pPr>
                  <w:r>
                    <w:rPr>
                      <w:rFonts w:hint="eastAsia"/>
                    </w:rPr>
                    <w:t>依托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restart"/>
                  <w:vAlign w:val="center"/>
                </w:tcPr>
                <w:p>
                  <w:pPr>
                    <w:pStyle w:val="33"/>
                  </w:pPr>
                  <w:r>
                    <w:t>环保工程</w:t>
                  </w:r>
                </w:p>
              </w:tc>
              <w:tc>
                <w:tcPr>
                  <w:tcW w:w="746" w:type="pct"/>
                  <w:vMerge w:val="restart"/>
                  <w:vAlign w:val="center"/>
                </w:tcPr>
                <w:p>
                  <w:pPr>
                    <w:pStyle w:val="33"/>
                  </w:pPr>
                  <w:r>
                    <w:t>废水</w:t>
                  </w:r>
                </w:p>
              </w:tc>
              <w:tc>
                <w:tcPr>
                  <w:tcW w:w="2925" w:type="pct"/>
                  <w:gridSpan w:val="2"/>
                  <w:vAlign w:val="center"/>
                </w:tcPr>
                <w:p>
                  <w:pPr>
                    <w:pStyle w:val="33"/>
                    <w:rPr>
                      <w:color w:val="FF0000"/>
                    </w:rPr>
                  </w:pPr>
                  <w:r>
                    <w:rPr>
                      <w:rFonts w:hint="eastAsia"/>
                      <w:color w:val="FF0000"/>
                    </w:rPr>
                    <w:t>生活污水依托厂区现有防渗旱厕，定期清掏后</w:t>
                  </w:r>
                </w:p>
              </w:tc>
              <w:tc>
                <w:tcPr>
                  <w:tcW w:w="1006" w:type="pct"/>
                  <w:vAlign w:val="center"/>
                </w:tcPr>
                <w:p>
                  <w:pPr>
                    <w:pStyle w:val="33"/>
                  </w:pPr>
                  <w:r>
                    <w:rPr>
                      <w:rFonts w:hint="eastAsia"/>
                    </w:rPr>
                    <w:t>依托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pPr>
                  <w:r>
                    <w:rPr>
                      <w:rFonts w:hint="eastAsia"/>
                    </w:rPr>
                    <w:t>废塑料破碎及水洗产生的废水进入沉淀池沉淀后循环使用，不外排。</w:t>
                  </w:r>
                </w:p>
              </w:tc>
              <w:tc>
                <w:tcPr>
                  <w:tcW w:w="1006" w:type="pct"/>
                  <w:vAlign w:val="center"/>
                </w:tcPr>
                <w:p>
                  <w:pPr>
                    <w:pStyle w:val="33"/>
                  </w:pPr>
                  <w:r>
                    <w:rPr>
                      <w:rFonts w:hint="eastAsia"/>
                    </w:rPr>
                    <w:t>新建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pPr>
                  <w:r>
                    <w:rPr>
                      <w:rFonts w:hint="eastAsia"/>
                    </w:rPr>
                    <w:t>设置初期雨水收集池，容积为</w:t>
                  </w:r>
                  <w:r>
                    <w:t>180m</w:t>
                  </w:r>
                  <w:r>
                    <w:rPr>
                      <w:vertAlign w:val="superscript"/>
                    </w:rPr>
                    <w:t>3</w:t>
                  </w:r>
                </w:p>
              </w:tc>
              <w:tc>
                <w:tcPr>
                  <w:tcW w:w="1006" w:type="pct"/>
                  <w:vAlign w:val="center"/>
                </w:tcPr>
                <w:p>
                  <w:pPr>
                    <w:pStyle w:val="33"/>
                  </w:pPr>
                  <w:r>
                    <w:rPr>
                      <w:rFonts w:hint="eastAsia"/>
                    </w:rPr>
                    <w:t>新建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restart"/>
                  <w:vAlign w:val="center"/>
                </w:tcPr>
                <w:p>
                  <w:pPr>
                    <w:pStyle w:val="33"/>
                  </w:pPr>
                  <w:r>
                    <w:t>废气</w:t>
                  </w:r>
                </w:p>
              </w:tc>
              <w:tc>
                <w:tcPr>
                  <w:tcW w:w="2925" w:type="pct"/>
                  <w:gridSpan w:val="2"/>
                  <w:vAlign w:val="center"/>
                </w:tcPr>
                <w:p>
                  <w:pPr>
                    <w:pStyle w:val="33"/>
                    <w:rPr>
                      <w:color w:val="FF0000"/>
                    </w:rPr>
                  </w:pPr>
                  <w:r>
                    <w:rPr>
                      <w:rFonts w:hint="eastAsia"/>
                      <w:color w:val="FF0000"/>
                    </w:rPr>
                    <w:t>废钢铁卸料、分拣、切割产生的粉尘经洒水降尘后排放。</w:t>
                  </w:r>
                  <w:r>
                    <w:rPr>
                      <w:color w:val="FF0000"/>
                    </w:rPr>
                    <w:t xml:space="preserve"> </w:t>
                  </w:r>
                  <w:r>
                    <w:rPr>
                      <w:color w:val="FF0000"/>
                      <w:sz w:val="24"/>
                    </w:rPr>
                    <w:t xml:space="preserve"> </w:t>
                  </w:r>
                </w:p>
              </w:tc>
              <w:tc>
                <w:tcPr>
                  <w:tcW w:w="1006" w:type="pct"/>
                  <w:vAlign w:val="center"/>
                </w:tcPr>
                <w:p>
                  <w:pPr>
                    <w:pStyle w:val="33"/>
                  </w:pPr>
                  <w:r>
                    <w:rPr>
                      <w:rFonts w:hint="eastAsi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pPr>
                  <w:r>
                    <w:rPr>
                      <w:rFonts w:hint="eastAsia"/>
                    </w:rPr>
                    <w:t>废塑料卸料、分拣产生的粉尘，</w:t>
                  </w:r>
                  <w:r>
                    <w:rPr>
                      <w:rFonts w:hint="eastAsia"/>
                      <w:color w:val="FF0000"/>
                    </w:rPr>
                    <w:t>经封闭</w:t>
                  </w:r>
                  <w:r>
                    <w:rPr>
                      <w:rFonts w:hint="eastAsia"/>
                    </w:rPr>
                    <w:t>厂房内自然沉降后排放。</w:t>
                  </w:r>
                </w:p>
              </w:tc>
              <w:tc>
                <w:tcPr>
                  <w:tcW w:w="1006" w:type="pct"/>
                  <w:vAlign w:val="center"/>
                </w:tcPr>
                <w:p>
                  <w:pPr>
                    <w:pStyle w:val="33"/>
                  </w:pPr>
                  <w:r>
                    <w:rPr>
                      <w:rFonts w:hint="eastAsi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pPr>
                  <w:r>
                    <w:rPr>
                      <w:rFonts w:hint="eastAsia"/>
                    </w:rPr>
                    <w:t>废纸卸料、分拣、压缩打包产生的粉尘，</w:t>
                  </w:r>
                  <w:r>
                    <w:rPr>
                      <w:rFonts w:hint="eastAsia"/>
                      <w:color w:val="FF0000"/>
                    </w:rPr>
                    <w:t>经封闭</w:t>
                  </w:r>
                  <w:r>
                    <w:rPr>
                      <w:rFonts w:hint="eastAsia"/>
                    </w:rPr>
                    <w:t>厂房内自然沉降后排放。</w:t>
                  </w:r>
                </w:p>
              </w:tc>
              <w:tc>
                <w:tcPr>
                  <w:tcW w:w="1006" w:type="pct"/>
                  <w:vAlign w:val="center"/>
                </w:tcPr>
                <w:p>
                  <w:pPr>
                    <w:pStyle w:val="33"/>
                  </w:pPr>
                  <w:r>
                    <w:rPr>
                      <w:rFonts w:hint="eastAsi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rPr>
                      <w:color w:val="FF0000"/>
                    </w:rPr>
                  </w:pPr>
                  <w:r>
                    <w:rPr>
                      <w:rFonts w:hint="eastAsia"/>
                      <w:color w:val="FF0000"/>
                    </w:rPr>
                    <w:t>废骨头及废动植物油回收暂存时产生的废气经封闭厂房同时喷洒植物液后排放。</w:t>
                  </w:r>
                </w:p>
              </w:tc>
              <w:tc>
                <w:tcPr>
                  <w:tcW w:w="1006" w:type="pct"/>
                  <w:vAlign w:val="center"/>
                </w:tcPr>
                <w:p>
                  <w:pPr>
                    <w:pStyle w:val="33"/>
                  </w:pPr>
                  <w:r>
                    <w:rPr>
                      <w:rFonts w:hint="eastAsi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jc w:val="both"/>
                    <w:rPr>
                      <w:color w:val="FF0000"/>
                    </w:rPr>
                  </w:pPr>
                  <w:r>
                    <w:rPr>
                      <w:rFonts w:hint="eastAsia"/>
                      <w:color w:val="FF0000"/>
                    </w:rPr>
                    <w:t>新建的危废暂存间废矿物油采用密封桶装容器存放，产生少量有机废气（非甲烷总烃）经通风装置外排。</w:t>
                  </w:r>
                </w:p>
              </w:tc>
              <w:tc>
                <w:tcPr>
                  <w:tcW w:w="1006" w:type="pct"/>
                  <w:vAlign w:val="center"/>
                </w:tcPr>
                <w:p>
                  <w:pPr>
                    <w:pStyle w:val="33"/>
                  </w:pPr>
                  <w:r>
                    <w:rPr>
                      <w:rFonts w:hint="eastAsi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Align w:val="center"/>
                </w:tcPr>
                <w:p>
                  <w:pPr>
                    <w:pStyle w:val="33"/>
                  </w:pPr>
                  <w:r>
                    <w:rPr>
                      <w:rFonts w:hint="eastAsia"/>
                    </w:rPr>
                    <w:t>噪声</w:t>
                  </w:r>
                </w:p>
              </w:tc>
              <w:tc>
                <w:tcPr>
                  <w:tcW w:w="2925" w:type="pct"/>
                  <w:gridSpan w:val="2"/>
                  <w:vAlign w:val="center"/>
                </w:tcPr>
                <w:p>
                  <w:pPr>
                    <w:pStyle w:val="33"/>
                  </w:pPr>
                  <w:r>
                    <w:rPr>
                      <w:rFonts w:hint="eastAsia"/>
                    </w:rPr>
                    <w:t>安装减振、建筑隔声等降噪措施</w:t>
                  </w:r>
                </w:p>
              </w:tc>
              <w:tc>
                <w:tcPr>
                  <w:tcW w:w="1006" w:type="pct"/>
                  <w:vAlign w:val="center"/>
                </w:tcPr>
                <w:p>
                  <w:pPr>
                    <w:pStyle w:val="33"/>
                  </w:pPr>
                  <w:r>
                    <w:rPr>
                      <w:rFonts w:hint="eastAsi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restart"/>
                  <w:vAlign w:val="center"/>
                </w:tcPr>
                <w:p>
                  <w:pPr>
                    <w:pStyle w:val="33"/>
                  </w:pPr>
                  <w:r>
                    <w:t>固废</w:t>
                  </w:r>
                </w:p>
              </w:tc>
              <w:tc>
                <w:tcPr>
                  <w:tcW w:w="2925" w:type="pct"/>
                  <w:gridSpan w:val="2"/>
                  <w:vAlign w:val="center"/>
                </w:tcPr>
                <w:p>
                  <w:pPr>
                    <w:pStyle w:val="33"/>
                  </w:pPr>
                  <w:r>
                    <w:rPr>
                      <w:rFonts w:hint="eastAsia"/>
                    </w:rPr>
                    <w:t>在现有厂区东南侧（1</w:t>
                  </w:r>
                  <w:r>
                    <w:t>~6</w:t>
                  </w:r>
                  <w:r>
                    <w:rPr>
                      <w:rFonts w:hint="eastAsia"/>
                    </w:rPr>
                    <w:t>分区）新建一座1</w:t>
                  </w:r>
                  <w:r>
                    <w:t>0</w:t>
                  </w:r>
                  <w:r>
                    <w:rPr>
                      <w:rFonts w:hint="eastAsia"/>
                    </w:rPr>
                    <w:t>m</w:t>
                  </w:r>
                  <w:r>
                    <w:rPr>
                      <w:vertAlign w:val="superscript"/>
                    </w:rPr>
                    <w:t>2</w:t>
                  </w:r>
                  <w:r>
                    <w:rPr>
                      <w:rFonts w:hint="eastAsia"/>
                    </w:rPr>
                    <w:t xml:space="preserve"> 的危废暂存间，用于暂存废钢铁回收时产生的废矿物油，</w:t>
                  </w:r>
                  <w:r>
                    <w:rPr>
                      <w:rFonts w:hint="eastAsia"/>
                      <w:color w:val="FF0000"/>
                    </w:rPr>
                    <w:t>地面、裙脚等基础设施必须防渗，防渗层为2mm厚高密度聚乙烯，渗透系数≤10</w:t>
                  </w:r>
                  <w:r>
                    <w:rPr>
                      <w:rFonts w:hint="eastAsia"/>
                      <w:color w:val="FF0000"/>
                      <w:vertAlign w:val="superscript"/>
                    </w:rPr>
                    <w:t>-10</w:t>
                  </w:r>
                  <w:r>
                    <w:rPr>
                      <w:rFonts w:hint="eastAsia"/>
                      <w:color w:val="FF0000"/>
                    </w:rPr>
                    <w:t>cm/s。</w:t>
                  </w:r>
                </w:p>
              </w:tc>
              <w:tc>
                <w:tcPr>
                  <w:tcW w:w="1006" w:type="pct"/>
                  <w:vAlign w:val="center"/>
                </w:tcPr>
                <w:p>
                  <w:pPr>
                    <w:pStyle w:val="33"/>
                  </w:pPr>
                  <w:r>
                    <w:rPr>
                      <w:rFonts w:hint="eastAsia"/>
                    </w:rPr>
                    <w:t>新建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23" w:type="pct"/>
                  <w:vMerge w:val="continue"/>
                  <w:vAlign w:val="center"/>
                </w:tcPr>
                <w:p>
                  <w:pPr>
                    <w:pStyle w:val="33"/>
                  </w:pPr>
                </w:p>
              </w:tc>
              <w:tc>
                <w:tcPr>
                  <w:tcW w:w="746" w:type="pct"/>
                  <w:vMerge w:val="continue"/>
                  <w:vAlign w:val="center"/>
                </w:tcPr>
                <w:p>
                  <w:pPr>
                    <w:pStyle w:val="33"/>
                  </w:pPr>
                </w:p>
              </w:tc>
              <w:tc>
                <w:tcPr>
                  <w:tcW w:w="2925" w:type="pct"/>
                  <w:gridSpan w:val="2"/>
                  <w:vAlign w:val="center"/>
                </w:tcPr>
                <w:p>
                  <w:pPr>
                    <w:pStyle w:val="33"/>
                    <w:rPr>
                      <w:color w:val="FF0000"/>
                    </w:rPr>
                  </w:pPr>
                  <w:r>
                    <w:rPr>
                      <w:rFonts w:hint="eastAsia"/>
                      <w:color w:val="FF0000"/>
                    </w:rPr>
                    <w:t>沉淀池产生沉渣（主要为泥土），定期清掏，自然晾干后定期拉运至周边砖厂综合利用</w:t>
                  </w:r>
                </w:p>
              </w:tc>
              <w:tc>
                <w:tcPr>
                  <w:tcW w:w="1006" w:type="pct"/>
                  <w:vAlign w:val="center"/>
                </w:tcPr>
                <w:p>
                  <w:pPr>
                    <w:pStyle w:val="33"/>
                  </w:pPr>
                  <w:r>
                    <w:rPr>
                      <w:rFonts w:hint="eastAsia"/>
                    </w:rPr>
                    <w:t>/</w:t>
                  </w:r>
                </w:p>
              </w:tc>
            </w:tr>
            <w:bookmarkEnd w:id="6"/>
            <w:bookmarkEnd w:id="7"/>
          </w:tbl>
          <w:p>
            <w:pPr>
              <w:ind w:firstLine="482"/>
              <w:rPr>
                <w:b/>
                <w:bCs/>
              </w:rPr>
            </w:pPr>
            <w:r>
              <w:rPr>
                <w:rFonts w:hint="eastAsia"/>
                <w:b/>
                <w:bCs/>
              </w:rPr>
              <w:t>4、</w:t>
            </w:r>
            <w:r>
              <w:rPr>
                <w:b/>
                <w:bCs/>
              </w:rPr>
              <w:t>厂区平面布置</w:t>
            </w:r>
          </w:p>
          <w:p>
            <w:pPr>
              <w:ind w:firstLine="480"/>
            </w:pPr>
            <w:r>
              <w:rPr>
                <w:rFonts w:hint="eastAsia"/>
              </w:rPr>
              <w:t>项目平面布置自东向西依次为1</w:t>
            </w:r>
            <w:r>
              <w:t>-6</w:t>
            </w:r>
            <w:r>
              <w:rPr>
                <w:rFonts w:hint="eastAsia"/>
              </w:rPr>
              <w:t>分区（废钢铁回收区）、7</w:t>
            </w:r>
            <w:r>
              <w:t>~18</w:t>
            </w:r>
            <w:r>
              <w:rPr>
                <w:rFonts w:hint="eastAsia"/>
              </w:rPr>
              <w:t>分区（废塑料废纸回收区）、1</w:t>
            </w:r>
            <w:r>
              <w:t>9</w:t>
            </w:r>
            <w:r>
              <w:rPr>
                <w:rFonts w:hint="eastAsia"/>
              </w:rPr>
              <w:t>分区（废家电等回收区）、2</w:t>
            </w:r>
            <w:r>
              <w:t>0</w:t>
            </w:r>
            <w:r>
              <w:rPr>
                <w:rFonts w:hint="eastAsia"/>
              </w:rPr>
              <w:t>分区（废骨头废动植物油回收区）、2</w:t>
            </w:r>
            <w:r>
              <w:t>1</w:t>
            </w:r>
            <w:r>
              <w:rPr>
                <w:rFonts w:hint="eastAsia"/>
              </w:rPr>
              <w:t>分区（废塑料回收区）。具体平面布置图见附图</w:t>
            </w:r>
            <w:r>
              <w:t>3</w:t>
            </w:r>
            <w:r>
              <w:rPr>
                <w:rFonts w:hint="eastAsia"/>
              </w:rPr>
              <w:t>。</w:t>
            </w:r>
          </w:p>
          <w:p>
            <w:pPr>
              <w:ind w:firstLine="482"/>
              <w:rPr>
                <w:b/>
                <w:bCs/>
                <w:color w:val="FF0000"/>
              </w:rPr>
            </w:pPr>
            <w:bookmarkStart w:id="8" w:name="_Hlk78296787"/>
            <w:r>
              <w:rPr>
                <w:rFonts w:hint="eastAsia"/>
                <w:b/>
                <w:bCs/>
                <w:color w:val="FF0000"/>
              </w:rPr>
              <w:t>5、产品方案</w:t>
            </w:r>
          </w:p>
          <w:p>
            <w:pPr>
              <w:ind w:firstLine="480"/>
              <w:rPr>
                <w:color w:val="FF0000"/>
              </w:rPr>
            </w:pPr>
            <w:r>
              <w:rPr>
                <w:rFonts w:hint="eastAsia"/>
                <w:color w:val="FF0000"/>
              </w:rPr>
              <w:t>本项目产品方案详见下表。</w:t>
            </w:r>
          </w:p>
          <w:p>
            <w:pPr>
              <w:pStyle w:val="35"/>
              <w:rPr>
                <w:color w:val="FF0000"/>
              </w:rPr>
            </w:pPr>
            <w:bookmarkStart w:id="9" w:name="_Hlk71220028"/>
            <w:r>
              <w:rPr>
                <w:color w:val="FF0000"/>
              </w:rPr>
              <w:t>表2-</w:t>
            </w:r>
            <w:r>
              <w:rPr>
                <w:rFonts w:hint="eastAsia"/>
                <w:color w:val="FF0000"/>
              </w:rPr>
              <w:t>2  产品方案一览表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21"/>
              <w:gridCol w:w="2096"/>
              <w:gridCol w:w="3236"/>
              <w:gridCol w:w="1152"/>
              <w:gridCol w:w="114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b/>
                      <w:bCs/>
                      <w:color w:val="FF0000"/>
                    </w:rPr>
                  </w:pPr>
                  <w:r>
                    <w:rPr>
                      <w:rFonts w:hint="eastAsia"/>
                      <w:b/>
                      <w:bCs/>
                      <w:color w:val="FF0000"/>
                    </w:rPr>
                    <w:t>序号</w:t>
                  </w:r>
                </w:p>
              </w:tc>
              <w:tc>
                <w:tcPr>
                  <w:tcW w:w="3157" w:type="pct"/>
                  <w:gridSpan w:val="2"/>
                  <w:vAlign w:val="center"/>
                </w:tcPr>
                <w:p>
                  <w:pPr>
                    <w:pStyle w:val="33"/>
                    <w:rPr>
                      <w:b/>
                      <w:bCs/>
                      <w:color w:val="FF0000"/>
                    </w:rPr>
                  </w:pPr>
                  <w:r>
                    <w:rPr>
                      <w:rFonts w:hint="eastAsia"/>
                      <w:b/>
                      <w:bCs/>
                      <w:color w:val="FF0000"/>
                    </w:rPr>
                    <w:t>产品名称</w:t>
                  </w:r>
                </w:p>
              </w:tc>
              <w:tc>
                <w:tcPr>
                  <w:tcW w:w="682" w:type="pct"/>
                  <w:vAlign w:val="center"/>
                </w:tcPr>
                <w:p>
                  <w:pPr>
                    <w:pStyle w:val="33"/>
                    <w:rPr>
                      <w:b/>
                      <w:bCs/>
                      <w:color w:val="FF0000"/>
                    </w:rPr>
                  </w:pPr>
                  <w:r>
                    <w:rPr>
                      <w:rFonts w:hint="eastAsia"/>
                      <w:b/>
                      <w:bCs/>
                      <w:color w:val="FF0000"/>
                    </w:rPr>
                    <w:t>单位</w:t>
                  </w:r>
                </w:p>
              </w:tc>
              <w:tc>
                <w:tcPr>
                  <w:tcW w:w="675" w:type="pct"/>
                  <w:vAlign w:val="center"/>
                </w:tcPr>
                <w:p>
                  <w:pPr>
                    <w:pStyle w:val="33"/>
                    <w:rPr>
                      <w:b/>
                      <w:bCs/>
                      <w:color w:val="FF0000"/>
                    </w:rPr>
                  </w:pPr>
                  <w:r>
                    <w:rPr>
                      <w:rFonts w:hint="eastAsia"/>
                      <w:b/>
                      <w:bCs/>
                      <w:color w:val="FF0000"/>
                    </w:rPr>
                    <w:t>数量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Merge w:val="restart"/>
                  <w:vAlign w:val="center"/>
                </w:tcPr>
                <w:p>
                  <w:pPr>
                    <w:pStyle w:val="33"/>
                    <w:rPr>
                      <w:color w:val="FF0000"/>
                    </w:rPr>
                  </w:pPr>
                  <w:r>
                    <w:rPr>
                      <w:rFonts w:hint="eastAsia"/>
                      <w:color w:val="FF0000"/>
                    </w:rPr>
                    <w:t>1</w:t>
                  </w:r>
                </w:p>
              </w:tc>
              <w:tc>
                <w:tcPr>
                  <w:tcW w:w="1241" w:type="pct"/>
                  <w:vMerge w:val="restart"/>
                  <w:vAlign w:val="center"/>
                </w:tcPr>
                <w:p>
                  <w:pPr>
                    <w:pStyle w:val="33"/>
                    <w:rPr>
                      <w:color w:val="FF0000"/>
                    </w:rPr>
                  </w:pPr>
                  <w:r>
                    <w:rPr>
                      <w:rFonts w:hint="eastAsia"/>
                      <w:color w:val="FF0000"/>
                    </w:rPr>
                    <w:t>塑料工业基础原料</w:t>
                  </w:r>
                </w:p>
              </w:tc>
              <w:tc>
                <w:tcPr>
                  <w:tcW w:w="1916" w:type="pct"/>
                  <w:vAlign w:val="center"/>
                </w:tcPr>
                <w:p>
                  <w:pPr>
                    <w:pStyle w:val="33"/>
                    <w:rPr>
                      <w:color w:val="FF0000"/>
                    </w:rPr>
                  </w:pPr>
                  <w:r>
                    <w:rPr>
                      <w:rFonts w:hint="eastAsia"/>
                      <w:color w:val="FF0000"/>
                    </w:rPr>
                    <w:t>塑料颗粒</w:t>
                  </w:r>
                </w:p>
              </w:tc>
              <w:tc>
                <w:tcPr>
                  <w:tcW w:w="682" w:type="pct"/>
                  <w:vAlign w:val="center"/>
                </w:tcPr>
                <w:p>
                  <w:pPr>
                    <w:pStyle w:val="33"/>
                    <w:rPr>
                      <w:color w:val="FF0000"/>
                    </w:rPr>
                  </w:pPr>
                  <w:r>
                    <w:rPr>
                      <w:rFonts w:hint="eastAsia"/>
                      <w:color w:val="FF0000"/>
                    </w:rPr>
                    <w:t>万吨/年</w:t>
                  </w:r>
                </w:p>
              </w:tc>
              <w:tc>
                <w:tcPr>
                  <w:tcW w:w="675" w:type="pct"/>
                  <w:vAlign w:val="center"/>
                </w:tcPr>
                <w:p>
                  <w:pPr>
                    <w:pStyle w:val="33"/>
                    <w:rPr>
                      <w:color w:val="FF0000"/>
                    </w:rPr>
                  </w:pPr>
                  <w:r>
                    <w:rPr>
                      <w:color w:val="FF0000"/>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Merge w:val="continue"/>
                  <w:vAlign w:val="center"/>
                </w:tcPr>
                <w:p>
                  <w:pPr>
                    <w:pStyle w:val="33"/>
                    <w:rPr>
                      <w:color w:val="FF0000"/>
                    </w:rPr>
                  </w:pPr>
                </w:p>
              </w:tc>
              <w:tc>
                <w:tcPr>
                  <w:tcW w:w="1241" w:type="pct"/>
                  <w:vMerge w:val="continue"/>
                  <w:vAlign w:val="center"/>
                </w:tcPr>
                <w:p>
                  <w:pPr>
                    <w:pStyle w:val="33"/>
                    <w:rPr>
                      <w:color w:val="FF0000"/>
                    </w:rPr>
                  </w:pPr>
                </w:p>
              </w:tc>
              <w:tc>
                <w:tcPr>
                  <w:tcW w:w="1916" w:type="pct"/>
                  <w:vAlign w:val="center"/>
                </w:tcPr>
                <w:p>
                  <w:pPr>
                    <w:pStyle w:val="33"/>
                    <w:rPr>
                      <w:color w:val="FF0000"/>
                    </w:rPr>
                  </w:pPr>
                  <w:r>
                    <w:rPr>
                      <w:rFonts w:hint="eastAsia"/>
                      <w:color w:val="FF0000"/>
                    </w:rPr>
                    <w:t>废塑料瓶和其他废塑料打包压缩</w:t>
                  </w:r>
                </w:p>
              </w:tc>
              <w:tc>
                <w:tcPr>
                  <w:tcW w:w="682" w:type="pct"/>
                  <w:vAlign w:val="center"/>
                </w:tcPr>
                <w:p>
                  <w:pPr>
                    <w:pStyle w:val="33"/>
                    <w:rPr>
                      <w:color w:val="FF0000"/>
                    </w:rPr>
                  </w:pPr>
                  <w:r>
                    <w:rPr>
                      <w:rFonts w:hint="eastAsia"/>
                      <w:color w:val="FF0000"/>
                    </w:rPr>
                    <w:t>万吨/年</w:t>
                  </w:r>
                </w:p>
              </w:tc>
              <w:tc>
                <w:tcPr>
                  <w:tcW w:w="675" w:type="pct"/>
                  <w:vAlign w:val="center"/>
                </w:tcPr>
                <w:p>
                  <w:pPr>
                    <w:pStyle w:val="33"/>
                    <w:rPr>
                      <w:color w:val="FF0000"/>
                    </w:rPr>
                  </w:pPr>
                  <w:r>
                    <w:rPr>
                      <w:rFonts w:hint="eastAsia"/>
                      <w:color w:val="FF0000"/>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2</w:t>
                  </w:r>
                </w:p>
              </w:tc>
              <w:tc>
                <w:tcPr>
                  <w:tcW w:w="3157" w:type="pct"/>
                  <w:gridSpan w:val="2"/>
                  <w:vAlign w:val="center"/>
                </w:tcPr>
                <w:p>
                  <w:pPr>
                    <w:pStyle w:val="33"/>
                    <w:rPr>
                      <w:color w:val="FF0000"/>
                    </w:rPr>
                  </w:pPr>
                  <w:r>
                    <w:rPr>
                      <w:rFonts w:hint="eastAsia"/>
                      <w:color w:val="FF0000"/>
                    </w:rPr>
                    <w:t>再生钢铁工业基础原料（中型）</w:t>
                  </w:r>
                </w:p>
              </w:tc>
              <w:tc>
                <w:tcPr>
                  <w:tcW w:w="682" w:type="pct"/>
                  <w:vAlign w:val="center"/>
                </w:tcPr>
                <w:p>
                  <w:pPr>
                    <w:pStyle w:val="33"/>
                    <w:rPr>
                      <w:color w:val="FF0000"/>
                    </w:rPr>
                  </w:pPr>
                  <w:r>
                    <w:rPr>
                      <w:rFonts w:hint="eastAsia"/>
                      <w:color w:val="FF0000"/>
                    </w:rPr>
                    <w:t>万吨/年</w:t>
                  </w:r>
                </w:p>
              </w:tc>
              <w:tc>
                <w:tcPr>
                  <w:tcW w:w="675" w:type="pct"/>
                  <w:vAlign w:val="center"/>
                </w:tcPr>
                <w:p>
                  <w:pPr>
                    <w:pStyle w:val="33"/>
                    <w:rPr>
                      <w:color w:val="FF0000"/>
                    </w:rPr>
                  </w:pPr>
                  <w:r>
                    <w:rPr>
                      <w:color w:val="FF0000"/>
                    </w:rPr>
                    <w:t>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3</w:t>
                  </w:r>
                </w:p>
              </w:tc>
              <w:tc>
                <w:tcPr>
                  <w:tcW w:w="3157" w:type="pct"/>
                  <w:gridSpan w:val="2"/>
                  <w:vAlign w:val="center"/>
                </w:tcPr>
                <w:p>
                  <w:pPr>
                    <w:pStyle w:val="33"/>
                    <w:rPr>
                      <w:color w:val="FF0000"/>
                    </w:rPr>
                  </w:pPr>
                  <w:r>
                    <w:rPr>
                      <w:rFonts w:hint="eastAsia"/>
                      <w:color w:val="FF0000"/>
                    </w:rPr>
                    <w:t>再生纸基础原料</w:t>
                  </w:r>
                </w:p>
              </w:tc>
              <w:tc>
                <w:tcPr>
                  <w:tcW w:w="682" w:type="pct"/>
                  <w:vAlign w:val="center"/>
                </w:tcPr>
                <w:p>
                  <w:pPr>
                    <w:pStyle w:val="33"/>
                    <w:rPr>
                      <w:color w:val="FF0000"/>
                    </w:rPr>
                  </w:pPr>
                  <w:r>
                    <w:rPr>
                      <w:rFonts w:hint="eastAsia"/>
                      <w:color w:val="FF0000"/>
                    </w:rPr>
                    <w:t>万吨/年</w:t>
                  </w:r>
                </w:p>
              </w:tc>
              <w:tc>
                <w:tcPr>
                  <w:tcW w:w="675" w:type="pct"/>
                  <w:vAlign w:val="center"/>
                </w:tcPr>
                <w:p>
                  <w:pPr>
                    <w:pStyle w:val="33"/>
                    <w:rPr>
                      <w:color w:val="FF0000"/>
                    </w:rPr>
                  </w:pPr>
                  <w:r>
                    <w:rPr>
                      <w:color w:val="FF0000"/>
                      <w:sz w:val="24"/>
                    </w:rPr>
                    <w:t>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4</w:t>
                  </w:r>
                </w:p>
              </w:tc>
              <w:tc>
                <w:tcPr>
                  <w:tcW w:w="3157" w:type="pct"/>
                  <w:gridSpan w:val="2"/>
                  <w:vAlign w:val="center"/>
                </w:tcPr>
                <w:p>
                  <w:pPr>
                    <w:pStyle w:val="33"/>
                    <w:rPr>
                      <w:color w:val="FF0000"/>
                    </w:rPr>
                  </w:pPr>
                  <w:r>
                    <w:rPr>
                      <w:rFonts w:hint="eastAsia"/>
                      <w:color w:val="FF0000"/>
                    </w:rPr>
                    <w:t xml:space="preserve">废电视机 </w:t>
                  </w:r>
                </w:p>
              </w:tc>
              <w:tc>
                <w:tcPr>
                  <w:tcW w:w="682" w:type="pct"/>
                  <w:vAlign w:val="center"/>
                </w:tcPr>
                <w:p>
                  <w:pPr>
                    <w:pStyle w:val="33"/>
                    <w:rPr>
                      <w:color w:val="FF0000"/>
                    </w:rPr>
                  </w:pPr>
                  <w:r>
                    <w:rPr>
                      <w:rFonts w:hint="eastAsia"/>
                      <w:color w:val="FF0000"/>
                    </w:rPr>
                    <w:t>台/年</w:t>
                  </w:r>
                </w:p>
              </w:tc>
              <w:tc>
                <w:tcPr>
                  <w:tcW w:w="675" w:type="pct"/>
                  <w:vAlign w:val="center"/>
                </w:tcPr>
                <w:p>
                  <w:pPr>
                    <w:pStyle w:val="33"/>
                    <w:rPr>
                      <w:color w:val="FF0000"/>
                      <w:sz w:val="24"/>
                    </w:rPr>
                  </w:pPr>
                  <w:r>
                    <w:rPr>
                      <w:rFonts w:hint="eastAsia"/>
                      <w:color w:val="FF0000"/>
                    </w:rPr>
                    <w:t>2000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5</w:t>
                  </w:r>
                </w:p>
              </w:tc>
              <w:tc>
                <w:tcPr>
                  <w:tcW w:w="3157" w:type="pct"/>
                  <w:gridSpan w:val="2"/>
                  <w:vAlign w:val="center"/>
                </w:tcPr>
                <w:p>
                  <w:pPr>
                    <w:pStyle w:val="33"/>
                    <w:rPr>
                      <w:color w:val="FF0000"/>
                    </w:rPr>
                  </w:pPr>
                  <w:r>
                    <w:rPr>
                      <w:rFonts w:hint="eastAsia"/>
                      <w:color w:val="FF0000"/>
                    </w:rPr>
                    <w:t xml:space="preserve">洗衣机 </w:t>
                  </w:r>
                </w:p>
              </w:tc>
              <w:tc>
                <w:tcPr>
                  <w:tcW w:w="682" w:type="pct"/>
                  <w:vAlign w:val="center"/>
                </w:tcPr>
                <w:p>
                  <w:pPr>
                    <w:pStyle w:val="33"/>
                    <w:rPr>
                      <w:color w:val="FF0000"/>
                    </w:rPr>
                  </w:pPr>
                  <w:r>
                    <w:rPr>
                      <w:rFonts w:hint="eastAsia"/>
                      <w:color w:val="FF0000"/>
                    </w:rPr>
                    <w:t>台/年</w:t>
                  </w:r>
                </w:p>
              </w:tc>
              <w:tc>
                <w:tcPr>
                  <w:tcW w:w="675" w:type="pct"/>
                  <w:vAlign w:val="center"/>
                </w:tcPr>
                <w:p>
                  <w:pPr>
                    <w:pStyle w:val="33"/>
                    <w:rPr>
                      <w:color w:val="FF0000"/>
                      <w:sz w:val="24"/>
                    </w:rPr>
                  </w:pPr>
                  <w:r>
                    <w:rPr>
                      <w:rFonts w:hint="eastAsia"/>
                      <w:color w:val="FF0000"/>
                    </w:rPr>
                    <w:t>2000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6</w:t>
                  </w:r>
                </w:p>
              </w:tc>
              <w:tc>
                <w:tcPr>
                  <w:tcW w:w="3157" w:type="pct"/>
                  <w:gridSpan w:val="2"/>
                  <w:vAlign w:val="center"/>
                </w:tcPr>
                <w:p>
                  <w:pPr>
                    <w:pStyle w:val="33"/>
                    <w:rPr>
                      <w:color w:val="FF0000"/>
                    </w:rPr>
                  </w:pPr>
                  <w:r>
                    <w:rPr>
                      <w:rFonts w:hint="eastAsia"/>
                      <w:color w:val="FF0000"/>
                    </w:rPr>
                    <w:t>旧冰箱</w:t>
                  </w:r>
                </w:p>
              </w:tc>
              <w:tc>
                <w:tcPr>
                  <w:tcW w:w="682" w:type="pct"/>
                  <w:vAlign w:val="center"/>
                </w:tcPr>
                <w:p>
                  <w:pPr>
                    <w:pStyle w:val="33"/>
                    <w:rPr>
                      <w:color w:val="FF0000"/>
                    </w:rPr>
                  </w:pPr>
                  <w:r>
                    <w:rPr>
                      <w:rFonts w:hint="eastAsia"/>
                      <w:color w:val="FF0000"/>
                    </w:rPr>
                    <w:t>台/年</w:t>
                  </w:r>
                </w:p>
              </w:tc>
              <w:tc>
                <w:tcPr>
                  <w:tcW w:w="675" w:type="pct"/>
                  <w:vAlign w:val="center"/>
                </w:tcPr>
                <w:p>
                  <w:pPr>
                    <w:pStyle w:val="33"/>
                    <w:rPr>
                      <w:color w:val="FF0000"/>
                    </w:rPr>
                  </w:pPr>
                  <w:r>
                    <w:rPr>
                      <w:rFonts w:hint="eastAsia"/>
                      <w:color w:val="FF0000"/>
                    </w:rPr>
                    <w:t>1000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7</w:t>
                  </w:r>
                </w:p>
              </w:tc>
              <w:tc>
                <w:tcPr>
                  <w:tcW w:w="3157" w:type="pct"/>
                  <w:gridSpan w:val="2"/>
                  <w:vAlign w:val="center"/>
                </w:tcPr>
                <w:p>
                  <w:pPr>
                    <w:pStyle w:val="33"/>
                    <w:rPr>
                      <w:color w:val="FF0000"/>
                    </w:rPr>
                  </w:pPr>
                  <w:r>
                    <w:rPr>
                      <w:rFonts w:hint="eastAsia"/>
                      <w:color w:val="FF0000"/>
                    </w:rPr>
                    <w:t>旧电脑</w:t>
                  </w:r>
                </w:p>
              </w:tc>
              <w:tc>
                <w:tcPr>
                  <w:tcW w:w="682" w:type="pct"/>
                  <w:vAlign w:val="center"/>
                </w:tcPr>
                <w:p>
                  <w:pPr>
                    <w:pStyle w:val="33"/>
                    <w:rPr>
                      <w:color w:val="FF0000"/>
                    </w:rPr>
                  </w:pPr>
                  <w:r>
                    <w:rPr>
                      <w:rFonts w:hint="eastAsia"/>
                      <w:color w:val="FF0000"/>
                    </w:rPr>
                    <w:t>台/年</w:t>
                  </w:r>
                </w:p>
              </w:tc>
              <w:tc>
                <w:tcPr>
                  <w:tcW w:w="675" w:type="pct"/>
                  <w:vAlign w:val="center"/>
                </w:tcPr>
                <w:p>
                  <w:pPr>
                    <w:pStyle w:val="33"/>
                    <w:rPr>
                      <w:color w:val="FF0000"/>
                    </w:rPr>
                  </w:pPr>
                  <w:r>
                    <w:rPr>
                      <w:rFonts w:hint="eastAsia"/>
                      <w:color w:val="FF0000"/>
                    </w:rPr>
                    <w:t>600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8</w:t>
                  </w:r>
                </w:p>
              </w:tc>
              <w:tc>
                <w:tcPr>
                  <w:tcW w:w="3157" w:type="pct"/>
                  <w:gridSpan w:val="2"/>
                  <w:vAlign w:val="center"/>
                </w:tcPr>
                <w:p>
                  <w:pPr>
                    <w:pStyle w:val="33"/>
                    <w:rPr>
                      <w:color w:val="FF0000"/>
                    </w:rPr>
                  </w:pPr>
                  <w:r>
                    <w:rPr>
                      <w:rFonts w:hint="eastAsia"/>
                      <w:color w:val="FF0000"/>
                    </w:rPr>
                    <w:t>废骨头</w:t>
                  </w:r>
                </w:p>
              </w:tc>
              <w:tc>
                <w:tcPr>
                  <w:tcW w:w="682" w:type="pct"/>
                  <w:vAlign w:val="center"/>
                </w:tcPr>
                <w:p>
                  <w:pPr>
                    <w:pStyle w:val="33"/>
                    <w:rPr>
                      <w:color w:val="FF0000"/>
                    </w:rPr>
                  </w:pPr>
                  <w:r>
                    <w:rPr>
                      <w:rFonts w:hint="eastAsia"/>
                      <w:color w:val="FF0000"/>
                    </w:rPr>
                    <w:t>吨/年</w:t>
                  </w:r>
                </w:p>
              </w:tc>
              <w:tc>
                <w:tcPr>
                  <w:tcW w:w="675" w:type="pct"/>
                  <w:vAlign w:val="center"/>
                </w:tcPr>
                <w:p>
                  <w:pPr>
                    <w:pStyle w:val="33"/>
                    <w:rPr>
                      <w:color w:val="FF0000"/>
                      <w:sz w:val="24"/>
                    </w:rPr>
                  </w:pPr>
                  <w:r>
                    <w:rPr>
                      <w:rFonts w:hint="eastAsia"/>
                      <w:color w:val="FF0000"/>
                      <w:sz w:val="24"/>
                    </w:rPr>
                    <w:t>4</w:t>
                  </w:r>
                  <w:r>
                    <w:rPr>
                      <w:color w:val="FF0000"/>
                      <w:sz w:val="24"/>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vAlign w:val="center"/>
                </w:tcPr>
                <w:p>
                  <w:pPr>
                    <w:pStyle w:val="33"/>
                    <w:rPr>
                      <w:color w:val="FF0000"/>
                    </w:rPr>
                  </w:pPr>
                  <w:r>
                    <w:rPr>
                      <w:rFonts w:hint="eastAsia"/>
                      <w:color w:val="FF0000"/>
                    </w:rPr>
                    <w:t>9</w:t>
                  </w:r>
                </w:p>
              </w:tc>
              <w:tc>
                <w:tcPr>
                  <w:tcW w:w="3157" w:type="pct"/>
                  <w:gridSpan w:val="2"/>
                  <w:vAlign w:val="center"/>
                </w:tcPr>
                <w:p>
                  <w:pPr>
                    <w:pStyle w:val="33"/>
                    <w:rPr>
                      <w:color w:val="FF0000"/>
                    </w:rPr>
                  </w:pPr>
                  <w:r>
                    <w:rPr>
                      <w:rFonts w:hint="eastAsia"/>
                      <w:color w:val="FF0000"/>
                    </w:rPr>
                    <w:t>废动物油</w:t>
                  </w:r>
                </w:p>
              </w:tc>
              <w:tc>
                <w:tcPr>
                  <w:tcW w:w="682" w:type="pct"/>
                  <w:vAlign w:val="center"/>
                </w:tcPr>
                <w:p>
                  <w:pPr>
                    <w:pStyle w:val="33"/>
                    <w:rPr>
                      <w:color w:val="FF0000"/>
                    </w:rPr>
                  </w:pPr>
                  <w:r>
                    <w:rPr>
                      <w:rFonts w:hint="eastAsia"/>
                      <w:color w:val="FF0000"/>
                    </w:rPr>
                    <w:t>吨/年</w:t>
                  </w:r>
                </w:p>
              </w:tc>
              <w:tc>
                <w:tcPr>
                  <w:tcW w:w="675" w:type="pct"/>
                  <w:vAlign w:val="center"/>
                </w:tcPr>
                <w:p>
                  <w:pPr>
                    <w:pStyle w:val="33"/>
                    <w:rPr>
                      <w:color w:val="FF0000"/>
                      <w:sz w:val="24"/>
                    </w:rPr>
                  </w:pPr>
                  <w:r>
                    <w:rPr>
                      <w:rFonts w:hint="eastAsia"/>
                      <w:color w:val="FF0000"/>
                      <w:sz w:val="24"/>
                    </w:rPr>
                    <w:t>5</w:t>
                  </w:r>
                </w:p>
              </w:tc>
            </w:tr>
            <w:bookmarkEnd w:id="8"/>
            <w:bookmarkEnd w:id="9"/>
          </w:tbl>
          <w:p>
            <w:pPr>
              <w:ind w:firstLine="482"/>
              <w:rPr>
                <w:b/>
                <w:bCs/>
              </w:rPr>
            </w:pPr>
            <w:r>
              <w:rPr>
                <w:b/>
                <w:bCs/>
              </w:rPr>
              <w:t>6</w:t>
            </w:r>
            <w:r>
              <w:rPr>
                <w:rFonts w:hint="eastAsia"/>
                <w:b/>
                <w:bCs/>
              </w:rPr>
              <w:t>、</w:t>
            </w:r>
            <w:r>
              <w:rPr>
                <w:b/>
                <w:bCs/>
              </w:rPr>
              <w:t>主要原辅材料</w:t>
            </w:r>
          </w:p>
          <w:p>
            <w:pPr>
              <w:ind w:firstLine="480"/>
            </w:pPr>
            <w:r>
              <w:rPr>
                <w:rFonts w:hint="eastAsia"/>
              </w:rPr>
              <w:t>本项目原辅材料及能源消耗具体情况详见下表。</w:t>
            </w:r>
          </w:p>
          <w:p>
            <w:pPr>
              <w:pStyle w:val="35"/>
            </w:pPr>
            <w:bookmarkStart w:id="10" w:name="_Hlk71203583"/>
            <w:r>
              <w:t>表2-3</w:t>
            </w:r>
            <w:r>
              <w:rPr>
                <w:rFonts w:hint="eastAsia"/>
              </w:rPr>
              <w:t xml:space="preserve">    原辅材料及能源</w:t>
            </w:r>
            <w:r>
              <w:t>消耗情况</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21"/>
              <w:gridCol w:w="1476"/>
              <w:gridCol w:w="2881"/>
              <w:gridCol w:w="1966"/>
              <w:gridCol w:w="13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shd w:val="clear" w:color="auto" w:fill="auto"/>
                  <w:vAlign w:val="center"/>
                </w:tcPr>
                <w:p>
                  <w:pPr>
                    <w:pStyle w:val="33"/>
                    <w:rPr>
                      <w:b/>
                      <w:bCs/>
                    </w:rPr>
                  </w:pPr>
                  <w:r>
                    <w:rPr>
                      <w:b/>
                      <w:bCs/>
                    </w:rPr>
                    <w:t>序号</w:t>
                  </w:r>
                </w:p>
              </w:tc>
              <w:tc>
                <w:tcPr>
                  <w:tcW w:w="874" w:type="pct"/>
                  <w:shd w:val="clear" w:color="auto" w:fill="auto"/>
                  <w:vAlign w:val="center"/>
                </w:tcPr>
                <w:p>
                  <w:pPr>
                    <w:pStyle w:val="33"/>
                    <w:rPr>
                      <w:b/>
                      <w:bCs/>
                    </w:rPr>
                  </w:pPr>
                  <w:r>
                    <w:rPr>
                      <w:b/>
                      <w:bCs/>
                    </w:rPr>
                    <w:t>名称</w:t>
                  </w:r>
                </w:p>
              </w:tc>
              <w:tc>
                <w:tcPr>
                  <w:tcW w:w="1706" w:type="pct"/>
                  <w:shd w:val="clear" w:color="auto" w:fill="auto"/>
                  <w:vAlign w:val="center"/>
                </w:tcPr>
                <w:p>
                  <w:pPr>
                    <w:pStyle w:val="33"/>
                    <w:rPr>
                      <w:b/>
                      <w:bCs/>
                    </w:rPr>
                  </w:pPr>
                  <w:r>
                    <w:rPr>
                      <w:rFonts w:hint="eastAsia"/>
                      <w:b/>
                      <w:bCs/>
                    </w:rPr>
                    <w:t>年耗量（t</w:t>
                  </w:r>
                  <w:r>
                    <w:rPr>
                      <w:b/>
                      <w:bCs/>
                    </w:rPr>
                    <w:t>/a</w:t>
                  </w:r>
                  <w:r>
                    <w:rPr>
                      <w:rFonts w:hint="eastAsia"/>
                      <w:b/>
                      <w:bCs/>
                    </w:rPr>
                    <w:t>）</w:t>
                  </w:r>
                </w:p>
              </w:tc>
              <w:tc>
                <w:tcPr>
                  <w:tcW w:w="1164" w:type="pct"/>
                  <w:shd w:val="clear" w:color="auto" w:fill="auto"/>
                  <w:vAlign w:val="center"/>
                </w:tcPr>
                <w:p>
                  <w:pPr>
                    <w:pStyle w:val="33"/>
                    <w:rPr>
                      <w:b/>
                      <w:bCs/>
                    </w:rPr>
                  </w:pPr>
                  <w:r>
                    <w:rPr>
                      <w:rFonts w:hint="eastAsia"/>
                      <w:b/>
                      <w:bCs/>
                    </w:rPr>
                    <w:t>来源</w:t>
                  </w:r>
                </w:p>
              </w:tc>
              <w:tc>
                <w:tcPr>
                  <w:tcW w:w="770" w:type="pct"/>
                  <w:shd w:val="clear" w:color="auto" w:fill="auto"/>
                  <w:vAlign w:val="center"/>
                </w:tcPr>
                <w:p>
                  <w:pPr>
                    <w:pStyle w:val="33"/>
                    <w:rPr>
                      <w:b/>
                      <w:bCs/>
                    </w:rPr>
                  </w:pPr>
                  <w:r>
                    <w:rPr>
                      <w:rFonts w:hint="eastAsia"/>
                      <w:b/>
                      <w:bCs/>
                    </w:rPr>
                    <w:t>运输方式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486" w:type="pct"/>
                  <w:shd w:val="clear" w:color="auto" w:fill="auto"/>
                  <w:vAlign w:val="center"/>
                </w:tcPr>
                <w:p>
                  <w:pPr>
                    <w:pStyle w:val="33"/>
                  </w:pPr>
                  <w:r>
                    <w:t>1</w:t>
                  </w:r>
                </w:p>
              </w:tc>
              <w:tc>
                <w:tcPr>
                  <w:tcW w:w="874" w:type="pct"/>
                  <w:shd w:val="clear" w:color="auto" w:fill="auto"/>
                  <w:vAlign w:val="center"/>
                </w:tcPr>
                <w:p>
                  <w:pPr>
                    <w:pStyle w:val="33"/>
                  </w:pPr>
                  <w:r>
                    <w:rPr>
                      <w:rFonts w:hint="eastAsia"/>
                    </w:rPr>
                    <w:t>废塑料</w:t>
                  </w:r>
                </w:p>
              </w:tc>
              <w:tc>
                <w:tcPr>
                  <w:tcW w:w="1706" w:type="pct"/>
                  <w:shd w:val="clear" w:color="auto" w:fill="auto"/>
                  <w:vAlign w:val="center"/>
                </w:tcPr>
                <w:p>
                  <w:pPr>
                    <w:pStyle w:val="33"/>
                  </w:pPr>
                  <w:r>
                    <w:rPr>
                      <w:rFonts w:hint="eastAsia"/>
                    </w:rPr>
                    <w:t>4</w:t>
                  </w:r>
                  <w:r>
                    <w:t>0000</w:t>
                  </w:r>
                </w:p>
              </w:tc>
              <w:tc>
                <w:tcPr>
                  <w:tcW w:w="1164" w:type="pct"/>
                  <w:shd w:val="clear" w:color="auto" w:fill="auto"/>
                  <w:vAlign w:val="center"/>
                </w:tcPr>
                <w:p>
                  <w:pPr>
                    <w:pStyle w:val="33"/>
                  </w:pPr>
                  <w:r>
                    <w:rPr>
                      <w:rFonts w:hint="eastAsia"/>
                    </w:rPr>
                    <w:t>五原县</w:t>
                  </w:r>
                </w:p>
              </w:tc>
              <w:tc>
                <w:tcPr>
                  <w:tcW w:w="770" w:type="pct"/>
                  <w:shd w:val="clear" w:color="auto" w:fill="auto"/>
                  <w:vAlign w:val="center"/>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90" w:hRule="atLeast"/>
                <w:jc w:val="center"/>
              </w:trPr>
              <w:tc>
                <w:tcPr>
                  <w:tcW w:w="486" w:type="pct"/>
                  <w:shd w:val="clear" w:color="auto" w:fill="auto"/>
                  <w:vAlign w:val="center"/>
                </w:tcPr>
                <w:p>
                  <w:pPr>
                    <w:pStyle w:val="33"/>
                  </w:pPr>
                  <w:r>
                    <w:t>2</w:t>
                  </w:r>
                </w:p>
              </w:tc>
              <w:tc>
                <w:tcPr>
                  <w:tcW w:w="874" w:type="pct"/>
                  <w:shd w:val="clear" w:color="auto" w:fill="auto"/>
                  <w:vAlign w:val="center"/>
                </w:tcPr>
                <w:p>
                  <w:pPr>
                    <w:pStyle w:val="33"/>
                  </w:pPr>
                  <w:r>
                    <w:rPr>
                      <w:rFonts w:hint="eastAsia"/>
                    </w:rPr>
                    <w:t>废钢铁</w:t>
                  </w:r>
                </w:p>
              </w:tc>
              <w:tc>
                <w:tcPr>
                  <w:tcW w:w="1706" w:type="pct"/>
                  <w:shd w:val="clear" w:color="auto" w:fill="auto"/>
                  <w:vAlign w:val="center"/>
                </w:tcPr>
                <w:p>
                  <w:pPr>
                    <w:pStyle w:val="33"/>
                  </w:pPr>
                  <w:r>
                    <w:rPr>
                      <w:rFonts w:hint="eastAsia"/>
                    </w:rPr>
                    <w:t>5</w:t>
                  </w:r>
                  <w:r>
                    <w:t>0000</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shd w:val="clear" w:color="auto" w:fill="auto"/>
                  <w:vAlign w:val="center"/>
                </w:tcPr>
                <w:p>
                  <w:pPr>
                    <w:pStyle w:val="33"/>
                  </w:pPr>
                  <w:r>
                    <w:rPr>
                      <w:rFonts w:hint="eastAsia"/>
                    </w:rPr>
                    <w:t>3</w:t>
                  </w:r>
                </w:p>
              </w:tc>
              <w:tc>
                <w:tcPr>
                  <w:tcW w:w="874" w:type="pct"/>
                  <w:shd w:val="clear" w:color="auto" w:fill="auto"/>
                  <w:vAlign w:val="center"/>
                </w:tcPr>
                <w:p>
                  <w:pPr>
                    <w:pStyle w:val="33"/>
                  </w:pPr>
                  <w:r>
                    <w:rPr>
                      <w:rFonts w:hint="eastAsia"/>
                    </w:rPr>
                    <w:t>废纸</w:t>
                  </w:r>
                </w:p>
              </w:tc>
              <w:tc>
                <w:tcPr>
                  <w:tcW w:w="1706" w:type="pct"/>
                  <w:shd w:val="clear" w:color="auto" w:fill="auto"/>
                  <w:vAlign w:val="center"/>
                </w:tcPr>
                <w:p>
                  <w:pPr>
                    <w:pStyle w:val="33"/>
                  </w:pPr>
                  <w:r>
                    <w:rPr>
                      <w:rFonts w:hint="eastAsia"/>
                    </w:rPr>
                    <w:t>6</w:t>
                  </w:r>
                  <w:r>
                    <w:t>0000</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vAlign w:val="center"/>
                </w:tcPr>
                <w:p>
                  <w:pPr>
                    <w:pStyle w:val="33"/>
                  </w:pPr>
                  <w:r>
                    <w:rPr>
                      <w:rFonts w:hint="eastAsia"/>
                      <w:color w:val="FF0000"/>
                    </w:rPr>
                    <w:t>4</w:t>
                  </w:r>
                </w:p>
              </w:tc>
              <w:tc>
                <w:tcPr>
                  <w:tcW w:w="874" w:type="pct"/>
                  <w:vAlign w:val="center"/>
                </w:tcPr>
                <w:p>
                  <w:pPr>
                    <w:pStyle w:val="33"/>
                  </w:pPr>
                  <w:r>
                    <w:rPr>
                      <w:rFonts w:hint="eastAsia"/>
                      <w:color w:val="FF0000"/>
                    </w:rPr>
                    <w:t xml:space="preserve">废电视机 </w:t>
                  </w:r>
                </w:p>
              </w:tc>
              <w:tc>
                <w:tcPr>
                  <w:tcW w:w="1706" w:type="pct"/>
                  <w:vAlign w:val="center"/>
                </w:tcPr>
                <w:p>
                  <w:pPr>
                    <w:pStyle w:val="33"/>
                  </w:pPr>
                  <w:r>
                    <w:rPr>
                      <w:rFonts w:hint="eastAsia"/>
                      <w:color w:val="FF0000"/>
                    </w:rPr>
                    <w:t>2000</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vAlign w:val="center"/>
                </w:tcPr>
                <w:p>
                  <w:pPr>
                    <w:pStyle w:val="33"/>
                  </w:pPr>
                  <w:r>
                    <w:rPr>
                      <w:rFonts w:hint="eastAsia"/>
                      <w:color w:val="FF0000"/>
                    </w:rPr>
                    <w:t>5</w:t>
                  </w:r>
                </w:p>
              </w:tc>
              <w:tc>
                <w:tcPr>
                  <w:tcW w:w="874" w:type="pct"/>
                  <w:vAlign w:val="center"/>
                </w:tcPr>
                <w:p>
                  <w:pPr>
                    <w:pStyle w:val="33"/>
                  </w:pPr>
                  <w:r>
                    <w:rPr>
                      <w:rFonts w:hint="eastAsia"/>
                      <w:color w:val="FF0000"/>
                    </w:rPr>
                    <w:t xml:space="preserve">洗衣机 </w:t>
                  </w:r>
                </w:p>
              </w:tc>
              <w:tc>
                <w:tcPr>
                  <w:tcW w:w="1706" w:type="pct"/>
                  <w:vAlign w:val="center"/>
                </w:tcPr>
                <w:p>
                  <w:pPr>
                    <w:pStyle w:val="33"/>
                  </w:pPr>
                  <w:r>
                    <w:rPr>
                      <w:rFonts w:hint="eastAsia"/>
                      <w:color w:val="FF0000"/>
                    </w:rPr>
                    <w:t>2000</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vAlign w:val="center"/>
                </w:tcPr>
                <w:p>
                  <w:pPr>
                    <w:pStyle w:val="33"/>
                  </w:pPr>
                  <w:r>
                    <w:rPr>
                      <w:rFonts w:hint="eastAsia"/>
                      <w:color w:val="FF0000"/>
                    </w:rPr>
                    <w:t>6</w:t>
                  </w:r>
                </w:p>
              </w:tc>
              <w:tc>
                <w:tcPr>
                  <w:tcW w:w="874" w:type="pct"/>
                  <w:vAlign w:val="center"/>
                </w:tcPr>
                <w:p>
                  <w:pPr>
                    <w:pStyle w:val="33"/>
                  </w:pPr>
                  <w:r>
                    <w:rPr>
                      <w:rFonts w:hint="eastAsia"/>
                      <w:color w:val="FF0000"/>
                    </w:rPr>
                    <w:t>旧冰箱</w:t>
                  </w:r>
                </w:p>
              </w:tc>
              <w:tc>
                <w:tcPr>
                  <w:tcW w:w="1706" w:type="pct"/>
                  <w:vAlign w:val="center"/>
                </w:tcPr>
                <w:p>
                  <w:pPr>
                    <w:pStyle w:val="33"/>
                  </w:pPr>
                  <w:r>
                    <w:rPr>
                      <w:rFonts w:hint="eastAsia"/>
                      <w:color w:val="FF0000"/>
                    </w:rPr>
                    <w:t>1000（台）</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vAlign w:val="center"/>
                </w:tcPr>
                <w:p>
                  <w:pPr>
                    <w:pStyle w:val="33"/>
                    <w:rPr>
                      <w:color w:val="FF0000"/>
                    </w:rPr>
                  </w:pPr>
                  <w:r>
                    <w:rPr>
                      <w:rFonts w:hint="eastAsia"/>
                      <w:color w:val="FF0000"/>
                    </w:rPr>
                    <w:t>7</w:t>
                  </w:r>
                </w:p>
              </w:tc>
              <w:tc>
                <w:tcPr>
                  <w:tcW w:w="874" w:type="pct"/>
                  <w:vAlign w:val="center"/>
                </w:tcPr>
                <w:p>
                  <w:pPr>
                    <w:pStyle w:val="33"/>
                    <w:rPr>
                      <w:color w:val="FF0000"/>
                    </w:rPr>
                  </w:pPr>
                  <w:r>
                    <w:rPr>
                      <w:rFonts w:hint="eastAsia"/>
                      <w:color w:val="FF0000"/>
                    </w:rPr>
                    <w:t>旧电脑</w:t>
                  </w:r>
                </w:p>
              </w:tc>
              <w:tc>
                <w:tcPr>
                  <w:tcW w:w="1706" w:type="pct"/>
                  <w:vAlign w:val="center"/>
                </w:tcPr>
                <w:p>
                  <w:pPr>
                    <w:pStyle w:val="33"/>
                  </w:pPr>
                  <w:r>
                    <w:rPr>
                      <w:rFonts w:hint="eastAsia"/>
                      <w:color w:val="FF0000"/>
                    </w:rPr>
                    <w:t>600（台）</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vAlign w:val="center"/>
                </w:tcPr>
                <w:p>
                  <w:pPr>
                    <w:pStyle w:val="33"/>
                    <w:rPr>
                      <w:color w:val="FF0000"/>
                    </w:rPr>
                  </w:pPr>
                  <w:r>
                    <w:rPr>
                      <w:rFonts w:hint="eastAsia"/>
                      <w:color w:val="FF0000"/>
                    </w:rPr>
                    <w:t>8</w:t>
                  </w:r>
                </w:p>
              </w:tc>
              <w:tc>
                <w:tcPr>
                  <w:tcW w:w="874" w:type="pct"/>
                  <w:vAlign w:val="center"/>
                </w:tcPr>
                <w:p>
                  <w:pPr>
                    <w:pStyle w:val="33"/>
                    <w:rPr>
                      <w:color w:val="FF0000"/>
                    </w:rPr>
                  </w:pPr>
                  <w:r>
                    <w:rPr>
                      <w:rFonts w:hint="eastAsia"/>
                      <w:color w:val="FF0000"/>
                    </w:rPr>
                    <w:t>废骨头</w:t>
                  </w:r>
                </w:p>
              </w:tc>
              <w:tc>
                <w:tcPr>
                  <w:tcW w:w="1706" w:type="pct"/>
                  <w:vAlign w:val="center"/>
                </w:tcPr>
                <w:p>
                  <w:pPr>
                    <w:pStyle w:val="33"/>
                  </w:pPr>
                  <w:r>
                    <w:rPr>
                      <w:rFonts w:hint="eastAsia"/>
                      <w:color w:val="FF0000"/>
                      <w:sz w:val="24"/>
                    </w:rPr>
                    <w:t>4</w:t>
                  </w:r>
                  <w:r>
                    <w:rPr>
                      <w:color w:val="FF0000"/>
                      <w:sz w:val="24"/>
                    </w:rPr>
                    <w:t>0</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vAlign w:val="center"/>
                </w:tcPr>
                <w:p>
                  <w:pPr>
                    <w:pStyle w:val="33"/>
                    <w:rPr>
                      <w:color w:val="FF0000"/>
                    </w:rPr>
                  </w:pPr>
                  <w:r>
                    <w:rPr>
                      <w:rFonts w:hint="eastAsia"/>
                      <w:color w:val="FF0000"/>
                    </w:rPr>
                    <w:t>9</w:t>
                  </w:r>
                </w:p>
              </w:tc>
              <w:tc>
                <w:tcPr>
                  <w:tcW w:w="874" w:type="pct"/>
                  <w:vAlign w:val="center"/>
                </w:tcPr>
                <w:p>
                  <w:pPr>
                    <w:pStyle w:val="33"/>
                    <w:rPr>
                      <w:color w:val="FF0000"/>
                    </w:rPr>
                  </w:pPr>
                  <w:r>
                    <w:rPr>
                      <w:rFonts w:hint="eastAsia"/>
                      <w:color w:val="FF0000"/>
                    </w:rPr>
                    <w:t>废动物油</w:t>
                  </w:r>
                </w:p>
              </w:tc>
              <w:tc>
                <w:tcPr>
                  <w:tcW w:w="1706" w:type="pct"/>
                  <w:vAlign w:val="center"/>
                </w:tcPr>
                <w:p>
                  <w:pPr>
                    <w:pStyle w:val="33"/>
                  </w:pPr>
                  <w:r>
                    <w:rPr>
                      <w:rFonts w:hint="eastAsia"/>
                      <w:color w:val="FF0000"/>
                      <w:sz w:val="24"/>
                    </w:rPr>
                    <w:t>5</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shd w:val="clear" w:color="auto" w:fill="auto"/>
                  <w:vAlign w:val="center"/>
                </w:tcPr>
                <w:p>
                  <w:pPr>
                    <w:pStyle w:val="33"/>
                  </w:pPr>
                  <w:r>
                    <w:t>10</w:t>
                  </w:r>
                </w:p>
              </w:tc>
              <w:tc>
                <w:tcPr>
                  <w:tcW w:w="874" w:type="pct"/>
                  <w:shd w:val="clear" w:color="auto" w:fill="auto"/>
                  <w:vAlign w:val="center"/>
                </w:tcPr>
                <w:p>
                  <w:pPr>
                    <w:pStyle w:val="33"/>
                  </w:pPr>
                  <w:r>
                    <w:rPr>
                      <w:rFonts w:hint="eastAsia"/>
                    </w:rPr>
                    <w:t>乙炔</w:t>
                  </w:r>
                </w:p>
              </w:tc>
              <w:tc>
                <w:tcPr>
                  <w:tcW w:w="1706" w:type="pct"/>
                  <w:vAlign w:val="center"/>
                </w:tcPr>
                <w:p>
                  <w:pPr>
                    <w:pStyle w:val="33"/>
                  </w:pPr>
                  <w:r>
                    <w:t>3m</w:t>
                  </w:r>
                  <w:r>
                    <w:rPr>
                      <w:vertAlign w:val="superscript"/>
                    </w:rPr>
                    <w:t>3</w:t>
                  </w:r>
                  <w:r>
                    <w:t>/</w:t>
                  </w:r>
                  <w:r>
                    <w:rPr>
                      <w:rFonts w:hint="eastAsia"/>
                    </w:rPr>
                    <w:t>钢瓶，共</w:t>
                  </w:r>
                  <w:r>
                    <w:t>10</w:t>
                  </w:r>
                  <w:r>
                    <w:rPr>
                      <w:rFonts w:hint="eastAsia"/>
                    </w:rPr>
                    <w:t>钢瓶</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shd w:val="clear" w:color="auto" w:fill="auto"/>
                  <w:vAlign w:val="center"/>
                </w:tcPr>
                <w:p>
                  <w:pPr>
                    <w:pStyle w:val="33"/>
                  </w:pPr>
                  <w:r>
                    <w:t>11</w:t>
                  </w:r>
                </w:p>
              </w:tc>
              <w:tc>
                <w:tcPr>
                  <w:tcW w:w="874" w:type="pct"/>
                  <w:shd w:val="clear" w:color="auto" w:fill="auto"/>
                  <w:vAlign w:val="center"/>
                </w:tcPr>
                <w:p>
                  <w:pPr>
                    <w:pStyle w:val="33"/>
                  </w:pPr>
                  <w:r>
                    <w:rPr>
                      <w:rFonts w:hint="eastAsia"/>
                    </w:rPr>
                    <w:t>氧气</w:t>
                  </w:r>
                </w:p>
              </w:tc>
              <w:tc>
                <w:tcPr>
                  <w:tcW w:w="1706" w:type="pct"/>
                  <w:vAlign w:val="center"/>
                </w:tcPr>
                <w:p>
                  <w:pPr>
                    <w:pStyle w:val="33"/>
                  </w:pPr>
                  <w:r>
                    <w:t>3m</w:t>
                  </w:r>
                  <w:r>
                    <w:rPr>
                      <w:vertAlign w:val="superscript"/>
                    </w:rPr>
                    <w:t>3</w:t>
                  </w:r>
                  <w:r>
                    <w:t>/</w:t>
                  </w:r>
                  <w:r>
                    <w:rPr>
                      <w:rFonts w:hint="eastAsia"/>
                    </w:rPr>
                    <w:t>钢瓶，共</w:t>
                  </w:r>
                  <w:r>
                    <w:t>10</w:t>
                  </w:r>
                  <w:r>
                    <w:rPr>
                      <w:rFonts w:hint="eastAsia"/>
                    </w:rPr>
                    <w:t>钢瓶</w:t>
                  </w:r>
                </w:p>
              </w:tc>
              <w:tc>
                <w:tcPr>
                  <w:tcW w:w="1164" w:type="pct"/>
                  <w:shd w:val="clear" w:color="auto" w:fill="auto"/>
                  <w:vAlign w:val="center"/>
                </w:tcPr>
                <w:p>
                  <w:pPr>
                    <w:pStyle w:val="33"/>
                  </w:pPr>
                  <w:r>
                    <w:rPr>
                      <w:rFonts w:hint="eastAsia"/>
                    </w:rPr>
                    <w:t>五原县</w:t>
                  </w:r>
                </w:p>
              </w:tc>
              <w:tc>
                <w:tcPr>
                  <w:tcW w:w="770" w:type="pct"/>
                  <w:shd w:val="clear" w:color="auto" w:fill="auto"/>
                </w:tcPr>
                <w:p>
                  <w:pPr>
                    <w:pStyle w:val="33"/>
                  </w:pPr>
                  <w:r>
                    <w:rPr>
                      <w:rFonts w:hint="eastAsia"/>
                    </w:rPr>
                    <w:t>汽运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shd w:val="clear" w:color="auto" w:fill="auto"/>
                  <w:vAlign w:val="center"/>
                </w:tcPr>
                <w:p>
                  <w:pPr>
                    <w:pStyle w:val="33"/>
                  </w:pPr>
                  <w:r>
                    <w:t>12</w:t>
                  </w:r>
                </w:p>
              </w:tc>
              <w:tc>
                <w:tcPr>
                  <w:tcW w:w="874" w:type="pct"/>
                  <w:shd w:val="clear" w:color="auto" w:fill="auto"/>
                  <w:vAlign w:val="center"/>
                </w:tcPr>
                <w:p>
                  <w:pPr>
                    <w:pStyle w:val="33"/>
                  </w:pPr>
                  <w:r>
                    <w:t>水</w:t>
                  </w:r>
                </w:p>
              </w:tc>
              <w:tc>
                <w:tcPr>
                  <w:tcW w:w="1706" w:type="pct"/>
                  <w:shd w:val="clear" w:color="auto" w:fill="auto"/>
                  <w:vAlign w:val="center"/>
                </w:tcPr>
                <w:p>
                  <w:pPr>
                    <w:pStyle w:val="33"/>
                  </w:pPr>
                  <w:r>
                    <w:t>1577.4</w:t>
                  </w:r>
                  <w:r>
                    <w:rPr>
                      <w:rFonts w:hint="eastAsia"/>
                    </w:rPr>
                    <w:t>m</w:t>
                  </w:r>
                  <w:r>
                    <w:rPr>
                      <w:rFonts w:hint="eastAsia"/>
                      <w:vertAlign w:val="superscript"/>
                    </w:rPr>
                    <w:t>3</w:t>
                  </w:r>
                  <w:r>
                    <w:t>/</w:t>
                  </w:r>
                  <w:r>
                    <w:rPr>
                      <w:rFonts w:hint="eastAsia"/>
                    </w:rPr>
                    <w:t>a</w:t>
                  </w:r>
                </w:p>
              </w:tc>
              <w:tc>
                <w:tcPr>
                  <w:tcW w:w="1164" w:type="pct"/>
                  <w:shd w:val="clear" w:color="auto" w:fill="auto"/>
                  <w:vAlign w:val="center"/>
                </w:tcPr>
                <w:p>
                  <w:pPr>
                    <w:pStyle w:val="33"/>
                  </w:pPr>
                  <w:r>
                    <w:rPr>
                      <w:rFonts w:hint="eastAsia"/>
                    </w:rPr>
                    <w:t>厂区现有自备井</w:t>
                  </w:r>
                </w:p>
              </w:tc>
              <w:tc>
                <w:tcPr>
                  <w:tcW w:w="770" w:type="pct"/>
                  <w:shd w:val="clear" w:color="auto" w:fill="auto"/>
                </w:tcPr>
                <w:p>
                  <w:pPr>
                    <w:pStyle w:val="33"/>
                  </w:pPr>
                  <w:r>
                    <w:rPr>
                      <w:rFonts w:hint="eastAsia"/>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89" w:hRule="atLeast"/>
                <w:jc w:val="center"/>
              </w:trPr>
              <w:tc>
                <w:tcPr>
                  <w:tcW w:w="486" w:type="pct"/>
                  <w:shd w:val="clear" w:color="auto" w:fill="auto"/>
                  <w:vAlign w:val="center"/>
                </w:tcPr>
                <w:p>
                  <w:pPr>
                    <w:pStyle w:val="33"/>
                  </w:pPr>
                  <w:r>
                    <w:t>13</w:t>
                  </w:r>
                </w:p>
              </w:tc>
              <w:tc>
                <w:tcPr>
                  <w:tcW w:w="874" w:type="pct"/>
                  <w:shd w:val="clear" w:color="auto" w:fill="auto"/>
                  <w:vAlign w:val="center"/>
                </w:tcPr>
                <w:p>
                  <w:pPr>
                    <w:pStyle w:val="33"/>
                  </w:pPr>
                  <w:r>
                    <w:t>电</w:t>
                  </w:r>
                </w:p>
              </w:tc>
              <w:tc>
                <w:tcPr>
                  <w:tcW w:w="1706" w:type="pct"/>
                  <w:shd w:val="clear" w:color="auto" w:fill="auto"/>
                  <w:vAlign w:val="center"/>
                </w:tcPr>
                <w:p>
                  <w:pPr>
                    <w:pStyle w:val="33"/>
                  </w:pPr>
                  <w:r>
                    <w:t>100</w:t>
                  </w:r>
                  <w:r>
                    <w:rPr>
                      <w:rFonts w:hint="eastAsia"/>
                    </w:rPr>
                    <w:t>万</w:t>
                  </w:r>
                  <w:r>
                    <w:t>kwh/</w:t>
                  </w:r>
                  <w:r>
                    <w:rPr>
                      <w:rFonts w:hint="eastAsia"/>
                    </w:rPr>
                    <w:t>a</w:t>
                  </w:r>
                </w:p>
              </w:tc>
              <w:tc>
                <w:tcPr>
                  <w:tcW w:w="1164" w:type="pct"/>
                  <w:shd w:val="clear" w:color="auto" w:fill="auto"/>
                  <w:vAlign w:val="center"/>
                </w:tcPr>
                <w:p>
                  <w:pPr>
                    <w:pStyle w:val="33"/>
                  </w:pPr>
                  <w:r>
                    <w:rPr>
                      <w:rFonts w:hint="eastAsia"/>
                    </w:rPr>
                    <w:t>五原县隆兴昌镇供电网络</w:t>
                  </w:r>
                </w:p>
              </w:tc>
              <w:tc>
                <w:tcPr>
                  <w:tcW w:w="770" w:type="pct"/>
                  <w:shd w:val="clear" w:color="auto" w:fill="auto"/>
                </w:tcPr>
                <w:p>
                  <w:pPr>
                    <w:pStyle w:val="33"/>
                  </w:pPr>
                  <w:r>
                    <w:rPr>
                      <w:rFonts w:hint="eastAsia"/>
                    </w:rPr>
                    <w:t>/</w:t>
                  </w:r>
                </w:p>
              </w:tc>
            </w:tr>
            <w:bookmarkEnd w:id="10"/>
          </w:tbl>
          <w:p>
            <w:pPr>
              <w:ind w:firstLine="482"/>
              <w:rPr>
                <w:b/>
                <w:bCs/>
              </w:rPr>
            </w:pPr>
            <w:r>
              <w:rPr>
                <w:b/>
                <w:bCs/>
              </w:rPr>
              <w:t>7</w:t>
            </w:r>
            <w:r>
              <w:rPr>
                <w:rFonts w:hint="eastAsia"/>
                <w:b/>
                <w:bCs/>
              </w:rPr>
              <w:t>、</w:t>
            </w:r>
            <w:r>
              <w:rPr>
                <w:b/>
                <w:bCs/>
              </w:rPr>
              <w:t>主要设备</w:t>
            </w:r>
          </w:p>
          <w:p>
            <w:pPr>
              <w:pStyle w:val="35"/>
            </w:pPr>
            <w:bookmarkStart w:id="11" w:name="_Hlk71205098"/>
            <w:bookmarkStart w:id="12" w:name="_Hlk70426416"/>
            <w:r>
              <w:t xml:space="preserve">表2-4 </w:t>
            </w:r>
            <w:r>
              <w:rPr>
                <w:rFonts w:hint="eastAsia"/>
              </w:rPr>
              <w:t xml:space="preserve"> </w:t>
            </w:r>
            <w:r>
              <w:t>主要设备一览表</w:t>
            </w:r>
          </w:p>
          <w:tbl>
            <w:tblPr>
              <w:tblStyle w:val="22"/>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940"/>
              <w:gridCol w:w="2360"/>
              <w:gridCol w:w="2463"/>
              <w:gridCol w:w="1537"/>
              <w:gridCol w:w="1145"/>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rPr>
                      <w:b/>
                      <w:bCs/>
                    </w:rPr>
                  </w:pPr>
                  <w:bookmarkStart w:id="13" w:name="_Hlk72410806"/>
                  <w:r>
                    <w:rPr>
                      <w:b/>
                      <w:bCs/>
                    </w:rPr>
                    <w:t>序 号</w:t>
                  </w:r>
                </w:p>
              </w:tc>
              <w:tc>
                <w:tcPr>
                  <w:tcW w:w="1397" w:type="pct"/>
                  <w:vAlign w:val="center"/>
                </w:tcPr>
                <w:p>
                  <w:pPr>
                    <w:pStyle w:val="33"/>
                    <w:rPr>
                      <w:b/>
                      <w:bCs/>
                    </w:rPr>
                  </w:pPr>
                  <w:r>
                    <w:rPr>
                      <w:rFonts w:hint="eastAsia"/>
                      <w:b/>
                      <w:bCs/>
                    </w:rPr>
                    <w:t>设备名称</w:t>
                  </w:r>
                </w:p>
              </w:tc>
              <w:tc>
                <w:tcPr>
                  <w:tcW w:w="1458" w:type="pct"/>
                  <w:vAlign w:val="center"/>
                </w:tcPr>
                <w:p>
                  <w:pPr>
                    <w:pStyle w:val="33"/>
                    <w:rPr>
                      <w:b/>
                      <w:bCs/>
                    </w:rPr>
                  </w:pPr>
                  <w:r>
                    <w:rPr>
                      <w:rFonts w:hint="eastAsia"/>
                      <w:b/>
                      <w:bCs/>
                    </w:rPr>
                    <w:t>规格型号</w:t>
                  </w:r>
                </w:p>
              </w:tc>
              <w:tc>
                <w:tcPr>
                  <w:tcW w:w="910" w:type="pct"/>
                  <w:vAlign w:val="center"/>
                </w:tcPr>
                <w:p>
                  <w:pPr>
                    <w:pStyle w:val="33"/>
                    <w:rPr>
                      <w:b/>
                      <w:bCs/>
                    </w:rPr>
                  </w:pPr>
                  <w:r>
                    <w:rPr>
                      <w:b/>
                      <w:bCs/>
                    </w:rPr>
                    <w:t>数 量</w:t>
                  </w:r>
                </w:p>
              </w:tc>
              <w:tc>
                <w:tcPr>
                  <w:tcW w:w="678" w:type="pct"/>
                  <w:vAlign w:val="center"/>
                </w:tcPr>
                <w:p>
                  <w:pPr>
                    <w:pStyle w:val="33"/>
                    <w:rPr>
                      <w:b/>
                      <w:bCs/>
                    </w:rPr>
                  </w:pPr>
                  <w:r>
                    <w:rPr>
                      <w:b/>
                      <w:bCs/>
                    </w:rPr>
                    <w:t>单位</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t>1</w:t>
                  </w:r>
                </w:p>
              </w:tc>
              <w:tc>
                <w:tcPr>
                  <w:tcW w:w="1397" w:type="pct"/>
                  <w:vAlign w:val="center"/>
                </w:tcPr>
                <w:p>
                  <w:pPr>
                    <w:pStyle w:val="33"/>
                  </w:pPr>
                  <w:r>
                    <w:rPr>
                      <w:rFonts w:hint="eastAsia"/>
                    </w:rPr>
                    <w:t>龙门吊</w:t>
                  </w:r>
                </w:p>
              </w:tc>
              <w:tc>
                <w:tcPr>
                  <w:tcW w:w="1458" w:type="pct"/>
                  <w:vAlign w:val="center"/>
                </w:tcPr>
                <w:p>
                  <w:pPr>
                    <w:pStyle w:val="33"/>
                  </w:pPr>
                  <w:r>
                    <w:rPr>
                      <w:rFonts w:hint="eastAsia"/>
                    </w:rPr>
                    <w:t>/</w:t>
                  </w:r>
                </w:p>
              </w:tc>
              <w:tc>
                <w:tcPr>
                  <w:tcW w:w="910" w:type="pct"/>
                  <w:vAlign w:val="center"/>
                </w:tcPr>
                <w:p>
                  <w:pPr>
                    <w:pStyle w:val="33"/>
                  </w:pPr>
                  <w:r>
                    <w:rPr>
                      <w:rFonts w:hint="eastAsia"/>
                    </w:rPr>
                    <w:t>5</w:t>
                  </w:r>
                </w:p>
              </w:tc>
              <w:tc>
                <w:tcPr>
                  <w:tcW w:w="678" w:type="pct"/>
                  <w:vAlign w:val="center"/>
                </w:tcPr>
                <w:p>
                  <w:pPr>
                    <w:pStyle w:val="33"/>
                  </w:pPr>
                  <w:r>
                    <w:rPr>
                      <w:rFonts w:hint="eastAsia"/>
                    </w:rPr>
                    <w:t>台</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rPr>
                      <w:rFonts w:hint="eastAsia"/>
                    </w:rPr>
                    <w:t>2</w:t>
                  </w:r>
                </w:p>
              </w:tc>
              <w:tc>
                <w:tcPr>
                  <w:tcW w:w="1397" w:type="pct"/>
                  <w:vAlign w:val="center"/>
                </w:tcPr>
                <w:p>
                  <w:pPr>
                    <w:pStyle w:val="33"/>
                  </w:pPr>
                  <w:r>
                    <w:rPr>
                      <w:rFonts w:hint="eastAsia"/>
                    </w:rPr>
                    <w:t>切割机</w:t>
                  </w:r>
                </w:p>
              </w:tc>
              <w:tc>
                <w:tcPr>
                  <w:tcW w:w="1458" w:type="pct"/>
                  <w:vAlign w:val="center"/>
                </w:tcPr>
                <w:p>
                  <w:pPr>
                    <w:pStyle w:val="33"/>
                  </w:pPr>
                  <w:r>
                    <w:rPr>
                      <w:rFonts w:hint="eastAsia"/>
                    </w:rPr>
                    <w:t>/</w:t>
                  </w:r>
                </w:p>
              </w:tc>
              <w:tc>
                <w:tcPr>
                  <w:tcW w:w="910" w:type="pct"/>
                  <w:vAlign w:val="center"/>
                </w:tcPr>
                <w:p>
                  <w:pPr>
                    <w:pStyle w:val="33"/>
                  </w:pPr>
                  <w:r>
                    <w:rPr>
                      <w:rFonts w:hint="eastAsia"/>
                    </w:rPr>
                    <w:t>6</w:t>
                  </w:r>
                </w:p>
              </w:tc>
              <w:tc>
                <w:tcPr>
                  <w:tcW w:w="678" w:type="pct"/>
                  <w:vAlign w:val="center"/>
                </w:tcPr>
                <w:p>
                  <w:pPr>
                    <w:pStyle w:val="33"/>
                  </w:pPr>
                  <w:r>
                    <w:rPr>
                      <w:rFonts w:hint="eastAsia"/>
                    </w:rPr>
                    <w:t>台</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t>3</w:t>
                  </w:r>
                </w:p>
              </w:tc>
              <w:tc>
                <w:tcPr>
                  <w:tcW w:w="1397" w:type="pct"/>
                  <w:vAlign w:val="center"/>
                </w:tcPr>
                <w:p>
                  <w:pPr>
                    <w:pStyle w:val="33"/>
                  </w:pPr>
                  <w:r>
                    <w:rPr>
                      <w:rFonts w:hint="eastAsia"/>
                    </w:rPr>
                    <w:t>破碎机</w:t>
                  </w:r>
                </w:p>
              </w:tc>
              <w:tc>
                <w:tcPr>
                  <w:tcW w:w="1458" w:type="pct"/>
                  <w:vAlign w:val="center"/>
                </w:tcPr>
                <w:p>
                  <w:pPr>
                    <w:pStyle w:val="33"/>
                  </w:pPr>
                  <w:r>
                    <w:t>20t/d</w:t>
                  </w:r>
                </w:p>
              </w:tc>
              <w:tc>
                <w:tcPr>
                  <w:tcW w:w="910" w:type="pct"/>
                  <w:vAlign w:val="center"/>
                </w:tcPr>
                <w:p>
                  <w:pPr>
                    <w:pStyle w:val="33"/>
                  </w:pPr>
                  <w:r>
                    <w:rPr>
                      <w:rFonts w:hint="eastAsia"/>
                    </w:rPr>
                    <w:t>6</w:t>
                  </w:r>
                </w:p>
              </w:tc>
              <w:tc>
                <w:tcPr>
                  <w:tcW w:w="678" w:type="pct"/>
                  <w:vAlign w:val="center"/>
                </w:tcPr>
                <w:p>
                  <w:pPr>
                    <w:pStyle w:val="33"/>
                  </w:pPr>
                  <w:r>
                    <w:rPr>
                      <w:rFonts w:hint="eastAsia"/>
                    </w:rPr>
                    <w:t>台</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t>4</w:t>
                  </w:r>
                </w:p>
              </w:tc>
              <w:tc>
                <w:tcPr>
                  <w:tcW w:w="1397" w:type="pct"/>
                  <w:vAlign w:val="center"/>
                </w:tcPr>
                <w:p>
                  <w:pPr>
                    <w:pStyle w:val="33"/>
                  </w:pPr>
                  <w:r>
                    <w:rPr>
                      <w:rFonts w:hint="eastAsia"/>
                    </w:rPr>
                    <w:t>输送带</w:t>
                  </w:r>
                </w:p>
              </w:tc>
              <w:tc>
                <w:tcPr>
                  <w:tcW w:w="1458" w:type="pct"/>
                  <w:vAlign w:val="center"/>
                </w:tcPr>
                <w:p>
                  <w:pPr>
                    <w:pStyle w:val="33"/>
                  </w:pPr>
                  <w:r>
                    <w:t>7m</w:t>
                  </w:r>
                </w:p>
              </w:tc>
              <w:tc>
                <w:tcPr>
                  <w:tcW w:w="910" w:type="pct"/>
                  <w:vAlign w:val="center"/>
                </w:tcPr>
                <w:p>
                  <w:pPr>
                    <w:pStyle w:val="33"/>
                  </w:pPr>
                  <w:r>
                    <w:rPr>
                      <w:rFonts w:hint="eastAsia"/>
                    </w:rPr>
                    <w:t>3</w:t>
                  </w:r>
                </w:p>
              </w:tc>
              <w:tc>
                <w:tcPr>
                  <w:tcW w:w="678" w:type="pct"/>
                  <w:vAlign w:val="center"/>
                </w:tcPr>
                <w:p>
                  <w:pPr>
                    <w:pStyle w:val="33"/>
                  </w:pPr>
                  <w:r>
                    <w:rPr>
                      <w:rFonts w:hint="eastAsia"/>
                    </w:rPr>
                    <w:t>条</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t>5</w:t>
                  </w:r>
                </w:p>
              </w:tc>
              <w:tc>
                <w:tcPr>
                  <w:tcW w:w="1397" w:type="pct"/>
                  <w:vAlign w:val="center"/>
                </w:tcPr>
                <w:p>
                  <w:pPr>
                    <w:pStyle w:val="33"/>
                  </w:pPr>
                  <w:r>
                    <w:rPr>
                      <w:rFonts w:hint="eastAsia"/>
                    </w:rPr>
                    <w:t>压缩机</w:t>
                  </w:r>
                </w:p>
              </w:tc>
              <w:tc>
                <w:tcPr>
                  <w:tcW w:w="1458" w:type="pct"/>
                  <w:vAlign w:val="center"/>
                </w:tcPr>
                <w:p>
                  <w:pPr>
                    <w:pStyle w:val="33"/>
                  </w:pPr>
                  <w:r>
                    <w:t>20t/d</w:t>
                  </w:r>
                </w:p>
              </w:tc>
              <w:tc>
                <w:tcPr>
                  <w:tcW w:w="910" w:type="pct"/>
                  <w:vAlign w:val="center"/>
                </w:tcPr>
                <w:p>
                  <w:pPr>
                    <w:pStyle w:val="33"/>
                  </w:pPr>
                  <w:r>
                    <w:rPr>
                      <w:rFonts w:hint="eastAsia"/>
                    </w:rPr>
                    <w:t>6</w:t>
                  </w:r>
                </w:p>
              </w:tc>
              <w:tc>
                <w:tcPr>
                  <w:tcW w:w="678" w:type="pct"/>
                  <w:vAlign w:val="center"/>
                </w:tcPr>
                <w:p>
                  <w:pPr>
                    <w:pStyle w:val="33"/>
                  </w:pPr>
                  <w:r>
                    <w:rPr>
                      <w:rFonts w:hint="eastAsia"/>
                    </w:rPr>
                    <w:t>台</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t>6</w:t>
                  </w:r>
                </w:p>
              </w:tc>
              <w:tc>
                <w:tcPr>
                  <w:tcW w:w="1397" w:type="pct"/>
                  <w:vAlign w:val="center"/>
                </w:tcPr>
                <w:p>
                  <w:pPr>
                    <w:pStyle w:val="33"/>
                  </w:pPr>
                  <w:r>
                    <w:rPr>
                      <w:rFonts w:hint="eastAsia"/>
                    </w:rPr>
                    <w:t>打包机</w:t>
                  </w:r>
                </w:p>
              </w:tc>
              <w:tc>
                <w:tcPr>
                  <w:tcW w:w="1458" w:type="pct"/>
                  <w:vAlign w:val="center"/>
                </w:tcPr>
                <w:p>
                  <w:pPr>
                    <w:pStyle w:val="33"/>
                  </w:pPr>
                  <w:r>
                    <w:t>20t/d</w:t>
                  </w:r>
                </w:p>
              </w:tc>
              <w:tc>
                <w:tcPr>
                  <w:tcW w:w="910" w:type="pct"/>
                  <w:vAlign w:val="center"/>
                </w:tcPr>
                <w:p>
                  <w:pPr>
                    <w:pStyle w:val="33"/>
                  </w:pPr>
                  <w:r>
                    <w:rPr>
                      <w:rFonts w:hint="eastAsia"/>
                    </w:rPr>
                    <w:t>6</w:t>
                  </w:r>
                </w:p>
              </w:tc>
              <w:tc>
                <w:tcPr>
                  <w:tcW w:w="678" w:type="pct"/>
                  <w:vAlign w:val="center"/>
                </w:tcPr>
                <w:p>
                  <w:pPr>
                    <w:pStyle w:val="33"/>
                  </w:pPr>
                  <w:r>
                    <w:rPr>
                      <w:rFonts w:hint="eastAsia"/>
                    </w:rPr>
                    <w:t>台</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rPr>
                      <w:rFonts w:hint="eastAsia"/>
                    </w:rPr>
                    <w:t>7</w:t>
                  </w:r>
                </w:p>
              </w:tc>
              <w:tc>
                <w:tcPr>
                  <w:tcW w:w="1397" w:type="pct"/>
                  <w:vAlign w:val="center"/>
                </w:tcPr>
                <w:p>
                  <w:pPr>
                    <w:pStyle w:val="33"/>
                  </w:pPr>
                  <w:r>
                    <w:rPr>
                      <w:rFonts w:hint="eastAsia" w:ascii="宋体" w:cs="宋体" w:hAnsiTheme="minorHAnsi"/>
                      <w:szCs w:val="21"/>
                    </w:rPr>
                    <w:t>铲车</w:t>
                  </w:r>
                </w:p>
              </w:tc>
              <w:tc>
                <w:tcPr>
                  <w:tcW w:w="1458" w:type="pct"/>
                  <w:vAlign w:val="center"/>
                </w:tcPr>
                <w:p>
                  <w:pPr>
                    <w:pStyle w:val="33"/>
                  </w:pPr>
                  <w:r>
                    <w:t>/</w:t>
                  </w:r>
                </w:p>
              </w:tc>
              <w:tc>
                <w:tcPr>
                  <w:tcW w:w="910" w:type="pct"/>
                  <w:vAlign w:val="center"/>
                </w:tcPr>
                <w:p>
                  <w:pPr>
                    <w:pStyle w:val="33"/>
                  </w:pPr>
                  <w:r>
                    <w:rPr>
                      <w:rFonts w:hint="eastAsia"/>
                    </w:rPr>
                    <w:t>2</w:t>
                  </w:r>
                </w:p>
              </w:tc>
              <w:tc>
                <w:tcPr>
                  <w:tcW w:w="678" w:type="pct"/>
                  <w:vAlign w:val="center"/>
                </w:tcPr>
                <w:p>
                  <w:pPr>
                    <w:pStyle w:val="33"/>
                  </w:pPr>
                  <w:r>
                    <w:rPr>
                      <w:rFonts w:hint="eastAsia"/>
                    </w:rPr>
                    <w:t>台</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jc w:val="center"/>
              </w:trPr>
              <w:tc>
                <w:tcPr>
                  <w:tcW w:w="557" w:type="pct"/>
                  <w:vAlign w:val="center"/>
                </w:tcPr>
                <w:p>
                  <w:pPr>
                    <w:pStyle w:val="33"/>
                  </w:pPr>
                  <w:r>
                    <w:rPr>
                      <w:rFonts w:hint="eastAsia"/>
                    </w:rPr>
                    <w:t>8</w:t>
                  </w:r>
                </w:p>
              </w:tc>
              <w:tc>
                <w:tcPr>
                  <w:tcW w:w="1397" w:type="pct"/>
                  <w:vAlign w:val="center"/>
                </w:tcPr>
                <w:p>
                  <w:pPr>
                    <w:pStyle w:val="33"/>
                    <w:rPr>
                      <w:rFonts w:ascii="宋体" w:cs="宋体" w:hAnsiTheme="minorHAnsi"/>
                      <w:szCs w:val="21"/>
                    </w:rPr>
                  </w:pPr>
                  <w:r>
                    <w:rPr>
                      <w:rFonts w:hint="eastAsia" w:ascii="宋体" w:cs="宋体" w:hAnsiTheme="minorHAnsi"/>
                      <w:szCs w:val="21"/>
                    </w:rPr>
                    <w:t>水泵</w:t>
                  </w:r>
                </w:p>
              </w:tc>
              <w:tc>
                <w:tcPr>
                  <w:tcW w:w="1458" w:type="pct"/>
                  <w:vAlign w:val="center"/>
                </w:tcPr>
                <w:p>
                  <w:pPr>
                    <w:pStyle w:val="33"/>
                  </w:pPr>
                  <w:r>
                    <w:rPr>
                      <w:rFonts w:hint="eastAsia"/>
                    </w:rPr>
                    <w:t>/</w:t>
                  </w:r>
                </w:p>
              </w:tc>
              <w:tc>
                <w:tcPr>
                  <w:tcW w:w="910" w:type="pct"/>
                  <w:vAlign w:val="center"/>
                </w:tcPr>
                <w:p>
                  <w:pPr>
                    <w:pStyle w:val="33"/>
                  </w:pPr>
                  <w:r>
                    <w:rPr>
                      <w:rFonts w:hint="eastAsia"/>
                    </w:rPr>
                    <w:t>2</w:t>
                  </w:r>
                </w:p>
              </w:tc>
              <w:tc>
                <w:tcPr>
                  <w:tcW w:w="678" w:type="pct"/>
                  <w:vAlign w:val="center"/>
                </w:tcPr>
                <w:p>
                  <w:pPr>
                    <w:pStyle w:val="33"/>
                  </w:pPr>
                  <w:r>
                    <w:rPr>
                      <w:rFonts w:hint="eastAsia"/>
                    </w:rPr>
                    <w:t>台</w:t>
                  </w:r>
                </w:p>
              </w:tc>
            </w:tr>
            <w:bookmarkEnd w:id="11"/>
            <w:bookmarkEnd w:id="12"/>
            <w:bookmarkEnd w:id="13"/>
          </w:tbl>
          <w:p>
            <w:pPr>
              <w:ind w:firstLine="482"/>
              <w:rPr>
                <w:b/>
                <w:bCs/>
              </w:rPr>
            </w:pPr>
            <w:r>
              <w:rPr>
                <w:b/>
                <w:bCs/>
              </w:rPr>
              <w:t>8</w:t>
            </w:r>
            <w:r>
              <w:rPr>
                <w:rFonts w:hint="eastAsia"/>
                <w:b/>
                <w:bCs/>
              </w:rPr>
              <w:t>、</w:t>
            </w:r>
            <w:r>
              <w:rPr>
                <w:b/>
                <w:bCs/>
              </w:rPr>
              <w:t>劳动定员、工作制度与建设工期</w:t>
            </w:r>
          </w:p>
          <w:p>
            <w:pPr>
              <w:ind w:firstLine="480"/>
            </w:pPr>
            <w:r>
              <w:t>本项目员工63人，工作时间330天/年，</w:t>
            </w:r>
            <w:r>
              <w:rPr>
                <w:rFonts w:hint="eastAsia"/>
              </w:rPr>
              <w:t>每天</w:t>
            </w:r>
            <w:r>
              <w:t>工作8小时。</w:t>
            </w:r>
          </w:p>
          <w:p>
            <w:pPr>
              <w:ind w:firstLine="482"/>
              <w:rPr>
                <w:b/>
                <w:bCs/>
              </w:rPr>
            </w:pPr>
            <w:r>
              <w:rPr>
                <w:b/>
                <w:bCs/>
              </w:rPr>
              <w:t>9</w:t>
            </w:r>
            <w:r>
              <w:rPr>
                <w:rFonts w:hint="eastAsia"/>
                <w:b/>
                <w:bCs/>
              </w:rPr>
              <w:t>、给排水</w:t>
            </w:r>
          </w:p>
          <w:p>
            <w:pPr>
              <w:ind w:firstLine="480"/>
            </w:pPr>
            <w:r>
              <w:t>本项目用水主要包括</w:t>
            </w:r>
            <w:r>
              <w:rPr>
                <w:rFonts w:hint="eastAsia"/>
              </w:rPr>
              <w:t>职工生活用水和废塑料破碎及水洗用水。</w:t>
            </w:r>
          </w:p>
          <w:p>
            <w:pPr>
              <w:ind w:firstLine="480"/>
            </w:pPr>
            <w:r>
              <w:rPr>
                <w:rFonts w:hint="eastAsia"/>
              </w:rPr>
              <w:t>本项目员工</w:t>
            </w:r>
            <w:r>
              <w:t>63</w:t>
            </w:r>
            <w:r>
              <w:rPr>
                <w:rFonts w:hint="eastAsia"/>
              </w:rPr>
              <w:t>人，根据《内蒙古自治区地方标准 行业用水定额》（D</w:t>
            </w:r>
            <w:r>
              <w:t>B15/T385-2020</w:t>
            </w:r>
            <w:r>
              <w:rPr>
                <w:rFonts w:hint="eastAsia"/>
              </w:rPr>
              <w:t>），员工生活用水量按照60L/人·d计算，年工作日为</w:t>
            </w:r>
            <w:r>
              <w:t>330</w:t>
            </w:r>
            <w:r>
              <w:rPr>
                <w:rFonts w:hint="eastAsia"/>
              </w:rPr>
              <w:t>天，项目生活用水量为</w:t>
            </w:r>
            <w:r>
              <w:t>3.78</w:t>
            </w:r>
            <w:r>
              <w:rPr>
                <w:rFonts w:hint="eastAsia"/>
              </w:rPr>
              <w:t>m</w:t>
            </w:r>
            <w:r>
              <w:rPr>
                <w:rFonts w:hint="eastAsia"/>
                <w:vertAlign w:val="superscript"/>
              </w:rPr>
              <w:t>3</w:t>
            </w:r>
            <w:r>
              <w:rPr>
                <w:rFonts w:hint="eastAsia"/>
              </w:rPr>
              <w:t>/d（</w:t>
            </w:r>
            <w:r>
              <w:t>1247.4</w:t>
            </w:r>
            <w:r>
              <w:rPr>
                <w:rFonts w:hint="eastAsia"/>
              </w:rPr>
              <w:t>m</w:t>
            </w:r>
            <w:r>
              <w:rPr>
                <w:rFonts w:hint="eastAsia"/>
                <w:vertAlign w:val="superscript"/>
              </w:rPr>
              <w:t>3</w:t>
            </w:r>
            <w:r>
              <w:rPr>
                <w:rFonts w:hint="eastAsia"/>
              </w:rPr>
              <w:t>/a），全部为新鲜水。排污系数为0</w:t>
            </w:r>
            <w:r>
              <w:t>.8</w:t>
            </w:r>
            <w:r>
              <w:rPr>
                <w:rFonts w:hint="eastAsia"/>
              </w:rPr>
              <w:t>，则本项目生活污水产生量为</w:t>
            </w:r>
            <w:r>
              <w:t>3.02</w:t>
            </w:r>
            <w:r>
              <w:rPr>
                <w:rFonts w:hint="eastAsia"/>
              </w:rPr>
              <w:t>m</w:t>
            </w:r>
            <w:r>
              <w:rPr>
                <w:rFonts w:hint="eastAsia"/>
                <w:vertAlign w:val="superscript"/>
              </w:rPr>
              <w:t>3</w:t>
            </w:r>
            <w:r>
              <w:rPr>
                <w:rFonts w:hint="eastAsia"/>
              </w:rPr>
              <w:t>/d（</w:t>
            </w:r>
            <w:r>
              <w:t>997.92</w:t>
            </w:r>
            <w:r>
              <w:rPr>
                <w:rFonts w:hint="eastAsia"/>
              </w:rPr>
              <w:t>m</w:t>
            </w:r>
            <w:r>
              <w:rPr>
                <w:rFonts w:hint="eastAsia"/>
                <w:vertAlign w:val="superscript"/>
              </w:rPr>
              <w:t>3</w:t>
            </w:r>
            <w:r>
              <w:rPr>
                <w:rFonts w:hint="eastAsia"/>
              </w:rPr>
              <w:t>/a），生活污水依托厂区现有旱厕，定期委托清掏。</w:t>
            </w:r>
          </w:p>
          <w:p>
            <w:pPr>
              <w:ind w:firstLine="480"/>
            </w:pPr>
            <w:r>
              <w:rPr>
                <w:rFonts w:hint="eastAsia"/>
              </w:rPr>
              <w:t>项目废塑料破碎及水洗约为2万吨/年，本项目破碎机上端安装喷水管，破碎方式为湿式破碎，破碎后的物料进入分离水洗池，本项目分离水洗池为2个，尺寸为：3m×</w:t>
            </w:r>
            <w:r>
              <w:t>1.5</w:t>
            </w:r>
            <w:r>
              <w:rPr>
                <w:rFonts w:hint="eastAsia"/>
              </w:rPr>
              <w:t>m×1m的水池（铁质），物料进入分离水洗池后，根据密度不同分别打包外售。水洗池产生的废水进入沉淀池沉淀后循环使用，项目新建2个尺寸为</w:t>
            </w:r>
            <w:r>
              <w:t>3</w:t>
            </w:r>
            <w:r>
              <w:rPr>
                <w:rFonts w:hint="eastAsia"/>
              </w:rPr>
              <w:t>m×</w:t>
            </w:r>
            <w:r>
              <w:t>2</w:t>
            </w:r>
            <w:r>
              <w:rPr>
                <w:rFonts w:hint="eastAsia"/>
              </w:rPr>
              <w:t>m×1m的沉淀池（底部与池壁做防渗处理）。</w:t>
            </w:r>
          </w:p>
          <w:p>
            <w:pPr>
              <w:ind w:firstLine="480"/>
            </w:pPr>
            <w:r>
              <w:rPr>
                <w:rFonts w:hint="eastAsia"/>
              </w:rPr>
              <w:t>根据企业提供资料，项目废塑料破碎及水洗循环水量为</w:t>
            </w:r>
            <w:r>
              <w:t>10m</w:t>
            </w:r>
            <w:r>
              <w:rPr>
                <w:vertAlign w:val="superscript"/>
              </w:rPr>
              <w:t>3</w:t>
            </w:r>
            <w:r>
              <w:t>/d</w:t>
            </w:r>
            <w:r>
              <w:rPr>
                <w:rFonts w:hint="eastAsia"/>
              </w:rPr>
              <w:t>（3</w:t>
            </w:r>
            <w:r>
              <w:t>300 m</w:t>
            </w:r>
            <w:r>
              <w:rPr>
                <w:vertAlign w:val="superscript"/>
              </w:rPr>
              <w:t>3</w:t>
            </w:r>
            <w:r>
              <w:t>/a</w:t>
            </w:r>
            <w:r>
              <w:rPr>
                <w:rFonts w:hint="eastAsia"/>
              </w:rPr>
              <w:t>），循环水损耗按循环水量的10%计，则补水量为</w:t>
            </w:r>
            <w:r>
              <w:t>1</w:t>
            </w:r>
            <w:r>
              <w:rPr>
                <w:rFonts w:hint="eastAsia"/>
              </w:rPr>
              <w:t>m</w:t>
            </w:r>
            <w:r>
              <w:rPr>
                <w:rFonts w:hint="eastAsia"/>
                <w:vertAlign w:val="superscript"/>
              </w:rPr>
              <w:t>3</w:t>
            </w:r>
            <w:r>
              <w:rPr>
                <w:rFonts w:hint="eastAsia"/>
              </w:rPr>
              <w:t>/d（3</w:t>
            </w:r>
            <w:r>
              <w:t>30m</w:t>
            </w:r>
            <w:r>
              <w:rPr>
                <w:vertAlign w:val="superscript"/>
              </w:rPr>
              <w:t>3</w:t>
            </w:r>
            <w:r>
              <w:t>/a</w:t>
            </w:r>
            <w:r>
              <w:rPr>
                <w:rFonts w:hint="eastAsia"/>
              </w:rPr>
              <w:t>）。</w:t>
            </w:r>
          </w:p>
          <w:p>
            <w:pPr>
              <w:ind w:firstLine="480"/>
            </w:pPr>
            <w:r>
              <w:t>本项目水平衡图见下图。</w:t>
            </w:r>
          </w:p>
          <w:p>
            <w:pPr>
              <w:pStyle w:val="35"/>
            </w:pPr>
            <w:r>
              <w:object>
                <v:shape id="_x0000_i1025" o:spt="75" type="#_x0000_t75" style="height:181.5pt;width:355.5pt;" o:ole="t" filled="f" o:preferrelative="t" stroked="f" coordsize="21600,21600">
                  <v:path/>
                  <v:fill on="f" focussize="0,0"/>
                  <v:stroke on="f" joinstyle="miter"/>
                  <v:imagedata r:id="rId13" o:title=""/>
                  <o:lock v:ext="edit" aspectratio="t"/>
                  <w10:wrap type="none"/>
                  <w10:anchorlock/>
                </v:shape>
                <o:OLEObject Type="Embed" ProgID="Visio.Drawing.15" ShapeID="_x0000_i1025" DrawAspect="Content" ObjectID="_1468075725" r:id="rId12">
                  <o:LockedField>false</o:LockedField>
                </o:OLEObject>
              </w:object>
            </w:r>
          </w:p>
          <w:p>
            <w:pPr>
              <w:pStyle w:val="35"/>
            </w:pPr>
            <w:r>
              <w:t>图2-1</w:t>
            </w:r>
            <w:r>
              <w:rPr>
                <w:rFonts w:hint="eastAsia"/>
              </w:rPr>
              <w:t xml:space="preserve">    </w:t>
            </w:r>
            <w:r>
              <w:t>水平衡图</w:t>
            </w:r>
            <w:r>
              <w:rPr>
                <w:rFonts w:hint="eastAsia"/>
              </w:rPr>
              <w:t>（m</w:t>
            </w:r>
            <w:r>
              <w:rPr>
                <w:rFonts w:hint="eastAsia"/>
                <w:vertAlign w:val="superscript"/>
              </w:rPr>
              <w:t>3</w:t>
            </w:r>
            <w:r>
              <w:rPr>
                <w:rFonts w:hint="eastAsia"/>
              </w:rPr>
              <w:t>/d）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833" w:hRule="atLeast"/>
          <w:jc w:val="center"/>
        </w:trPr>
        <w:tc>
          <w:tcPr>
            <w:tcW w:w="699" w:type="dxa"/>
            <w:vAlign w:val="center"/>
          </w:tcPr>
          <w:p>
            <w:pPr>
              <w:ind w:firstLine="0" w:firstLineChars="0"/>
            </w:pPr>
            <w:r>
              <w:rPr>
                <w:rFonts w:hint="eastAsia"/>
              </w:rPr>
              <w:t>工艺流程和产排污环节</w:t>
            </w:r>
          </w:p>
        </w:tc>
        <w:tc>
          <w:tcPr>
            <w:tcW w:w="8505" w:type="dxa"/>
          </w:tcPr>
          <w:p>
            <w:pPr>
              <w:ind w:firstLine="482"/>
              <w:rPr>
                <w:b/>
                <w:bCs/>
              </w:rPr>
            </w:pPr>
            <w:r>
              <w:rPr>
                <w:b/>
                <w:bCs/>
              </w:rPr>
              <w:t>1.施工期</w:t>
            </w:r>
            <w:r>
              <w:rPr>
                <w:rFonts w:hint="eastAsia"/>
                <w:b/>
                <w:bCs/>
              </w:rPr>
              <w:t>工艺流程和产排污环节</w:t>
            </w:r>
          </w:p>
          <w:p>
            <w:pPr>
              <w:ind w:firstLine="439" w:firstLineChars="183"/>
              <w:rPr>
                <w:color w:val="FF0000"/>
              </w:rPr>
            </w:pPr>
            <w:r>
              <w:rPr>
                <w:rFonts w:hint="eastAsia"/>
                <w:color w:val="FF0000"/>
              </w:rPr>
              <w:t>根据现场勘查，项目已建设，但由于项目厂区未进行地面硬化、回收的原料露天堆放（除废纸）、废塑料破碎用的水池未做防渗（现已查封），企业针对以上问题作出整改，主要为：厂区地面做硬化处理，在1~6分区（废钢铁回收区）建设一座10m</w:t>
            </w:r>
            <w:r>
              <w:rPr>
                <w:rFonts w:hint="eastAsia"/>
                <w:color w:val="FF0000"/>
                <w:vertAlign w:val="superscript"/>
              </w:rPr>
              <w:t>2</w:t>
            </w:r>
            <w:r>
              <w:rPr>
                <w:rFonts w:hint="eastAsia"/>
                <w:color w:val="FF0000"/>
              </w:rPr>
              <w:t>的危废暂存间、</w:t>
            </w:r>
            <w:r>
              <w:rPr>
                <w:color w:val="FF0000"/>
              </w:rPr>
              <w:t>7</w:t>
            </w:r>
            <w:r>
              <w:rPr>
                <w:rFonts w:hint="eastAsia"/>
                <w:color w:val="FF0000"/>
              </w:rPr>
              <w:t>~21分区（废塑料、废纸回收等）建设封闭式厂房，同时在厂区北侧设置雨水收集池。</w:t>
            </w:r>
          </w:p>
          <w:p>
            <w:pPr>
              <w:ind w:firstLine="482"/>
              <w:rPr>
                <w:b/>
                <w:bCs/>
              </w:rPr>
            </w:pPr>
            <w:r>
              <w:rPr>
                <w:b/>
                <w:bCs/>
              </w:rPr>
              <w:t>1.1工艺流程</w:t>
            </w:r>
          </w:p>
          <w:p>
            <w:pPr>
              <w:ind w:firstLine="480"/>
            </w:pPr>
            <w:r>
              <w:t>本项目施工期工艺流程及排污节点如下图。</w:t>
            </w:r>
          </w:p>
          <w:p>
            <w:pPr>
              <w:pStyle w:val="35"/>
            </w:pPr>
            <w:r>
              <w:object>
                <v:shape id="_x0000_i1026" o:spt="75" type="#_x0000_t75" style="height:120pt;width:405pt;" o:ole="t" filled="f" o:preferrelative="t" stroked="f" coordsize="21600,21600">
                  <v:path/>
                  <v:fill on="f" focussize="0,0"/>
                  <v:stroke on="f" joinstyle="miter"/>
                  <v:imagedata r:id="rId15" o:title=""/>
                  <o:lock v:ext="edit" aspectratio="t"/>
                  <w10:wrap type="none"/>
                  <w10:anchorlock/>
                </v:shape>
                <o:OLEObject Type="Embed" ProgID="Visio.Drawing.11" ShapeID="_x0000_i1026" DrawAspect="Content" ObjectID="_1468075726" r:id="rId14">
                  <o:LockedField>false</o:LockedField>
                </o:OLEObject>
              </w:object>
            </w:r>
          </w:p>
          <w:p>
            <w:pPr>
              <w:pStyle w:val="35"/>
            </w:pPr>
            <w:r>
              <w:t>图2-2</w:t>
            </w:r>
            <w:r>
              <w:rPr>
                <w:rFonts w:hint="eastAsia"/>
              </w:rPr>
              <w:t xml:space="preserve">  </w:t>
            </w:r>
            <w:r>
              <w:t>施工工艺流程及排污节点图</w:t>
            </w:r>
          </w:p>
          <w:p>
            <w:pPr>
              <w:ind w:firstLine="480"/>
            </w:pPr>
            <w:r>
              <w:t>本项目</w:t>
            </w:r>
            <w:r>
              <w:rPr>
                <w:rFonts w:hint="eastAsia"/>
              </w:rPr>
              <w:t>对水洗池、危废暂存间及地面硬化建设时</w:t>
            </w:r>
            <w:r>
              <w:t>先进行场地平整，场地平整主要是对场地进行开挖或填平场地，场地完成平整后开始开挖地基进行建设，建设完成后进行设备</w:t>
            </w:r>
            <w:r>
              <w:rPr>
                <w:rFonts w:hint="eastAsia"/>
              </w:rPr>
              <w:t>或设施的</w:t>
            </w:r>
            <w:r>
              <w:t>安装。项目建设不同施工阶段的主要污染源和污染物有噪声、扬尘、建筑垃圾和施工废水产生。</w:t>
            </w:r>
          </w:p>
          <w:p>
            <w:pPr>
              <w:ind w:firstLine="482"/>
              <w:rPr>
                <w:b/>
                <w:bCs/>
              </w:rPr>
            </w:pPr>
            <w:r>
              <w:rPr>
                <w:rFonts w:hint="eastAsia"/>
                <w:b/>
                <w:bCs/>
              </w:rPr>
              <w:t>1.2产排污环节</w:t>
            </w:r>
          </w:p>
          <w:p>
            <w:pPr>
              <w:ind w:firstLine="482"/>
              <w:rPr>
                <w:b/>
                <w:bCs/>
              </w:rPr>
            </w:pPr>
            <w:r>
              <w:rPr>
                <w:rFonts w:hint="eastAsia"/>
                <w:b/>
                <w:bCs/>
              </w:rPr>
              <w:t>1.2.1大气污染源</w:t>
            </w:r>
          </w:p>
          <w:p>
            <w:pPr>
              <w:ind w:firstLine="480"/>
            </w:pPr>
            <w:r>
              <w:rPr>
                <w:rFonts w:hint="eastAsia"/>
              </w:rPr>
              <w:t>1、</w:t>
            </w:r>
            <w:r>
              <w:t>土方开挖扬尘：施工扬尘主要产生在土方开挖阶段。由于该阶段裸露浮土较多，产尘量较大，容易随风起尘，</w:t>
            </w:r>
            <w:r>
              <w:rPr>
                <w:rFonts w:hint="eastAsia"/>
              </w:rPr>
              <w:t>土方</w:t>
            </w:r>
            <w:r>
              <w:t>运输过程在沿路撒落及车辆辗压和行驶，在工程区和道路带起扬尘，污染环境；</w:t>
            </w:r>
          </w:p>
          <w:p>
            <w:pPr>
              <w:ind w:firstLine="480"/>
            </w:pPr>
            <w:r>
              <w:t>2、运输装卸扬尘：汽车行驶引起的道路扬尘约占场地扬尘总量的50%以上，装卸过程中特别是遇到大风天气，很容易产生二次扬尘；</w:t>
            </w:r>
          </w:p>
          <w:p>
            <w:pPr>
              <w:ind w:firstLine="480"/>
            </w:pPr>
            <w:r>
              <w:t>3、堆放场地扬尘：堆放场地风吹扬尘的影响范围一般在100m以内；</w:t>
            </w:r>
          </w:p>
          <w:p>
            <w:pPr>
              <w:ind w:firstLine="482"/>
              <w:rPr>
                <w:b/>
                <w:bCs/>
              </w:rPr>
            </w:pPr>
            <w:r>
              <w:rPr>
                <w:rFonts w:hint="eastAsia"/>
                <w:b/>
                <w:bCs/>
              </w:rPr>
              <w:t>1.2.2废水</w:t>
            </w:r>
          </w:p>
          <w:p>
            <w:pPr>
              <w:ind w:firstLine="480"/>
            </w:pPr>
            <w:r>
              <w:t>施工期废水主要有施工废水和生活污水。</w:t>
            </w:r>
          </w:p>
          <w:p>
            <w:pPr>
              <w:ind w:firstLine="480"/>
            </w:pPr>
            <w:r>
              <w:rPr>
                <w:rFonts w:hint="eastAsia"/>
              </w:rPr>
              <w:t>1、</w:t>
            </w:r>
            <w:r>
              <w:t>施工废水主要包括：露天堆放的垃圾和弃土受雨水冲洗所产生的泥浆，施工期挖土、混凝土</w:t>
            </w:r>
            <w:r>
              <w:rPr>
                <w:rFonts w:hint="eastAsia"/>
              </w:rPr>
              <w:t>浇筑</w:t>
            </w:r>
            <w:r>
              <w:t>等所使用的机械设备在使用和维护过程中可能发生渗油以及通过雨水、人工冲洗所形成的含油和泥沙的污水。</w:t>
            </w:r>
          </w:p>
          <w:p>
            <w:pPr>
              <w:ind w:firstLine="480"/>
            </w:pPr>
            <w:r>
              <w:rPr>
                <w:rFonts w:hint="eastAsia"/>
              </w:rPr>
              <w:t>2、</w:t>
            </w:r>
            <w:r>
              <w:t>生活污水</w:t>
            </w:r>
            <w:r>
              <w:rPr>
                <w:rFonts w:hint="eastAsia"/>
              </w:rPr>
              <w:t>：</w:t>
            </w:r>
            <w:r>
              <w:t>主要来自施工人员产生的粪便污水、清洗污水等，其中以粪便污水中的污染物数量最高。施工人员约15人，建设时间为2个月，生活用水按50L/人•d计算，则生活用水量约为0.75m</w:t>
            </w:r>
            <w:r>
              <w:rPr>
                <w:vertAlign w:val="superscript"/>
              </w:rPr>
              <w:t>3</w:t>
            </w:r>
            <w:r>
              <w:t>/d，总用水量约为45m</w:t>
            </w:r>
            <w:r>
              <w:rPr>
                <w:vertAlign w:val="superscript"/>
              </w:rPr>
              <w:t>3</w:t>
            </w:r>
            <w:r>
              <w:t>，生活污水产生量按用水量的80%计算，则施工期生活污水产生量约为36m</w:t>
            </w:r>
            <w:r>
              <w:rPr>
                <w:vertAlign w:val="superscript"/>
              </w:rPr>
              <w:t>3</w:t>
            </w:r>
            <w:r>
              <w:t>。生活污水排入</w:t>
            </w:r>
            <w:r>
              <w:rPr>
                <w:rFonts w:hint="eastAsia"/>
              </w:rPr>
              <w:t>现有旱厕，定期清掏后</w:t>
            </w:r>
            <w:r>
              <w:t>。</w:t>
            </w:r>
          </w:p>
          <w:p>
            <w:pPr>
              <w:ind w:firstLine="482"/>
              <w:rPr>
                <w:b/>
                <w:bCs/>
              </w:rPr>
            </w:pPr>
            <w:r>
              <w:rPr>
                <w:rFonts w:hint="eastAsia"/>
                <w:b/>
                <w:bCs/>
              </w:rPr>
              <w:t>1.2.3噪声源</w:t>
            </w:r>
          </w:p>
          <w:p>
            <w:pPr>
              <w:ind w:firstLine="480"/>
            </w:pPr>
            <w:r>
              <w:t>施工期主要的噪声源有机械设备噪声、施工作业噪声和交通噪声。机械设备噪声主要由挖土机械、打桩机械、升降机等多种机械设备发出的；施工作业噪声主要指一些零星的敲打声、装卸车辆的撞击声、拆卸模板的撞击声等；交通噪声主要在施工材料运输过程中产生的，主要发生在土石方阶段、结构阶段和后期装修阶段。</w:t>
            </w:r>
          </w:p>
          <w:p>
            <w:pPr>
              <w:ind w:firstLine="482"/>
              <w:rPr>
                <w:b/>
                <w:bCs/>
              </w:rPr>
            </w:pPr>
            <w:r>
              <w:rPr>
                <w:rFonts w:hint="eastAsia"/>
                <w:b/>
                <w:bCs/>
              </w:rPr>
              <w:t>1.2.4固体废物</w:t>
            </w:r>
          </w:p>
          <w:p>
            <w:pPr>
              <w:ind w:firstLine="480"/>
            </w:pPr>
            <w:r>
              <w:t>施工期产生的固体废弃物主要为建筑施工垃圾和生活垃圾。</w:t>
            </w:r>
          </w:p>
          <w:p>
            <w:pPr>
              <w:ind w:firstLine="480"/>
            </w:pPr>
            <w:r>
              <w:t>建筑施工垃圾主要包括：建筑废模块、建筑材料下角料、破钢管、断残钢筋头、包装袋以及废旧设备等建筑施工垃圾，弃土、废沙石、建筑弃渣等没有回收价值的建筑材料废弃物，以及废木料、废钢材、塑料等后期装修废料等。</w:t>
            </w:r>
          </w:p>
          <w:p>
            <w:pPr>
              <w:ind w:firstLine="480"/>
            </w:pPr>
            <w:r>
              <w:t>生活垃圾主要由施工人员日常生活产生，以有机物为主。施工人员约15人，建设时间为2个月，生活垃圾按0.5kg/人•d计算，则生活垃圾产生量为0.45t。施工场地设垃圾桶，生活垃圾经收集后由环卫部门定期清运至指定地点。</w:t>
            </w:r>
          </w:p>
          <w:p>
            <w:pPr>
              <w:ind w:firstLine="482"/>
              <w:rPr>
                <w:b/>
                <w:bCs/>
              </w:rPr>
            </w:pPr>
            <w:r>
              <w:rPr>
                <w:rFonts w:hint="eastAsia"/>
                <w:b/>
                <w:bCs/>
              </w:rPr>
              <w:t>2</w:t>
            </w:r>
            <w:r>
              <w:rPr>
                <w:b/>
                <w:bCs/>
              </w:rPr>
              <w:t>运营期</w:t>
            </w:r>
            <w:r>
              <w:rPr>
                <w:rFonts w:hint="eastAsia"/>
                <w:b/>
                <w:bCs/>
              </w:rPr>
              <w:t>工艺流程和产排污环节</w:t>
            </w:r>
          </w:p>
          <w:p>
            <w:pPr>
              <w:ind w:firstLine="482"/>
              <w:rPr>
                <w:b/>
                <w:bCs/>
              </w:rPr>
            </w:pPr>
            <w:r>
              <w:rPr>
                <w:rFonts w:hint="eastAsia"/>
                <w:b/>
                <w:bCs/>
              </w:rPr>
              <w:t>2</w:t>
            </w:r>
            <w:r>
              <w:rPr>
                <w:b/>
                <w:bCs/>
              </w:rPr>
              <w:t>.1</w:t>
            </w:r>
            <w:r>
              <w:rPr>
                <w:rFonts w:hint="eastAsia"/>
                <w:b/>
                <w:bCs/>
              </w:rPr>
              <w:t>主要生产单元及工艺</w:t>
            </w:r>
          </w:p>
          <w:p>
            <w:pPr>
              <w:ind w:firstLine="480"/>
            </w:pPr>
            <w:r>
              <w:rPr>
                <w:rFonts w:hint="eastAsia"/>
              </w:rPr>
              <w:t>项目主要将回收的废钢铁进行简单切割后外售；回收的废纸进行</w:t>
            </w:r>
            <w:r>
              <w:rPr>
                <w:rFonts w:hint="eastAsia"/>
                <w:color w:val="FF0000"/>
              </w:rPr>
              <w:t>分拣后</w:t>
            </w:r>
            <w:r>
              <w:rPr>
                <w:rFonts w:hint="eastAsia"/>
              </w:rPr>
              <w:t>分类别压缩打包外售；废塑料先进行</w:t>
            </w:r>
            <w:r>
              <w:rPr>
                <w:rFonts w:hint="eastAsia"/>
                <w:color w:val="FF0000"/>
              </w:rPr>
              <w:t>分拣</w:t>
            </w:r>
            <w:r>
              <w:rPr>
                <w:rFonts w:hint="eastAsia"/>
              </w:rPr>
              <w:t>，</w:t>
            </w:r>
            <w:r>
              <w:rPr>
                <w:rFonts w:hint="eastAsia"/>
                <w:color w:val="FF0000"/>
              </w:rPr>
              <w:t>废塑料筐进行破碎后外售、塑料瓶及其他塑料压缩打包外售</w:t>
            </w:r>
            <w:r>
              <w:rPr>
                <w:rFonts w:hint="eastAsia"/>
              </w:rPr>
              <w:t>；回收的旧电视、旧冰箱、旧洗衣机、旧电脑、旧摩托车、旧电瓶车等不进行拆解直接外售；回收的骨头及动植物废油不进行加工直接外售。</w:t>
            </w:r>
          </w:p>
          <w:p>
            <w:pPr>
              <w:ind w:firstLine="482"/>
              <w:rPr>
                <w:b/>
                <w:bCs/>
              </w:rPr>
            </w:pPr>
            <w:r>
              <w:rPr>
                <w:rFonts w:hint="eastAsia"/>
                <w:b/>
                <w:bCs/>
              </w:rPr>
              <w:t>2</w:t>
            </w:r>
            <w:r>
              <w:rPr>
                <w:b/>
                <w:bCs/>
              </w:rPr>
              <w:t>.2</w:t>
            </w:r>
            <w:r>
              <w:rPr>
                <w:rFonts w:hint="eastAsia"/>
                <w:b/>
                <w:bCs/>
              </w:rPr>
              <w:t>生产工艺流程及产排污环节分析</w:t>
            </w:r>
          </w:p>
          <w:p>
            <w:pPr>
              <w:ind w:firstLine="480"/>
            </w:pPr>
            <w:r>
              <w:rPr>
                <w:rFonts w:hint="eastAsia"/>
              </w:rPr>
              <w:t>本项目工艺</w:t>
            </w:r>
            <w:r>
              <w:t>流程及排污节点分析如下</w:t>
            </w:r>
            <w:r>
              <w:rPr>
                <w:rFonts w:hint="eastAsia"/>
              </w:rPr>
              <w:t>：</w:t>
            </w:r>
          </w:p>
          <w:p>
            <w:pPr>
              <w:ind w:firstLine="482"/>
              <w:rPr>
                <w:b/>
                <w:bCs/>
              </w:rPr>
            </w:pPr>
            <w:bookmarkStart w:id="14" w:name="_Hlk78299011"/>
            <w:bookmarkStart w:id="15" w:name="_Hlk74145376"/>
            <w:r>
              <w:rPr>
                <w:rFonts w:hint="eastAsia"/>
                <w:b/>
                <w:bCs/>
              </w:rPr>
              <w:t>（1）废钢铁回收</w:t>
            </w:r>
          </w:p>
          <w:p>
            <w:pPr>
              <w:pStyle w:val="35"/>
              <w:rPr>
                <w:bCs/>
              </w:rPr>
            </w:pPr>
            <w:r>
              <w:object>
                <v:shape id="_x0000_i1027" o:spt="75" type="#_x0000_t75" style="height:126pt;width:415.5pt;" o:ole="t" filled="f" o:preferrelative="t" stroked="f" coordsize="21600,21600">
                  <v:path/>
                  <v:fill on="f" focussize="0,0"/>
                  <v:stroke on="f" joinstyle="miter"/>
                  <v:imagedata r:id="rId17" o:title=""/>
                  <o:lock v:ext="edit" aspectratio="t"/>
                  <w10:wrap type="none"/>
                  <w10:anchorlock/>
                </v:shape>
                <o:OLEObject Type="Embed" ProgID="Visio.Drawing.15" ShapeID="_x0000_i1027" DrawAspect="Content" ObjectID="_1468075727" r:id="rId16">
                  <o:LockedField>false</o:LockedField>
                </o:OLEObject>
              </w:object>
            </w:r>
          </w:p>
          <w:p>
            <w:pPr>
              <w:pStyle w:val="35"/>
            </w:pPr>
            <w:r>
              <w:rPr>
                <w:rFonts w:hint="eastAsia"/>
              </w:rPr>
              <w:t>图</w:t>
            </w:r>
            <w:r>
              <w:t xml:space="preserve">2-3  </w:t>
            </w:r>
            <w:r>
              <w:rPr>
                <w:rFonts w:hint="eastAsia"/>
              </w:rPr>
              <w:t>本项目废钢铁回收工艺流程及产排污节点图</w:t>
            </w:r>
          </w:p>
          <w:p>
            <w:pPr>
              <w:ind w:firstLine="482"/>
              <w:rPr>
                <w:b/>
                <w:bCs/>
              </w:rPr>
            </w:pPr>
            <w:r>
              <w:rPr>
                <w:rFonts w:hint="eastAsia"/>
                <w:b/>
                <w:bCs/>
              </w:rPr>
              <w:t>生产工艺流程简述：</w:t>
            </w:r>
          </w:p>
          <w:p>
            <w:pPr>
              <w:ind w:firstLine="480"/>
            </w:pPr>
            <w:r>
              <w:rPr>
                <w:rFonts w:hint="eastAsia"/>
              </w:rPr>
              <w:t>①废钢铁回收由卡车运至厂区内，过磅后送入原料堆场内待处理，此过程将产生间断的汽车运行噪声及设备噪声、卸料粉尘。</w:t>
            </w:r>
          </w:p>
          <w:p>
            <w:pPr>
              <w:ind w:firstLine="480"/>
            </w:pPr>
            <w:r>
              <w:rPr>
                <w:rFonts w:hint="eastAsia"/>
              </w:rPr>
              <w:t>②废钢铁经人工分拣后，可直接利用废铁送至成品堆放区外售，此过程会产生少量的粉尘。</w:t>
            </w:r>
          </w:p>
          <w:p>
            <w:pPr>
              <w:ind w:firstLine="480"/>
            </w:pPr>
            <w:r>
              <w:rPr>
                <w:rFonts w:hint="eastAsia"/>
              </w:rPr>
              <w:t>③尺寸特别大的异型废钢或大块废钢，需进行剪切处理（小于70cm×70cm）。剪切采用氧气、乙炔气切割，气割时会产生部分烟尘，</w:t>
            </w:r>
            <w:r>
              <w:rPr>
                <w:rFonts w:hint="eastAsia"/>
                <w:color w:val="FF0000"/>
              </w:rPr>
              <w:t>主要是被氧化的金属氧化物颗粒物，</w:t>
            </w:r>
            <w:r>
              <w:rPr>
                <w:rFonts w:hint="eastAsia"/>
              </w:rPr>
              <w:t>剪切过程将产生设备噪声。</w:t>
            </w:r>
          </w:p>
          <w:p>
            <w:pPr>
              <w:ind w:firstLine="480"/>
              <w:rPr>
                <w:color w:val="FF0000"/>
              </w:rPr>
            </w:pPr>
            <w:r>
              <w:rPr>
                <w:rFonts w:hint="eastAsia"/>
                <w:color w:val="FF0000"/>
              </w:rPr>
              <w:t>④废钢铁回收过中所用的设备如铲车、龙门吊会产生少量的废矿物油为危险废物，暂存于危废暂存间内，委托有资质的单位进行处理处置。</w:t>
            </w:r>
          </w:p>
          <w:p>
            <w:pPr>
              <w:ind w:firstLine="480"/>
            </w:pPr>
            <w:r>
              <w:rPr>
                <w:rFonts w:hint="eastAsia"/>
              </w:rPr>
              <w:t>⑤经剪切后的废钢铁在成品堆放区存放，外售。</w:t>
            </w:r>
          </w:p>
          <w:p>
            <w:pPr>
              <w:ind w:firstLine="420"/>
              <w:rPr>
                <w:b/>
                <w:bCs/>
              </w:rPr>
            </w:pPr>
            <w:r>
              <w:rPr>
                <w:rFonts w:hint="eastAsia"/>
                <w:b/>
                <w:bCs/>
              </w:rPr>
              <w:t>产污环节：</w:t>
            </w:r>
          </w:p>
          <w:p>
            <w:pPr>
              <w:ind w:firstLine="480"/>
            </w:pPr>
            <w:r>
              <w:rPr>
                <w:rFonts w:hint="eastAsia"/>
              </w:rPr>
              <w:t>废钢铁回收中卸料、分拣、切割工序会产生粉尘、及汽车运输及设备产生的噪声、</w:t>
            </w:r>
            <w:r>
              <w:rPr>
                <w:rFonts w:hint="eastAsia"/>
                <w:color w:val="FF0000"/>
              </w:rPr>
              <w:t>铲车及龙门吊等设备产生的废矿物油。</w:t>
            </w:r>
          </w:p>
          <w:bookmarkEnd w:id="14"/>
          <w:p>
            <w:pPr>
              <w:ind w:firstLine="482"/>
              <w:rPr>
                <w:b/>
                <w:bCs/>
              </w:rPr>
            </w:pPr>
            <w:bookmarkStart w:id="16" w:name="_Hlk78304087"/>
            <w:r>
              <w:rPr>
                <w:rFonts w:hint="eastAsia"/>
                <w:b/>
                <w:bCs/>
              </w:rPr>
              <w:t>（</w:t>
            </w:r>
            <w:r>
              <w:rPr>
                <w:b/>
                <w:bCs/>
              </w:rPr>
              <w:t>2</w:t>
            </w:r>
            <w:r>
              <w:rPr>
                <w:rFonts w:hint="eastAsia"/>
                <w:b/>
                <w:bCs/>
              </w:rPr>
              <w:t>）废塑料回收</w:t>
            </w:r>
          </w:p>
          <w:p>
            <w:pPr>
              <w:pStyle w:val="35"/>
            </w:pPr>
            <w:r>
              <w:object>
                <v:shape id="_x0000_i1028" o:spt="75" type="#_x0000_t75" style="height:136.5pt;width:422.25pt;" o:ole="t" filled="f" o:preferrelative="t" stroked="f" coordsize="21600,21600">
                  <v:path/>
                  <v:fill on="f" focussize="0,0"/>
                  <v:stroke on="f" joinstyle="miter"/>
                  <v:imagedata r:id="rId19" o:title=""/>
                  <o:lock v:ext="edit" aspectratio="t"/>
                  <w10:wrap type="none"/>
                  <w10:anchorlock/>
                </v:shape>
                <o:OLEObject Type="Embed" ProgID="Visio.Drawing.15" ShapeID="_x0000_i1028" DrawAspect="Content" ObjectID="_1468075728" r:id="rId18">
                  <o:LockedField>false</o:LockedField>
                </o:OLEObject>
              </w:object>
            </w:r>
            <w:r>
              <w:rPr>
                <w:rFonts w:hint="eastAsia"/>
              </w:rPr>
              <w:t>图</w:t>
            </w:r>
            <w:r>
              <w:t xml:space="preserve">2-4  </w:t>
            </w:r>
            <w:r>
              <w:rPr>
                <w:rFonts w:hint="eastAsia"/>
              </w:rPr>
              <w:t>本项目废塑料回收工艺流程及产排污节点图</w:t>
            </w:r>
          </w:p>
          <w:p>
            <w:pPr>
              <w:ind w:firstLine="482"/>
              <w:rPr>
                <w:b/>
                <w:bCs/>
              </w:rPr>
            </w:pPr>
            <w:r>
              <w:rPr>
                <w:rFonts w:hint="eastAsia"/>
                <w:b/>
                <w:bCs/>
              </w:rPr>
              <w:t>生产工艺流程简述：</w:t>
            </w:r>
          </w:p>
          <w:p>
            <w:pPr>
              <w:ind w:firstLine="420"/>
              <w:rPr>
                <w:color w:val="FF0000"/>
              </w:rPr>
            </w:pPr>
            <w:r>
              <w:rPr>
                <w:rFonts w:hint="eastAsia"/>
                <w:color w:val="FF0000"/>
              </w:rPr>
              <w:t>本项目回收的废塑料为废塑料瓶、废薄膜、废塑料筐等，不涉及医疗废物和危险废物，项目废塑料瓶原状液体主要为矿泉水、饮料无沾染危险废物的废塑料瓶。</w:t>
            </w:r>
          </w:p>
          <w:p>
            <w:pPr>
              <w:ind w:firstLine="480"/>
            </w:pPr>
            <w:bookmarkStart w:id="17" w:name="_Hlk74226845"/>
            <w:r>
              <w:rPr>
                <w:rFonts w:hint="eastAsia"/>
              </w:rPr>
              <w:t>①废塑料经回收由卡车运至厂区内，过磅后送入原料区内待处理，此过程将产生间断的汽车运行噪声及设备噪声、卸料粉尘。</w:t>
            </w:r>
          </w:p>
          <w:p>
            <w:pPr>
              <w:ind w:firstLine="480"/>
              <w:rPr>
                <w:color w:val="FF0000"/>
              </w:rPr>
            </w:pPr>
            <w:r>
              <w:rPr>
                <w:rFonts w:hint="eastAsia"/>
              </w:rPr>
              <w:t>②废塑料经人工分拣后，其中废塑料瓶直接压缩打包后外售、其他废塑料也直接压缩打包后外售、废塑料筐按颜色分拣待破碎，分拣过程中会产生粉尘，</w:t>
            </w:r>
            <w:r>
              <w:rPr>
                <w:rFonts w:hint="eastAsia"/>
                <w:color w:val="FF0000"/>
              </w:rPr>
              <w:t>项目回收的废塑料瓶多为空瓶，只有极个别会有少量的液体。项目在分拣时，将少量液体收集在桶中定期送至五原县隆兴昌镇污水处理厂，根据业主提供资料约0.2t/a的液体。</w:t>
            </w:r>
          </w:p>
          <w:p>
            <w:pPr>
              <w:ind w:firstLine="480"/>
              <w:rPr>
                <w:rFonts w:ascii="宋体" w:hAnsi="宋体" w:cs="宋体"/>
              </w:rPr>
            </w:pPr>
            <w:r>
              <w:rPr>
                <w:rFonts w:hint="eastAsia"/>
              </w:rPr>
              <w:t>③废塑料筐按颜色进行人工分拣后，分别进行破碎处理，破碎时废塑料筐由进料口投入，将塑料筐破碎成1</w:t>
            </w:r>
            <w:r>
              <w:t xml:space="preserve">~2cm </w:t>
            </w:r>
            <w:r>
              <w:rPr>
                <w:rFonts w:hint="eastAsia"/>
              </w:rPr>
              <w:t>的小块，</w:t>
            </w:r>
            <w:r>
              <w:rPr>
                <w:rFonts w:hint="eastAsia" w:ascii="宋体" w:hAnsi="宋体" w:cs="宋体"/>
              </w:rPr>
              <w:t>本项</w:t>
            </w:r>
            <w:r>
              <w:rPr>
                <w:rFonts w:hint="eastAsia"/>
              </w:rPr>
              <w:t>目破碎机上端安装喷水管，</w:t>
            </w:r>
            <w:r>
              <w:rPr>
                <w:rFonts w:hint="eastAsia" w:ascii="宋体" w:hAnsi="宋体" w:cs="宋体"/>
              </w:rPr>
              <w:t>破碎方式为湿式破碎，破碎后的物料进入分离池，本项目分离</w:t>
            </w:r>
            <w:r>
              <w:rPr>
                <w:rFonts w:hint="eastAsia"/>
              </w:rPr>
              <w:t>水洗池为2个，尺</w:t>
            </w:r>
            <w:r>
              <w:rPr>
                <w:rFonts w:hint="eastAsia" w:ascii="宋体" w:hAnsi="宋体" w:cs="宋体"/>
              </w:rPr>
              <w:t>寸为：</w:t>
            </w:r>
            <w:r>
              <w:rPr>
                <w:rFonts w:hint="eastAsia"/>
                <w:color w:val="FF0000"/>
              </w:rPr>
              <w:t>3</w:t>
            </w:r>
            <w:r>
              <w:rPr>
                <w:color w:val="FF0000"/>
              </w:rPr>
              <w:t>m×1.5m×1m</w:t>
            </w:r>
            <w:r>
              <w:rPr>
                <w:rFonts w:hint="eastAsia"/>
              </w:rPr>
              <w:t>的水池（铁质），</w:t>
            </w:r>
            <w:r>
              <w:rPr>
                <w:rFonts w:hint="eastAsia" w:ascii="宋体" w:hAnsi="宋体" w:cs="宋体"/>
              </w:rPr>
              <w:t>物料进入分离水洗池后，由于塑料小块的密度不同，密度轻的浮在水面上，密度大的沉到水底。由此可区分好料与次料，浮在水面上的好料打捞出来打包外售，沉在下面的次料打捞后自然晾干后打包外售。</w:t>
            </w:r>
            <w:r>
              <w:rPr>
                <w:rFonts w:hint="eastAsia" w:ascii="宋体" w:hAnsi="宋体" w:cs="宋体"/>
                <w:color w:val="FF0000"/>
              </w:rPr>
              <w:t>分离水洗池</w:t>
            </w:r>
            <w:r>
              <w:rPr>
                <w:rFonts w:hint="eastAsia" w:ascii="宋体" w:hAnsi="宋体" w:cs="宋体"/>
              </w:rPr>
              <w:t>产生的清洗废水进入</w:t>
            </w:r>
            <w:r>
              <w:rPr>
                <w:rFonts w:hint="eastAsia" w:ascii="宋体" w:hAnsi="宋体" w:cs="宋体"/>
                <w:color w:val="FF0000"/>
              </w:rPr>
              <w:t>沉淀池</w:t>
            </w:r>
            <w:r>
              <w:rPr>
                <w:rFonts w:hint="eastAsia" w:ascii="宋体" w:hAnsi="宋体" w:cs="宋体"/>
              </w:rPr>
              <w:t>沉淀后循环使用，项目</w:t>
            </w:r>
            <w:r>
              <w:rPr>
                <w:rFonts w:hint="eastAsia"/>
              </w:rPr>
              <w:t>新建2个尺寸</w:t>
            </w:r>
            <w:r>
              <w:rPr>
                <w:rFonts w:hint="eastAsia" w:ascii="宋体" w:hAnsi="宋体" w:cs="宋体"/>
              </w:rPr>
              <w:t>为</w:t>
            </w:r>
            <w:r>
              <w:rPr>
                <w:color w:val="FF0000"/>
              </w:rPr>
              <w:t>3m×2m×1m</w:t>
            </w:r>
            <w:r>
              <w:rPr>
                <w:rFonts w:hint="eastAsia" w:ascii="宋体" w:hAnsi="宋体" w:cs="宋体"/>
                <w:color w:val="FF0000"/>
              </w:rPr>
              <w:t>的沉淀池</w:t>
            </w:r>
            <w:r>
              <w:rPr>
                <w:rFonts w:hint="eastAsia" w:ascii="宋体" w:hAnsi="宋体" w:cs="宋体"/>
              </w:rPr>
              <w:t>（底部与池壁做防渗处理）</w:t>
            </w:r>
            <w:r>
              <w:rPr>
                <w:rFonts w:hint="eastAsia"/>
              </w:rPr>
              <w:t>。破碎、水洗过程中会产生水洗废水及沉淀池的</w:t>
            </w:r>
            <w:r>
              <w:rPr>
                <w:rFonts w:hint="eastAsia"/>
                <w:color w:val="FF0000"/>
              </w:rPr>
              <w:t>沉渣。</w:t>
            </w:r>
          </w:p>
          <w:bookmarkEnd w:id="17"/>
          <w:p>
            <w:pPr>
              <w:ind w:firstLine="482"/>
              <w:rPr>
                <w:b/>
                <w:bCs/>
              </w:rPr>
            </w:pPr>
            <w:r>
              <w:rPr>
                <w:rFonts w:hint="eastAsia"/>
                <w:b/>
                <w:bCs/>
              </w:rPr>
              <w:t>产污环节：</w:t>
            </w:r>
          </w:p>
          <w:p>
            <w:pPr>
              <w:ind w:firstLine="480"/>
            </w:pPr>
            <w:r>
              <w:rPr>
                <w:rFonts w:hint="eastAsia"/>
              </w:rPr>
              <w:t>废塑料在卸料时会产生粉尘、噪声</w:t>
            </w:r>
            <w:r>
              <w:rPr>
                <w:rFonts w:hint="eastAsia"/>
                <w:color w:val="FF0000"/>
              </w:rPr>
              <w:t>。</w:t>
            </w:r>
          </w:p>
          <w:p>
            <w:pPr>
              <w:ind w:firstLine="480"/>
            </w:pPr>
            <w:r>
              <w:rPr>
                <w:rFonts w:hint="eastAsia"/>
              </w:rPr>
              <w:t>废塑料在分拣时会产生粉尘、</w:t>
            </w:r>
            <w:r>
              <w:rPr>
                <w:rFonts w:hint="eastAsia"/>
                <w:color w:val="FF0000"/>
              </w:rPr>
              <w:t>废液体</w:t>
            </w:r>
            <w:r>
              <w:rPr>
                <w:rFonts w:hint="eastAsia"/>
              </w:rPr>
              <w:t>。</w:t>
            </w:r>
          </w:p>
          <w:p>
            <w:pPr>
              <w:ind w:firstLine="480"/>
            </w:pPr>
            <w:r>
              <w:rPr>
                <w:rFonts w:hint="eastAsia"/>
              </w:rPr>
              <w:t>废塑料瓶及其他塑料在压缩打包是会产生噪声。</w:t>
            </w:r>
          </w:p>
          <w:p>
            <w:pPr>
              <w:ind w:firstLine="480"/>
            </w:pPr>
            <w:r>
              <w:rPr>
                <w:rFonts w:hint="eastAsia"/>
              </w:rPr>
              <w:t>废塑料筐破碎、水洗时会产生废水，沉淀池产生的污泥。</w:t>
            </w:r>
          </w:p>
          <w:bookmarkEnd w:id="16"/>
          <w:p>
            <w:pPr>
              <w:ind w:firstLine="482"/>
              <w:rPr>
                <w:b/>
                <w:bCs/>
              </w:rPr>
            </w:pPr>
            <w:r>
              <w:rPr>
                <w:rFonts w:hint="eastAsia"/>
                <w:b/>
                <w:bCs/>
              </w:rPr>
              <w:t>（</w:t>
            </w:r>
            <w:r>
              <w:rPr>
                <w:b/>
                <w:bCs/>
              </w:rPr>
              <w:t>3</w:t>
            </w:r>
            <w:r>
              <w:rPr>
                <w:rFonts w:hint="eastAsia"/>
                <w:b/>
                <w:bCs/>
              </w:rPr>
              <w:t>）废纸回收</w:t>
            </w:r>
          </w:p>
          <w:p>
            <w:pPr>
              <w:pStyle w:val="35"/>
            </w:pPr>
            <w:r>
              <w:object>
                <v:shape id="_x0000_i1029" o:spt="75" type="#_x0000_t75" style="height:69pt;width:397.5pt;" o:ole="t" filled="f" o:preferrelative="t" stroked="f" coordsize="21600,21600">
                  <v:path/>
                  <v:fill on="f" focussize="0,0"/>
                  <v:stroke on="f" joinstyle="miter"/>
                  <v:imagedata r:id="rId21" o:title=""/>
                  <o:lock v:ext="edit" aspectratio="t"/>
                  <w10:wrap type="none"/>
                  <w10:anchorlock/>
                </v:shape>
                <o:OLEObject Type="Embed" ProgID="Visio.Drawing.15" ShapeID="_x0000_i1029" DrawAspect="Content" ObjectID="_1468075729" r:id="rId20">
                  <o:LockedField>false</o:LockedField>
                </o:OLEObject>
              </w:object>
            </w:r>
          </w:p>
          <w:p>
            <w:pPr>
              <w:pStyle w:val="35"/>
            </w:pPr>
            <w:r>
              <w:rPr>
                <w:rFonts w:hint="eastAsia"/>
              </w:rPr>
              <w:t>图</w:t>
            </w:r>
            <w:r>
              <w:t xml:space="preserve">2-5  </w:t>
            </w:r>
            <w:r>
              <w:rPr>
                <w:rFonts w:hint="eastAsia"/>
              </w:rPr>
              <w:t>本项目废纸回收工艺流程及产排污节点图</w:t>
            </w:r>
          </w:p>
          <w:p>
            <w:pPr>
              <w:ind w:firstLine="482"/>
              <w:rPr>
                <w:b/>
                <w:bCs/>
              </w:rPr>
            </w:pPr>
            <w:r>
              <w:rPr>
                <w:rFonts w:hint="eastAsia"/>
                <w:b/>
                <w:bCs/>
              </w:rPr>
              <w:t>生产工艺流程简述：</w:t>
            </w:r>
          </w:p>
          <w:p>
            <w:pPr>
              <w:ind w:firstLine="480"/>
            </w:pPr>
            <w:r>
              <w:rPr>
                <w:rFonts w:hint="eastAsia"/>
              </w:rPr>
              <w:t>①废纸回收由汽车运至厂区内，过磅后送入原料区内待处理，此过程将产生间断的汽车运行噪声及设备噪声。</w:t>
            </w:r>
          </w:p>
          <w:p>
            <w:pPr>
              <w:ind w:firstLine="480"/>
            </w:pPr>
            <w:r>
              <w:rPr>
                <w:rFonts w:hint="eastAsia"/>
              </w:rPr>
              <w:t>②废纸经人工分拣后，压缩打包后外售。</w:t>
            </w:r>
          </w:p>
          <w:p>
            <w:pPr>
              <w:ind w:firstLine="482"/>
              <w:rPr>
                <w:b/>
                <w:bCs/>
              </w:rPr>
            </w:pPr>
            <w:r>
              <w:rPr>
                <w:rFonts w:hint="eastAsia"/>
                <w:b/>
                <w:bCs/>
              </w:rPr>
              <w:t>产污环节：</w:t>
            </w:r>
          </w:p>
          <w:p>
            <w:pPr>
              <w:ind w:firstLine="480"/>
            </w:pPr>
            <w:r>
              <w:rPr>
                <w:rFonts w:hint="eastAsia"/>
              </w:rPr>
              <w:t>废纸回收中卸料、分拣、压缩打包工序会产生粉尘、噪声。</w:t>
            </w:r>
          </w:p>
          <w:p>
            <w:pPr>
              <w:ind w:firstLine="482"/>
              <w:rPr>
                <w:b/>
                <w:bCs/>
              </w:rPr>
            </w:pPr>
            <w:r>
              <w:rPr>
                <w:rFonts w:hint="eastAsia"/>
                <w:b/>
                <w:bCs/>
              </w:rPr>
              <w:t>（</w:t>
            </w:r>
            <w:r>
              <w:rPr>
                <w:b/>
                <w:bCs/>
              </w:rPr>
              <w:t>4</w:t>
            </w:r>
            <w:r>
              <w:rPr>
                <w:rFonts w:hint="eastAsia"/>
                <w:b/>
                <w:bCs/>
              </w:rPr>
              <w:t>）旧家电回收</w:t>
            </w:r>
          </w:p>
          <w:p>
            <w:pPr>
              <w:pStyle w:val="35"/>
            </w:pPr>
            <w:r>
              <w:object>
                <v:shape id="_x0000_i1030" o:spt="75" type="#_x0000_t75" style="height:48pt;width:351pt;" o:ole="t" filled="f" o:preferrelative="t" stroked="f" coordsize="21600,21600">
                  <v:path/>
                  <v:fill on="f" focussize="0,0"/>
                  <v:stroke on="f" joinstyle="miter"/>
                  <v:imagedata r:id="rId23" o:title=""/>
                  <o:lock v:ext="edit" aspectratio="t"/>
                  <w10:wrap type="none"/>
                  <w10:anchorlock/>
                </v:shape>
                <o:OLEObject Type="Embed" ProgID="Visio.Drawing.15" ShapeID="_x0000_i1030" DrawAspect="Content" ObjectID="_1468075730" r:id="rId22">
                  <o:LockedField>false</o:LockedField>
                </o:OLEObject>
              </w:object>
            </w:r>
          </w:p>
          <w:p>
            <w:pPr>
              <w:pStyle w:val="35"/>
            </w:pPr>
            <w:r>
              <w:rPr>
                <w:rFonts w:hint="eastAsia"/>
              </w:rPr>
              <w:t>图</w:t>
            </w:r>
            <w:r>
              <w:t xml:space="preserve">2-6  </w:t>
            </w:r>
            <w:r>
              <w:rPr>
                <w:rFonts w:hint="eastAsia"/>
              </w:rPr>
              <w:t>本项目旧家电等回收工艺流程及产排污节点图</w:t>
            </w:r>
          </w:p>
          <w:p>
            <w:pPr>
              <w:ind w:firstLine="482"/>
              <w:rPr>
                <w:b/>
                <w:bCs/>
              </w:rPr>
            </w:pPr>
            <w:r>
              <w:rPr>
                <w:rFonts w:hint="eastAsia"/>
                <w:b/>
                <w:bCs/>
              </w:rPr>
              <w:t>生产工艺流程简述：</w:t>
            </w:r>
          </w:p>
          <w:p>
            <w:pPr>
              <w:ind w:firstLine="480"/>
            </w:pPr>
            <w:r>
              <w:rPr>
                <w:rFonts w:hint="eastAsia"/>
              </w:rPr>
              <w:t>旧家电、旧电脑、旧摩托车、旧电瓶车回收由汽车运至厂区内，不进行拆解及加工，直接外售。此过程将产生间断的汽车运行噪声及设备噪声。</w:t>
            </w:r>
          </w:p>
          <w:p>
            <w:pPr>
              <w:ind w:firstLine="482"/>
              <w:rPr>
                <w:b/>
                <w:bCs/>
              </w:rPr>
            </w:pPr>
            <w:r>
              <w:rPr>
                <w:rFonts w:hint="eastAsia"/>
                <w:b/>
                <w:bCs/>
              </w:rPr>
              <w:t>（</w:t>
            </w:r>
            <w:r>
              <w:rPr>
                <w:b/>
                <w:bCs/>
              </w:rPr>
              <w:t>5</w:t>
            </w:r>
            <w:r>
              <w:rPr>
                <w:rFonts w:hint="eastAsia"/>
                <w:b/>
                <w:bCs/>
              </w:rPr>
              <w:t>）骨头及废动植物油回收</w:t>
            </w:r>
          </w:p>
          <w:p>
            <w:pPr>
              <w:pStyle w:val="35"/>
            </w:pPr>
            <w:r>
              <w:object>
                <v:shape id="_x0000_i1031" o:spt="75" type="#_x0000_t75" style="height:84pt;width:325.5pt;" o:ole="t" filled="f" o:preferrelative="t" stroked="f" coordsize="21600,21600">
                  <v:path/>
                  <v:fill on="f" focussize="0,0"/>
                  <v:stroke on="f" joinstyle="miter"/>
                  <v:imagedata r:id="rId25" o:title=""/>
                  <o:lock v:ext="edit" aspectratio="t"/>
                  <w10:wrap type="none"/>
                  <w10:anchorlock/>
                </v:shape>
                <o:OLEObject Type="Embed" ProgID="Visio.Drawing.15" ShapeID="_x0000_i1031" DrawAspect="Content" ObjectID="_1468075731" r:id="rId24">
                  <o:LockedField>false</o:LockedField>
                </o:OLEObject>
              </w:object>
            </w:r>
          </w:p>
          <w:p>
            <w:pPr>
              <w:pStyle w:val="35"/>
            </w:pPr>
            <w:r>
              <w:rPr>
                <w:rFonts w:hint="eastAsia"/>
              </w:rPr>
              <w:t>图</w:t>
            </w:r>
            <w:r>
              <w:t xml:space="preserve">2-7  </w:t>
            </w:r>
            <w:r>
              <w:rPr>
                <w:rFonts w:hint="eastAsia"/>
              </w:rPr>
              <w:t>本项目废骨头及废动植物油回收工艺流程及产排污节点图</w:t>
            </w:r>
          </w:p>
          <w:bookmarkEnd w:id="15"/>
          <w:p>
            <w:pPr>
              <w:ind w:firstLine="482"/>
              <w:rPr>
                <w:b/>
                <w:bCs/>
              </w:rPr>
            </w:pPr>
            <w:r>
              <w:rPr>
                <w:rFonts w:hint="eastAsia"/>
                <w:b/>
                <w:bCs/>
              </w:rPr>
              <w:t>生产工艺流程简述：</w:t>
            </w:r>
          </w:p>
          <w:p>
            <w:pPr>
              <w:ind w:firstLine="480"/>
            </w:pPr>
            <w:r>
              <w:rPr>
                <w:rFonts w:hint="eastAsia"/>
              </w:rPr>
              <w:t>骨头、废动植物油回收由汽车运至厂区内，不进行加工，直接外售。此过程将产生间断的汽车运行噪声及设备噪声，同时有异味气体（恶臭）产生。</w:t>
            </w:r>
          </w:p>
          <w:p>
            <w:pPr>
              <w:pStyle w:val="35"/>
            </w:pPr>
            <w:bookmarkStart w:id="18" w:name="_Hlk71185905"/>
            <w:bookmarkStart w:id="19" w:name="_Hlk74157912"/>
            <w:r>
              <w:rPr>
                <w:rFonts w:hint="eastAsia"/>
              </w:rPr>
              <w:t>表</w:t>
            </w:r>
            <w:r>
              <w:t xml:space="preserve">2-5  </w:t>
            </w:r>
            <w:r>
              <w:rPr>
                <w:rFonts w:hint="eastAsia"/>
              </w:rPr>
              <w:t>项目生产工艺排污环节一览表</w:t>
            </w:r>
          </w:p>
          <w:bookmarkEnd w:id="18"/>
          <w:tbl>
            <w:tblPr>
              <w:tblStyle w:val="23"/>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72"/>
              <w:gridCol w:w="1540"/>
              <w:gridCol w:w="1583"/>
              <w:gridCol w:w="1417"/>
              <w:gridCol w:w="323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Align w:val="center"/>
                </w:tcPr>
                <w:p>
                  <w:pPr>
                    <w:pStyle w:val="33"/>
                    <w:rPr>
                      <w:b/>
                      <w:bCs/>
                    </w:rPr>
                  </w:pPr>
                  <w:r>
                    <w:rPr>
                      <w:rFonts w:hint="eastAsia"/>
                      <w:b/>
                      <w:bCs/>
                    </w:rPr>
                    <w:t>类别</w:t>
                  </w:r>
                </w:p>
              </w:tc>
              <w:tc>
                <w:tcPr>
                  <w:tcW w:w="1849" w:type="pct"/>
                  <w:gridSpan w:val="2"/>
                  <w:vAlign w:val="center"/>
                </w:tcPr>
                <w:p>
                  <w:pPr>
                    <w:pStyle w:val="33"/>
                    <w:rPr>
                      <w:b/>
                      <w:bCs/>
                    </w:rPr>
                  </w:pPr>
                  <w:r>
                    <w:rPr>
                      <w:rFonts w:hint="eastAsia"/>
                      <w:b/>
                      <w:bCs/>
                    </w:rPr>
                    <w:t>污染工序</w:t>
                  </w:r>
                </w:p>
              </w:tc>
              <w:tc>
                <w:tcPr>
                  <w:tcW w:w="839" w:type="pct"/>
                  <w:vAlign w:val="center"/>
                </w:tcPr>
                <w:p>
                  <w:pPr>
                    <w:pStyle w:val="33"/>
                    <w:rPr>
                      <w:b/>
                      <w:bCs/>
                    </w:rPr>
                  </w:pPr>
                  <w:r>
                    <w:rPr>
                      <w:rFonts w:hint="eastAsia"/>
                      <w:b/>
                      <w:bCs/>
                    </w:rPr>
                    <w:t>污染物名称</w:t>
                  </w:r>
                </w:p>
              </w:tc>
              <w:tc>
                <w:tcPr>
                  <w:tcW w:w="1914" w:type="pct"/>
                  <w:vAlign w:val="center"/>
                </w:tcPr>
                <w:p>
                  <w:pPr>
                    <w:pStyle w:val="33"/>
                    <w:rPr>
                      <w:b/>
                      <w:bCs/>
                    </w:rPr>
                  </w:pPr>
                  <w:r>
                    <w:rPr>
                      <w:rFonts w:hint="eastAsia"/>
                      <w:b/>
                      <w:bCs/>
                    </w:rPr>
                    <w:t>处置方式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restart"/>
                  <w:vAlign w:val="center"/>
                </w:tcPr>
                <w:p>
                  <w:pPr>
                    <w:pStyle w:val="33"/>
                  </w:pPr>
                  <w:r>
                    <w:rPr>
                      <w:rFonts w:hint="eastAsia"/>
                    </w:rPr>
                    <w:t>废气</w:t>
                  </w:r>
                </w:p>
              </w:tc>
              <w:tc>
                <w:tcPr>
                  <w:tcW w:w="912" w:type="pct"/>
                  <w:vMerge w:val="restart"/>
                  <w:vAlign w:val="center"/>
                </w:tcPr>
                <w:p>
                  <w:pPr>
                    <w:pStyle w:val="33"/>
                  </w:pPr>
                  <w:r>
                    <w:rPr>
                      <w:rFonts w:hint="eastAsia"/>
                    </w:rPr>
                    <w:t>废钢铁</w:t>
                  </w:r>
                </w:p>
              </w:tc>
              <w:tc>
                <w:tcPr>
                  <w:tcW w:w="937" w:type="pct"/>
                  <w:vAlign w:val="center"/>
                </w:tcPr>
                <w:p>
                  <w:pPr>
                    <w:pStyle w:val="33"/>
                  </w:pPr>
                  <w:r>
                    <w:rPr>
                      <w:rFonts w:hint="eastAsia"/>
                    </w:rPr>
                    <w:t>卸料</w:t>
                  </w:r>
                </w:p>
              </w:tc>
              <w:tc>
                <w:tcPr>
                  <w:tcW w:w="839" w:type="pct"/>
                  <w:vAlign w:val="center"/>
                </w:tcPr>
                <w:p>
                  <w:pPr>
                    <w:pStyle w:val="33"/>
                  </w:pPr>
                  <w:r>
                    <w:rPr>
                      <w:rFonts w:hint="eastAsia"/>
                    </w:rPr>
                    <w:t>粉尘</w:t>
                  </w:r>
                </w:p>
              </w:tc>
              <w:tc>
                <w:tcPr>
                  <w:tcW w:w="1914" w:type="pct"/>
                  <w:vAlign w:val="center"/>
                </w:tcPr>
                <w:p>
                  <w:pPr>
                    <w:pStyle w:val="33"/>
                    <w:rPr>
                      <w:color w:val="FF0000"/>
                    </w:rPr>
                  </w:pPr>
                  <w:r>
                    <w:rPr>
                      <w:rFonts w:hint="eastAsia"/>
                      <w:color w:val="FF0000"/>
                    </w:rPr>
                    <w:t>洒水沉降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Merge w:val="continue"/>
                  <w:vAlign w:val="center"/>
                </w:tcPr>
                <w:p>
                  <w:pPr>
                    <w:pStyle w:val="33"/>
                  </w:pPr>
                </w:p>
              </w:tc>
              <w:tc>
                <w:tcPr>
                  <w:tcW w:w="937" w:type="pct"/>
                  <w:vAlign w:val="center"/>
                </w:tcPr>
                <w:p>
                  <w:pPr>
                    <w:pStyle w:val="33"/>
                  </w:pPr>
                  <w:r>
                    <w:rPr>
                      <w:rFonts w:hint="eastAsia"/>
                    </w:rPr>
                    <w:t>分拣</w:t>
                  </w:r>
                </w:p>
              </w:tc>
              <w:tc>
                <w:tcPr>
                  <w:tcW w:w="839" w:type="pct"/>
                  <w:vAlign w:val="center"/>
                </w:tcPr>
                <w:p>
                  <w:pPr>
                    <w:pStyle w:val="33"/>
                  </w:pPr>
                  <w:r>
                    <w:rPr>
                      <w:rFonts w:hint="eastAsia"/>
                    </w:rPr>
                    <w:t>粉尘</w:t>
                  </w:r>
                </w:p>
              </w:tc>
              <w:tc>
                <w:tcPr>
                  <w:tcW w:w="1914" w:type="pct"/>
                  <w:vAlign w:val="center"/>
                </w:tcPr>
                <w:p>
                  <w:pPr>
                    <w:pStyle w:val="33"/>
                    <w:rPr>
                      <w:color w:val="FF0000"/>
                    </w:rPr>
                  </w:pPr>
                  <w:r>
                    <w:rPr>
                      <w:rFonts w:hint="eastAsia"/>
                      <w:color w:val="FF0000"/>
                    </w:rPr>
                    <w:t>洒水沉降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Merge w:val="continue"/>
                  <w:vAlign w:val="center"/>
                </w:tcPr>
                <w:p>
                  <w:pPr>
                    <w:pStyle w:val="33"/>
                  </w:pPr>
                </w:p>
              </w:tc>
              <w:tc>
                <w:tcPr>
                  <w:tcW w:w="937" w:type="pct"/>
                  <w:vAlign w:val="center"/>
                </w:tcPr>
                <w:p>
                  <w:pPr>
                    <w:pStyle w:val="33"/>
                  </w:pPr>
                  <w:r>
                    <w:rPr>
                      <w:rFonts w:hint="eastAsia"/>
                    </w:rPr>
                    <w:t>切割</w:t>
                  </w:r>
                </w:p>
              </w:tc>
              <w:tc>
                <w:tcPr>
                  <w:tcW w:w="839" w:type="pct"/>
                  <w:vAlign w:val="center"/>
                </w:tcPr>
                <w:p>
                  <w:pPr>
                    <w:pStyle w:val="33"/>
                  </w:pPr>
                  <w:r>
                    <w:rPr>
                      <w:rFonts w:hint="eastAsia"/>
                    </w:rPr>
                    <w:t>粉尘</w:t>
                  </w:r>
                </w:p>
              </w:tc>
              <w:tc>
                <w:tcPr>
                  <w:tcW w:w="1914" w:type="pct"/>
                  <w:vAlign w:val="center"/>
                </w:tcPr>
                <w:p>
                  <w:pPr>
                    <w:pStyle w:val="33"/>
                    <w:rPr>
                      <w:color w:val="FF0000"/>
                    </w:rPr>
                  </w:pPr>
                  <w:r>
                    <w:rPr>
                      <w:rFonts w:hint="eastAsia"/>
                      <w:color w:val="FF0000"/>
                    </w:rPr>
                    <w:t>洒水沉降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Merge w:val="restart"/>
                  <w:vAlign w:val="center"/>
                </w:tcPr>
                <w:p>
                  <w:pPr>
                    <w:pStyle w:val="33"/>
                  </w:pPr>
                  <w:r>
                    <w:rPr>
                      <w:rFonts w:hint="eastAsia"/>
                    </w:rPr>
                    <w:t>废塑料</w:t>
                  </w:r>
                </w:p>
              </w:tc>
              <w:tc>
                <w:tcPr>
                  <w:tcW w:w="937" w:type="pct"/>
                  <w:vAlign w:val="center"/>
                </w:tcPr>
                <w:p>
                  <w:pPr>
                    <w:pStyle w:val="33"/>
                  </w:pPr>
                  <w:r>
                    <w:rPr>
                      <w:rFonts w:hint="eastAsia"/>
                    </w:rPr>
                    <w:t>卸料</w:t>
                  </w:r>
                </w:p>
              </w:tc>
              <w:tc>
                <w:tcPr>
                  <w:tcW w:w="839" w:type="pct"/>
                  <w:vAlign w:val="center"/>
                </w:tcPr>
                <w:p>
                  <w:pPr>
                    <w:pStyle w:val="33"/>
                  </w:pPr>
                  <w:r>
                    <w:rPr>
                      <w:rFonts w:hint="eastAsia"/>
                    </w:rPr>
                    <w:t>粉尘</w:t>
                  </w:r>
                </w:p>
              </w:tc>
              <w:tc>
                <w:tcPr>
                  <w:tcW w:w="1914" w:type="pct"/>
                  <w:vMerge w:val="restart"/>
                  <w:vAlign w:val="center"/>
                </w:tcPr>
                <w:p>
                  <w:pPr>
                    <w:pStyle w:val="33"/>
                  </w:pPr>
                  <w:r>
                    <w:rPr>
                      <w:rFonts w:hint="eastAsia"/>
                    </w:rPr>
                    <w:t>封闭式厂房内，自然沉降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Merge w:val="continue"/>
                  <w:vAlign w:val="center"/>
                </w:tcPr>
                <w:p>
                  <w:pPr>
                    <w:pStyle w:val="33"/>
                  </w:pPr>
                </w:p>
              </w:tc>
              <w:tc>
                <w:tcPr>
                  <w:tcW w:w="937" w:type="pct"/>
                  <w:vAlign w:val="center"/>
                </w:tcPr>
                <w:p>
                  <w:pPr>
                    <w:pStyle w:val="33"/>
                  </w:pPr>
                  <w:r>
                    <w:rPr>
                      <w:rFonts w:hint="eastAsia"/>
                    </w:rPr>
                    <w:t>分拣</w:t>
                  </w:r>
                </w:p>
              </w:tc>
              <w:tc>
                <w:tcPr>
                  <w:tcW w:w="839" w:type="pct"/>
                  <w:vAlign w:val="center"/>
                </w:tcPr>
                <w:p>
                  <w:pPr>
                    <w:pStyle w:val="33"/>
                  </w:pPr>
                  <w:r>
                    <w:rPr>
                      <w:rFonts w:hint="eastAsia"/>
                    </w:rPr>
                    <w:t>粉尘</w:t>
                  </w:r>
                </w:p>
              </w:tc>
              <w:tc>
                <w:tcPr>
                  <w:tcW w:w="1914"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Merge w:val="restart"/>
                  <w:vAlign w:val="center"/>
                </w:tcPr>
                <w:p>
                  <w:pPr>
                    <w:pStyle w:val="33"/>
                  </w:pPr>
                  <w:r>
                    <w:rPr>
                      <w:rFonts w:hint="eastAsia"/>
                    </w:rPr>
                    <w:t>废纸</w:t>
                  </w:r>
                </w:p>
              </w:tc>
              <w:tc>
                <w:tcPr>
                  <w:tcW w:w="937" w:type="pct"/>
                  <w:vAlign w:val="center"/>
                </w:tcPr>
                <w:p>
                  <w:pPr>
                    <w:pStyle w:val="33"/>
                  </w:pPr>
                  <w:r>
                    <w:rPr>
                      <w:rFonts w:hint="eastAsia"/>
                    </w:rPr>
                    <w:t>卸料</w:t>
                  </w:r>
                </w:p>
              </w:tc>
              <w:tc>
                <w:tcPr>
                  <w:tcW w:w="839" w:type="pct"/>
                  <w:vAlign w:val="center"/>
                </w:tcPr>
                <w:p>
                  <w:pPr>
                    <w:pStyle w:val="33"/>
                  </w:pPr>
                  <w:r>
                    <w:rPr>
                      <w:rFonts w:hint="eastAsia"/>
                    </w:rPr>
                    <w:t>粉尘</w:t>
                  </w:r>
                </w:p>
              </w:tc>
              <w:tc>
                <w:tcPr>
                  <w:tcW w:w="1914" w:type="pct"/>
                  <w:vMerge w:val="restart"/>
                  <w:vAlign w:val="center"/>
                </w:tcPr>
                <w:p>
                  <w:pPr>
                    <w:pStyle w:val="33"/>
                  </w:pPr>
                  <w:r>
                    <w:rPr>
                      <w:rFonts w:hint="eastAsia"/>
                    </w:rPr>
                    <w:t>封闭式厂房内，自然沉降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Merge w:val="continue"/>
                  <w:vAlign w:val="center"/>
                </w:tcPr>
                <w:p>
                  <w:pPr>
                    <w:pStyle w:val="33"/>
                  </w:pPr>
                </w:p>
              </w:tc>
              <w:tc>
                <w:tcPr>
                  <w:tcW w:w="937" w:type="pct"/>
                  <w:vAlign w:val="center"/>
                </w:tcPr>
                <w:p>
                  <w:pPr>
                    <w:pStyle w:val="33"/>
                  </w:pPr>
                  <w:r>
                    <w:rPr>
                      <w:rFonts w:hint="eastAsia"/>
                    </w:rPr>
                    <w:t>分拣</w:t>
                  </w:r>
                </w:p>
              </w:tc>
              <w:tc>
                <w:tcPr>
                  <w:tcW w:w="839" w:type="pct"/>
                  <w:vAlign w:val="center"/>
                </w:tcPr>
                <w:p>
                  <w:pPr>
                    <w:pStyle w:val="33"/>
                  </w:pPr>
                  <w:r>
                    <w:rPr>
                      <w:rFonts w:hint="eastAsia"/>
                    </w:rPr>
                    <w:t>粉尘</w:t>
                  </w:r>
                </w:p>
              </w:tc>
              <w:tc>
                <w:tcPr>
                  <w:tcW w:w="1914"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Merge w:val="continue"/>
                  <w:vAlign w:val="center"/>
                </w:tcPr>
                <w:p>
                  <w:pPr>
                    <w:pStyle w:val="33"/>
                  </w:pPr>
                </w:p>
              </w:tc>
              <w:tc>
                <w:tcPr>
                  <w:tcW w:w="937" w:type="pct"/>
                  <w:vAlign w:val="center"/>
                </w:tcPr>
                <w:p>
                  <w:pPr>
                    <w:pStyle w:val="33"/>
                  </w:pPr>
                  <w:r>
                    <w:rPr>
                      <w:rFonts w:hint="eastAsia"/>
                    </w:rPr>
                    <w:t>压缩、打包</w:t>
                  </w:r>
                </w:p>
              </w:tc>
              <w:tc>
                <w:tcPr>
                  <w:tcW w:w="839" w:type="pct"/>
                  <w:vAlign w:val="center"/>
                </w:tcPr>
                <w:p>
                  <w:pPr>
                    <w:pStyle w:val="33"/>
                  </w:pPr>
                  <w:r>
                    <w:rPr>
                      <w:rFonts w:hint="eastAsia"/>
                    </w:rPr>
                    <w:t>粉尘</w:t>
                  </w:r>
                </w:p>
              </w:tc>
              <w:tc>
                <w:tcPr>
                  <w:tcW w:w="1914"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Align w:val="center"/>
                </w:tcPr>
                <w:p>
                  <w:pPr>
                    <w:pStyle w:val="33"/>
                  </w:pPr>
                  <w:r>
                    <w:rPr>
                      <w:rFonts w:hint="eastAsia"/>
                    </w:rPr>
                    <w:t>骨头、</w:t>
                  </w:r>
                  <w:r>
                    <w:rPr>
                      <w:rFonts w:hint="eastAsia"/>
                      <w:color w:val="FF0000"/>
                    </w:rPr>
                    <w:t>废动植物油</w:t>
                  </w:r>
                </w:p>
              </w:tc>
              <w:tc>
                <w:tcPr>
                  <w:tcW w:w="937" w:type="pct"/>
                  <w:vAlign w:val="center"/>
                </w:tcPr>
                <w:p>
                  <w:pPr>
                    <w:pStyle w:val="33"/>
                  </w:pPr>
                  <w:r>
                    <w:rPr>
                      <w:rFonts w:hint="eastAsia"/>
                    </w:rPr>
                    <w:t>暂存</w:t>
                  </w:r>
                </w:p>
              </w:tc>
              <w:tc>
                <w:tcPr>
                  <w:tcW w:w="839" w:type="pct"/>
                  <w:vAlign w:val="center"/>
                </w:tcPr>
                <w:p>
                  <w:pPr>
                    <w:pStyle w:val="33"/>
                  </w:pPr>
                  <w:r>
                    <w:rPr>
                      <w:rFonts w:hint="eastAsia"/>
                    </w:rPr>
                    <w:t>异味</w:t>
                  </w:r>
                </w:p>
              </w:tc>
              <w:tc>
                <w:tcPr>
                  <w:tcW w:w="1914" w:type="pct"/>
                  <w:vAlign w:val="center"/>
                </w:tcPr>
                <w:p>
                  <w:pPr>
                    <w:pStyle w:val="33"/>
                  </w:pPr>
                  <w:r>
                    <w:rPr>
                      <w:rFonts w:hint="eastAsia"/>
                    </w:rPr>
                    <w:t>喷洒植物液、及时外售，堆存在密闭厂房内</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Align w:val="center"/>
                </w:tcPr>
                <w:p>
                  <w:pPr>
                    <w:pStyle w:val="33"/>
                  </w:pPr>
                  <w:r>
                    <w:rPr>
                      <w:rFonts w:hint="eastAsia"/>
                    </w:rPr>
                    <w:t>废水</w:t>
                  </w:r>
                </w:p>
              </w:tc>
              <w:tc>
                <w:tcPr>
                  <w:tcW w:w="912" w:type="pct"/>
                  <w:vAlign w:val="center"/>
                </w:tcPr>
                <w:p>
                  <w:pPr>
                    <w:pStyle w:val="33"/>
                  </w:pPr>
                  <w:r>
                    <w:rPr>
                      <w:rFonts w:hint="eastAsia"/>
                    </w:rPr>
                    <w:t>废塑料</w:t>
                  </w:r>
                </w:p>
              </w:tc>
              <w:tc>
                <w:tcPr>
                  <w:tcW w:w="937" w:type="pct"/>
                  <w:vAlign w:val="center"/>
                </w:tcPr>
                <w:p>
                  <w:pPr>
                    <w:pStyle w:val="33"/>
                  </w:pPr>
                  <w:r>
                    <w:rPr>
                      <w:rFonts w:hint="eastAsia"/>
                    </w:rPr>
                    <w:t>水洗</w:t>
                  </w:r>
                </w:p>
              </w:tc>
              <w:tc>
                <w:tcPr>
                  <w:tcW w:w="839" w:type="pct"/>
                  <w:vAlign w:val="center"/>
                </w:tcPr>
                <w:p>
                  <w:pPr>
                    <w:pStyle w:val="33"/>
                  </w:pPr>
                  <w:r>
                    <w:rPr>
                      <w:rFonts w:hint="eastAsia"/>
                    </w:rPr>
                    <w:t>S</w:t>
                  </w:r>
                  <w:r>
                    <w:t>S</w:t>
                  </w:r>
                </w:p>
              </w:tc>
              <w:tc>
                <w:tcPr>
                  <w:tcW w:w="1914" w:type="pct"/>
                  <w:vAlign w:val="center"/>
                </w:tcPr>
                <w:p>
                  <w:pPr>
                    <w:pStyle w:val="33"/>
                  </w:pPr>
                  <w:r>
                    <w:rPr>
                      <w:rFonts w:hint="eastAsia"/>
                    </w:rPr>
                    <w:t>循环使用，不外排</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31" w:hRule="atLeast"/>
                <w:jc w:val="center"/>
              </w:trPr>
              <w:tc>
                <w:tcPr>
                  <w:tcW w:w="398" w:type="pct"/>
                  <w:vMerge w:val="restart"/>
                  <w:vAlign w:val="center"/>
                </w:tcPr>
                <w:p>
                  <w:pPr>
                    <w:pStyle w:val="33"/>
                  </w:pPr>
                  <w:r>
                    <w:rPr>
                      <w:rFonts w:hint="eastAsia"/>
                    </w:rPr>
                    <w:t>噪声</w:t>
                  </w:r>
                </w:p>
              </w:tc>
              <w:tc>
                <w:tcPr>
                  <w:tcW w:w="912" w:type="pct"/>
                  <w:vAlign w:val="center"/>
                </w:tcPr>
                <w:p>
                  <w:pPr>
                    <w:pStyle w:val="33"/>
                  </w:pPr>
                  <w:r>
                    <w:rPr>
                      <w:rFonts w:hint="eastAsia"/>
                    </w:rPr>
                    <w:t>切割、破碎</w:t>
                  </w:r>
                </w:p>
              </w:tc>
              <w:tc>
                <w:tcPr>
                  <w:tcW w:w="937" w:type="pct"/>
                  <w:vAlign w:val="center"/>
                </w:tcPr>
                <w:p>
                  <w:pPr>
                    <w:pStyle w:val="33"/>
                  </w:pPr>
                  <w:r>
                    <w:rPr>
                      <w:rFonts w:hint="eastAsia"/>
                    </w:rPr>
                    <w:t>生产设备</w:t>
                  </w:r>
                </w:p>
              </w:tc>
              <w:tc>
                <w:tcPr>
                  <w:tcW w:w="839" w:type="pct"/>
                  <w:vAlign w:val="center"/>
                </w:tcPr>
                <w:p>
                  <w:pPr>
                    <w:pStyle w:val="33"/>
                  </w:pPr>
                  <w:r>
                    <w:rPr>
                      <w:rFonts w:hint="eastAsia"/>
                    </w:rPr>
                    <w:t>设备噪声</w:t>
                  </w:r>
                </w:p>
              </w:tc>
              <w:tc>
                <w:tcPr>
                  <w:tcW w:w="1914" w:type="pct"/>
                  <w:vAlign w:val="center"/>
                </w:tcPr>
                <w:p>
                  <w:pPr>
                    <w:pStyle w:val="33"/>
                  </w:pPr>
                  <w:r>
                    <w:rPr>
                      <w:rFonts w:hint="eastAsia"/>
                    </w:rPr>
                    <w:t>减震、隔声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1" w:hRule="atLeast"/>
                <w:jc w:val="center"/>
              </w:trPr>
              <w:tc>
                <w:tcPr>
                  <w:tcW w:w="398" w:type="pct"/>
                  <w:vMerge w:val="continue"/>
                  <w:vAlign w:val="center"/>
                </w:tcPr>
                <w:p>
                  <w:pPr>
                    <w:pStyle w:val="33"/>
                  </w:pPr>
                </w:p>
              </w:tc>
              <w:tc>
                <w:tcPr>
                  <w:tcW w:w="912" w:type="pct"/>
                  <w:vAlign w:val="center"/>
                </w:tcPr>
                <w:p>
                  <w:pPr>
                    <w:pStyle w:val="33"/>
                  </w:pPr>
                  <w:r>
                    <w:rPr>
                      <w:rFonts w:hint="eastAsia"/>
                    </w:rPr>
                    <w:t>回收</w:t>
                  </w:r>
                </w:p>
              </w:tc>
              <w:tc>
                <w:tcPr>
                  <w:tcW w:w="937" w:type="pct"/>
                  <w:vAlign w:val="center"/>
                </w:tcPr>
                <w:p>
                  <w:pPr>
                    <w:pStyle w:val="33"/>
                  </w:pPr>
                  <w:r>
                    <w:rPr>
                      <w:rFonts w:hint="eastAsia"/>
                    </w:rPr>
                    <w:t>汽车运输</w:t>
                  </w:r>
                </w:p>
              </w:tc>
              <w:tc>
                <w:tcPr>
                  <w:tcW w:w="839" w:type="pct"/>
                  <w:vAlign w:val="center"/>
                </w:tcPr>
                <w:p>
                  <w:pPr>
                    <w:pStyle w:val="33"/>
                  </w:pPr>
                  <w:r>
                    <w:rPr>
                      <w:rFonts w:hint="eastAsia"/>
                    </w:rPr>
                    <w:t>噪声</w:t>
                  </w:r>
                </w:p>
              </w:tc>
              <w:tc>
                <w:tcPr>
                  <w:tcW w:w="1914" w:type="pct"/>
                  <w:vAlign w:val="center"/>
                </w:tcPr>
                <w:p>
                  <w:pPr>
                    <w:pStyle w:val="33"/>
                  </w:pPr>
                  <w:r>
                    <w:rPr>
                      <w:rFonts w:hint="eastAsia"/>
                    </w:rPr>
                    <w:t>减少鸣笛</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restart"/>
                  <w:vAlign w:val="center"/>
                </w:tcPr>
                <w:p>
                  <w:pPr>
                    <w:pStyle w:val="33"/>
                  </w:pPr>
                  <w:r>
                    <w:rPr>
                      <w:rFonts w:hint="eastAsia"/>
                    </w:rPr>
                    <w:t>固废</w:t>
                  </w:r>
                </w:p>
              </w:tc>
              <w:tc>
                <w:tcPr>
                  <w:tcW w:w="912" w:type="pct"/>
                  <w:vAlign w:val="center"/>
                </w:tcPr>
                <w:p>
                  <w:pPr>
                    <w:pStyle w:val="33"/>
                  </w:pPr>
                  <w:r>
                    <w:rPr>
                      <w:rFonts w:hint="eastAsia"/>
                    </w:rPr>
                    <w:t>废钢铁</w:t>
                  </w:r>
                </w:p>
              </w:tc>
              <w:tc>
                <w:tcPr>
                  <w:tcW w:w="937" w:type="pct"/>
                  <w:vAlign w:val="center"/>
                </w:tcPr>
                <w:p>
                  <w:pPr>
                    <w:pStyle w:val="33"/>
                  </w:pPr>
                  <w:r>
                    <w:rPr>
                      <w:rFonts w:hint="eastAsia"/>
                    </w:rPr>
                    <w:t>分拣</w:t>
                  </w:r>
                </w:p>
              </w:tc>
              <w:tc>
                <w:tcPr>
                  <w:tcW w:w="839" w:type="pct"/>
                  <w:vAlign w:val="center"/>
                </w:tcPr>
                <w:p>
                  <w:pPr>
                    <w:pStyle w:val="33"/>
                  </w:pPr>
                  <w:r>
                    <w:rPr>
                      <w:rFonts w:hint="eastAsia"/>
                    </w:rPr>
                    <w:t>废矿物油</w:t>
                  </w:r>
                </w:p>
              </w:tc>
              <w:tc>
                <w:tcPr>
                  <w:tcW w:w="1914" w:type="pct"/>
                  <w:vAlign w:val="center"/>
                </w:tcPr>
                <w:p>
                  <w:pPr>
                    <w:pStyle w:val="33"/>
                  </w:pPr>
                  <w:r>
                    <w:rPr>
                      <w:rFonts w:hint="eastAsia"/>
                    </w:rPr>
                    <w:t>暂存于新建的危废暂存间内，委托有资质的单位处理处置。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jc w:val="center"/>
              </w:trPr>
              <w:tc>
                <w:tcPr>
                  <w:tcW w:w="398" w:type="pct"/>
                  <w:vMerge w:val="continue"/>
                  <w:vAlign w:val="center"/>
                </w:tcPr>
                <w:p>
                  <w:pPr>
                    <w:pStyle w:val="33"/>
                  </w:pPr>
                </w:p>
              </w:tc>
              <w:tc>
                <w:tcPr>
                  <w:tcW w:w="912" w:type="pct"/>
                  <w:vAlign w:val="center"/>
                </w:tcPr>
                <w:p>
                  <w:pPr>
                    <w:pStyle w:val="33"/>
                  </w:pPr>
                  <w:r>
                    <w:rPr>
                      <w:rFonts w:hint="eastAsia"/>
                    </w:rPr>
                    <w:t>沉淀池</w:t>
                  </w:r>
                  <w:r>
                    <w:rPr>
                      <w:rFonts w:hint="eastAsia"/>
                      <w:color w:val="FF0000"/>
                    </w:rPr>
                    <w:t>沉渣</w:t>
                  </w:r>
                </w:p>
              </w:tc>
              <w:tc>
                <w:tcPr>
                  <w:tcW w:w="937" w:type="pct"/>
                  <w:vAlign w:val="center"/>
                </w:tcPr>
                <w:p>
                  <w:pPr>
                    <w:pStyle w:val="33"/>
                  </w:pPr>
                  <w:r>
                    <w:rPr>
                      <w:rFonts w:hint="eastAsia"/>
                      <w:color w:val="FF0000"/>
                    </w:rPr>
                    <w:t>沉渣</w:t>
                  </w:r>
                </w:p>
              </w:tc>
              <w:tc>
                <w:tcPr>
                  <w:tcW w:w="839" w:type="pct"/>
                  <w:vAlign w:val="center"/>
                </w:tcPr>
                <w:p>
                  <w:pPr>
                    <w:pStyle w:val="33"/>
                  </w:pPr>
                  <w:r>
                    <w:rPr>
                      <w:rFonts w:hint="eastAsia"/>
                    </w:rPr>
                    <w:t>泥土</w:t>
                  </w:r>
                </w:p>
              </w:tc>
              <w:tc>
                <w:tcPr>
                  <w:tcW w:w="1914" w:type="pct"/>
                  <w:vAlign w:val="center"/>
                </w:tcPr>
                <w:p>
                  <w:pPr>
                    <w:pStyle w:val="33"/>
                  </w:pPr>
                  <w:r>
                    <w:rPr>
                      <w:rFonts w:hint="eastAsia"/>
                    </w:rPr>
                    <w:t>定期清掏，综合利用</w:t>
                  </w:r>
                </w:p>
              </w:tc>
            </w:tr>
            <w:bookmarkEnd w:id="19"/>
          </w:tbl>
          <w:p>
            <w:pPr>
              <w:pStyle w:val="35"/>
              <w:jc w:val="both"/>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819" w:hRule="atLeast"/>
          <w:jc w:val="center"/>
        </w:trPr>
        <w:tc>
          <w:tcPr>
            <w:tcW w:w="699" w:type="dxa"/>
            <w:vAlign w:val="center"/>
          </w:tcPr>
          <w:p>
            <w:pPr>
              <w:ind w:firstLine="0" w:firstLineChars="0"/>
            </w:pPr>
            <w:r>
              <w:rPr>
                <w:rFonts w:hint="eastAsia"/>
              </w:rPr>
              <w:t>7与项目有关的原有环境污染问题</w:t>
            </w:r>
          </w:p>
        </w:tc>
        <w:tc>
          <w:tcPr>
            <w:tcW w:w="8505" w:type="dxa"/>
          </w:tcPr>
          <w:p>
            <w:pPr>
              <w:ind w:firstLine="482"/>
              <w:rPr>
                <w:b/>
                <w:bCs/>
              </w:rPr>
            </w:pPr>
            <w:r>
              <w:rPr>
                <w:rFonts w:hint="eastAsia"/>
                <w:b/>
                <w:bCs/>
              </w:rPr>
              <w:t>本项目有关的原有污染情况及主要问题</w:t>
            </w:r>
          </w:p>
          <w:p>
            <w:pPr>
              <w:ind w:firstLine="480"/>
            </w:pPr>
            <w:r>
              <w:rPr>
                <w:rFonts w:hint="eastAsia"/>
              </w:rPr>
              <w:t>环评介入之前，项目运行过程中存在的主要环境问题如下：</w:t>
            </w:r>
          </w:p>
          <w:p>
            <w:pPr>
              <w:ind w:firstLine="480"/>
            </w:pPr>
            <w:r>
              <w:t>1</w:t>
            </w:r>
            <w:r>
              <w:rPr>
                <w:rFonts w:hint="eastAsia"/>
              </w:rPr>
              <w:t>）项目厂区地面未硬化；</w:t>
            </w:r>
          </w:p>
          <w:p>
            <w:pPr>
              <w:ind w:firstLine="480"/>
            </w:pPr>
            <w:r>
              <w:t>2</w:t>
            </w:r>
            <w:r>
              <w:rPr>
                <w:rFonts w:hint="eastAsia"/>
              </w:rPr>
              <w:t>）厂区环境较差，散乱堆放，现状为露天堆场（除废纸区），无顶棚，无拦挡；</w:t>
            </w:r>
          </w:p>
          <w:p>
            <w:pPr>
              <w:ind w:firstLine="480"/>
            </w:pPr>
            <w:r>
              <w:rPr>
                <w:rFonts w:hint="eastAsia"/>
              </w:rPr>
              <w:t>3）废塑料</w:t>
            </w:r>
            <w:r>
              <w:rPr>
                <w:rFonts w:hint="eastAsia"/>
                <w:color w:val="FF0000"/>
              </w:rPr>
              <w:t>（主要塑料筐）</w:t>
            </w:r>
            <w:r>
              <w:rPr>
                <w:rFonts w:hint="eastAsia"/>
              </w:rPr>
              <w:t>破碎用的水洗池未做防渗（现已查封）</w:t>
            </w:r>
          </w:p>
          <w:p>
            <w:pPr>
              <w:ind w:firstLine="480"/>
            </w:pPr>
            <w:r>
              <w:t>4</w:t>
            </w:r>
            <w:r>
              <w:rPr>
                <w:rFonts w:hint="eastAsia"/>
              </w:rPr>
              <w:t>）项目未设置危险废物暂存间。</w:t>
            </w:r>
          </w:p>
          <w:p>
            <w:pPr>
              <w:ind w:firstLine="480"/>
            </w:pPr>
            <w:r>
              <w:rPr>
                <w:rFonts w:hint="eastAsia"/>
              </w:rPr>
              <w:t>5）初期雨水未进行收集。</w:t>
            </w:r>
          </w:p>
          <w:p>
            <w:pPr>
              <w:ind w:firstLine="482"/>
              <w:rPr>
                <w:b/>
                <w:bCs/>
              </w:rPr>
            </w:pPr>
            <w:r>
              <w:rPr>
                <w:rFonts w:hint="eastAsia"/>
                <w:b/>
                <w:bCs/>
              </w:rPr>
              <w:t>本次环评针对现状存在的问题，按照环保规范提出以下整改措施和要求：</w:t>
            </w:r>
          </w:p>
          <w:p>
            <w:pPr>
              <w:ind w:firstLine="480"/>
            </w:pPr>
            <w:r>
              <w:t>1</w:t>
            </w:r>
            <w:r>
              <w:rPr>
                <w:rFonts w:hint="eastAsia"/>
              </w:rPr>
              <w:t>）项目厂区地面全部硬化，并在厂区内四周设置排水渠，在厂区地势最低处设置初期雨水收集池（容积为</w:t>
            </w:r>
            <w:r>
              <w:t>220m</w:t>
            </w:r>
            <w:r>
              <w:rPr>
                <w:vertAlign w:val="superscript"/>
              </w:rPr>
              <w:t>3</w:t>
            </w:r>
            <w:r>
              <w:rPr>
                <w:rFonts w:hint="eastAsia"/>
              </w:rPr>
              <w:t>），初期雨水后期用于厂区洒水抑尘，不外排；</w:t>
            </w:r>
          </w:p>
          <w:p>
            <w:pPr>
              <w:ind w:firstLine="480"/>
            </w:pPr>
            <w:r>
              <w:t>2</w:t>
            </w:r>
            <w:r>
              <w:rPr>
                <w:rFonts w:hint="eastAsia"/>
              </w:rPr>
              <w:t>）项目</w:t>
            </w:r>
            <w:r>
              <w:t>7~21</w:t>
            </w:r>
            <w:r>
              <w:rPr>
                <w:rFonts w:hint="eastAsia"/>
              </w:rPr>
              <w:t>分区每个分区建设封闭厂房，原料与成品分区堆放。</w:t>
            </w:r>
          </w:p>
          <w:p>
            <w:pPr>
              <w:ind w:firstLine="480"/>
            </w:pPr>
            <w:r>
              <w:rPr>
                <w:rFonts w:hint="eastAsia"/>
              </w:rPr>
              <w:t>3）项目废塑料破碎水洗池的池底及池壁进行防渗。</w:t>
            </w:r>
          </w:p>
          <w:p>
            <w:pPr>
              <w:ind w:firstLine="480"/>
            </w:pPr>
            <w:r>
              <w:t>4</w:t>
            </w:r>
            <w:r>
              <w:rPr>
                <w:rFonts w:hint="eastAsia"/>
              </w:rPr>
              <w:t>）项目在1</w:t>
            </w:r>
            <w:r>
              <w:t>~6</w:t>
            </w:r>
            <w:r>
              <w:rPr>
                <w:rFonts w:hint="eastAsia"/>
              </w:rPr>
              <w:t>分区的南侧设置一座占地面积为</w:t>
            </w:r>
            <w:r>
              <w:t>10m</w:t>
            </w:r>
            <w:r>
              <w:rPr>
                <w:vertAlign w:val="superscript"/>
              </w:rPr>
              <w:t>2</w:t>
            </w:r>
            <w:r>
              <w:t xml:space="preserve"> </w:t>
            </w:r>
            <w:r>
              <w:rPr>
                <w:rFonts w:hint="eastAsia"/>
              </w:rPr>
              <w:t>的危险废物暂存间，将项目产生的废矿物油（</w:t>
            </w:r>
            <w:r>
              <w:t>HW08)</w:t>
            </w:r>
            <w:r>
              <w:rPr>
                <w:rFonts w:hint="eastAsia"/>
              </w:rPr>
              <w:t>，集中收集暂存后定期交由有处理资质单位处置。</w:t>
            </w:r>
          </w:p>
          <w:p>
            <w:pPr>
              <w:pStyle w:val="35"/>
            </w:pPr>
            <w:r>
              <w:t xml:space="preserve">表2-6  </w:t>
            </w:r>
            <w:r>
              <w:rPr>
                <w:rFonts w:hint="eastAsia"/>
              </w:rPr>
              <w:t>现有工</w:t>
            </w:r>
            <w:r>
              <w:t>程存在的环保问题及整改措施</w:t>
            </w:r>
          </w:p>
          <w:tbl>
            <w:tblPr>
              <w:tblStyle w:val="22"/>
              <w:tblW w:w="4854"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49"/>
              <w:gridCol w:w="3709"/>
              <w:gridCol w:w="384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63" w:hRule="atLeast"/>
                <w:jc w:val="center"/>
              </w:trPr>
              <w:tc>
                <w:tcPr>
                  <w:tcW w:w="396" w:type="pct"/>
                  <w:shd w:val="clear" w:color="auto" w:fill="auto"/>
                  <w:vAlign w:val="center"/>
                </w:tcPr>
                <w:p>
                  <w:pPr>
                    <w:pStyle w:val="33"/>
                    <w:rPr>
                      <w:b/>
                      <w:bCs/>
                    </w:rPr>
                  </w:pPr>
                  <w:r>
                    <w:rPr>
                      <w:b/>
                      <w:bCs/>
                    </w:rPr>
                    <w:t>序号</w:t>
                  </w:r>
                </w:p>
              </w:tc>
              <w:tc>
                <w:tcPr>
                  <w:tcW w:w="2262" w:type="pct"/>
                  <w:shd w:val="clear" w:color="auto" w:fill="auto"/>
                  <w:vAlign w:val="center"/>
                </w:tcPr>
                <w:p>
                  <w:pPr>
                    <w:pStyle w:val="33"/>
                    <w:rPr>
                      <w:b/>
                      <w:bCs/>
                    </w:rPr>
                  </w:pPr>
                  <w:r>
                    <w:rPr>
                      <w:b/>
                      <w:bCs/>
                    </w:rPr>
                    <w:t>存在环境问题</w:t>
                  </w:r>
                </w:p>
              </w:tc>
              <w:tc>
                <w:tcPr>
                  <w:tcW w:w="2342" w:type="pct"/>
                  <w:shd w:val="clear" w:color="auto" w:fill="auto"/>
                  <w:vAlign w:val="center"/>
                </w:tcPr>
                <w:p>
                  <w:pPr>
                    <w:pStyle w:val="33"/>
                    <w:rPr>
                      <w:b/>
                      <w:bCs/>
                    </w:rPr>
                  </w:pPr>
                  <w:r>
                    <w:rPr>
                      <w:b/>
                      <w:bCs/>
                    </w:rPr>
                    <w:t>整改方案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396" w:type="pct"/>
                  <w:shd w:val="clear" w:color="auto" w:fill="auto"/>
                  <w:vAlign w:val="center"/>
                </w:tcPr>
                <w:p>
                  <w:pPr>
                    <w:pStyle w:val="33"/>
                  </w:pPr>
                  <w:r>
                    <w:t>1</w:t>
                  </w:r>
                </w:p>
              </w:tc>
              <w:tc>
                <w:tcPr>
                  <w:tcW w:w="2262" w:type="pct"/>
                  <w:shd w:val="clear" w:color="auto" w:fill="auto"/>
                  <w:vAlign w:val="center"/>
                </w:tcPr>
                <w:p>
                  <w:pPr>
                    <w:pStyle w:val="33"/>
                  </w:pPr>
                  <w:r>
                    <w:rPr>
                      <w:rFonts w:hint="eastAsia"/>
                    </w:rPr>
                    <w:t>项目厂区地面未硬化</w:t>
                  </w:r>
                </w:p>
              </w:tc>
              <w:tc>
                <w:tcPr>
                  <w:tcW w:w="2342" w:type="pct"/>
                  <w:shd w:val="clear" w:color="auto" w:fill="auto"/>
                  <w:vAlign w:val="center"/>
                </w:tcPr>
                <w:p>
                  <w:pPr>
                    <w:pStyle w:val="33"/>
                  </w:pPr>
                  <w:r>
                    <w:rPr>
                      <w:rFonts w:hint="eastAsia"/>
                    </w:rPr>
                    <w:t>厂区地面全部硬化</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560" w:hRule="atLeast"/>
                <w:jc w:val="center"/>
              </w:trPr>
              <w:tc>
                <w:tcPr>
                  <w:tcW w:w="396" w:type="pct"/>
                  <w:shd w:val="clear" w:color="auto" w:fill="auto"/>
                  <w:vAlign w:val="center"/>
                </w:tcPr>
                <w:p>
                  <w:pPr>
                    <w:pStyle w:val="33"/>
                  </w:pPr>
                  <w:r>
                    <w:t>2</w:t>
                  </w:r>
                </w:p>
              </w:tc>
              <w:tc>
                <w:tcPr>
                  <w:tcW w:w="2262" w:type="pct"/>
                  <w:shd w:val="clear" w:color="auto" w:fill="auto"/>
                  <w:vAlign w:val="center"/>
                </w:tcPr>
                <w:p>
                  <w:pPr>
                    <w:pStyle w:val="33"/>
                  </w:pPr>
                  <w:r>
                    <w:rPr>
                      <w:rFonts w:hint="eastAsia"/>
                    </w:rPr>
                    <w:t>厂区环境较差，散乱堆放，现状为露天堆场（除废纸区），无顶棚，无拦挡；</w:t>
                  </w:r>
                </w:p>
              </w:tc>
              <w:tc>
                <w:tcPr>
                  <w:tcW w:w="2342" w:type="pct"/>
                  <w:shd w:val="clear" w:color="auto" w:fill="auto"/>
                  <w:vAlign w:val="center"/>
                </w:tcPr>
                <w:p>
                  <w:pPr>
                    <w:pStyle w:val="33"/>
                  </w:pPr>
                  <w:r>
                    <w:t>7~21</w:t>
                  </w:r>
                  <w:r>
                    <w:rPr>
                      <w:rFonts w:hint="eastAsia"/>
                    </w:rPr>
                    <w:t>分区每个分区建设封闭厂房，原料与成品分区堆放。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396" w:type="pct"/>
                  <w:shd w:val="clear" w:color="auto" w:fill="auto"/>
                  <w:vAlign w:val="center"/>
                </w:tcPr>
                <w:p>
                  <w:pPr>
                    <w:pStyle w:val="33"/>
                  </w:pPr>
                  <w:r>
                    <w:rPr>
                      <w:rFonts w:hint="eastAsia"/>
                    </w:rPr>
                    <w:t>3</w:t>
                  </w:r>
                </w:p>
              </w:tc>
              <w:tc>
                <w:tcPr>
                  <w:tcW w:w="2262" w:type="pct"/>
                  <w:shd w:val="clear" w:color="auto" w:fill="auto"/>
                  <w:vAlign w:val="center"/>
                </w:tcPr>
                <w:p>
                  <w:pPr>
                    <w:pStyle w:val="33"/>
                  </w:pPr>
                  <w:r>
                    <w:rPr>
                      <w:rFonts w:hint="eastAsia"/>
                    </w:rPr>
                    <w:t>废塑料筐破碎用的水洗池未做防渗（现已查封）</w:t>
                  </w:r>
                </w:p>
              </w:tc>
              <w:tc>
                <w:tcPr>
                  <w:tcW w:w="2342" w:type="pct"/>
                  <w:shd w:val="clear" w:color="auto" w:fill="auto"/>
                  <w:vAlign w:val="center"/>
                </w:tcPr>
                <w:p>
                  <w:pPr>
                    <w:pStyle w:val="33"/>
                  </w:pPr>
                  <w:r>
                    <w:rPr>
                      <w:rFonts w:hint="eastAsia"/>
                    </w:rPr>
                    <w:t>项目废塑料筐破碎水洗池的池底及池壁进行防渗。</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560" w:hRule="atLeast"/>
                <w:jc w:val="center"/>
              </w:trPr>
              <w:tc>
                <w:tcPr>
                  <w:tcW w:w="396" w:type="pct"/>
                  <w:shd w:val="clear" w:color="auto" w:fill="auto"/>
                  <w:vAlign w:val="center"/>
                </w:tcPr>
                <w:p>
                  <w:pPr>
                    <w:pStyle w:val="33"/>
                  </w:pPr>
                  <w:r>
                    <w:rPr>
                      <w:rFonts w:hint="eastAsia"/>
                    </w:rPr>
                    <w:t>4</w:t>
                  </w:r>
                </w:p>
              </w:tc>
              <w:tc>
                <w:tcPr>
                  <w:tcW w:w="2262" w:type="pct"/>
                  <w:shd w:val="clear" w:color="auto" w:fill="auto"/>
                  <w:vAlign w:val="center"/>
                </w:tcPr>
                <w:p>
                  <w:pPr>
                    <w:pStyle w:val="33"/>
                  </w:pPr>
                  <w:r>
                    <w:rPr>
                      <w:rFonts w:hint="eastAsia"/>
                    </w:rPr>
                    <w:t>项目未设置危险废物暂存间</w:t>
                  </w:r>
                </w:p>
              </w:tc>
              <w:tc>
                <w:tcPr>
                  <w:tcW w:w="2342" w:type="pct"/>
                  <w:shd w:val="clear" w:color="auto" w:fill="auto"/>
                  <w:vAlign w:val="center"/>
                </w:tcPr>
                <w:p>
                  <w:pPr>
                    <w:pStyle w:val="33"/>
                  </w:pPr>
                  <w:r>
                    <w:rPr>
                      <w:rFonts w:hint="eastAsia"/>
                    </w:rPr>
                    <w:t>项目在1~6分区的南侧设置一座占地面积为10m</w:t>
                  </w:r>
                  <w:r>
                    <w:rPr>
                      <w:rFonts w:hint="eastAsia"/>
                      <w:vertAlign w:val="superscript"/>
                    </w:rPr>
                    <w:t>2</w:t>
                  </w:r>
                  <w:r>
                    <w:rPr>
                      <w:rFonts w:hint="eastAsia"/>
                    </w:rPr>
                    <w:t xml:space="preserve"> 的危险废物暂存间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560" w:hRule="atLeast"/>
                <w:jc w:val="center"/>
              </w:trPr>
              <w:tc>
                <w:tcPr>
                  <w:tcW w:w="396" w:type="pct"/>
                  <w:shd w:val="clear" w:color="auto" w:fill="auto"/>
                  <w:vAlign w:val="center"/>
                </w:tcPr>
                <w:p>
                  <w:pPr>
                    <w:pStyle w:val="33"/>
                  </w:pPr>
                  <w:r>
                    <w:rPr>
                      <w:rFonts w:hint="eastAsia"/>
                    </w:rPr>
                    <w:t>5</w:t>
                  </w:r>
                </w:p>
              </w:tc>
              <w:tc>
                <w:tcPr>
                  <w:tcW w:w="2262" w:type="pct"/>
                  <w:shd w:val="clear" w:color="auto" w:fill="auto"/>
                  <w:vAlign w:val="center"/>
                </w:tcPr>
                <w:p>
                  <w:pPr>
                    <w:pStyle w:val="33"/>
                  </w:pPr>
                  <w:r>
                    <w:rPr>
                      <w:rFonts w:hint="eastAsia"/>
                    </w:rPr>
                    <w:t>初期雨水未收集</w:t>
                  </w:r>
                </w:p>
              </w:tc>
              <w:tc>
                <w:tcPr>
                  <w:tcW w:w="2342" w:type="pct"/>
                  <w:shd w:val="clear" w:color="auto" w:fill="auto"/>
                  <w:vAlign w:val="center"/>
                </w:tcPr>
                <w:p>
                  <w:pPr>
                    <w:pStyle w:val="33"/>
                  </w:pPr>
                  <w:r>
                    <w:rPr>
                      <w:rFonts w:hint="eastAsia"/>
                    </w:rPr>
                    <w:t>厂区内四周设置排水渠，在厂区地势最低处设置初期雨水收集池（容积为</w:t>
                  </w:r>
                  <w:r>
                    <w:t>180m</w:t>
                  </w:r>
                  <w:r>
                    <w:rPr>
                      <w:vertAlign w:val="superscript"/>
                    </w:rPr>
                    <w:t>3</w:t>
                  </w:r>
                  <w:r>
                    <w:rPr>
                      <w:rFonts w:hint="eastAsia"/>
                    </w:rPr>
                    <w:t>），初期雨水后期用于厂区洒水抑尘，不外排；</w:t>
                  </w:r>
                </w:p>
              </w:tc>
            </w:tr>
          </w:tbl>
          <w:p>
            <w:pPr>
              <w:pStyle w:val="35"/>
            </w:pPr>
          </w:p>
        </w:tc>
      </w:tr>
    </w:tbl>
    <w:p>
      <w:pPr>
        <w:pStyle w:val="2"/>
        <w:rPr>
          <w:snapToGrid w:val="0"/>
        </w:rPr>
        <w:sectPr>
          <w:pgSz w:w="11906" w:h="16838"/>
          <w:pgMar w:top="1440" w:right="1800" w:bottom="1440" w:left="1800" w:header="992" w:footer="992" w:gutter="0"/>
          <w:cols w:space="425" w:num="1"/>
          <w:docGrid w:type="lines" w:linePitch="312" w:charSpace="0"/>
        </w:sectPr>
      </w:pPr>
    </w:p>
    <w:p>
      <w:pPr>
        <w:pStyle w:val="2"/>
        <w:ind w:firstLine="640"/>
        <w:rPr>
          <w:snapToGrid w:val="0"/>
        </w:rPr>
      </w:pPr>
      <w:r>
        <w:rPr>
          <w:rFonts w:hint="eastAsia"/>
          <w:snapToGrid w:val="0"/>
        </w:rPr>
        <w:t>三、区域环境质量现状、环境保护目标及评价标准</w:t>
      </w:r>
    </w:p>
    <w:tbl>
      <w:tblPr>
        <w:tblStyle w:val="22"/>
        <w:tblW w:w="89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7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906" w:hRule="atLeast"/>
          <w:jc w:val="center"/>
        </w:trPr>
        <w:tc>
          <w:tcPr>
            <w:tcW w:w="768" w:type="dxa"/>
            <w:vAlign w:val="center"/>
          </w:tcPr>
          <w:p>
            <w:pPr>
              <w:ind w:firstLine="0" w:firstLineChars="0"/>
            </w:pPr>
            <w:r>
              <w:rPr>
                <w:rFonts w:hint="eastAsia"/>
              </w:rPr>
              <w:t>区域环境质量现状</w:t>
            </w:r>
          </w:p>
        </w:tc>
        <w:tc>
          <w:tcPr>
            <w:tcW w:w="8222" w:type="dxa"/>
            <w:vAlign w:val="center"/>
          </w:tcPr>
          <w:p>
            <w:pPr>
              <w:ind w:firstLine="482"/>
              <w:rPr>
                <w:b/>
                <w:bCs/>
              </w:rPr>
            </w:pPr>
            <w:r>
              <w:rPr>
                <w:b/>
                <w:bCs/>
              </w:rPr>
              <w:t>1、环境空气质量现状</w:t>
            </w:r>
          </w:p>
          <w:p>
            <w:pPr>
              <w:ind w:firstLine="482"/>
              <w:rPr>
                <w:b/>
                <w:bCs/>
              </w:rPr>
            </w:pPr>
            <w:bookmarkStart w:id="20" w:name="_Hlk78372480"/>
            <w:r>
              <w:rPr>
                <w:b/>
                <w:bCs/>
              </w:rPr>
              <w:t>1）达标区域判断</w:t>
            </w:r>
          </w:p>
          <w:p>
            <w:pPr>
              <w:ind w:firstLine="480"/>
              <w:rPr>
                <w:b/>
                <w:color w:val="FF0000"/>
              </w:rPr>
            </w:pPr>
            <w:r>
              <w:rPr>
                <w:rFonts w:hint="eastAsia"/>
                <w:color w:val="FF0000"/>
              </w:rPr>
              <w:t>项目位于巴彦淖尔市五原县，所在区域环境空气质量执行《环境空气质量标准》（GB3095-2012）中二类标准，评价基准年为20</w:t>
            </w:r>
            <w:r>
              <w:rPr>
                <w:color w:val="FF0000"/>
              </w:rPr>
              <w:t>20</w:t>
            </w:r>
            <w:r>
              <w:rPr>
                <w:rFonts w:hint="eastAsia"/>
                <w:color w:val="FF0000"/>
              </w:rPr>
              <w:t>年。根据《巴彦淖尔市</w:t>
            </w:r>
            <w:r>
              <w:rPr>
                <w:color w:val="FF0000"/>
              </w:rPr>
              <w:t>2020</w:t>
            </w:r>
            <w:r>
              <w:rPr>
                <w:rFonts w:hint="eastAsia"/>
                <w:color w:val="FF0000"/>
              </w:rPr>
              <w:t>年度环境质量现状公报》，五</w:t>
            </w:r>
            <w:r>
              <w:rPr>
                <w:color w:val="FF0000"/>
              </w:rPr>
              <w:t>原县监测点</w:t>
            </w:r>
            <w:r>
              <w:rPr>
                <w:rFonts w:hint="eastAsia"/>
                <w:color w:val="FF0000"/>
              </w:rPr>
              <w:t>监测的6项基本污染物中SO</w:t>
            </w:r>
            <w:r>
              <w:rPr>
                <w:rFonts w:hint="eastAsia"/>
                <w:color w:val="FF0000"/>
                <w:vertAlign w:val="subscript"/>
              </w:rPr>
              <w:t>2</w:t>
            </w:r>
            <w:r>
              <w:rPr>
                <w:rFonts w:hint="eastAsia"/>
                <w:color w:val="FF0000"/>
              </w:rPr>
              <w:t>、NO</w:t>
            </w:r>
            <w:r>
              <w:rPr>
                <w:rFonts w:hint="eastAsia"/>
                <w:color w:val="FF0000"/>
                <w:vertAlign w:val="subscript"/>
              </w:rPr>
              <w:t>2</w:t>
            </w:r>
            <w:r>
              <w:rPr>
                <w:rFonts w:hint="eastAsia"/>
                <w:color w:val="FF0000"/>
              </w:rPr>
              <w:t>、PM</w:t>
            </w:r>
            <w:r>
              <w:rPr>
                <w:rFonts w:hint="eastAsia"/>
                <w:color w:val="FF0000"/>
                <w:vertAlign w:val="subscript"/>
              </w:rPr>
              <w:t>10</w:t>
            </w:r>
            <w:r>
              <w:rPr>
                <w:rFonts w:hint="eastAsia"/>
                <w:color w:val="FF0000"/>
              </w:rPr>
              <w:t>、PM</w:t>
            </w:r>
            <w:r>
              <w:rPr>
                <w:rFonts w:hint="eastAsia"/>
                <w:color w:val="FF0000"/>
                <w:vertAlign w:val="subscript"/>
              </w:rPr>
              <w:t>2.5</w:t>
            </w:r>
            <w:r>
              <w:rPr>
                <w:rFonts w:hint="eastAsia"/>
                <w:color w:val="FF0000"/>
              </w:rPr>
              <w:t xml:space="preserve">年均浓度分别为 </w:t>
            </w:r>
            <w:r>
              <w:rPr>
                <w:color w:val="FF0000"/>
              </w:rPr>
              <w:t>17μg/m</w:t>
            </w:r>
            <w:r>
              <w:rPr>
                <w:color w:val="FF0000"/>
                <w:vertAlign w:val="superscript"/>
              </w:rPr>
              <w:t>3</w:t>
            </w:r>
            <w:r>
              <w:rPr>
                <w:color w:val="FF0000"/>
              </w:rPr>
              <w:t>、21μg/m</w:t>
            </w:r>
            <w:r>
              <w:rPr>
                <w:color w:val="FF0000"/>
                <w:vertAlign w:val="superscript"/>
              </w:rPr>
              <w:t>3</w:t>
            </w:r>
            <w:r>
              <w:rPr>
                <w:color w:val="FF0000"/>
              </w:rPr>
              <w:t>、56μg/m</w:t>
            </w:r>
            <w:r>
              <w:rPr>
                <w:color w:val="FF0000"/>
                <w:vertAlign w:val="superscript"/>
              </w:rPr>
              <w:t>3</w:t>
            </w:r>
            <w:r>
              <w:rPr>
                <w:color w:val="FF0000"/>
              </w:rPr>
              <w:t>、34μg/m</w:t>
            </w:r>
            <w:r>
              <w:rPr>
                <w:color w:val="FF0000"/>
                <w:vertAlign w:val="superscript"/>
              </w:rPr>
              <w:t>3</w:t>
            </w:r>
            <w:r>
              <w:rPr>
                <w:color w:val="FF0000"/>
              </w:rPr>
              <w:t>，</w:t>
            </w:r>
            <w:r>
              <w:rPr>
                <w:rFonts w:hint="eastAsia"/>
                <w:color w:val="FF0000"/>
              </w:rPr>
              <w:t>CO 24小时平均第95百分位数为</w:t>
            </w:r>
            <w:r>
              <w:rPr>
                <w:color w:val="FF0000"/>
              </w:rPr>
              <w:t>2.2</w:t>
            </w:r>
            <w:r>
              <w:rPr>
                <w:rFonts w:hint="eastAsia"/>
                <w:color w:val="FF0000"/>
              </w:rPr>
              <w:t>mg/m</w:t>
            </w:r>
            <w:r>
              <w:rPr>
                <w:rFonts w:hint="eastAsia"/>
                <w:color w:val="FF0000"/>
                <w:vertAlign w:val="superscript"/>
              </w:rPr>
              <w:t>3</w:t>
            </w:r>
            <w:r>
              <w:rPr>
                <w:rFonts w:hint="eastAsia"/>
                <w:color w:val="FF0000"/>
              </w:rPr>
              <w:t>、O</w:t>
            </w:r>
            <w:r>
              <w:rPr>
                <w:rFonts w:hint="eastAsia"/>
                <w:color w:val="FF0000"/>
                <w:vertAlign w:val="subscript"/>
              </w:rPr>
              <w:t>3</w:t>
            </w:r>
            <w:r>
              <w:rPr>
                <w:rFonts w:hint="eastAsia"/>
                <w:color w:val="FF0000"/>
              </w:rPr>
              <w:t>日最大8小时滑动平均第90百分位数为</w:t>
            </w:r>
            <w:r>
              <w:rPr>
                <w:color w:val="FF0000"/>
              </w:rPr>
              <w:t>144</w:t>
            </w:r>
            <w:r>
              <w:rPr>
                <w:rFonts w:hint="eastAsia"/>
                <w:color w:val="FF0000"/>
              </w:rPr>
              <w:t>μg/m</w:t>
            </w:r>
            <w:r>
              <w:rPr>
                <w:rFonts w:hint="eastAsia"/>
                <w:color w:val="FF0000"/>
                <w:vertAlign w:val="superscript"/>
              </w:rPr>
              <w:t>3</w:t>
            </w:r>
            <w:r>
              <w:rPr>
                <w:rFonts w:hint="eastAsia"/>
                <w:color w:val="FF0000"/>
              </w:rPr>
              <w:t>。项目各污染物浓度均优于《环境空气质量标准》（GB3095-2012）二级限值，因此，项目所在地为达标区。</w:t>
            </w:r>
            <w:r>
              <w:rPr>
                <w:color w:val="FF0000"/>
              </w:rPr>
              <w:t>具体情况见下表3-1。</w:t>
            </w:r>
          </w:p>
          <w:p>
            <w:pPr>
              <w:widowControl w:val="0"/>
              <w:spacing w:line="240" w:lineRule="auto"/>
              <w:ind w:firstLine="0" w:firstLineChars="0"/>
              <w:jc w:val="center"/>
              <w:rPr>
                <w:rFonts w:cs="Times New Roman"/>
                <w:b/>
                <w:color w:val="FF0000"/>
                <w:kern w:val="2"/>
                <w:sz w:val="21"/>
              </w:rPr>
            </w:pPr>
            <w:r>
              <w:rPr>
                <w:rFonts w:cs="Times New Roman"/>
                <w:b/>
                <w:color w:val="FF0000"/>
                <w:kern w:val="2"/>
                <w:sz w:val="21"/>
              </w:rPr>
              <w:t>表3-1  2019年环境空气质量综合评价（CO为mg/m</w:t>
            </w:r>
            <w:r>
              <w:rPr>
                <w:rFonts w:cs="Times New Roman"/>
                <w:b/>
                <w:color w:val="FF0000"/>
                <w:kern w:val="2"/>
                <w:sz w:val="21"/>
                <w:vertAlign w:val="superscript"/>
              </w:rPr>
              <w:t>3</w:t>
            </w:r>
            <w:r>
              <w:rPr>
                <w:rFonts w:cs="Times New Roman"/>
                <w:b/>
                <w:color w:val="FF0000"/>
                <w:kern w:val="2"/>
                <w:sz w:val="21"/>
              </w:rPr>
              <w:t>，其他均为μg/m</w:t>
            </w:r>
            <w:r>
              <w:rPr>
                <w:rFonts w:cs="Times New Roman"/>
                <w:b/>
                <w:color w:val="FF0000"/>
                <w:kern w:val="2"/>
                <w:sz w:val="21"/>
                <w:vertAlign w:val="superscript"/>
              </w:rPr>
              <w:t>3</w:t>
            </w:r>
            <w:r>
              <w:rPr>
                <w:rFonts w:cs="Times New Roman"/>
                <w:b/>
                <w:color w:val="FF0000"/>
                <w:kern w:val="2"/>
                <w:sz w:val="21"/>
              </w:rPr>
              <w:t>）</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816"/>
              <w:gridCol w:w="2513"/>
              <w:gridCol w:w="1322"/>
              <w:gridCol w:w="1368"/>
              <w:gridCol w:w="1366"/>
              <w:gridCol w:w="1111"/>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tcBorders>
                    <w:top w:val="single" w:color="auto" w:sz="12" w:space="0"/>
                    <w:left w:val="nil"/>
                    <w:bottom w:val="single" w:color="auto" w:sz="2" w:space="0"/>
                    <w:right w:val="single" w:color="auto" w:sz="2" w:space="0"/>
                  </w:tcBorders>
                  <w:vAlign w:val="center"/>
                </w:tcPr>
                <w:p>
                  <w:pPr>
                    <w:pStyle w:val="33"/>
                    <w:rPr>
                      <w:color w:val="FF0000"/>
                      <w:szCs w:val="21"/>
                    </w:rPr>
                  </w:pPr>
                  <w:r>
                    <w:rPr>
                      <w:rFonts w:hint="eastAsia"/>
                      <w:color w:val="FF0000"/>
                    </w:rPr>
                    <w:t>污染物</w:t>
                  </w:r>
                </w:p>
              </w:tc>
              <w:tc>
                <w:tcPr>
                  <w:tcW w:w="1479" w:type="pct"/>
                  <w:tcBorders>
                    <w:top w:val="single" w:color="auto" w:sz="1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年评价指标</w:t>
                  </w:r>
                </w:p>
              </w:tc>
              <w:tc>
                <w:tcPr>
                  <w:tcW w:w="778" w:type="pct"/>
                  <w:tcBorders>
                    <w:top w:val="single" w:color="auto" w:sz="1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现状浓度</w:t>
                  </w:r>
                </w:p>
                <w:p>
                  <w:pPr>
                    <w:pStyle w:val="33"/>
                    <w:rPr>
                      <w:color w:val="FF0000"/>
                      <w:szCs w:val="21"/>
                    </w:rPr>
                  </w:pPr>
                  <w:r>
                    <w:rPr>
                      <w:rFonts w:hint="eastAsia"/>
                      <w:color w:val="FF0000"/>
                    </w:rPr>
                    <w:t>（</w:t>
                  </w:r>
                  <w:r>
                    <w:rPr>
                      <w:color w:val="FF0000"/>
                    </w:rPr>
                    <w:t>μg/m</w:t>
                  </w:r>
                  <w:r>
                    <w:rPr>
                      <w:color w:val="FF0000"/>
                      <w:vertAlign w:val="superscript"/>
                    </w:rPr>
                    <w:t>3</w:t>
                  </w:r>
                  <w:r>
                    <w:rPr>
                      <w:rFonts w:hint="eastAsia"/>
                      <w:color w:val="FF0000"/>
                    </w:rPr>
                    <w:t>）</w:t>
                  </w:r>
                </w:p>
              </w:tc>
              <w:tc>
                <w:tcPr>
                  <w:tcW w:w="805" w:type="pct"/>
                  <w:tcBorders>
                    <w:top w:val="single" w:color="auto" w:sz="1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标准值</w:t>
                  </w:r>
                </w:p>
                <w:p>
                  <w:pPr>
                    <w:pStyle w:val="33"/>
                    <w:rPr>
                      <w:color w:val="FF0000"/>
                      <w:szCs w:val="21"/>
                    </w:rPr>
                  </w:pPr>
                  <w:r>
                    <w:rPr>
                      <w:rFonts w:hint="eastAsia"/>
                      <w:color w:val="FF0000"/>
                    </w:rPr>
                    <w:t>（</w:t>
                  </w:r>
                  <w:r>
                    <w:rPr>
                      <w:color w:val="FF0000"/>
                    </w:rPr>
                    <w:t>μg/m</w:t>
                  </w:r>
                  <w:r>
                    <w:rPr>
                      <w:color w:val="FF0000"/>
                      <w:vertAlign w:val="superscript"/>
                    </w:rPr>
                    <w:t>3</w:t>
                  </w:r>
                  <w:r>
                    <w:rPr>
                      <w:rFonts w:hint="eastAsia"/>
                      <w:color w:val="FF0000"/>
                    </w:rPr>
                    <w:t>）</w:t>
                  </w:r>
                </w:p>
              </w:tc>
              <w:tc>
                <w:tcPr>
                  <w:tcW w:w="804" w:type="pct"/>
                  <w:tcBorders>
                    <w:top w:val="single" w:color="auto" w:sz="1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占标率（</w:t>
                  </w:r>
                  <w:r>
                    <w:rPr>
                      <w:color w:val="FF0000"/>
                    </w:rPr>
                    <w:t>%</w:t>
                  </w:r>
                  <w:r>
                    <w:rPr>
                      <w:rFonts w:hint="eastAsia" w:ascii="宋体" w:hAnsi="宋体"/>
                      <w:color w:val="FF0000"/>
                    </w:rPr>
                    <w:t>）</w:t>
                  </w:r>
                </w:p>
              </w:tc>
              <w:tc>
                <w:tcPr>
                  <w:tcW w:w="654" w:type="pct"/>
                  <w:tcBorders>
                    <w:top w:val="single" w:color="auto" w:sz="12" w:space="0"/>
                    <w:left w:val="single" w:color="auto" w:sz="2" w:space="0"/>
                    <w:bottom w:val="single" w:color="auto" w:sz="2" w:space="0"/>
                    <w:right w:val="nil"/>
                  </w:tcBorders>
                  <w:vAlign w:val="center"/>
                </w:tcPr>
                <w:p>
                  <w:pPr>
                    <w:pStyle w:val="33"/>
                    <w:rPr>
                      <w:color w:val="FF0000"/>
                      <w:szCs w:val="21"/>
                    </w:rPr>
                  </w:pPr>
                  <w:r>
                    <w:rPr>
                      <w:rFonts w:hint="eastAsia"/>
                      <w:color w:val="FF0000"/>
                    </w:rPr>
                    <w:t>达标情况</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80" w:type="pct"/>
                  <w:tcBorders>
                    <w:top w:val="single" w:color="auto" w:sz="2" w:space="0"/>
                    <w:left w:val="nil"/>
                    <w:bottom w:val="single" w:color="auto" w:sz="2" w:space="0"/>
                    <w:right w:val="single" w:color="auto" w:sz="2" w:space="0"/>
                  </w:tcBorders>
                  <w:vAlign w:val="center"/>
                </w:tcPr>
                <w:p>
                  <w:pPr>
                    <w:pStyle w:val="33"/>
                    <w:rPr>
                      <w:color w:val="FF0000"/>
                      <w:szCs w:val="21"/>
                    </w:rPr>
                  </w:pPr>
                  <w:r>
                    <w:rPr>
                      <w:color w:val="FF0000"/>
                    </w:rPr>
                    <w:t>SO</w:t>
                  </w:r>
                  <w:r>
                    <w:rPr>
                      <w:color w:val="FF0000"/>
                      <w:vertAlign w:val="subscript"/>
                    </w:rPr>
                    <w:t>2</w:t>
                  </w:r>
                </w:p>
              </w:tc>
              <w:tc>
                <w:tcPr>
                  <w:tcW w:w="1479"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年平均质量浓度</w:t>
                  </w:r>
                </w:p>
              </w:tc>
              <w:tc>
                <w:tcPr>
                  <w:tcW w:w="778"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17</w:t>
                  </w:r>
                </w:p>
              </w:tc>
              <w:tc>
                <w:tcPr>
                  <w:tcW w:w="805"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rPr>
                    <w:t>60</w:t>
                  </w:r>
                </w:p>
              </w:tc>
              <w:tc>
                <w:tcPr>
                  <w:tcW w:w="804"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28.33</w:t>
                  </w:r>
                </w:p>
              </w:tc>
              <w:tc>
                <w:tcPr>
                  <w:tcW w:w="654" w:type="pct"/>
                  <w:tcBorders>
                    <w:top w:val="single" w:color="auto" w:sz="2" w:space="0"/>
                    <w:left w:val="single" w:color="auto" w:sz="2" w:space="0"/>
                    <w:bottom w:val="single" w:color="auto" w:sz="2" w:space="0"/>
                    <w:right w:val="nil"/>
                  </w:tcBorders>
                  <w:vAlign w:val="center"/>
                </w:tcPr>
                <w:p>
                  <w:pPr>
                    <w:pStyle w:val="33"/>
                    <w:rPr>
                      <w:color w:val="FF0000"/>
                      <w:szCs w:val="21"/>
                    </w:rPr>
                  </w:pPr>
                  <w:r>
                    <w:rPr>
                      <w:rFonts w:hint="eastAsia"/>
                      <w:color w:val="FF0000"/>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20" w:hRule="atLeast"/>
                <w:jc w:val="center"/>
              </w:trPr>
              <w:tc>
                <w:tcPr>
                  <w:tcW w:w="480" w:type="pct"/>
                  <w:tcBorders>
                    <w:top w:val="single" w:color="auto" w:sz="2" w:space="0"/>
                    <w:left w:val="nil"/>
                    <w:bottom w:val="single" w:color="auto" w:sz="2" w:space="0"/>
                    <w:right w:val="single" w:color="auto" w:sz="2" w:space="0"/>
                  </w:tcBorders>
                  <w:vAlign w:val="center"/>
                </w:tcPr>
                <w:p>
                  <w:pPr>
                    <w:pStyle w:val="33"/>
                    <w:rPr>
                      <w:color w:val="FF0000"/>
                      <w:szCs w:val="21"/>
                    </w:rPr>
                  </w:pPr>
                  <w:r>
                    <w:rPr>
                      <w:color w:val="FF0000"/>
                    </w:rPr>
                    <w:t>NO</w:t>
                  </w:r>
                  <w:r>
                    <w:rPr>
                      <w:color w:val="FF0000"/>
                      <w:vertAlign w:val="subscript"/>
                    </w:rPr>
                    <w:t>2</w:t>
                  </w:r>
                </w:p>
              </w:tc>
              <w:tc>
                <w:tcPr>
                  <w:tcW w:w="1479"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年平均质量浓度</w:t>
                  </w:r>
                </w:p>
              </w:tc>
              <w:tc>
                <w:tcPr>
                  <w:tcW w:w="778"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21</w:t>
                  </w:r>
                </w:p>
              </w:tc>
              <w:tc>
                <w:tcPr>
                  <w:tcW w:w="805"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rPr>
                    <w:t>40</w:t>
                  </w:r>
                </w:p>
              </w:tc>
              <w:tc>
                <w:tcPr>
                  <w:tcW w:w="804"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52.5</w:t>
                  </w:r>
                </w:p>
              </w:tc>
              <w:tc>
                <w:tcPr>
                  <w:tcW w:w="654" w:type="pct"/>
                  <w:tcBorders>
                    <w:top w:val="single" w:color="auto" w:sz="2" w:space="0"/>
                    <w:left w:val="single" w:color="auto" w:sz="2" w:space="0"/>
                    <w:bottom w:val="single" w:color="auto" w:sz="2" w:space="0"/>
                    <w:right w:val="nil"/>
                  </w:tcBorders>
                  <w:vAlign w:val="center"/>
                </w:tcPr>
                <w:p>
                  <w:pPr>
                    <w:pStyle w:val="33"/>
                    <w:rPr>
                      <w:color w:val="FF0000"/>
                      <w:szCs w:val="21"/>
                    </w:rPr>
                  </w:pPr>
                  <w:r>
                    <w:rPr>
                      <w:rFonts w:hint="eastAsia"/>
                      <w:color w:val="FF0000"/>
                      <w:szCs w:val="21"/>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260" w:hRule="atLeast"/>
                <w:jc w:val="center"/>
              </w:trPr>
              <w:tc>
                <w:tcPr>
                  <w:tcW w:w="480" w:type="pct"/>
                  <w:tcBorders>
                    <w:top w:val="single" w:color="auto" w:sz="2" w:space="0"/>
                    <w:left w:val="nil"/>
                    <w:bottom w:val="single" w:color="auto" w:sz="2" w:space="0"/>
                    <w:right w:val="single" w:color="auto" w:sz="2" w:space="0"/>
                  </w:tcBorders>
                  <w:vAlign w:val="center"/>
                </w:tcPr>
                <w:p>
                  <w:pPr>
                    <w:pStyle w:val="33"/>
                    <w:rPr>
                      <w:color w:val="FF0000"/>
                      <w:szCs w:val="21"/>
                    </w:rPr>
                  </w:pPr>
                  <w:r>
                    <w:rPr>
                      <w:color w:val="FF0000"/>
                    </w:rPr>
                    <w:t>PM</w:t>
                  </w:r>
                  <w:r>
                    <w:rPr>
                      <w:color w:val="FF0000"/>
                      <w:vertAlign w:val="subscript"/>
                    </w:rPr>
                    <w:t>10</w:t>
                  </w:r>
                </w:p>
              </w:tc>
              <w:tc>
                <w:tcPr>
                  <w:tcW w:w="1479"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年平均质量浓度</w:t>
                  </w:r>
                </w:p>
              </w:tc>
              <w:tc>
                <w:tcPr>
                  <w:tcW w:w="778"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56</w:t>
                  </w:r>
                </w:p>
              </w:tc>
              <w:tc>
                <w:tcPr>
                  <w:tcW w:w="805"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rPr>
                    <w:t>70</w:t>
                  </w:r>
                </w:p>
              </w:tc>
              <w:tc>
                <w:tcPr>
                  <w:tcW w:w="804"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80.0</w:t>
                  </w:r>
                </w:p>
              </w:tc>
              <w:tc>
                <w:tcPr>
                  <w:tcW w:w="654" w:type="pct"/>
                  <w:tcBorders>
                    <w:top w:val="single" w:color="auto" w:sz="2" w:space="0"/>
                    <w:left w:val="single" w:color="auto" w:sz="2" w:space="0"/>
                    <w:bottom w:val="single" w:color="auto" w:sz="2" w:space="0"/>
                    <w:right w:val="nil"/>
                  </w:tcBorders>
                  <w:vAlign w:val="center"/>
                </w:tcPr>
                <w:p>
                  <w:pPr>
                    <w:pStyle w:val="33"/>
                    <w:rPr>
                      <w:color w:val="FF0000"/>
                      <w:szCs w:val="21"/>
                    </w:rPr>
                  </w:pPr>
                  <w:r>
                    <w:rPr>
                      <w:rFonts w:hint="eastAsia"/>
                      <w:color w:val="FF0000"/>
                      <w:szCs w:val="21"/>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20" w:hRule="atLeast"/>
                <w:jc w:val="center"/>
              </w:trPr>
              <w:tc>
                <w:tcPr>
                  <w:tcW w:w="480" w:type="pct"/>
                  <w:tcBorders>
                    <w:top w:val="single" w:color="auto" w:sz="2" w:space="0"/>
                    <w:left w:val="nil"/>
                    <w:bottom w:val="single" w:color="auto" w:sz="2" w:space="0"/>
                    <w:right w:val="single" w:color="auto" w:sz="2" w:space="0"/>
                  </w:tcBorders>
                  <w:vAlign w:val="center"/>
                </w:tcPr>
                <w:p>
                  <w:pPr>
                    <w:pStyle w:val="33"/>
                    <w:rPr>
                      <w:color w:val="FF0000"/>
                      <w:szCs w:val="21"/>
                    </w:rPr>
                  </w:pPr>
                  <w:r>
                    <w:rPr>
                      <w:color w:val="FF0000"/>
                    </w:rPr>
                    <w:t>PM</w:t>
                  </w:r>
                  <w:r>
                    <w:rPr>
                      <w:color w:val="FF0000"/>
                      <w:vertAlign w:val="subscript"/>
                    </w:rPr>
                    <w:t>2.5</w:t>
                  </w:r>
                </w:p>
              </w:tc>
              <w:tc>
                <w:tcPr>
                  <w:tcW w:w="1479"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年平均质量浓度</w:t>
                  </w:r>
                </w:p>
              </w:tc>
              <w:tc>
                <w:tcPr>
                  <w:tcW w:w="778"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34</w:t>
                  </w:r>
                </w:p>
              </w:tc>
              <w:tc>
                <w:tcPr>
                  <w:tcW w:w="805"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rPr>
                    <w:t>35</w:t>
                  </w:r>
                </w:p>
              </w:tc>
              <w:tc>
                <w:tcPr>
                  <w:tcW w:w="804"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97.14</w:t>
                  </w:r>
                </w:p>
              </w:tc>
              <w:tc>
                <w:tcPr>
                  <w:tcW w:w="654" w:type="pct"/>
                  <w:tcBorders>
                    <w:top w:val="single" w:color="auto" w:sz="2" w:space="0"/>
                    <w:left w:val="single" w:color="auto" w:sz="2" w:space="0"/>
                    <w:bottom w:val="single" w:color="auto" w:sz="2" w:space="0"/>
                    <w:right w:val="nil"/>
                  </w:tcBorders>
                  <w:vAlign w:val="center"/>
                </w:tcPr>
                <w:p>
                  <w:pPr>
                    <w:pStyle w:val="33"/>
                    <w:rPr>
                      <w:color w:val="FF0000"/>
                      <w:szCs w:val="21"/>
                    </w:rPr>
                  </w:pPr>
                  <w:r>
                    <w:rPr>
                      <w:rFonts w:hint="eastAsia"/>
                      <w:color w:val="FF0000"/>
                      <w:szCs w:val="21"/>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20" w:hRule="atLeast"/>
                <w:jc w:val="center"/>
              </w:trPr>
              <w:tc>
                <w:tcPr>
                  <w:tcW w:w="480" w:type="pct"/>
                  <w:tcBorders>
                    <w:top w:val="single" w:color="auto" w:sz="2" w:space="0"/>
                    <w:left w:val="nil"/>
                    <w:bottom w:val="single" w:color="auto" w:sz="2" w:space="0"/>
                    <w:right w:val="single" w:color="auto" w:sz="2" w:space="0"/>
                  </w:tcBorders>
                  <w:vAlign w:val="center"/>
                </w:tcPr>
                <w:p>
                  <w:pPr>
                    <w:pStyle w:val="33"/>
                    <w:rPr>
                      <w:color w:val="FF0000"/>
                      <w:szCs w:val="21"/>
                    </w:rPr>
                  </w:pPr>
                  <w:r>
                    <w:rPr>
                      <w:color w:val="FF0000"/>
                    </w:rPr>
                    <w:t>O</w:t>
                  </w:r>
                  <w:r>
                    <w:rPr>
                      <w:color w:val="FF0000"/>
                      <w:vertAlign w:val="subscript"/>
                    </w:rPr>
                    <w:t>3</w:t>
                  </w:r>
                </w:p>
              </w:tc>
              <w:tc>
                <w:tcPr>
                  <w:tcW w:w="1479"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rFonts w:hint="eastAsia"/>
                      <w:color w:val="FF0000"/>
                    </w:rPr>
                    <w:t>第</w:t>
                  </w:r>
                  <w:r>
                    <w:rPr>
                      <w:color w:val="FF0000"/>
                    </w:rPr>
                    <w:t>90</w:t>
                  </w:r>
                  <w:r>
                    <w:rPr>
                      <w:rFonts w:hint="eastAsia" w:ascii="宋体" w:hAnsi="宋体"/>
                      <w:color w:val="FF0000"/>
                    </w:rPr>
                    <w:t>百分位数</w:t>
                  </w:r>
                  <w:r>
                    <w:rPr>
                      <w:color w:val="FF0000"/>
                    </w:rPr>
                    <w:t>8</w:t>
                  </w:r>
                  <w:r>
                    <w:rPr>
                      <w:rFonts w:hint="eastAsia" w:ascii="宋体" w:hAnsi="宋体"/>
                      <w:color w:val="FF0000"/>
                    </w:rPr>
                    <w:t>小时平均</w:t>
                  </w:r>
                </w:p>
              </w:tc>
              <w:tc>
                <w:tcPr>
                  <w:tcW w:w="778"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144</w:t>
                  </w:r>
                </w:p>
              </w:tc>
              <w:tc>
                <w:tcPr>
                  <w:tcW w:w="805"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rPr>
                    <w:t>160</w:t>
                  </w:r>
                </w:p>
              </w:tc>
              <w:tc>
                <w:tcPr>
                  <w:tcW w:w="804" w:type="pct"/>
                  <w:tcBorders>
                    <w:top w:val="single" w:color="auto" w:sz="2" w:space="0"/>
                    <w:left w:val="single" w:color="auto" w:sz="2" w:space="0"/>
                    <w:bottom w:val="single" w:color="auto" w:sz="2" w:space="0"/>
                    <w:right w:val="single" w:color="auto" w:sz="2" w:space="0"/>
                  </w:tcBorders>
                  <w:vAlign w:val="center"/>
                </w:tcPr>
                <w:p>
                  <w:pPr>
                    <w:pStyle w:val="33"/>
                    <w:rPr>
                      <w:color w:val="FF0000"/>
                      <w:szCs w:val="21"/>
                    </w:rPr>
                  </w:pPr>
                  <w:r>
                    <w:rPr>
                      <w:color w:val="FF0000"/>
                      <w:szCs w:val="21"/>
                    </w:rPr>
                    <w:t>90.0</w:t>
                  </w:r>
                </w:p>
              </w:tc>
              <w:tc>
                <w:tcPr>
                  <w:tcW w:w="654" w:type="pct"/>
                  <w:tcBorders>
                    <w:top w:val="single" w:color="auto" w:sz="2" w:space="0"/>
                    <w:left w:val="single" w:color="auto" w:sz="2" w:space="0"/>
                    <w:bottom w:val="single" w:color="auto" w:sz="2" w:space="0"/>
                    <w:right w:val="nil"/>
                  </w:tcBorders>
                  <w:vAlign w:val="center"/>
                </w:tcPr>
                <w:p>
                  <w:pPr>
                    <w:pStyle w:val="33"/>
                    <w:rPr>
                      <w:color w:val="FF0000"/>
                      <w:szCs w:val="21"/>
                    </w:rPr>
                  </w:pPr>
                  <w:r>
                    <w:rPr>
                      <w:rFonts w:hint="eastAsia"/>
                      <w:color w:val="FF0000"/>
                      <w:szCs w:val="21"/>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20" w:hRule="atLeast"/>
                <w:jc w:val="center"/>
              </w:trPr>
              <w:tc>
                <w:tcPr>
                  <w:tcW w:w="480" w:type="pct"/>
                  <w:tcBorders>
                    <w:top w:val="single" w:color="auto" w:sz="2" w:space="0"/>
                    <w:left w:val="nil"/>
                    <w:bottom w:val="single" w:color="auto" w:sz="12" w:space="0"/>
                    <w:right w:val="single" w:color="auto" w:sz="2" w:space="0"/>
                  </w:tcBorders>
                  <w:vAlign w:val="center"/>
                </w:tcPr>
                <w:p>
                  <w:pPr>
                    <w:pStyle w:val="33"/>
                    <w:rPr>
                      <w:color w:val="FF0000"/>
                      <w:szCs w:val="21"/>
                    </w:rPr>
                  </w:pPr>
                  <w:r>
                    <w:rPr>
                      <w:color w:val="FF0000"/>
                    </w:rPr>
                    <w:t>CO</w:t>
                  </w:r>
                </w:p>
              </w:tc>
              <w:tc>
                <w:tcPr>
                  <w:tcW w:w="1479" w:type="pct"/>
                  <w:tcBorders>
                    <w:top w:val="single" w:color="auto" w:sz="2" w:space="0"/>
                    <w:left w:val="single" w:color="auto" w:sz="2" w:space="0"/>
                    <w:bottom w:val="single" w:color="auto" w:sz="12" w:space="0"/>
                    <w:right w:val="single" w:color="auto" w:sz="2" w:space="0"/>
                  </w:tcBorders>
                  <w:vAlign w:val="center"/>
                </w:tcPr>
                <w:p>
                  <w:pPr>
                    <w:pStyle w:val="33"/>
                    <w:rPr>
                      <w:color w:val="FF0000"/>
                      <w:szCs w:val="21"/>
                    </w:rPr>
                  </w:pPr>
                  <w:r>
                    <w:rPr>
                      <w:rFonts w:hint="eastAsia"/>
                      <w:color w:val="FF0000"/>
                    </w:rPr>
                    <w:t>第</w:t>
                  </w:r>
                  <w:r>
                    <w:rPr>
                      <w:color w:val="FF0000"/>
                    </w:rPr>
                    <w:t>95</w:t>
                  </w:r>
                  <w:r>
                    <w:rPr>
                      <w:rFonts w:hint="eastAsia" w:ascii="宋体" w:hAnsi="宋体"/>
                      <w:color w:val="FF0000"/>
                    </w:rPr>
                    <w:t>百分位数日平均</w:t>
                  </w:r>
                </w:p>
              </w:tc>
              <w:tc>
                <w:tcPr>
                  <w:tcW w:w="778" w:type="pct"/>
                  <w:tcBorders>
                    <w:top w:val="single" w:color="auto" w:sz="2" w:space="0"/>
                    <w:left w:val="single" w:color="auto" w:sz="2" w:space="0"/>
                    <w:bottom w:val="single" w:color="auto" w:sz="12" w:space="0"/>
                    <w:right w:val="single" w:color="auto" w:sz="2" w:space="0"/>
                  </w:tcBorders>
                  <w:vAlign w:val="center"/>
                </w:tcPr>
                <w:p>
                  <w:pPr>
                    <w:pStyle w:val="33"/>
                    <w:rPr>
                      <w:color w:val="FF0000"/>
                      <w:szCs w:val="21"/>
                    </w:rPr>
                  </w:pPr>
                  <w:r>
                    <w:rPr>
                      <w:color w:val="FF0000"/>
                    </w:rPr>
                    <w:t>2.2mg/m</w:t>
                  </w:r>
                  <w:r>
                    <w:rPr>
                      <w:color w:val="FF0000"/>
                      <w:vertAlign w:val="superscript"/>
                    </w:rPr>
                    <w:t>3</w:t>
                  </w:r>
                </w:p>
              </w:tc>
              <w:tc>
                <w:tcPr>
                  <w:tcW w:w="805" w:type="pct"/>
                  <w:tcBorders>
                    <w:top w:val="single" w:color="auto" w:sz="2" w:space="0"/>
                    <w:left w:val="single" w:color="auto" w:sz="2" w:space="0"/>
                    <w:bottom w:val="single" w:color="auto" w:sz="12" w:space="0"/>
                    <w:right w:val="single" w:color="auto" w:sz="2" w:space="0"/>
                  </w:tcBorders>
                  <w:vAlign w:val="center"/>
                </w:tcPr>
                <w:p>
                  <w:pPr>
                    <w:pStyle w:val="33"/>
                    <w:rPr>
                      <w:color w:val="FF0000"/>
                      <w:szCs w:val="21"/>
                    </w:rPr>
                  </w:pPr>
                  <w:r>
                    <w:rPr>
                      <w:color w:val="FF0000"/>
                    </w:rPr>
                    <w:t>4mg/m</w:t>
                  </w:r>
                  <w:r>
                    <w:rPr>
                      <w:color w:val="FF0000"/>
                      <w:vertAlign w:val="superscript"/>
                    </w:rPr>
                    <w:t>3</w:t>
                  </w:r>
                </w:p>
              </w:tc>
              <w:tc>
                <w:tcPr>
                  <w:tcW w:w="804" w:type="pct"/>
                  <w:tcBorders>
                    <w:top w:val="single" w:color="auto" w:sz="2" w:space="0"/>
                    <w:left w:val="single" w:color="auto" w:sz="2" w:space="0"/>
                    <w:bottom w:val="single" w:color="auto" w:sz="12" w:space="0"/>
                    <w:right w:val="single" w:color="auto" w:sz="2" w:space="0"/>
                  </w:tcBorders>
                  <w:vAlign w:val="center"/>
                </w:tcPr>
                <w:p>
                  <w:pPr>
                    <w:pStyle w:val="33"/>
                    <w:rPr>
                      <w:color w:val="FF0000"/>
                      <w:szCs w:val="21"/>
                    </w:rPr>
                  </w:pPr>
                  <w:r>
                    <w:rPr>
                      <w:color w:val="FF0000"/>
                      <w:szCs w:val="21"/>
                    </w:rPr>
                    <w:t>55.0</w:t>
                  </w:r>
                </w:p>
              </w:tc>
              <w:tc>
                <w:tcPr>
                  <w:tcW w:w="654" w:type="pct"/>
                  <w:tcBorders>
                    <w:top w:val="single" w:color="auto" w:sz="2" w:space="0"/>
                    <w:left w:val="single" w:color="auto" w:sz="2" w:space="0"/>
                    <w:bottom w:val="single" w:color="auto" w:sz="12" w:space="0"/>
                    <w:right w:val="nil"/>
                  </w:tcBorders>
                  <w:vAlign w:val="center"/>
                </w:tcPr>
                <w:p>
                  <w:pPr>
                    <w:pStyle w:val="33"/>
                    <w:rPr>
                      <w:color w:val="FF0000"/>
                      <w:szCs w:val="21"/>
                    </w:rPr>
                  </w:pPr>
                  <w:r>
                    <w:rPr>
                      <w:rFonts w:hint="eastAsia"/>
                      <w:color w:val="FF0000"/>
                      <w:szCs w:val="21"/>
                    </w:rPr>
                    <w:t>达标</w:t>
                  </w:r>
                </w:p>
              </w:tc>
            </w:tr>
            <w:bookmarkEnd w:id="20"/>
          </w:tbl>
          <w:p>
            <w:pPr>
              <w:ind w:firstLine="482"/>
              <w:rPr>
                <w:b/>
                <w:bCs/>
              </w:rPr>
            </w:pPr>
            <w:r>
              <w:rPr>
                <w:rFonts w:hint="eastAsia"/>
                <w:b/>
                <w:bCs/>
              </w:rPr>
              <w:t>2）其他污染物现状监测</w:t>
            </w:r>
          </w:p>
          <w:p>
            <w:pPr>
              <w:ind w:firstLine="482"/>
              <w:rPr>
                <w:b/>
                <w:bCs/>
              </w:rPr>
            </w:pPr>
            <w:r>
              <w:rPr>
                <w:b/>
                <w:bCs/>
              </w:rPr>
              <w:t>环境空气监测布点</w:t>
            </w:r>
          </w:p>
          <w:p>
            <w:pPr>
              <w:ind w:firstLine="480"/>
            </w:pPr>
            <w:r>
              <w:t>按照《环境影响评价技术导则大气环境》（HJ2.2-2018）</w:t>
            </w:r>
            <w:r>
              <w:rPr>
                <w:rFonts w:hint="eastAsia"/>
              </w:rPr>
              <w:t>及《建设项目环境影响报报告表（污染类影响）（试行）》的</w:t>
            </w:r>
            <w:r>
              <w:t>要求，</w:t>
            </w:r>
            <w:r>
              <w:rPr>
                <w:rFonts w:hint="eastAsia"/>
              </w:rPr>
              <w:t>“排放国家、地方环境空气质量标准中有标准限值要求的特征污染物时，引用建设项目周边5 千米范围内近3 年的现有监测数据”，</w:t>
            </w:r>
            <w:r>
              <w:t>本项目</w:t>
            </w:r>
            <w:r>
              <w:rPr>
                <w:rFonts w:hint="eastAsia"/>
              </w:rPr>
              <w:t>N</w:t>
            </w:r>
            <w:r>
              <w:t>H</w:t>
            </w:r>
            <w:r>
              <w:rPr>
                <w:vertAlign w:val="subscript"/>
              </w:rPr>
              <w:t>3</w:t>
            </w:r>
            <w:r>
              <w:rPr>
                <w:rFonts w:hint="eastAsia"/>
              </w:rPr>
              <w:t>、H</w:t>
            </w:r>
            <w:r>
              <w:rPr>
                <w:vertAlign w:val="subscript"/>
              </w:rPr>
              <w:t>2</w:t>
            </w:r>
            <w:r>
              <w:t>S</w:t>
            </w:r>
            <w:r>
              <w:rPr>
                <w:rFonts w:hint="eastAsia"/>
              </w:rPr>
              <w:t>、臭气浓度现状数据引用《巴彦淖尔市五原县隆兴昌镇污水处理厂每日2.2 万吨扩容改造工程（一期）》验收检测报告表中现状监测点数据，监测点与本项目距离为</w:t>
            </w:r>
            <w:r>
              <w:t>2214.78m</w:t>
            </w:r>
            <w:r>
              <w:rPr>
                <w:rFonts w:hint="eastAsia"/>
              </w:rPr>
              <w:t>，监测时间为</w:t>
            </w:r>
            <w:r>
              <w:t>2020</w:t>
            </w:r>
            <w:r>
              <w:rPr>
                <w:rFonts w:hint="eastAsia"/>
              </w:rPr>
              <w:t>年</w:t>
            </w:r>
            <w:r>
              <w:t>08</w:t>
            </w:r>
            <w:r>
              <w:rPr>
                <w:rFonts w:hint="eastAsia"/>
              </w:rPr>
              <w:t>月</w:t>
            </w:r>
            <w:r>
              <w:t>30</w:t>
            </w:r>
            <w:r>
              <w:rPr>
                <w:rFonts w:hint="eastAsia"/>
              </w:rPr>
              <w:t>日~</w:t>
            </w:r>
            <w:r>
              <w:t>31</w:t>
            </w:r>
            <w:r>
              <w:rPr>
                <w:rFonts w:hint="eastAsia"/>
              </w:rPr>
              <w:t>日；T</w:t>
            </w:r>
            <w:r>
              <w:t>SP</w:t>
            </w:r>
            <w:r>
              <w:rPr>
                <w:rFonts w:hint="eastAsia"/>
              </w:rPr>
              <w:t>现状数据引用《内蒙古鑫泰基业建设有限责任公司五原县分公司沥青搅拌站、水稳料拌合站、混凝土搅拌站项目》环境影响报告表中监测数据，监测点与本项目距离为</w:t>
            </w:r>
            <w:r>
              <w:t>2513.67m</w:t>
            </w:r>
            <w:r>
              <w:rPr>
                <w:rFonts w:hint="eastAsia"/>
              </w:rPr>
              <w:t>，监测时间为</w:t>
            </w:r>
            <w:r>
              <w:t>2020</w:t>
            </w:r>
            <w:r>
              <w:rPr>
                <w:rFonts w:hint="eastAsia"/>
              </w:rPr>
              <w:t>年</w:t>
            </w:r>
            <w:r>
              <w:t>10</w:t>
            </w:r>
            <w:r>
              <w:rPr>
                <w:rFonts w:hint="eastAsia"/>
              </w:rPr>
              <w:t>月</w:t>
            </w:r>
            <w:r>
              <w:t>27</w:t>
            </w:r>
            <w:r>
              <w:rPr>
                <w:rFonts w:hint="eastAsia"/>
              </w:rPr>
              <w:t>日~</w:t>
            </w:r>
            <w:r>
              <w:t>11</w:t>
            </w:r>
            <w:r>
              <w:rPr>
                <w:rFonts w:hint="eastAsia"/>
              </w:rPr>
              <w:t>月2日，引用数据符合《建设项目环境影响报告表编制技术指南（污染影响类）（试行）》中“引用建设项目周边5千米范围内近3年的现有监测数据”要求。</w:t>
            </w:r>
          </w:p>
          <w:p>
            <w:pPr>
              <w:ind w:firstLine="480"/>
            </w:pPr>
            <w:r>
              <w:rPr>
                <w:rFonts w:hint="eastAsia"/>
              </w:rPr>
              <w:t>引用</w:t>
            </w:r>
            <w:r>
              <w:t>监测点位具体位置见表3-2。环境监测点位图见图3-1。</w:t>
            </w:r>
          </w:p>
          <w:p>
            <w:pPr>
              <w:pStyle w:val="35"/>
            </w:pPr>
            <w:r>
              <w:t>表3-2  环境空气监测点位</w:t>
            </w:r>
          </w:p>
          <w:tbl>
            <w:tblPr>
              <w:tblStyle w:val="22"/>
              <w:tblW w:w="8496"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12"/>
              <w:gridCol w:w="2041"/>
              <w:gridCol w:w="676"/>
              <w:gridCol w:w="899"/>
              <w:gridCol w:w="3025"/>
              <w:gridCol w:w="124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83" w:type="pct"/>
                  <w:vAlign w:val="center"/>
                </w:tcPr>
                <w:p>
                  <w:pPr>
                    <w:pStyle w:val="33"/>
                    <w:rPr>
                      <w:b/>
                      <w:bCs/>
                    </w:rPr>
                  </w:pPr>
                  <w:r>
                    <w:rPr>
                      <w:b/>
                      <w:bCs/>
                    </w:rPr>
                    <w:t>序号</w:t>
                  </w:r>
                </w:p>
              </w:tc>
              <w:tc>
                <w:tcPr>
                  <w:tcW w:w="1224" w:type="pct"/>
                  <w:vAlign w:val="center"/>
                </w:tcPr>
                <w:p>
                  <w:pPr>
                    <w:pStyle w:val="33"/>
                    <w:rPr>
                      <w:b/>
                      <w:bCs/>
                    </w:rPr>
                  </w:pPr>
                  <w:r>
                    <w:rPr>
                      <w:b/>
                      <w:bCs/>
                    </w:rPr>
                    <w:t>监测点位</w:t>
                  </w:r>
                </w:p>
              </w:tc>
              <w:tc>
                <w:tcPr>
                  <w:tcW w:w="421" w:type="pct"/>
                  <w:vAlign w:val="center"/>
                </w:tcPr>
                <w:p>
                  <w:pPr>
                    <w:pStyle w:val="33"/>
                    <w:rPr>
                      <w:b/>
                      <w:bCs/>
                    </w:rPr>
                  </w:pPr>
                  <w:r>
                    <w:rPr>
                      <w:b/>
                      <w:bCs/>
                    </w:rPr>
                    <w:t>方位</w:t>
                  </w:r>
                </w:p>
              </w:tc>
              <w:tc>
                <w:tcPr>
                  <w:tcW w:w="415" w:type="pct"/>
                  <w:vAlign w:val="center"/>
                </w:tcPr>
                <w:p>
                  <w:pPr>
                    <w:pStyle w:val="33"/>
                    <w:rPr>
                      <w:b/>
                      <w:bCs/>
                    </w:rPr>
                  </w:pPr>
                  <w:r>
                    <w:rPr>
                      <w:b/>
                      <w:bCs/>
                    </w:rPr>
                    <w:t>距离</w:t>
                  </w:r>
                  <w:r>
                    <w:rPr>
                      <w:rFonts w:hint="eastAsia"/>
                      <w:b/>
                      <w:bCs/>
                    </w:rPr>
                    <w:t>m</w:t>
                  </w:r>
                </w:p>
              </w:tc>
              <w:tc>
                <w:tcPr>
                  <w:tcW w:w="1803" w:type="pct"/>
                  <w:vAlign w:val="center"/>
                </w:tcPr>
                <w:p>
                  <w:pPr>
                    <w:pStyle w:val="33"/>
                    <w:rPr>
                      <w:b/>
                      <w:bCs/>
                    </w:rPr>
                  </w:pPr>
                  <w:r>
                    <w:rPr>
                      <w:b/>
                      <w:bCs/>
                    </w:rPr>
                    <w:t>监测因子</w:t>
                  </w:r>
                </w:p>
              </w:tc>
              <w:tc>
                <w:tcPr>
                  <w:tcW w:w="756" w:type="pct"/>
                  <w:vAlign w:val="center"/>
                </w:tcPr>
                <w:p>
                  <w:pPr>
                    <w:pStyle w:val="33"/>
                    <w:rPr>
                      <w:b/>
                      <w:bCs/>
                    </w:rPr>
                  </w:pPr>
                  <w:r>
                    <w:rPr>
                      <w:rFonts w:hint="eastAsia"/>
                      <w:b/>
                      <w:bCs/>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3" w:type="pct"/>
                  <w:vAlign w:val="center"/>
                </w:tcPr>
                <w:p>
                  <w:pPr>
                    <w:pStyle w:val="33"/>
                  </w:pPr>
                  <w:r>
                    <w:rPr>
                      <w:rFonts w:hint="eastAsia"/>
                    </w:rPr>
                    <w:t>1</w:t>
                  </w:r>
                </w:p>
              </w:tc>
              <w:tc>
                <w:tcPr>
                  <w:tcW w:w="1224" w:type="pct"/>
                  <w:vAlign w:val="center"/>
                </w:tcPr>
                <w:p>
                  <w:pPr>
                    <w:pStyle w:val="33"/>
                  </w:pPr>
                  <w:r>
                    <w:rPr>
                      <w:rFonts w:hint="eastAsia"/>
                    </w:rPr>
                    <w:t>引用监测点</w:t>
                  </w:r>
                  <w:r>
                    <w:t>1#</w:t>
                  </w:r>
                </w:p>
              </w:tc>
              <w:tc>
                <w:tcPr>
                  <w:tcW w:w="421" w:type="pct"/>
                  <w:vAlign w:val="center"/>
                </w:tcPr>
                <w:p>
                  <w:pPr>
                    <w:pStyle w:val="33"/>
                  </w:pPr>
                  <w:r>
                    <w:t>NW</w:t>
                  </w:r>
                </w:p>
              </w:tc>
              <w:tc>
                <w:tcPr>
                  <w:tcW w:w="415" w:type="pct"/>
                  <w:vAlign w:val="center"/>
                </w:tcPr>
                <w:p>
                  <w:pPr>
                    <w:pStyle w:val="33"/>
                  </w:pPr>
                  <w:r>
                    <w:t>2513.67</w:t>
                  </w:r>
                </w:p>
              </w:tc>
              <w:tc>
                <w:tcPr>
                  <w:tcW w:w="1803" w:type="pct"/>
                  <w:vAlign w:val="center"/>
                </w:tcPr>
                <w:p>
                  <w:pPr>
                    <w:pStyle w:val="33"/>
                  </w:pPr>
                  <w:r>
                    <w:rPr>
                      <w:rFonts w:hint="eastAsia"/>
                    </w:rPr>
                    <w:t>T</w:t>
                  </w:r>
                  <w:r>
                    <w:t>SP</w:t>
                  </w:r>
                </w:p>
              </w:tc>
              <w:tc>
                <w:tcPr>
                  <w:tcW w:w="756" w:type="pct"/>
                  <w:vAlign w:val="center"/>
                </w:tcPr>
                <w:p>
                  <w:pPr>
                    <w:pStyle w:val="33"/>
                  </w:pPr>
                  <w:r>
                    <w:rPr>
                      <w:rFonts w:hint="eastAsia"/>
                    </w:rPr>
                    <w:t>引用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83" w:type="pct"/>
                  <w:vAlign w:val="center"/>
                </w:tcPr>
                <w:p>
                  <w:pPr>
                    <w:pStyle w:val="33"/>
                  </w:pPr>
                  <w:r>
                    <w:t>2</w:t>
                  </w:r>
                </w:p>
              </w:tc>
              <w:tc>
                <w:tcPr>
                  <w:tcW w:w="1224" w:type="pct"/>
                  <w:vAlign w:val="center"/>
                </w:tcPr>
                <w:p>
                  <w:pPr>
                    <w:pStyle w:val="33"/>
                  </w:pPr>
                  <w:r>
                    <w:rPr>
                      <w:rFonts w:hint="eastAsia"/>
                    </w:rPr>
                    <w:t>引用监测点</w:t>
                  </w:r>
                  <w:r>
                    <w:t>2#</w:t>
                  </w:r>
                </w:p>
              </w:tc>
              <w:tc>
                <w:tcPr>
                  <w:tcW w:w="421" w:type="pct"/>
                  <w:vAlign w:val="center"/>
                </w:tcPr>
                <w:p>
                  <w:pPr>
                    <w:pStyle w:val="33"/>
                  </w:pPr>
                  <w:r>
                    <w:t>NW</w:t>
                  </w:r>
                </w:p>
              </w:tc>
              <w:tc>
                <w:tcPr>
                  <w:tcW w:w="415" w:type="pct"/>
                  <w:vAlign w:val="center"/>
                </w:tcPr>
                <w:p>
                  <w:pPr>
                    <w:pStyle w:val="33"/>
                  </w:pPr>
                  <w:r>
                    <w:t>2214.78</w:t>
                  </w:r>
                </w:p>
              </w:tc>
              <w:tc>
                <w:tcPr>
                  <w:tcW w:w="1803" w:type="pct"/>
                  <w:vAlign w:val="center"/>
                </w:tcPr>
                <w:p>
                  <w:pPr>
                    <w:pStyle w:val="33"/>
                  </w:pPr>
                  <w:r>
                    <w:rPr>
                      <w:rFonts w:hint="eastAsia"/>
                    </w:rPr>
                    <w:t>N</w:t>
                  </w:r>
                  <w:r>
                    <w:t>H</w:t>
                  </w:r>
                  <w:r>
                    <w:rPr>
                      <w:vertAlign w:val="subscript"/>
                    </w:rPr>
                    <w:t>3</w:t>
                  </w:r>
                  <w:r>
                    <w:rPr>
                      <w:rFonts w:hint="eastAsia"/>
                    </w:rPr>
                    <w:t>、H</w:t>
                  </w:r>
                  <w:r>
                    <w:rPr>
                      <w:vertAlign w:val="subscript"/>
                    </w:rPr>
                    <w:t>2</w:t>
                  </w:r>
                  <w:r>
                    <w:t>S</w:t>
                  </w:r>
                  <w:r>
                    <w:rPr>
                      <w:rFonts w:hint="eastAsia"/>
                    </w:rPr>
                    <w:t>、臭气浓度</w:t>
                  </w:r>
                </w:p>
              </w:tc>
              <w:tc>
                <w:tcPr>
                  <w:tcW w:w="756" w:type="pct"/>
                  <w:vAlign w:val="center"/>
                </w:tcPr>
                <w:p>
                  <w:pPr>
                    <w:pStyle w:val="33"/>
                  </w:pPr>
                  <w:r>
                    <w:rPr>
                      <w:rFonts w:hint="eastAsia"/>
                    </w:rPr>
                    <w:t>引用</w:t>
                  </w:r>
                </w:p>
              </w:tc>
            </w:tr>
          </w:tbl>
          <w:p>
            <w:pPr>
              <w:ind w:firstLine="482"/>
              <w:rPr>
                <w:b/>
                <w:bCs/>
              </w:rPr>
            </w:pPr>
            <w:r>
              <w:rPr>
                <w:b/>
                <w:bCs/>
              </w:rPr>
              <w:t>监测结果</w:t>
            </w:r>
          </w:p>
          <w:p>
            <w:pPr>
              <w:ind w:firstLine="480"/>
              <w:rPr>
                <w:lang w:val="en-GB"/>
              </w:rPr>
            </w:pPr>
            <w:r>
              <w:rPr>
                <w:lang w:val="en-GB"/>
              </w:rPr>
              <w:t>原始数据经整理计算后，</w:t>
            </w:r>
            <w:r>
              <w:rPr>
                <w:rFonts w:hint="eastAsia"/>
              </w:rPr>
              <w:t>N</w:t>
            </w:r>
            <w:r>
              <w:t>H</w:t>
            </w:r>
            <w:r>
              <w:rPr>
                <w:vertAlign w:val="subscript"/>
              </w:rPr>
              <w:t>3</w:t>
            </w:r>
            <w:r>
              <w:rPr>
                <w:rFonts w:hint="eastAsia"/>
              </w:rPr>
              <w:t>、H</w:t>
            </w:r>
            <w:r>
              <w:rPr>
                <w:vertAlign w:val="subscript"/>
              </w:rPr>
              <w:t>2</w:t>
            </w:r>
            <w:r>
              <w:t>S</w:t>
            </w:r>
            <w:r>
              <w:rPr>
                <w:rFonts w:hint="eastAsia"/>
              </w:rPr>
              <w:t>、臭气浓度</w:t>
            </w:r>
            <w:r>
              <w:rPr>
                <w:rFonts w:hint="eastAsia"/>
                <w:lang w:val="en-GB"/>
              </w:rPr>
              <w:t>、T</w:t>
            </w:r>
            <w:r>
              <w:rPr>
                <w:lang w:val="en-GB"/>
              </w:rPr>
              <w:t>SP监测</w:t>
            </w:r>
            <w:r>
              <w:rPr>
                <w:rFonts w:hint="eastAsia"/>
                <w:lang w:val="en-GB"/>
              </w:rPr>
              <w:t>结果</w:t>
            </w:r>
            <w:r>
              <w:rPr>
                <w:lang w:val="en-GB"/>
              </w:rPr>
              <w:t>统计结果见表3-3。</w:t>
            </w:r>
          </w:p>
          <w:p>
            <w:pPr>
              <w:pStyle w:val="35"/>
            </w:pPr>
            <w:r>
              <w:t>表3-3  环境空气监测因子监测与评价结果</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1042"/>
              <w:gridCol w:w="2246"/>
              <w:gridCol w:w="1733"/>
              <w:gridCol w:w="957"/>
              <w:gridCol w:w="1286"/>
              <w:gridCol w:w="123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613" w:type="pct"/>
                  <w:vAlign w:val="center"/>
                </w:tcPr>
                <w:p>
                  <w:pPr>
                    <w:pStyle w:val="33"/>
                    <w:rPr>
                      <w:b/>
                      <w:bCs/>
                    </w:rPr>
                  </w:pPr>
                  <w:r>
                    <w:rPr>
                      <w:b/>
                      <w:bCs/>
                    </w:rPr>
                    <w:t>监测</w:t>
                  </w:r>
                </w:p>
                <w:p>
                  <w:pPr>
                    <w:pStyle w:val="33"/>
                    <w:rPr>
                      <w:b/>
                      <w:bCs/>
                    </w:rPr>
                  </w:pPr>
                  <w:r>
                    <w:rPr>
                      <w:b/>
                      <w:bCs/>
                    </w:rPr>
                    <w:t>因子</w:t>
                  </w:r>
                </w:p>
              </w:tc>
              <w:tc>
                <w:tcPr>
                  <w:tcW w:w="1322" w:type="pct"/>
                  <w:vAlign w:val="center"/>
                </w:tcPr>
                <w:p>
                  <w:pPr>
                    <w:pStyle w:val="33"/>
                    <w:rPr>
                      <w:b/>
                      <w:bCs/>
                    </w:rPr>
                  </w:pPr>
                  <w:r>
                    <w:rPr>
                      <w:b/>
                      <w:bCs/>
                    </w:rPr>
                    <w:t>监测点名称</w:t>
                  </w:r>
                </w:p>
              </w:tc>
              <w:tc>
                <w:tcPr>
                  <w:tcW w:w="1020" w:type="pct"/>
                  <w:vAlign w:val="center"/>
                </w:tcPr>
                <w:p>
                  <w:pPr>
                    <w:pStyle w:val="33"/>
                    <w:rPr>
                      <w:b/>
                      <w:bCs/>
                    </w:rPr>
                  </w:pPr>
                  <w:r>
                    <w:rPr>
                      <w:b/>
                      <w:bCs/>
                    </w:rPr>
                    <w:t>浓度范围</w:t>
                  </w:r>
                </w:p>
                <w:p>
                  <w:pPr>
                    <w:pStyle w:val="33"/>
                    <w:rPr>
                      <w:b/>
                      <w:bCs/>
                    </w:rPr>
                  </w:pPr>
                  <w:r>
                    <w:rPr>
                      <w:b/>
                      <w:bCs/>
                    </w:rPr>
                    <w:t>(µg/m</w:t>
                  </w:r>
                  <w:r>
                    <w:rPr>
                      <w:b/>
                      <w:bCs/>
                      <w:vertAlign w:val="superscript"/>
                    </w:rPr>
                    <w:t>3</w:t>
                  </w:r>
                  <w:r>
                    <w:rPr>
                      <w:b/>
                      <w:bCs/>
                    </w:rPr>
                    <w:t>)</w:t>
                  </w:r>
                </w:p>
              </w:tc>
              <w:tc>
                <w:tcPr>
                  <w:tcW w:w="563" w:type="pct"/>
                  <w:vAlign w:val="center"/>
                </w:tcPr>
                <w:p>
                  <w:pPr>
                    <w:pStyle w:val="33"/>
                    <w:rPr>
                      <w:b/>
                      <w:bCs/>
                    </w:rPr>
                  </w:pPr>
                  <w:r>
                    <w:rPr>
                      <w:b/>
                      <w:bCs/>
                    </w:rPr>
                    <w:t>评价标准 (µg/m</w:t>
                  </w:r>
                  <w:r>
                    <w:rPr>
                      <w:b/>
                      <w:bCs/>
                      <w:vertAlign w:val="superscript"/>
                    </w:rPr>
                    <w:t>3</w:t>
                  </w:r>
                  <w:r>
                    <w:rPr>
                      <w:b/>
                      <w:bCs/>
                    </w:rPr>
                    <w:t>)</w:t>
                  </w:r>
                </w:p>
              </w:tc>
              <w:tc>
                <w:tcPr>
                  <w:tcW w:w="757" w:type="pct"/>
                  <w:vAlign w:val="center"/>
                </w:tcPr>
                <w:p>
                  <w:pPr>
                    <w:pStyle w:val="33"/>
                    <w:rPr>
                      <w:b/>
                      <w:bCs/>
                    </w:rPr>
                  </w:pPr>
                  <w:r>
                    <w:rPr>
                      <w:b/>
                      <w:bCs/>
                    </w:rPr>
                    <w:t>评价指数范围</w:t>
                  </w:r>
                </w:p>
              </w:tc>
              <w:tc>
                <w:tcPr>
                  <w:tcW w:w="725" w:type="pct"/>
                  <w:vAlign w:val="center"/>
                </w:tcPr>
                <w:p>
                  <w:pPr>
                    <w:pStyle w:val="33"/>
                    <w:rPr>
                      <w:b/>
                      <w:bCs/>
                    </w:rPr>
                  </w:pPr>
                  <w:r>
                    <w:rPr>
                      <w:b/>
                      <w:bCs/>
                    </w:rPr>
                    <w:t>最大超标率</w:t>
                  </w:r>
                </w:p>
                <w:p>
                  <w:pPr>
                    <w:pStyle w:val="33"/>
                    <w:rPr>
                      <w:b/>
                      <w:bCs/>
                    </w:rPr>
                  </w:pPr>
                  <w:r>
                    <w:rPr>
                      <w:b/>
                      <w:bCs/>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613" w:type="pct"/>
                  <w:vAlign w:val="center"/>
                </w:tcPr>
                <w:p>
                  <w:pPr>
                    <w:pStyle w:val="33"/>
                    <w:rPr>
                      <w:b/>
                      <w:bCs/>
                    </w:rPr>
                  </w:pPr>
                  <w:r>
                    <w:rPr>
                      <w:rFonts w:hint="eastAsia"/>
                    </w:rPr>
                    <w:t>T</w:t>
                  </w:r>
                  <w:r>
                    <w:t>SP</w:t>
                  </w:r>
                </w:p>
              </w:tc>
              <w:tc>
                <w:tcPr>
                  <w:tcW w:w="1322" w:type="pct"/>
                  <w:vAlign w:val="center"/>
                </w:tcPr>
                <w:p>
                  <w:pPr>
                    <w:pStyle w:val="33"/>
                    <w:rPr>
                      <w:b/>
                      <w:bCs/>
                    </w:rPr>
                  </w:pPr>
                  <w:r>
                    <w:rPr>
                      <w:rFonts w:hint="eastAsia"/>
                    </w:rPr>
                    <w:t>引用监测点</w:t>
                  </w:r>
                  <w:r>
                    <w:t>1#</w:t>
                  </w:r>
                </w:p>
              </w:tc>
              <w:tc>
                <w:tcPr>
                  <w:tcW w:w="1020" w:type="pct"/>
                  <w:vAlign w:val="center"/>
                </w:tcPr>
                <w:p>
                  <w:pPr>
                    <w:pStyle w:val="33"/>
                  </w:pPr>
                  <w:r>
                    <w:rPr>
                      <w:rFonts w:hint="eastAsia"/>
                    </w:rPr>
                    <w:t>1</w:t>
                  </w:r>
                  <w:r>
                    <w:t>55~171</w:t>
                  </w:r>
                </w:p>
              </w:tc>
              <w:tc>
                <w:tcPr>
                  <w:tcW w:w="563" w:type="pct"/>
                  <w:vAlign w:val="center"/>
                </w:tcPr>
                <w:p>
                  <w:pPr>
                    <w:pStyle w:val="33"/>
                  </w:pPr>
                  <w:r>
                    <w:rPr>
                      <w:rFonts w:hint="eastAsia"/>
                    </w:rPr>
                    <w:t>3</w:t>
                  </w:r>
                  <w:r>
                    <w:t>00</w:t>
                  </w:r>
                </w:p>
              </w:tc>
              <w:tc>
                <w:tcPr>
                  <w:tcW w:w="757" w:type="pct"/>
                  <w:vAlign w:val="center"/>
                </w:tcPr>
                <w:p>
                  <w:pPr>
                    <w:pStyle w:val="33"/>
                  </w:pPr>
                  <w:r>
                    <w:rPr>
                      <w:rFonts w:hint="eastAsia"/>
                    </w:rPr>
                    <w:t>0</w:t>
                  </w:r>
                  <w:r>
                    <w:t>.52~0.57</w:t>
                  </w:r>
                </w:p>
              </w:tc>
              <w:tc>
                <w:tcPr>
                  <w:tcW w:w="725" w:type="pct"/>
                  <w:vAlign w:val="center"/>
                </w:tcPr>
                <w:p>
                  <w:pPr>
                    <w:pStyle w:val="33"/>
                    <w:rPr>
                      <w:b/>
                      <w:bCs/>
                    </w:rPr>
                  </w:pPr>
                  <w:r>
                    <w:rPr>
                      <w:rFonts w:hint="eastAsia"/>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613" w:type="pct"/>
                  <w:vAlign w:val="center"/>
                </w:tcPr>
                <w:p>
                  <w:pPr>
                    <w:pStyle w:val="33"/>
                  </w:pPr>
                  <w:r>
                    <w:rPr>
                      <w:rFonts w:hint="eastAsia"/>
                    </w:rPr>
                    <w:t>N</w:t>
                  </w:r>
                  <w:r>
                    <w:t>H</w:t>
                  </w:r>
                  <w:r>
                    <w:rPr>
                      <w:vertAlign w:val="subscript"/>
                    </w:rPr>
                    <w:t>3</w:t>
                  </w:r>
                </w:p>
              </w:tc>
              <w:tc>
                <w:tcPr>
                  <w:tcW w:w="1322" w:type="pct"/>
                  <w:vMerge w:val="restart"/>
                  <w:vAlign w:val="center"/>
                </w:tcPr>
                <w:p>
                  <w:pPr>
                    <w:pStyle w:val="33"/>
                  </w:pPr>
                  <w:r>
                    <w:rPr>
                      <w:rFonts w:hint="eastAsia"/>
                    </w:rPr>
                    <w:t>引用监测点</w:t>
                  </w:r>
                  <w:r>
                    <w:t>2#</w:t>
                  </w:r>
                </w:p>
              </w:tc>
              <w:tc>
                <w:tcPr>
                  <w:tcW w:w="1020" w:type="pct"/>
                  <w:vAlign w:val="center"/>
                </w:tcPr>
                <w:p>
                  <w:pPr>
                    <w:pStyle w:val="33"/>
                  </w:pPr>
                  <w:r>
                    <w:rPr>
                      <w:rFonts w:hint="eastAsia"/>
                    </w:rPr>
                    <w:t>6</w:t>
                  </w:r>
                  <w:r>
                    <w:t>0~70</w:t>
                  </w:r>
                </w:p>
              </w:tc>
              <w:tc>
                <w:tcPr>
                  <w:tcW w:w="563" w:type="pct"/>
                  <w:vAlign w:val="center"/>
                </w:tcPr>
                <w:p>
                  <w:pPr>
                    <w:pStyle w:val="33"/>
                  </w:pPr>
                  <w:r>
                    <w:rPr>
                      <w:rFonts w:hint="eastAsia"/>
                    </w:rPr>
                    <w:t>2</w:t>
                  </w:r>
                  <w:r>
                    <w:t>00</w:t>
                  </w:r>
                </w:p>
              </w:tc>
              <w:tc>
                <w:tcPr>
                  <w:tcW w:w="757" w:type="pct"/>
                  <w:vAlign w:val="center"/>
                </w:tcPr>
                <w:p>
                  <w:pPr>
                    <w:pStyle w:val="33"/>
                  </w:pPr>
                  <w:r>
                    <w:rPr>
                      <w:rFonts w:hint="eastAsia"/>
                    </w:rPr>
                    <w:t>0</w:t>
                  </w:r>
                  <w:r>
                    <w:t>.3~0.35</w:t>
                  </w:r>
                </w:p>
              </w:tc>
              <w:tc>
                <w:tcPr>
                  <w:tcW w:w="725" w:type="pct"/>
                  <w:vAlign w:val="center"/>
                </w:tcPr>
                <w:p>
                  <w:pPr>
                    <w:pStyle w:val="33"/>
                  </w:pPr>
                  <w: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613" w:type="pct"/>
                  <w:vAlign w:val="center"/>
                </w:tcPr>
                <w:p>
                  <w:pPr>
                    <w:pStyle w:val="33"/>
                  </w:pPr>
                  <w:r>
                    <w:rPr>
                      <w:rFonts w:hint="eastAsia"/>
                    </w:rPr>
                    <w:t>H</w:t>
                  </w:r>
                  <w:r>
                    <w:rPr>
                      <w:vertAlign w:val="subscript"/>
                    </w:rPr>
                    <w:t>2</w:t>
                  </w:r>
                  <w:r>
                    <w:t>S</w:t>
                  </w:r>
                </w:p>
              </w:tc>
              <w:tc>
                <w:tcPr>
                  <w:tcW w:w="1322" w:type="pct"/>
                  <w:vMerge w:val="continue"/>
                  <w:vAlign w:val="center"/>
                </w:tcPr>
                <w:p>
                  <w:pPr>
                    <w:pStyle w:val="33"/>
                  </w:pPr>
                </w:p>
              </w:tc>
              <w:tc>
                <w:tcPr>
                  <w:tcW w:w="1020" w:type="pct"/>
                  <w:vAlign w:val="center"/>
                </w:tcPr>
                <w:p>
                  <w:pPr>
                    <w:pStyle w:val="33"/>
                  </w:pPr>
                  <w:r>
                    <w:t>4~7</w:t>
                  </w:r>
                </w:p>
              </w:tc>
              <w:tc>
                <w:tcPr>
                  <w:tcW w:w="563" w:type="pct"/>
                  <w:vAlign w:val="center"/>
                </w:tcPr>
                <w:p>
                  <w:pPr>
                    <w:pStyle w:val="33"/>
                  </w:pPr>
                  <w:r>
                    <w:rPr>
                      <w:rFonts w:hint="eastAsia"/>
                    </w:rPr>
                    <w:t>1</w:t>
                  </w:r>
                  <w:r>
                    <w:t>0</w:t>
                  </w:r>
                </w:p>
              </w:tc>
              <w:tc>
                <w:tcPr>
                  <w:tcW w:w="757" w:type="pct"/>
                  <w:vAlign w:val="center"/>
                </w:tcPr>
                <w:p>
                  <w:pPr>
                    <w:pStyle w:val="33"/>
                  </w:pPr>
                  <w:r>
                    <w:rPr>
                      <w:rFonts w:hint="eastAsia"/>
                    </w:rPr>
                    <w:t>0</w:t>
                  </w:r>
                  <w:r>
                    <w:t>.4~0.7</w:t>
                  </w:r>
                </w:p>
              </w:tc>
              <w:tc>
                <w:tcPr>
                  <w:tcW w:w="725" w:type="pct"/>
                  <w:vAlign w:val="center"/>
                </w:tcPr>
                <w:p>
                  <w:pPr>
                    <w:pStyle w:val="33"/>
                  </w:pPr>
                  <w:r>
                    <w:rPr>
                      <w:rFonts w:hint="eastAsia"/>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613" w:type="pct"/>
                  <w:vAlign w:val="center"/>
                </w:tcPr>
                <w:p>
                  <w:pPr>
                    <w:pStyle w:val="33"/>
                  </w:pPr>
                  <w:r>
                    <w:rPr>
                      <w:rFonts w:hint="eastAsia"/>
                    </w:rPr>
                    <w:t>臭气浓度</w:t>
                  </w:r>
                </w:p>
              </w:tc>
              <w:tc>
                <w:tcPr>
                  <w:tcW w:w="1322" w:type="pct"/>
                  <w:vMerge w:val="continue"/>
                  <w:vAlign w:val="center"/>
                </w:tcPr>
                <w:p>
                  <w:pPr>
                    <w:pStyle w:val="33"/>
                  </w:pPr>
                </w:p>
              </w:tc>
              <w:tc>
                <w:tcPr>
                  <w:tcW w:w="1020" w:type="pct"/>
                  <w:vAlign w:val="center"/>
                </w:tcPr>
                <w:p>
                  <w:pPr>
                    <w:pStyle w:val="33"/>
                  </w:pPr>
                  <w:r>
                    <w:t>&lt;10</w:t>
                  </w:r>
                </w:p>
              </w:tc>
              <w:tc>
                <w:tcPr>
                  <w:tcW w:w="563" w:type="pct"/>
                  <w:vAlign w:val="center"/>
                </w:tcPr>
                <w:p>
                  <w:pPr>
                    <w:pStyle w:val="33"/>
                  </w:pPr>
                  <w:r>
                    <w:rPr>
                      <w:rFonts w:hint="eastAsia"/>
                    </w:rPr>
                    <w:t>/</w:t>
                  </w:r>
                </w:p>
              </w:tc>
              <w:tc>
                <w:tcPr>
                  <w:tcW w:w="757" w:type="pct"/>
                  <w:vAlign w:val="center"/>
                </w:tcPr>
                <w:p>
                  <w:pPr>
                    <w:pStyle w:val="33"/>
                  </w:pPr>
                  <w:r>
                    <w:rPr>
                      <w:rFonts w:hint="eastAsia"/>
                    </w:rPr>
                    <w:t>/</w:t>
                  </w:r>
                </w:p>
              </w:tc>
              <w:tc>
                <w:tcPr>
                  <w:tcW w:w="725" w:type="pct"/>
                  <w:vAlign w:val="center"/>
                </w:tcPr>
                <w:p>
                  <w:pPr>
                    <w:pStyle w:val="33"/>
                  </w:pPr>
                  <w:r>
                    <w:rPr>
                      <w:rFonts w:hint="eastAsia"/>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613" w:type="pct"/>
                  <w:vAlign w:val="center"/>
                </w:tcPr>
                <w:p>
                  <w:pPr>
                    <w:pStyle w:val="33"/>
                  </w:pPr>
                  <w:r>
                    <w:t>备注：</w:t>
                  </w:r>
                </w:p>
              </w:tc>
              <w:tc>
                <w:tcPr>
                  <w:tcW w:w="4387" w:type="pct"/>
                  <w:gridSpan w:val="5"/>
                  <w:vAlign w:val="center"/>
                </w:tcPr>
                <w:p>
                  <w:pPr>
                    <w:pStyle w:val="33"/>
                  </w:pPr>
                  <w:r>
                    <w:t>“ND(检出限）”为未检出。</w:t>
                  </w:r>
                </w:p>
              </w:tc>
            </w:tr>
          </w:tbl>
          <w:p>
            <w:pPr>
              <w:ind w:firstLine="480"/>
            </w:pPr>
            <w:r>
              <w:t>由上表可知，</w:t>
            </w:r>
            <w:r>
              <w:rPr>
                <w:rFonts w:hint="eastAsia"/>
              </w:rPr>
              <w:t>NH</w:t>
            </w:r>
            <w:r>
              <w:rPr>
                <w:rFonts w:hint="eastAsia"/>
                <w:vertAlign w:val="subscript"/>
              </w:rPr>
              <w:t>3</w:t>
            </w:r>
            <w:r>
              <w:rPr>
                <w:rFonts w:hint="eastAsia"/>
              </w:rPr>
              <w:t>、H</w:t>
            </w:r>
            <w:r>
              <w:rPr>
                <w:rFonts w:hint="eastAsia"/>
                <w:vertAlign w:val="subscript"/>
              </w:rPr>
              <w:t>2</w:t>
            </w:r>
            <w:r>
              <w:rPr>
                <w:rFonts w:hint="eastAsia"/>
              </w:rPr>
              <w:t>S</w:t>
            </w:r>
            <w:r>
              <w:t>小时平均浓度均</w:t>
            </w:r>
            <w:r>
              <w:rPr>
                <w:rFonts w:hint="eastAsia"/>
              </w:rPr>
              <w:t>符合《环境影响评价技术导则 大气环境》（</w:t>
            </w:r>
            <w:r>
              <w:t>HJ2.2</w:t>
            </w:r>
            <w:r>
              <w:rPr>
                <w:rFonts w:hint="eastAsia"/>
              </w:rPr>
              <w:t>-201</w:t>
            </w:r>
            <w:r>
              <w:t>8</w:t>
            </w:r>
            <w:r>
              <w:rPr>
                <w:rFonts w:hint="eastAsia"/>
              </w:rPr>
              <w:t>）中附录D的限值</w:t>
            </w:r>
            <w:r>
              <w:t>，</w:t>
            </w:r>
            <w:r>
              <w:rPr>
                <w:rFonts w:hint="eastAsia"/>
              </w:rPr>
              <w:t>T</w:t>
            </w:r>
            <w:r>
              <w:t>SP</w:t>
            </w:r>
            <w:r>
              <w:rPr>
                <w:rFonts w:hint="eastAsia"/>
              </w:rPr>
              <w:t>符合《环境空气质量标准》（GB3095-2012）中二级标准，区域环境空气质量良好。</w:t>
            </w: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pStyle w:val="35"/>
            </w:pPr>
            <w:r>
              <w:drawing>
                <wp:anchor distT="0" distB="0" distL="114300" distR="114300" simplePos="0" relativeHeight="251684864" behindDoc="0" locked="0" layoutInCell="1" allowOverlap="1">
                  <wp:simplePos x="0" y="0"/>
                  <wp:positionH relativeFrom="column">
                    <wp:posOffset>3123565</wp:posOffset>
                  </wp:positionH>
                  <wp:positionV relativeFrom="paragraph">
                    <wp:posOffset>2907665</wp:posOffset>
                  </wp:positionV>
                  <wp:extent cx="131445" cy="131445"/>
                  <wp:effectExtent l="0" t="0" r="1905" b="1905"/>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445" cy="131445"/>
                          </a:xfrm>
                          <a:prstGeom prst="rect">
                            <a:avLst/>
                          </a:prstGeom>
                        </pic:spPr>
                      </pic:pic>
                    </a:graphicData>
                  </a:graphic>
                </wp:anchor>
              </w:drawing>
            </w:r>
            <w:r>
              <w:drawing>
                <wp:anchor distT="0" distB="0" distL="114300" distR="114300" simplePos="0" relativeHeight="251683840" behindDoc="0" locked="0" layoutInCell="1" allowOverlap="1">
                  <wp:simplePos x="0" y="0"/>
                  <wp:positionH relativeFrom="column">
                    <wp:posOffset>3525520</wp:posOffset>
                  </wp:positionH>
                  <wp:positionV relativeFrom="paragraph">
                    <wp:posOffset>2912110</wp:posOffset>
                  </wp:positionV>
                  <wp:extent cx="131445" cy="131445"/>
                  <wp:effectExtent l="0" t="0" r="1905" b="1905"/>
                  <wp:wrapNone/>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445" cy="131445"/>
                          </a:xfrm>
                          <a:prstGeom prst="rect">
                            <a:avLst/>
                          </a:prstGeom>
                        </pic:spPr>
                      </pic:pic>
                    </a:graphicData>
                  </a:graphic>
                </wp:anchor>
              </w:drawing>
            </w:r>
            <w:r>
              <w:drawing>
                <wp:anchor distT="0" distB="0" distL="114300" distR="114300" simplePos="0" relativeHeight="251682816" behindDoc="0" locked="0" layoutInCell="1" allowOverlap="1">
                  <wp:simplePos x="0" y="0"/>
                  <wp:positionH relativeFrom="column">
                    <wp:posOffset>3964305</wp:posOffset>
                  </wp:positionH>
                  <wp:positionV relativeFrom="paragraph">
                    <wp:posOffset>3009900</wp:posOffset>
                  </wp:positionV>
                  <wp:extent cx="131445" cy="131445"/>
                  <wp:effectExtent l="0" t="0" r="1905" b="190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445" cy="131445"/>
                          </a:xfrm>
                          <a:prstGeom prst="rect">
                            <a:avLst/>
                          </a:prstGeom>
                        </pic:spPr>
                      </pic:pic>
                    </a:graphicData>
                  </a:graphic>
                </wp:anchor>
              </w:drawing>
            </w:r>
            <w:r>
              <w:drawing>
                <wp:anchor distT="0" distB="0" distL="114300" distR="114300" simplePos="0" relativeHeight="251681792" behindDoc="0" locked="0" layoutInCell="1" allowOverlap="1">
                  <wp:simplePos x="0" y="0"/>
                  <wp:positionH relativeFrom="column">
                    <wp:posOffset>3518535</wp:posOffset>
                  </wp:positionH>
                  <wp:positionV relativeFrom="paragraph">
                    <wp:posOffset>3185795</wp:posOffset>
                  </wp:positionV>
                  <wp:extent cx="131445" cy="131445"/>
                  <wp:effectExtent l="0" t="0" r="1905" b="1905"/>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445" cy="131445"/>
                          </a:xfrm>
                          <a:prstGeom prst="rect">
                            <a:avLst/>
                          </a:prstGeom>
                        </pic:spPr>
                      </pic:pic>
                    </a:graphicData>
                  </a:graphic>
                </wp:anchor>
              </w:drawing>
            </w:r>
            <w:r>
              <w:drawing>
                <wp:anchor distT="0" distB="0" distL="114300" distR="114300" simplePos="0" relativeHeight="251680768" behindDoc="0" locked="0" layoutInCell="1" allowOverlap="1">
                  <wp:simplePos x="0" y="0"/>
                  <wp:positionH relativeFrom="column">
                    <wp:posOffset>3123565</wp:posOffset>
                  </wp:positionH>
                  <wp:positionV relativeFrom="paragraph">
                    <wp:posOffset>3105785</wp:posOffset>
                  </wp:positionV>
                  <wp:extent cx="131445" cy="131445"/>
                  <wp:effectExtent l="0" t="0" r="1905" b="1905"/>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445" cy="131445"/>
                          </a:xfrm>
                          <a:prstGeom prst="rect">
                            <a:avLst/>
                          </a:prstGeom>
                        </pic:spPr>
                      </pic:pic>
                    </a:graphicData>
                  </a:graphic>
                </wp:anchor>
              </w:drawing>
            </w:r>
            <w:r>
              <w:pict>
                <v:rect id="Rectangle 10" o:spid="_x0000_s1026" o:spt="1" style="position:absolute;left:0pt;margin-left:6.35pt;margin-top:257.8pt;height:82.6pt;width:111.15pt;z-index:251676672;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">
                  <v:path/>
                  <v:fill focussize="0,0"/>
                  <v:stroke color="#0000FF"/>
                  <v:imagedata o:title=""/>
                  <o:lock v:ext="edit"/>
                  <v:textbox inset="1mm,0mm,1mm,0mm">
                    <w:txbxContent>
                      <w:p>
                        <w:pPr>
                          <w:pStyle w:val="35"/>
                        </w:pPr>
                        <w:r>
                          <w:rPr>
                            <w:rFonts w:hint="eastAsia"/>
                          </w:rPr>
                          <w:t>图  例</w:t>
                        </w:r>
                      </w:p>
                      <w:p>
                        <w:pPr>
                          <w:pStyle w:val="35"/>
                        </w:pPr>
                        <w:r>
                          <w:rPr>
                            <w:rFonts w:hint="eastAsia"/>
                          </w:rPr>
                          <w:t xml:space="preserve"> 本项目厂界</w:t>
                        </w:r>
                      </w:p>
                      <w:p>
                        <w:pPr>
                          <w:pStyle w:val="35"/>
                        </w:pPr>
                        <w:r>
                          <w:rPr>
                            <w:rFonts w:hint="eastAsia"/>
                          </w:rPr>
                          <w:t xml:space="preserve"> </w:t>
                        </w:r>
                        <w:r>
                          <w:t xml:space="preserve">   </w:t>
                        </w:r>
                        <w:r>
                          <w:rPr>
                            <w:rFonts w:hint="eastAsia"/>
                          </w:rPr>
                          <w:t>大气引用监测点</w:t>
                        </w:r>
                      </w:p>
                      <w:p>
                        <w:pPr>
                          <w:pStyle w:val="35"/>
                        </w:pPr>
                        <w:r>
                          <w:rPr>
                            <w:rFonts w:hint="eastAsia"/>
                          </w:rPr>
                          <w:t>噪声监测点</w:t>
                        </w:r>
                      </w:p>
                    </w:txbxContent>
                  </v:textbox>
                </v:rect>
              </w:pict>
            </w:r>
            <w:r>
              <w:pict>
                <v:rect id="矩形 19" o:spid="_x0000_s1046" o:spt="1" style="position:absolute;left:0pt;margin-left:15pt;margin-top:278.5pt;height:8.6pt;width:12.65pt;z-index:251679744;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">
                  <v:path/>
                  <v:fill on="f" focussize="0,0"/>
                  <v:stroke weight="1pt" color="#FF0000"/>
                  <v:imagedata o:title=""/>
                  <o:lock v:ext="edit"/>
                </v:rect>
              </w:pict>
            </w:r>
            <w:r>
              <w:pict>
                <v:shape id="椭圆 18" o:spid="_x0000_s1045" o:spt="3" type="#_x0000_t3" style="position:absolute;left:0pt;margin-left:17.3pt;margin-top:293.45pt;height:8.6pt;width:8.05pt;z-index:251678720;v-text-anchor:middle;mso-width-relative:margin;mso-height-relative:margin;" fillcolor="#22F65A"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">
                  <v:path/>
                  <v:fill on="t" focussize="0,0"/>
                  <v:stroke weight="1pt" color="#22F65A" joinstyle="miter"/>
                  <v:imagedata o:title=""/>
                  <o:lock v:ext="edit"/>
                </v:shape>
              </w:pict>
            </w:r>
            <w:r>
              <w:drawing>
                <wp:anchor distT="0" distB="0" distL="114300" distR="114300" simplePos="0" relativeHeight="251677696" behindDoc="0" locked="0" layoutInCell="1" allowOverlap="1">
                  <wp:simplePos x="0" y="0"/>
                  <wp:positionH relativeFrom="column">
                    <wp:posOffset>183515</wp:posOffset>
                  </wp:positionH>
                  <wp:positionV relativeFrom="paragraph">
                    <wp:posOffset>3905885</wp:posOffset>
                  </wp:positionV>
                  <wp:extent cx="131445" cy="131445"/>
                  <wp:effectExtent l="0" t="0" r="1905" b="1905"/>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1445" cy="131445"/>
                          </a:xfrm>
                          <a:prstGeom prst="rect">
                            <a:avLst/>
                          </a:prstGeom>
                        </pic:spPr>
                      </pic:pic>
                    </a:graphicData>
                  </a:graphic>
                </wp:anchor>
              </w:drawing>
            </w:r>
            <w:r>
              <w:rPr>
                <w:rFonts w:ascii="宋体" w:hAnsi="宋体" w:cs="宋体"/>
                <w:sz w:val="24"/>
                <w:szCs w:val="24"/>
              </w:rPr>
              <w:drawing>
                <wp:anchor distT="0" distB="0" distL="114300" distR="114300" simplePos="0" relativeHeight="251675648" behindDoc="0" locked="0" layoutInCell="1" allowOverlap="1">
                  <wp:simplePos x="0" y="0"/>
                  <wp:positionH relativeFrom="column">
                    <wp:posOffset>4143375</wp:posOffset>
                  </wp:positionH>
                  <wp:positionV relativeFrom="paragraph">
                    <wp:posOffset>6985</wp:posOffset>
                  </wp:positionV>
                  <wp:extent cx="1196340" cy="1352550"/>
                  <wp:effectExtent l="0" t="0" r="381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7" cstate="print">
                            <a:extLst>
                              <a:ext uri="{28A0092B-C50C-407E-A947-70E740481C1C}">
                                <a14:useLocalDpi xmlns:a14="http://schemas.microsoft.com/office/drawing/2010/main" val="0"/>
                              </a:ext>
                            </a:extLst>
                          </a:blip>
                          <a:srcRect l="8075" t="17633" r="8522"/>
                          <a:stretch>
                            <a:fillRect/>
                          </a:stretch>
                        </pic:blipFill>
                        <pic:spPr>
                          <a:xfrm>
                            <a:off x="0" y="0"/>
                            <a:ext cx="1196340" cy="1352550"/>
                          </a:xfrm>
                          <a:prstGeom prst="rect">
                            <a:avLst/>
                          </a:prstGeom>
                          <a:noFill/>
                        </pic:spPr>
                      </pic:pic>
                    </a:graphicData>
                  </a:graphic>
                </wp:anchor>
              </w:drawing>
            </w:r>
            <w:r>
              <w:drawing>
                <wp:inline distT="0" distB="0" distL="0" distR="0">
                  <wp:extent cx="5274310" cy="434721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8"/>
                          <a:stretch>
                            <a:fillRect/>
                          </a:stretch>
                        </pic:blipFill>
                        <pic:spPr>
                          <a:xfrm>
                            <a:off x="0" y="0"/>
                            <a:ext cx="5274310" cy="4347210"/>
                          </a:xfrm>
                          <a:prstGeom prst="rect">
                            <a:avLst/>
                          </a:prstGeom>
                        </pic:spPr>
                      </pic:pic>
                    </a:graphicData>
                  </a:graphic>
                </wp:inline>
              </w:drawing>
            </w:r>
          </w:p>
          <w:p>
            <w:pPr>
              <w:pStyle w:val="35"/>
            </w:pPr>
            <w:r>
              <w:t>图3-1  环境质量现状监测点</w:t>
            </w:r>
          </w:p>
          <w:p>
            <w:pPr>
              <w:ind w:firstLine="482"/>
              <w:rPr>
                <w:b/>
                <w:bCs/>
              </w:rPr>
            </w:pPr>
            <w:r>
              <w:rPr>
                <w:b/>
                <w:bCs/>
              </w:rPr>
              <w:t>2、声环境质量现状</w:t>
            </w:r>
          </w:p>
          <w:p>
            <w:pPr>
              <w:ind w:firstLine="480"/>
            </w:pPr>
            <w:r>
              <w:t>2021年05月14日—2021年05月15日，内蒙古八思巴环保科技有限公司监测人员在现场采用便携式噪声监测仪器AWA6228+多功能声级计，进行厂区四周声环境质量现状监测。</w:t>
            </w:r>
          </w:p>
          <w:p>
            <w:pPr>
              <w:ind w:firstLine="480"/>
            </w:pPr>
            <w:r>
              <w:t>（1）监测布点</w:t>
            </w:r>
          </w:p>
          <w:p>
            <w:pPr>
              <w:ind w:firstLine="480"/>
              <w:rPr>
                <w:highlight w:val="yellow"/>
              </w:rPr>
            </w:pPr>
            <w:r>
              <w:t>本项目厂区四周厂界外各1m</w:t>
            </w:r>
            <w:r>
              <w:rPr>
                <w:rFonts w:hint="eastAsia"/>
              </w:rPr>
              <w:t>、</w:t>
            </w:r>
            <w:r>
              <w:rPr>
                <w:rFonts w:hint="eastAsia" w:cs="Times New Roman"/>
                <w:szCs w:val="24"/>
              </w:rPr>
              <w:t>同时在厂区5</w:t>
            </w:r>
            <w:r>
              <w:rPr>
                <w:rFonts w:cs="Times New Roman"/>
                <w:szCs w:val="24"/>
              </w:rPr>
              <w:t>0</w:t>
            </w:r>
            <w:r>
              <w:rPr>
                <w:rFonts w:hint="eastAsia" w:cs="Times New Roman"/>
                <w:szCs w:val="24"/>
              </w:rPr>
              <w:t>米范围内西北侧零散住户设置一个监测点，</w:t>
            </w:r>
            <w:r>
              <w:t>共设5个监测点，距离地面高1.2m处。</w:t>
            </w:r>
          </w:p>
          <w:p>
            <w:pPr>
              <w:ind w:firstLine="480"/>
            </w:pPr>
            <w:r>
              <w:t>（2）监测频次：昼夜各1次。</w:t>
            </w:r>
          </w:p>
          <w:p>
            <w:pPr>
              <w:ind w:firstLine="480"/>
            </w:pPr>
            <w:r>
              <w:t>（3）监测项目：</w:t>
            </w:r>
            <w:r>
              <w:rPr>
                <w:rFonts w:hint="eastAsia"/>
                <w:color w:val="FF0000"/>
              </w:rPr>
              <w:t>等效连续</w:t>
            </w:r>
            <w:r>
              <w:t>A声级，即LAeq(dB)。</w:t>
            </w:r>
          </w:p>
          <w:p>
            <w:pPr>
              <w:ind w:firstLine="480"/>
            </w:pPr>
            <w:r>
              <w:t>（4）监测方法</w:t>
            </w:r>
          </w:p>
          <w:p>
            <w:pPr>
              <w:ind w:firstLine="480"/>
            </w:pPr>
            <w:r>
              <w:t>按《声环境质量标准》（GB3096-2008）和《环境监测技术规范》噪声部分执行。</w:t>
            </w:r>
          </w:p>
          <w:p>
            <w:pPr>
              <w:ind w:firstLine="480"/>
            </w:pPr>
            <w:r>
              <w:t>（5）评价标准</w:t>
            </w:r>
          </w:p>
          <w:p>
            <w:pPr>
              <w:ind w:firstLine="480"/>
            </w:pPr>
            <w:r>
              <w:t>以</w:t>
            </w:r>
            <w:r>
              <w:rPr>
                <w:rFonts w:hint="eastAsia"/>
                <w:color w:val="FF0000"/>
              </w:rPr>
              <w:t>等效连续</w:t>
            </w:r>
            <w:r>
              <w:t>A声级为评价量，</w:t>
            </w:r>
            <w:r>
              <w:rPr>
                <w:rFonts w:hint="eastAsia"/>
              </w:rPr>
              <w:t>项目</w:t>
            </w:r>
            <w:r>
              <w:rPr>
                <w:rFonts w:hint="eastAsia" w:cs="Times New Roman"/>
                <w:szCs w:val="24"/>
              </w:rPr>
              <w:t>西北侧零散住户、</w:t>
            </w:r>
            <w:r>
              <w:rPr>
                <w:rFonts w:hint="eastAsia"/>
              </w:rPr>
              <w:t>西侧、北侧、南侧为</w:t>
            </w:r>
            <w:r>
              <w:t>2</w:t>
            </w:r>
            <w:r>
              <w:rPr>
                <w:rFonts w:hint="eastAsia"/>
              </w:rPr>
              <w:t>类区，</w:t>
            </w:r>
            <w:r>
              <w:t>执行声环境质量标准（GB 3096－2008）中的2类标准</w:t>
            </w:r>
            <w:r>
              <w:rPr>
                <w:rFonts w:hint="eastAsia"/>
              </w:rPr>
              <w:t>，东侧为4</w:t>
            </w:r>
            <w:r>
              <w:t>a</w:t>
            </w:r>
            <w:r>
              <w:rPr>
                <w:rFonts w:hint="eastAsia"/>
              </w:rPr>
              <w:t>类，执行4</w:t>
            </w:r>
            <w:r>
              <w:t>a</w:t>
            </w:r>
            <w:r>
              <w:rPr>
                <w:rFonts w:hint="eastAsia"/>
              </w:rPr>
              <w:t>类标准。</w:t>
            </w:r>
          </w:p>
          <w:p>
            <w:pPr>
              <w:ind w:firstLine="480"/>
            </w:pPr>
            <w:r>
              <w:t>（6）监测结果</w:t>
            </w:r>
          </w:p>
          <w:p>
            <w:pPr>
              <w:ind w:firstLine="480"/>
            </w:pPr>
            <w:r>
              <w:t>环境噪声监测结果见表3-4：</w:t>
            </w:r>
          </w:p>
          <w:p>
            <w:pPr>
              <w:pStyle w:val="35"/>
            </w:pPr>
            <w:r>
              <w:t>表3-4  项目周边噪声现状监测结果表</w:t>
            </w:r>
            <w:r>
              <w:rPr>
                <w:rFonts w:hint="eastAsia"/>
              </w:rPr>
              <w:t xml:space="preserve">    </w:t>
            </w:r>
            <w:r>
              <w:t>单位：Leq[dB(A)]</w:t>
            </w:r>
          </w:p>
          <w:tbl>
            <w:tblPr>
              <w:tblStyle w:val="22"/>
              <w:tblW w:w="5000" w:type="pct"/>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55"/>
              <w:gridCol w:w="1904"/>
              <w:gridCol w:w="765"/>
              <w:gridCol w:w="899"/>
              <w:gridCol w:w="1045"/>
              <w:gridCol w:w="1042"/>
              <w:gridCol w:w="1042"/>
              <w:gridCol w:w="1044"/>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cantSplit/>
                <w:trHeight w:val="274" w:hRule="atLeast"/>
                <w:jc w:val="center"/>
              </w:trPr>
              <w:tc>
                <w:tcPr>
                  <w:tcW w:w="445" w:type="pct"/>
                  <w:vMerge w:val="restart"/>
                  <w:vAlign w:val="center"/>
                </w:tcPr>
                <w:p>
                  <w:pPr>
                    <w:pStyle w:val="33"/>
                    <w:rPr>
                      <w:b/>
                      <w:bCs/>
                    </w:rPr>
                  </w:pPr>
                  <w:r>
                    <w:rPr>
                      <w:b/>
                      <w:bCs/>
                    </w:rPr>
                    <w:t>测点</w:t>
                  </w:r>
                </w:p>
                <w:p>
                  <w:pPr>
                    <w:pStyle w:val="33"/>
                    <w:rPr>
                      <w:b/>
                      <w:bCs/>
                    </w:rPr>
                  </w:pPr>
                  <w:r>
                    <w:rPr>
                      <w:b/>
                      <w:bCs/>
                    </w:rPr>
                    <w:t>编号</w:t>
                  </w:r>
                </w:p>
              </w:tc>
              <w:tc>
                <w:tcPr>
                  <w:tcW w:w="1120" w:type="pct"/>
                  <w:vMerge w:val="restart"/>
                  <w:vAlign w:val="center"/>
                </w:tcPr>
                <w:p>
                  <w:pPr>
                    <w:pStyle w:val="33"/>
                    <w:rPr>
                      <w:b/>
                      <w:bCs/>
                    </w:rPr>
                  </w:pPr>
                  <w:r>
                    <w:rPr>
                      <w:b/>
                      <w:bCs/>
                    </w:rPr>
                    <w:t>测点位置</w:t>
                  </w:r>
                </w:p>
              </w:tc>
              <w:tc>
                <w:tcPr>
                  <w:tcW w:w="979" w:type="pct"/>
                  <w:gridSpan w:val="2"/>
                  <w:vAlign w:val="center"/>
                </w:tcPr>
                <w:p>
                  <w:pPr>
                    <w:pStyle w:val="33"/>
                    <w:rPr>
                      <w:b/>
                      <w:bCs/>
                    </w:rPr>
                  </w:pPr>
                  <w:r>
                    <w:rPr>
                      <w:b/>
                      <w:bCs/>
                    </w:rPr>
                    <w:t>2021.05.14</w:t>
                  </w:r>
                </w:p>
              </w:tc>
              <w:tc>
                <w:tcPr>
                  <w:tcW w:w="1228" w:type="pct"/>
                  <w:gridSpan w:val="2"/>
                  <w:vAlign w:val="center"/>
                </w:tcPr>
                <w:p>
                  <w:pPr>
                    <w:pStyle w:val="33"/>
                    <w:rPr>
                      <w:b/>
                      <w:bCs/>
                    </w:rPr>
                  </w:pPr>
                  <w:r>
                    <w:rPr>
                      <w:b/>
                      <w:bCs/>
                    </w:rPr>
                    <w:t>2021.05.15</w:t>
                  </w:r>
                </w:p>
              </w:tc>
              <w:tc>
                <w:tcPr>
                  <w:tcW w:w="1227" w:type="pct"/>
                  <w:gridSpan w:val="2"/>
                  <w:vAlign w:val="center"/>
                </w:tcPr>
                <w:p>
                  <w:pPr>
                    <w:pStyle w:val="33"/>
                    <w:rPr>
                      <w:b/>
                      <w:bCs/>
                    </w:rPr>
                  </w:pPr>
                  <w:r>
                    <w:rPr>
                      <w:b/>
                      <w:bCs/>
                    </w:rPr>
                    <w:t>标准限值</w:t>
                  </w:r>
                </w:p>
              </w:tc>
            </w:tr>
            <w:tr>
              <w:tblPrEx>
                <w:tblCellMar>
                  <w:top w:w="0" w:type="dxa"/>
                  <w:left w:w="108" w:type="dxa"/>
                  <w:bottom w:w="0" w:type="dxa"/>
                  <w:right w:w="108" w:type="dxa"/>
                </w:tblCellMar>
              </w:tblPrEx>
              <w:trPr>
                <w:cantSplit/>
                <w:trHeight w:val="274" w:hRule="atLeast"/>
                <w:jc w:val="center"/>
              </w:trPr>
              <w:tc>
                <w:tcPr>
                  <w:tcW w:w="445" w:type="pct"/>
                  <w:vMerge w:val="continue"/>
                  <w:vAlign w:val="center"/>
                </w:tcPr>
                <w:p>
                  <w:pPr>
                    <w:pStyle w:val="33"/>
                    <w:rPr>
                      <w:b/>
                      <w:bCs/>
                    </w:rPr>
                  </w:pPr>
                </w:p>
              </w:tc>
              <w:tc>
                <w:tcPr>
                  <w:tcW w:w="1120" w:type="pct"/>
                  <w:vMerge w:val="continue"/>
                  <w:vAlign w:val="center"/>
                </w:tcPr>
                <w:p>
                  <w:pPr>
                    <w:pStyle w:val="33"/>
                    <w:rPr>
                      <w:b/>
                      <w:bCs/>
                    </w:rPr>
                  </w:pPr>
                </w:p>
              </w:tc>
              <w:tc>
                <w:tcPr>
                  <w:tcW w:w="450" w:type="pct"/>
                  <w:vAlign w:val="center"/>
                </w:tcPr>
                <w:p>
                  <w:pPr>
                    <w:pStyle w:val="33"/>
                    <w:rPr>
                      <w:b/>
                      <w:bCs/>
                    </w:rPr>
                  </w:pPr>
                  <w:r>
                    <w:rPr>
                      <w:b/>
                      <w:bCs/>
                    </w:rPr>
                    <w:t>昼间</w:t>
                  </w:r>
                </w:p>
              </w:tc>
              <w:tc>
                <w:tcPr>
                  <w:tcW w:w="529" w:type="pct"/>
                  <w:vAlign w:val="center"/>
                </w:tcPr>
                <w:p>
                  <w:pPr>
                    <w:pStyle w:val="33"/>
                    <w:rPr>
                      <w:b/>
                      <w:bCs/>
                    </w:rPr>
                  </w:pPr>
                  <w:r>
                    <w:rPr>
                      <w:b/>
                      <w:bCs/>
                    </w:rPr>
                    <w:t>夜间</w:t>
                  </w:r>
                </w:p>
              </w:tc>
              <w:tc>
                <w:tcPr>
                  <w:tcW w:w="615" w:type="pct"/>
                  <w:vAlign w:val="center"/>
                </w:tcPr>
                <w:p>
                  <w:pPr>
                    <w:pStyle w:val="33"/>
                    <w:rPr>
                      <w:b/>
                      <w:bCs/>
                    </w:rPr>
                  </w:pPr>
                  <w:r>
                    <w:rPr>
                      <w:b/>
                      <w:bCs/>
                    </w:rPr>
                    <w:t>昼间</w:t>
                  </w:r>
                </w:p>
              </w:tc>
              <w:tc>
                <w:tcPr>
                  <w:tcW w:w="613" w:type="pct"/>
                  <w:vAlign w:val="center"/>
                </w:tcPr>
                <w:p>
                  <w:pPr>
                    <w:pStyle w:val="33"/>
                    <w:rPr>
                      <w:b/>
                      <w:bCs/>
                    </w:rPr>
                  </w:pPr>
                  <w:r>
                    <w:rPr>
                      <w:b/>
                      <w:bCs/>
                    </w:rPr>
                    <w:t>夜间</w:t>
                  </w:r>
                </w:p>
              </w:tc>
              <w:tc>
                <w:tcPr>
                  <w:tcW w:w="613" w:type="pct"/>
                  <w:vAlign w:val="center"/>
                </w:tcPr>
                <w:p>
                  <w:pPr>
                    <w:pStyle w:val="33"/>
                    <w:rPr>
                      <w:b/>
                      <w:bCs/>
                    </w:rPr>
                  </w:pPr>
                  <w:r>
                    <w:rPr>
                      <w:b/>
                      <w:bCs/>
                    </w:rPr>
                    <w:t>昼间</w:t>
                  </w:r>
                </w:p>
              </w:tc>
              <w:tc>
                <w:tcPr>
                  <w:tcW w:w="614" w:type="pct"/>
                  <w:vAlign w:val="center"/>
                </w:tcPr>
                <w:p>
                  <w:pPr>
                    <w:pStyle w:val="33"/>
                    <w:rPr>
                      <w:b/>
                      <w:bCs/>
                    </w:rPr>
                  </w:pPr>
                  <w:r>
                    <w:rPr>
                      <w:b/>
                      <w:bCs/>
                    </w:rPr>
                    <w:t>夜间</w:t>
                  </w:r>
                </w:p>
              </w:tc>
            </w:tr>
            <w:tr>
              <w:trPr>
                <w:cantSplit/>
                <w:trHeight w:val="249" w:hRule="atLeast"/>
                <w:jc w:val="center"/>
              </w:trPr>
              <w:tc>
                <w:tcPr>
                  <w:tcW w:w="445" w:type="pct"/>
                  <w:vAlign w:val="center"/>
                </w:tcPr>
                <w:p>
                  <w:pPr>
                    <w:pStyle w:val="33"/>
                  </w:pPr>
                  <w:r>
                    <w:t>1</w:t>
                  </w:r>
                </w:p>
              </w:tc>
              <w:tc>
                <w:tcPr>
                  <w:tcW w:w="1120" w:type="pct"/>
                  <w:vAlign w:val="center"/>
                </w:tcPr>
                <w:p>
                  <w:pPr>
                    <w:pStyle w:val="33"/>
                  </w:pPr>
                  <w:r>
                    <w:t>东厂界1#</w:t>
                  </w:r>
                </w:p>
              </w:tc>
              <w:tc>
                <w:tcPr>
                  <w:tcW w:w="450" w:type="pct"/>
                  <w:vAlign w:val="center"/>
                </w:tcPr>
                <w:p>
                  <w:pPr>
                    <w:pStyle w:val="33"/>
                  </w:pPr>
                  <w:r>
                    <w:rPr>
                      <w:rFonts w:hint="eastAsia"/>
                    </w:rPr>
                    <w:t>5</w:t>
                  </w:r>
                  <w:r>
                    <w:t>8.4</w:t>
                  </w:r>
                </w:p>
              </w:tc>
              <w:tc>
                <w:tcPr>
                  <w:tcW w:w="529" w:type="pct"/>
                  <w:vAlign w:val="center"/>
                </w:tcPr>
                <w:p>
                  <w:pPr>
                    <w:pStyle w:val="33"/>
                  </w:pPr>
                  <w:r>
                    <w:rPr>
                      <w:rFonts w:hint="eastAsia"/>
                    </w:rPr>
                    <w:t>5</w:t>
                  </w:r>
                  <w:r>
                    <w:t>3.5</w:t>
                  </w:r>
                </w:p>
              </w:tc>
              <w:tc>
                <w:tcPr>
                  <w:tcW w:w="615" w:type="pct"/>
                  <w:vAlign w:val="center"/>
                </w:tcPr>
                <w:p>
                  <w:pPr>
                    <w:pStyle w:val="33"/>
                  </w:pPr>
                  <w:r>
                    <w:rPr>
                      <w:rFonts w:hint="eastAsia"/>
                    </w:rPr>
                    <w:t>5</w:t>
                  </w:r>
                  <w:r>
                    <w:t>7.6</w:t>
                  </w:r>
                </w:p>
              </w:tc>
              <w:tc>
                <w:tcPr>
                  <w:tcW w:w="613" w:type="pct"/>
                  <w:vAlign w:val="center"/>
                </w:tcPr>
                <w:p>
                  <w:pPr>
                    <w:pStyle w:val="33"/>
                  </w:pPr>
                  <w:r>
                    <w:rPr>
                      <w:rFonts w:hint="eastAsia"/>
                    </w:rPr>
                    <w:t>5</w:t>
                  </w:r>
                  <w:r>
                    <w:t>2.9</w:t>
                  </w:r>
                </w:p>
              </w:tc>
              <w:tc>
                <w:tcPr>
                  <w:tcW w:w="613" w:type="pct"/>
                  <w:vAlign w:val="center"/>
                </w:tcPr>
                <w:p>
                  <w:pPr>
                    <w:pStyle w:val="33"/>
                  </w:pPr>
                  <w:r>
                    <w:rPr>
                      <w:rFonts w:hint="eastAsia"/>
                    </w:rPr>
                    <w:t>7</w:t>
                  </w:r>
                  <w:r>
                    <w:t>0</w:t>
                  </w:r>
                </w:p>
              </w:tc>
              <w:tc>
                <w:tcPr>
                  <w:tcW w:w="614" w:type="pct"/>
                  <w:vAlign w:val="center"/>
                </w:tcPr>
                <w:p>
                  <w:pPr>
                    <w:pStyle w:val="33"/>
                  </w:pPr>
                  <w:r>
                    <w:rPr>
                      <w:rFonts w:hint="eastAsia" w:cs="Times New Roman"/>
                      <w:szCs w:val="21"/>
                    </w:rPr>
                    <w:t>5</w:t>
                  </w:r>
                  <w:r>
                    <w:rPr>
                      <w:rFonts w:cs="Times New Roman"/>
                      <w:szCs w:val="21"/>
                    </w:rPr>
                    <w:t>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cantSplit/>
                <w:trHeight w:val="252" w:hRule="atLeast"/>
                <w:jc w:val="center"/>
              </w:trPr>
              <w:tc>
                <w:tcPr>
                  <w:tcW w:w="445" w:type="pct"/>
                  <w:vAlign w:val="center"/>
                </w:tcPr>
                <w:p>
                  <w:pPr>
                    <w:pStyle w:val="33"/>
                  </w:pPr>
                  <w:r>
                    <w:t>2</w:t>
                  </w:r>
                </w:p>
              </w:tc>
              <w:tc>
                <w:tcPr>
                  <w:tcW w:w="1120" w:type="pct"/>
                  <w:vAlign w:val="center"/>
                </w:tcPr>
                <w:p>
                  <w:pPr>
                    <w:pStyle w:val="33"/>
                  </w:pPr>
                  <w:r>
                    <w:t>南厂界2#</w:t>
                  </w:r>
                </w:p>
              </w:tc>
              <w:tc>
                <w:tcPr>
                  <w:tcW w:w="450" w:type="pct"/>
                  <w:vAlign w:val="center"/>
                </w:tcPr>
                <w:p>
                  <w:pPr>
                    <w:pStyle w:val="33"/>
                  </w:pPr>
                  <w:r>
                    <w:rPr>
                      <w:rFonts w:hint="eastAsia"/>
                    </w:rPr>
                    <w:t>5</w:t>
                  </w:r>
                  <w:r>
                    <w:t>3.1</w:t>
                  </w:r>
                </w:p>
              </w:tc>
              <w:tc>
                <w:tcPr>
                  <w:tcW w:w="529" w:type="pct"/>
                  <w:vAlign w:val="center"/>
                </w:tcPr>
                <w:p>
                  <w:pPr>
                    <w:pStyle w:val="33"/>
                  </w:pPr>
                  <w:r>
                    <w:rPr>
                      <w:rFonts w:hint="eastAsia"/>
                    </w:rPr>
                    <w:t>4</w:t>
                  </w:r>
                  <w:r>
                    <w:t>8</w:t>
                  </w:r>
                </w:p>
              </w:tc>
              <w:tc>
                <w:tcPr>
                  <w:tcW w:w="615" w:type="pct"/>
                  <w:vAlign w:val="center"/>
                </w:tcPr>
                <w:p>
                  <w:pPr>
                    <w:pStyle w:val="33"/>
                  </w:pPr>
                  <w:r>
                    <w:rPr>
                      <w:rFonts w:hint="eastAsia"/>
                    </w:rPr>
                    <w:t>5</w:t>
                  </w:r>
                  <w:r>
                    <w:t>2.7</w:t>
                  </w:r>
                </w:p>
              </w:tc>
              <w:tc>
                <w:tcPr>
                  <w:tcW w:w="613" w:type="pct"/>
                  <w:vAlign w:val="center"/>
                </w:tcPr>
                <w:p>
                  <w:pPr>
                    <w:pStyle w:val="33"/>
                  </w:pPr>
                  <w:r>
                    <w:rPr>
                      <w:rFonts w:hint="eastAsia"/>
                    </w:rPr>
                    <w:t>4</w:t>
                  </w:r>
                  <w:r>
                    <w:t>7.0</w:t>
                  </w:r>
                </w:p>
              </w:tc>
              <w:tc>
                <w:tcPr>
                  <w:tcW w:w="613" w:type="pct"/>
                  <w:vMerge w:val="restart"/>
                  <w:vAlign w:val="center"/>
                </w:tcPr>
                <w:p>
                  <w:pPr>
                    <w:pStyle w:val="33"/>
                  </w:pPr>
                  <w:r>
                    <w:t>60</w:t>
                  </w:r>
                </w:p>
              </w:tc>
              <w:tc>
                <w:tcPr>
                  <w:tcW w:w="614" w:type="pct"/>
                  <w:vMerge w:val="restart"/>
                  <w:vAlign w:val="center"/>
                </w:tcPr>
                <w:p>
                  <w:pPr>
                    <w:pStyle w:val="33"/>
                  </w:pPr>
                  <w:r>
                    <w:t>50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cantSplit/>
                <w:trHeight w:val="300" w:hRule="atLeast"/>
                <w:jc w:val="center"/>
              </w:trPr>
              <w:tc>
                <w:tcPr>
                  <w:tcW w:w="445" w:type="pct"/>
                  <w:vAlign w:val="center"/>
                </w:tcPr>
                <w:p>
                  <w:pPr>
                    <w:pStyle w:val="33"/>
                  </w:pPr>
                  <w:r>
                    <w:t>3</w:t>
                  </w:r>
                </w:p>
              </w:tc>
              <w:tc>
                <w:tcPr>
                  <w:tcW w:w="1120" w:type="pct"/>
                  <w:vAlign w:val="center"/>
                </w:tcPr>
                <w:p>
                  <w:pPr>
                    <w:pStyle w:val="33"/>
                  </w:pPr>
                  <w:r>
                    <w:t>西厂界3#</w:t>
                  </w:r>
                </w:p>
              </w:tc>
              <w:tc>
                <w:tcPr>
                  <w:tcW w:w="450" w:type="pct"/>
                  <w:vAlign w:val="center"/>
                </w:tcPr>
                <w:p>
                  <w:pPr>
                    <w:pStyle w:val="33"/>
                  </w:pPr>
                  <w:r>
                    <w:rPr>
                      <w:rFonts w:hint="eastAsia"/>
                    </w:rPr>
                    <w:t>5</w:t>
                  </w:r>
                  <w:r>
                    <w:t>0.5</w:t>
                  </w:r>
                </w:p>
              </w:tc>
              <w:tc>
                <w:tcPr>
                  <w:tcW w:w="529" w:type="pct"/>
                  <w:vAlign w:val="center"/>
                </w:tcPr>
                <w:p>
                  <w:pPr>
                    <w:pStyle w:val="33"/>
                  </w:pPr>
                  <w:r>
                    <w:rPr>
                      <w:rFonts w:hint="eastAsia"/>
                    </w:rPr>
                    <w:t>4</w:t>
                  </w:r>
                  <w:r>
                    <w:t>5.2</w:t>
                  </w:r>
                </w:p>
              </w:tc>
              <w:tc>
                <w:tcPr>
                  <w:tcW w:w="615" w:type="pct"/>
                  <w:vAlign w:val="center"/>
                </w:tcPr>
                <w:p>
                  <w:pPr>
                    <w:pStyle w:val="33"/>
                  </w:pPr>
                  <w:r>
                    <w:rPr>
                      <w:rFonts w:hint="eastAsia"/>
                    </w:rPr>
                    <w:t>4</w:t>
                  </w:r>
                  <w:r>
                    <w:t>9.9</w:t>
                  </w:r>
                </w:p>
              </w:tc>
              <w:tc>
                <w:tcPr>
                  <w:tcW w:w="613" w:type="pct"/>
                  <w:vAlign w:val="center"/>
                </w:tcPr>
                <w:p>
                  <w:pPr>
                    <w:pStyle w:val="33"/>
                  </w:pPr>
                  <w:r>
                    <w:rPr>
                      <w:rFonts w:hint="eastAsia"/>
                    </w:rPr>
                    <w:t>4</w:t>
                  </w:r>
                  <w:r>
                    <w:t>5.1</w:t>
                  </w:r>
                </w:p>
              </w:tc>
              <w:tc>
                <w:tcPr>
                  <w:tcW w:w="613" w:type="pct"/>
                  <w:vMerge w:val="continue"/>
                  <w:vAlign w:val="center"/>
                </w:tcPr>
                <w:p>
                  <w:pPr>
                    <w:pStyle w:val="33"/>
                  </w:pPr>
                </w:p>
              </w:tc>
              <w:tc>
                <w:tcPr>
                  <w:tcW w:w="614" w:type="pct"/>
                  <w:vMerge w:val="continue"/>
                  <w:vAlign w:val="center"/>
                </w:tcPr>
                <w:p>
                  <w:pPr>
                    <w:pStyle w:val="33"/>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cantSplit/>
                <w:trHeight w:val="261" w:hRule="atLeast"/>
                <w:jc w:val="center"/>
              </w:trPr>
              <w:tc>
                <w:tcPr>
                  <w:tcW w:w="445" w:type="pct"/>
                  <w:vAlign w:val="center"/>
                </w:tcPr>
                <w:p>
                  <w:pPr>
                    <w:pStyle w:val="33"/>
                  </w:pPr>
                  <w:r>
                    <w:t>4</w:t>
                  </w:r>
                </w:p>
              </w:tc>
              <w:tc>
                <w:tcPr>
                  <w:tcW w:w="1120" w:type="pct"/>
                  <w:vAlign w:val="center"/>
                </w:tcPr>
                <w:p>
                  <w:pPr>
                    <w:pStyle w:val="33"/>
                  </w:pPr>
                  <w:r>
                    <w:t>北厂界4#</w:t>
                  </w:r>
                </w:p>
              </w:tc>
              <w:tc>
                <w:tcPr>
                  <w:tcW w:w="450" w:type="pct"/>
                  <w:vAlign w:val="center"/>
                </w:tcPr>
                <w:p>
                  <w:pPr>
                    <w:pStyle w:val="33"/>
                  </w:pPr>
                  <w:r>
                    <w:rPr>
                      <w:rFonts w:hint="eastAsia"/>
                    </w:rPr>
                    <w:t>5</w:t>
                  </w:r>
                  <w:r>
                    <w:t>3.9</w:t>
                  </w:r>
                </w:p>
              </w:tc>
              <w:tc>
                <w:tcPr>
                  <w:tcW w:w="529" w:type="pct"/>
                  <w:vAlign w:val="center"/>
                </w:tcPr>
                <w:p>
                  <w:pPr>
                    <w:pStyle w:val="33"/>
                  </w:pPr>
                  <w:r>
                    <w:rPr>
                      <w:rFonts w:hint="eastAsia"/>
                    </w:rPr>
                    <w:t>4</w:t>
                  </w:r>
                  <w:r>
                    <w:t>8.1</w:t>
                  </w:r>
                </w:p>
              </w:tc>
              <w:tc>
                <w:tcPr>
                  <w:tcW w:w="615" w:type="pct"/>
                  <w:vAlign w:val="center"/>
                </w:tcPr>
                <w:p>
                  <w:pPr>
                    <w:pStyle w:val="33"/>
                  </w:pPr>
                  <w:r>
                    <w:rPr>
                      <w:rFonts w:hint="eastAsia"/>
                    </w:rPr>
                    <w:t>5</w:t>
                  </w:r>
                  <w:r>
                    <w:t>4.4</w:t>
                  </w:r>
                </w:p>
              </w:tc>
              <w:tc>
                <w:tcPr>
                  <w:tcW w:w="613" w:type="pct"/>
                  <w:vAlign w:val="center"/>
                </w:tcPr>
                <w:p>
                  <w:pPr>
                    <w:pStyle w:val="33"/>
                  </w:pPr>
                  <w:r>
                    <w:rPr>
                      <w:rFonts w:hint="eastAsia"/>
                    </w:rPr>
                    <w:t>4</w:t>
                  </w:r>
                  <w:r>
                    <w:t>8.5</w:t>
                  </w:r>
                </w:p>
              </w:tc>
              <w:tc>
                <w:tcPr>
                  <w:tcW w:w="613" w:type="pct"/>
                  <w:vMerge w:val="continue"/>
                  <w:vAlign w:val="center"/>
                </w:tcPr>
                <w:p>
                  <w:pPr>
                    <w:pStyle w:val="33"/>
                  </w:pPr>
                </w:p>
              </w:tc>
              <w:tc>
                <w:tcPr>
                  <w:tcW w:w="614" w:type="pct"/>
                  <w:vMerge w:val="continue"/>
                  <w:vAlign w:val="center"/>
                </w:tcPr>
                <w:p>
                  <w:pPr>
                    <w:pStyle w:val="33"/>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cantSplit/>
                <w:trHeight w:val="261" w:hRule="atLeast"/>
                <w:jc w:val="center"/>
              </w:trPr>
              <w:tc>
                <w:tcPr>
                  <w:tcW w:w="445" w:type="pct"/>
                  <w:vAlign w:val="center"/>
                </w:tcPr>
                <w:p>
                  <w:pPr>
                    <w:pStyle w:val="33"/>
                  </w:pPr>
                  <w:r>
                    <w:t>5</w:t>
                  </w:r>
                </w:p>
              </w:tc>
              <w:tc>
                <w:tcPr>
                  <w:tcW w:w="1120" w:type="pct"/>
                  <w:vAlign w:val="center"/>
                </w:tcPr>
                <w:p>
                  <w:pPr>
                    <w:pStyle w:val="33"/>
                  </w:pPr>
                  <w:r>
                    <w:rPr>
                      <w:rFonts w:hint="eastAsia"/>
                    </w:rPr>
                    <w:t>西北侧零散住户</w:t>
                  </w:r>
                </w:p>
              </w:tc>
              <w:tc>
                <w:tcPr>
                  <w:tcW w:w="450" w:type="pct"/>
                  <w:vAlign w:val="center"/>
                </w:tcPr>
                <w:p>
                  <w:pPr>
                    <w:pStyle w:val="33"/>
                  </w:pPr>
                  <w:r>
                    <w:rPr>
                      <w:rFonts w:hint="eastAsia"/>
                    </w:rPr>
                    <w:t>4</w:t>
                  </w:r>
                  <w:r>
                    <w:t>9.6</w:t>
                  </w:r>
                </w:p>
              </w:tc>
              <w:tc>
                <w:tcPr>
                  <w:tcW w:w="529" w:type="pct"/>
                  <w:vAlign w:val="center"/>
                </w:tcPr>
                <w:p>
                  <w:pPr>
                    <w:pStyle w:val="33"/>
                  </w:pPr>
                  <w:r>
                    <w:rPr>
                      <w:rFonts w:hint="eastAsia"/>
                    </w:rPr>
                    <w:t>4</w:t>
                  </w:r>
                  <w:r>
                    <w:t>2.9</w:t>
                  </w:r>
                </w:p>
              </w:tc>
              <w:tc>
                <w:tcPr>
                  <w:tcW w:w="615" w:type="pct"/>
                  <w:vAlign w:val="center"/>
                </w:tcPr>
                <w:p>
                  <w:pPr>
                    <w:pStyle w:val="33"/>
                  </w:pPr>
                  <w:r>
                    <w:rPr>
                      <w:rFonts w:hint="eastAsia"/>
                    </w:rPr>
                    <w:t>5</w:t>
                  </w:r>
                  <w:r>
                    <w:t>0.1</w:t>
                  </w:r>
                </w:p>
              </w:tc>
              <w:tc>
                <w:tcPr>
                  <w:tcW w:w="613" w:type="pct"/>
                  <w:vAlign w:val="center"/>
                </w:tcPr>
                <w:p>
                  <w:pPr>
                    <w:pStyle w:val="33"/>
                  </w:pPr>
                  <w:r>
                    <w:rPr>
                      <w:rFonts w:hint="eastAsia"/>
                    </w:rPr>
                    <w:t>4</w:t>
                  </w:r>
                  <w:r>
                    <w:t>3.6</w:t>
                  </w:r>
                </w:p>
              </w:tc>
              <w:tc>
                <w:tcPr>
                  <w:tcW w:w="613" w:type="pct"/>
                  <w:vMerge w:val="continue"/>
                  <w:vAlign w:val="center"/>
                </w:tcPr>
                <w:p>
                  <w:pPr>
                    <w:pStyle w:val="33"/>
                  </w:pPr>
                </w:p>
              </w:tc>
              <w:tc>
                <w:tcPr>
                  <w:tcW w:w="614" w:type="pct"/>
                  <w:vMerge w:val="continue"/>
                  <w:vAlign w:val="center"/>
                </w:tcPr>
                <w:p>
                  <w:pPr>
                    <w:pStyle w:val="33"/>
                  </w:pPr>
                </w:p>
              </w:tc>
            </w:tr>
          </w:tbl>
          <w:p>
            <w:pPr>
              <w:ind w:firstLine="480"/>
            </w:pPr>
            <w:r>
              <w:t>由声环境现状监测结果表明，项目</w:t>
            </w:r>
            <w:r>
              <w:rPr>
                <w:rFonts w:hint="eastAsia"/>
              </w:rPr>
              <w:t>东侧</w:t>
            </w:r>
            <w:r>
              <w:t>厂界昼间噪声监测值57.6dB(A)—58.4dB(A)、夜间噪声监测值52.9dB(A)—53.5dB(A)，满足《声环境质量标准》（GB3096-2008）中</w:t>
            </w:r>
            <w:r>
              <w:rPr>
                <w:rFonts w:hint="eastAsia"/>
              </w:rPr>
              <w:t>4</w:t>
            </w:r>
            <w:r>
              <w:t>a</w:t>
            </w:r>
            <w:r>
              <w:rPr>
                <w:rFonts w:hint="eastAsia"/>
              </w:rPr>
              <w:t>类</w:t>
            </w:r>
            <w:r>
              <w:t>标准限值的要求</w:t>
            </w:r>
            <w:r>
              <w:rPr>
                <w:rFonts w:hint="eastAsia"/>
              </w:rPr>
              <w:t>；西北侧零散住户、西侧、北侧、南侧厂界</w:t>
            </w:r>
            <w:r>
              <w:t>昼间噪声监测值49.6dB(A)—54.4dB(A)、夜间噪声监测值42.9dB(A)—48.5dB(A)，满足《声环境质量标准》（GB3096-2008）中2</w:t>
            </w:r>
            <w:r>
              <w:rPr>
                <w:rFonts w:hint="eastAsia"/>
              </w:rPr>
              <w:t>类</w:t>
            </w:r>
            <w:r>
              <w:t>标准限值的要求。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400" w:hRule="atLeast"/>
          <w:jc w:val="center"/>
        </w:trPr>
        <w:tc>
          <w:tcPr>
            <w:tcW w:w="768" w:type="dxa"/>
            <w:vAlign w:val="center"/>
          </w:tcPr>
          <w:p>
            <w:pPr>
              <w:ind w:firstLine="0" w:firstLineChars="0"/>
            </w:pPr>
            <w:r>
              <w:rPr>
                <w:rFonts w:hint="eastAsia"/>
              </w:rPr>
              <w:t>环境保护目标</w:t>
            </w:r>
          </w:p>
        </w:tc>
        <w:tc>
          <w:tcPr>
            <w:tcW w:w="8222" w:type="dxa"/>
            <w:vAlign w:val="center"/>
          </w:tcPr>
          <w:p>
            <w:pPr>
              <w:ind w:firstLine="480"/>
              <w:rPr>
                <w:bCs/>
              </w:rPr>
            </w:pPr>
            <w:r>
              <w:t>环境保护目标见表3-5</w:t>
            </w:r>
            <w:r>
              <w:rPr>
                <w:rFonts w:hint="eastAsia"/>
              </w:rPr>
              <w:t>和附</w:t>
            </w:r>
            <w:r>
              <w:t>图3。</w:t>
            </w:r>
          </w:p>
          <w:p>
            <w:pPr>
              <w:pStyle w:val="35"/>
            </w:pPr>
            <w:r>
              <w:t>表3-5   环境保护目标一览表</w:t>
            </w:r>
          </w:p>
          <w:tbl>
            <w:tblPr>
              <w:tblStyle w:val="2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1253"/>
              <w:gridCol w:w="1067"/>
              <w:gridCol w:w="1165"/>
              <w:gridCol w:w="1547"/>
              <w:gridCol w:w="200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947" w:type="dxa"/>
                  <w:vAlign w:val="center"/>
                </w:tcPr>
                <w:p>
                  <w:pPr>
                    <w:pStyle w:val="33"/>
                    <w:rPr>
                      <w:b/>
                      <w:bCs/>
                    </w:rPr>
                  </w:pPr>
                  <w:r>
                    <w:rPr>
                      <w:b/>
                      <w:bCs/>
                    </w:rPr>
                    <w:t>环境</w:t>
                  </w:r>
                </w:p>
                <w:p>
                  <w:pPr>
                    <w:pStyle w:val="33"/>
                    <w:rPr>
                      <w:b/>
                      <w:bCs/>
                    </w:rPr>
                  </w:pPr>
                  <w:r>
                    <w:rPr>
                      <w:b/>
                      <w:bCs/>
                    </w:rPr>
                    <w:t>要素</w:t>
                  </w:r>
                </w:p>
              </w:tc>
              <w:tc>
                <w:tcPr>
                  <w:tcW w:w="2320" w:type="dxa"/>
                  <w:gridSpan w:val="2"/>
                  <w:vAlign w:val="center"/>
                </w:tcPr>
                <w:p>
                  <w:pPr>
                    <w:pStyle w:val="33"/>
                    <w:rPr>
                      <w:b/>
                      <w:bCs/>
                    </w:rPr>
                  </w:pPr>
                  <w:r>
                    <w:rPr>
                      <w:b/>
                      <w:bCs/>
                    </w:rPr>
                    <w:t>保护对象</w:t>
                  </w:r>
                </w:p>
              </w:tc>
              <w:tc>
                <w:tcPr>
                  <w:tcW w:w="1165" w:type="dxa"/>
                  <w:vAlign w:val="center"/>
                </w:tcPr>
                <w:p>
                  <w:pPr>
                    <w:pStyle w:val="33"/>
                    <w:rPr>
                      <w:b/>
                      <w:bCs/>
                    </w:rPr>
                  </w:pPr>
                  <w:r>
                    <w:rPr>
                      <w:b/>
                      <w:bCs/>
                    </w:rPr>
                    <w:t>相对位置</w:t>
                  </w:r>
                </w:p>
              </w:tc>
              <w:tc>
                <w:tcPr>
                  <w:tcW w:w="1547" w:type="dxa"/>
                  <w:vAlign w:val="center"/>
                </w:tcPr>
                <w:p>
                  <w:pPr>
                    <w:pStyle w:val="33"/>
                    <w:rPr>
                      <w:b/>
                      <w:bCs/>
                    </w:rPr>
                  </w:pPr>
                  <w:r>
                    <w:rPr>
                      <w:b/>
                      <w:bCs/>
                    </w:rPr>
                    <w:t>规模</w:t>
                  </w:r>
                </w:p>
              </w:tc>
              <w:tc>
                <w:tcPr>
                  <w:tcW w:w="2001" w:type="dxa"/>
                  <w:vAlign w:val="center"/>
                </w:tcPr>
                <w:p>
                  <w:pPr>
                    <w:pStyle w:val="33"/>
                    <w:rPr>
                      <w:b/>
                      <w:bCs/>
                    </w:rPr>
                  </w:pPr>
                  <w:r>
                    <w:rPr>
                      <w:b/>
                      <w:bCs/>
                    </w:rPr>
                    <w:t>保护目标</w:t>
                  </w:r>
                </w:p>
              </w:tc>
            </w:tr>
            <w:tr>
              <w:tblPrEx>
                <w:tblCellMar>
                  <w:top w:w="0" w:type="dxa"/>
                  <w:left w:w="108" w:type="dxa"/>
                  <w:bottom w:w="0" w:type="dxa"/>
                  <w:right w:w="108" w:type="dxa"/>
                </w:tblCellMar>
              </w:tblPrEx>
              <w:trPr>
                <w:trHeight w:val="136" w:hRule="atLeast"/>
                <w:jc w:val="center"/>
              </w:trPr>
              <w:tc>
                <w:tcPr>
                  <w:tcW w:w="947" w:type="dxa"/>
                  <w:vMerge w:val="restart"/>
                  <w:vAlign w:val="center"/>
                </w:tcPr>
                <w:p>
                  <w:pPr>
                    <w:pStyle w:val="33"/>
                  </w:pPr>
                  <w:r>
                    <w:rPr>
                      <w:rFonts w:hint="eastAsia"/>
                    </w:rPr>
                    <w:t>大气环境</w:t>
                  </w:r>
                </w:p>
              </w:tc>
              <w:tc>
                <w:tcPr>
                  <w:tcW w:w="1253" w:type="dxa"/>
                  <w:vMerge w:val="restart"/>
                  <w:vAlign w:val="center"/>
                </w:tcPr>
                <w:p>
                  <w:pPr>
                    <w:pStyle w:val="33"/>
                  </w:pPr>
                  <w:r>
                    <w:t>项目周边</w:t>
                  </w:r>
                  <w:r>
                    <w:rPr>
                      <w:rFonts w:hint="eastAsia"/>
                    </w:rPr>
                    <w:t>5</w:t>
                  </w:r>
                  <w:r>
                    <w:t>00m范围内居民区</w:t>
                  </w:r>
                </w:p>
              </w:tc>
              <w:tc>
                <w:tcPr>
                  <w:tcW w:w="1067" w:type="dxa"/>
                  <w:vAlign w:val="center"/>
                </w:tcPr>
                <w:p>
                  <w:pPr>
                    <w:pStyle w:val="33"/>
                  </w:pPr>
                  <w:r>
                    <w:rPr>
                      <w:rFonts w:hint="eastAsia"/>
                    </w:rPr>
                    <w:t>村庄1</w:t>
                  </w:r>
                </w:p>
              </w:tc>
              <w:tc>
                <w:tcPr>
                  <w:tcW w:w="1165" w:type="dxa"/>
                  <w:vAlign w:val="center"/>
                </w:tcPr>
                <w:p>
                  <w:pPr>
                    <w:pStyle w:val="33"/>
                  </w:pPr>
                  <w:r>
                    <w:t>NW 20 m</w:t>
                  </w:r>
                </w:p>
              </w:tc>
              <w:tc>
                <w:tcPr>
                  <w:tcW w:w="1547" w:type="dxa"/>
                  <w:vAlign w:val="center"/>
                </w:tcPr>
                <w:p>
                  <w:pPr>
                    <w:pStyle w:val="33"/>
                  </w:pPr>
                  <w:r>
                    <w:t>10户/35人</w:t>
                  </w:r>
                </w:p>
              </w:tc>
              <w:tc>
                <w:tcPr>
                  <w:tcW w:w="2001" w:type="dxa"/>
                  <w:vMerge w:val="restart"/>
                  <w:vAlign w:val="center"/>
                </w:tcPr>
                <w:p>
                  <w:pPr>
                    <w:pStyle w:val="33"/>
                  </w:pPr>
                  <w:r>
                    <w:rPr>
                      <w:rFonts w:hint="eastAsia"/>
                    </w:rPr>
                    <w:t>《环境空气质量标准》（GB3095-2012）二级标准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35" w:hRule="atLeast"/>
                <w:jc w:val="center"/>
              </w:trPr>
              <w:tc>
                <w:tcPr>
                  <w:tcW w:w="947" w:type="dxa"/>
                  <w:vMerge w:val="continue"/>
                  <w:vAlign w:val="center"/>
                </w:tcPr>
                <w:p>
                  <w:pPr>
                    <w:pStyle w:val="33"/>
                  </w:pPr>
                </w:p>
              </w:tc>
              <w:tc>
                <w:tcPr>
                  <w:tcW w:w="1253" w:type="dxa"/>
                  <w:vMerge w:val="continue"/>
                  <w:vAlign w:val="center"/>
                </w:tcPr>
                <w:p>
                  <w:pPr>
                    <w:pStyle w:val="33"/>
                  </w:pPr>
                </w:p>
              </w:tc>
              <w:tc>
                <w:tcPr>
                  <w:tcW w:w="1067" w:type="dxa"/>
                  <w:vAlign w:val="center"/>
                </w:tcPr>
                <w:p>
                  <w:pPr>
                    <w:pStyle w:val="33"/>
                  </w:pPr>
                  <w:r>
                    <w:rPr>
                      <w:rFonts w:hint="eastAsia"/>
                    </w:rPr>
                    <w:t>村庄</w:t>
                  </w:r>
                  <w:r>
                    <w:t>2</w:t>
                  </w:r>
                </w:p>
              </w:tc>
              <w:tc>
                <w:tcPr>
                  <w:tcW w:w="1165" w:type="dxa"/>
                  <w:vAlign w:val="center"/>
                </w:tcPr>
                <w:p>
                  <w:pPr>
                    <w:pStyle w:val="33"/>
                  </w:pPr>
                  <w:r>
                    <w:t>SW 215m</w:t>
                  </w:r>
                </w:p>
              </w:tc>
              <w:tc>
                <w:tcPr>
                  <w:tcW w:w="1547" w:type="dxa"/>
                  <w:vAlign w:val="center"/>
                </w:tcPr>
                <w:p>
                  <w:pPr>
                    <w:pStyle w:val="33"/>
                  </w:pPr>
                  <w:r>
                    <w:t>80户/280人</w:t>
                  </w:r>
                </w:p>
              </w:tc>
              <w:tc>
                <w:tcPr>
                  <w:tcW w:w="2001" w:type="dxa"/>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35" w:hRule="atLeast"/>
                <w:jc w:val="center"/>
              </w:trPr>
              <w:tc>
                <w:tcPr>
                  <w:tcW w:w="947" w:type="dxa"/>
                  <w:vMerge w:val="continue"/>
                  <w:vAlign w:val="center"/>
                </w:tcPr>
                <w:p>
                  <w:pPr>
                    <w:pStyle w:val="33"/>
                  </w:pPr>
                </w:p>
              </w:tc>
              <w:tc>
                <w:tcPr>
                  <w:tcW w:w="1253" w:type="dxa"/>
                  <w:vMerge w:val="continue"/>
                  <w:vAlign w:val="center"/>
                </w:tcPr>
                <w:p>
                  <w:pPr>
                    <w:pStyle w:val="33"/>
                  </w:pPr>
                </w:p>
              </w:tc>
              <w:tc>
                <w:tcPr>
                  <w:tcW w:w="1067" w:type="dxa"/>
                  <w:vAlign w:val="center"/>
                </w:tcPr>
                <w:p>
                  <w:pPr>
                    <w:pStyle w:val="33"/>
                  </w:pPr>
                  <w:r>
                    <w:rPr>
                      <w:rFonts w:hint="eastAsia"/>
                    </w:rPr>
                    <w:t>馨悦家园</w:t>
                  </w:r>
                </w:p>
              </w:tc>
              <w:tc>
                <w:tcPr>
                  <w:tcW w:w="1165" w:type="dxa"/>
                  <w:vAlign w:val="center"/>
                </w:tcPr>
                <w:p>
                  <w:pPr>
                    <w:pStyle w:val="33"/>
                  </w:pPr>
                  <w:r>
                    <w:t>NE 100m</w:t>
                  </w:r>
                </w:p>
              </w:tc>
              <w:tc>
                <w:tcPr>
                  <w:tcW w:w="1547" w:type="dxa"/>
                  <w:vAlign w:val="center"/>
                </w:tcPr>
                <w:p>
                  <w:pPr>
                    <w:pStyle w:val="33"/>
                  </w:pPr>
                  <w:r>
                    <w:t>10户/1500人</w:t>
                  </w:r>
                </w:p>
              </w:tc>
              <w:tc>
                <w:tcPr>
                  <w:tcW w:w="2001" w:type="dxa"/>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35" w:hRule="atLeast"/>
                <w:jc w:val="center"/>
              </w:trPr>
              <w:tc>
                <w:tcPr>
                  <w:tcW w:w="947" w:type="dxa"/>
                  <w:vMerge w:val="continue"/>
                  <w:vAlign w:val="center"/>
                </w:tcPr>
                <w:p>
                  <w:pPr>
                    <w:pStyle w:val="33"/>
                  </w:pPr>
                </w:p>
              </w:tc>
              <w:tc>
                <w:tcPr>
                  <w:tcW w:w="1253" w:type="dxa"/>
                  <w:vMerge w:val="continue"/>
                  <w:vAlign w:val="center"/>
                </w:tcPr>
                <w:p>
                  <w:pPr>
                    <w:pStyle w:val="33"/>
                  </w:pPr>
                </w:p>
              </w:tc>
              <w:tc>
                <w:tcPr>
                  <w:tcW w:w="1067" w:type="dxa"/>
                  <w:vAlign w:val="center"/>
                </w:tcPr>
                <w:p>
                  <w:pPr>
                    <w:pStyle w:val="33"/>
                  </w:pPr>
                  <w:r>
                    <w:rPr>
                      <w:rFonts w:hint="eastAsia"/>
                    </w:rPr>
                    <w:t>星月湾</w:t>
                  </w:r>
                </w:p>
              </w:tc>
              <w:tc>
                <w:tcPr>
                  <w:tcW w:w="1165" w:type="dxa"/>
                  <w:vAlign w:val="center"/>
                </w:tcPr>
                <w:p>
                  <w:pPr>
                    <w:pStyle w:val="33"/>
                  </w:pPr>
                  <w:r>
                    <w:t>NE 154m</w:t>
                  </w:r>
                </w:p>
              </w:tc>
              <w:tc>
                <w:tcPr>
                  <w:tcW w:w="1547" w:type="dxa"/>
                  <w:vAlign w:val="center"/>
                </w:tcPr>
                <w:p>
                  <w:pPr>
                    <w:pStyle w:val="33"/>
                  </w:pPr>
                  <w:r>
                    <w:t>10户/1200人</w:t>
                  </w:r>
                </w:p>
              </w:tc>
              <w:tc>
                <w:tcPr>
                  <w:tcW w:w="2001" w:type="dxa"/>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655" w:hRule="atLeast"/>
                <w:jc w:val="center"/>
              </w:trPr>
              <w:tc>
                <w:tcPr>
                  <w:tcW w:w="947" w:type="dxa"/>
                  <w:vAlign w:val="center"/>
                </w:tcPr>
                <w:p>
                  <w:pPr>
                    <w:pStyle w:val="33"/>
                  </w:pPr>
                  <w:r>
                    <w:t>声环境</w:t>
                  </w:r>
                </w:p>
              </w:tc>
              <w:tc>
                <w:tcPr>
                  <w:tcW w:w="1253" w:type="dxa"/>
                  <w:vAlign w:val="center"/>
                </w:tcPr>
                <w:p>
                  <w:pPr>
                    <w:pStyle w:val="33"/>
                  </w:pPr>
                  <w:r>
                    <w:t>项目周边</w:t>
                  </w:r>
                  <w:r>
                    <w:rPr>
                      <w:rFonts w:hint="eastAsia"/>
                    </w:rPr>
                    <w:t>5</w:t>
                  </w:r>
                  <w:r>
                    <w:t>0m范围内居民区</w:t>
                  </w:r>
                </w:p>
              </w:tc>
              <w:tc>
                <w:tcPr>
                  <w:tcW w:w="1067" w:type="dxa"/>
                  <w:vAlign w:val="center"/>
                </w:tcPr>
                <w:p>
                  <w:pPr>
                    <w:pStyle w:val="33"/>
                  </w:pPr>
                  <w:r>
                    <w:rPr>
                      <w:rFonts w:hint="eastAsia"/>
                    </w:rPr>
                    <w:t>村庄1</w:t>
                  </w:r>
                </w:p>
              </w:tc>
              <w:tc>
                <w:tcPr>
                  <w:tcW w:w="1165" w:type="dxa"/>
                  <w:vAlign w:val="center"/>
                </w:tcPr>
                <w:p>
                  <w:pPr>
                    <w:pStyle w:val="33"/>
                  </w:pPr>
                  <w:r>
                    <w:t>NW 20 m</w:t>
                  </w:r>
                </w:p>
              </w:tc>
              <w:tc>
                <w:tcPr>
                  <w:tcW w:w="1547" w:type="dxa"/>
                  <w:vAlign w:val="center"/>
                </w:tcPr>
                <w:p>
                  <w:pPr>
                    <w:pStyle w:val="33"/>
                  </w:pPr>
                  <w:r>
                    <w:t>10户/35人</w:t>
                  </w:r>
                </w:p>
              </w:tc>
              <w:tc>
                <w:tcPr>
                  <w:tcW w:w="2001" w:type="dxa"/>
                  <w:vAlign w:val="center"/>
                </w:tcPr>
                <w:p>
                  <w:pPr>
                    <w:pStyle w:val="33"/>
                  </w:pPr>
                  <w:r>
                    <w:t>《声环境质量标准》（GB3096-2008）中2类标准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655" w:hRule="atLeast"/>
                <w:jc w:val="center"/>
              </w:trPr>
              <w:tc>
                <w:tcPr>
                  <w:tcW w:w="947" w:type="dxa"/>
                  <w:vAlign w:val="center"/>
                </w:tcPr>
                <w:p>
                  <w:pPr>
                    <w:pStyle w:val="33"/>
                  </w:pPr>
                  <w:r>
                    <w:rPr>
                      <w:rFonts w:hint="eastAsia"/>
                    </w:rPr>
                    <w:t>地下水环境</w:t>
                  </w:r>
                </w:p>
              </w:tc>
              <w:tc>
                <w:tcPr>
                  <w:tcW w:w="7033" w:type="dxa"/>
                  <w:gridSpan w:val="5"/>
                  <w:vAlign w:val="center"/>
                </w:tcPr>
                <w:p>
                  <w:pPr>
                    <w:pStyle w:val="33"/>
                  </w:pPr>
                  <w:r>
                    <w:rPr>
                      <w:rFonts w:hint="eastAsia"/>
                    </w:rPr>
                    <w:t>厂界外500米范围内无地下水集中式饮用水水源和热水、矿泉水、温泉等特殊地下水资源。</w:t>
                  </w:r>
                </w:p>
              </w:tc>
            </w:tr>
          </w:tbl>
          <w:p>
            <w:pPr>
              <w:ind w:firstLine="0" w:firstLineChars="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692" w:hRule="atLeast"/>
          <w:jc w:val="center"/>
        </w:trPr>
        <w:tc>
          <w:tcPr>
            <w:tcW w:w="768" w:type="dxa"/>
            <w:tcMar>
              <w:left w:w="28" w:type="dxa"/>
              <w:right w:w="28" w:type="dxa"/>
            </w:tcMar>
            <w:vAlign w:val="center"/>
          </w:tcPr>
          <w:p>
            <w:pPr>
              <w:ind w:firstLine="0" w:firstLineChars="0"/>
            </w:pPr>
            <w:r>
              <w:rPr>
                <w:rFonts w:hint="eastAsia"/>
              </w:rPr>
              <w:t>污染物排放控制标准</w:t>
            </w:r>
          </w:p>
        </w:tc>
        <w:tc>
          <w:tcPr>
            <w:tcW w:w="8222" w:type="dxa"/>
            <w:vAlign w:val="center"/>
          </w:tcPr>
          <w:p>
            <w:pPr>
              <w:ind w:firstLine="482"/>
              <w:rPr>
                <w:b/>
                <w:bCs/>
                <w:lang w:val="zh-CN"/>
              </w:rPr>
            </w:pPr>
            <w:r>
              <w:rPr>
                <w:b/>
                <w:bCs/>
                <w:lang w:val="zh-CN"/>
              </w:rPr>
              <w:t>1、大气污染物排放标准</w:t>
            </w:r>
          </w:p>
          <w:p>
            <w:pPr>
              <w:ind w:firstLine="480"/>
              <w:rPr>
                <w:lang w:val="zh-CN"/>
              </w:rPr>
            </w:pPr>
            <w:r>
              <w:rPr>
                <w:rFonts w:hint="eastAsia"/>
                <w:lang w:val="zh-CN"/>
              </w:rPr>
              <w:t>运营期颗粒物</w:t>
            </w:r>
            <w:r>
              <w:rPr>
                <w:lang w:val="zh-CN"/>
              </w:rPr>
              <w:t>执行《大气污染物综合排放标准》（GB16297-1996）表2中颗粒物无组织排放标准。</w:t>
            </w:r>
            <w:r>
              <w:rPr>
                <w:rFonts w:hint="eastAsia"/>
                <w:lang w:val="zh-CN"/>
              </w:rPr>
              <w:t>硫化氢、氨、臭气浓度执行《恶臭污染物排放标准》（GB14554-93）中无组织排放监控浓度限值，</w:t>
            </w:r>
            <w:r>
              <w:rPr>
                <w:lang w:val="zh-CN"/>
              </w:rPr>
              <w:t>具体标准见表3-6。</w:t>
            </w:r>
          </w:p>
          <w:p>
            <w:pPr>
              <w:pStyle w:val="35"/>
            </w:pPr>
            <w:r>
              <w:t>表3-6  大气污染物排放浓度标准</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58"/>
              <w:gridCol w:w="2265"/>
              <w:gridCol w:w="207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shd w:val="clear" w:color="auto" w:fill="auto"/>
                  <w:vAlign w:val="center"/>
                </w:tcPr>
                <w:p>
                  <w:pPr>
                    <w:pStyle w:val="33"/>
                    <w:rPr>
                      <w:b/>
                      <w:bCs/>
                    </w:rPr>
                  </w:pPr>
                  <w:r>
                    <w:rPr>
                      <w:b/>
                      <w:bCs/>
                    </w:rPr>
                    <w:t>标准名称</w:t>
                  </w:r>
                </w:p>
              </w:tc>
              <w:tc>
                <w:tcPr>
                  <w:tcW w:w="1333" w:type="pct"/>
                  <w:shd w:val="clear" w:color="auto" w:fill="auto"/>
                  <w:vAlign w:val="center"/>
                </w:tcPr>
                <w:p>
                  <w:pPr>
                    <w:pStyle w:val="33"/>
                    <w:rPr>
                      <w:b/>
                      <w:bCs/>
                    </w:rPr>
                  </w:pPr>
                  <w:r>
                    <w:rPr>
                      <w:rFonts w:hint="eastAsia"/>
                      <w:b/>
                      <w:bCs/>
                    </w:rPr>
                    <w:t>污染物</w:t>
                  </w:r>
                </w:p>
              </w:tc>
              <w:tc>
                <w:tcPr>
                  <w:tcW w:w="1220" w:type="pct"/>
                  <w:shd w:val="clear" w:color="auto" w:fill="auto"/>
                  <w:vAlign w:val="center"/>
                </w:tcPr>
                <w:p>
                  <w:pPr>
                    <w:pStyle w:val="33"/>
                    <w:rPr>
                      <w:b/>
                      <w:bCs/>
                    </w:rPr>
                  </w:pPr>
                  <w:r>
                    <w:rPr>
                      <w:rFonts w:hint="eastAsia" w:cs="Times New Roman"/>
                      <w:b/>
                      <w:bCs/>
                      <w:kern w:val="2"/>
                      <w:szCs w:val="21"/>
                    </w:rPr>
                    <w:t>无组织排放监控浓度限值</w:t>
                  </w:r>
                  <w:r>
                    <w:rPr>
                      <w:b/>
                      <w:bCs/>
                    </w:rPr>
                    <w:t>（mg/m</w:t>
                  </w:r>
                  <w:r>
                    <w:rPr>
                      <w:b/>
                      <w:bCs/>
                      <w:vertAlign w:val="superscript"/>
                    </w:rPr>
                    <w:t>3</w:t>
                  </w:r>
                  <w:r>
                    <w:rPr>
                      <w:b/>
                      <w:bC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vMerge w:val="restart"/>
                  <w:shd w:val="clear" w:color="auto" w:fill="auto"/>
                  <w:vAlign w:val="center"/>
                </w:tcPr>
                <w:p>
                  <w:pPr>
                    <w:pStyle w:val="33"/>
                  </w:pPr>
                  <w:r>
                    <w:t>《大气污染物综合排放标准》（GB16297-1996）</w:t>
                  </w:r>
                </w:p>
              </w:tc>
              <w:tc>
                <w:tcPr>
                  <w:tcW w:w="1333" w:type="pct"/>
                  <w:shd w:val="clear" w:color="auto" w:fill="auto"/>
                  <w:vAlign w:val="center"/>
                </w:tcPr>
                <w:p>
                  <w:pPr>
                    <w:pStyle w:val="33"/>
                  </w:pPr>
                  <w:r>
                    <w:t>颗粒物</w:t>
                  </w:r>
                </w:p>
              </w:tc>
              <w:tc>
                <w:tcPr>
                  <w:tcW w:w="1220" w:type="pct"/>
                  <w:shd w:val="clear" w:color="auto" w:fill="auto"/>
                  <w:vAlign w:val="center"/>
                </w:tcPr>
                <w:p>
                  <w:pPr>
                    <w:pStyle w:val="33"/>
                  </w:pPr>
                  <w: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vMerge w:val="continue"/>
                  <w:shd w:val="clear" w:color="auto" w:fill="auto"/>
                  <w:vAlign w:val="center"/>
                </w:tcPr>
                <w:p>
                  <w:pPr>
                    <w:pStyle w:val="33"/>
                  </w:pPr>
                </w:p>
              </w:tc>
              <w:tc>
                <w:tcPr>
                  <w:tcW w:w="1333" w:type="pct"/>
                  <w:shd w:val="clear" w:color="auto" w:fill="auto"/>
                  <w:vAlign w:val="center"/>
                </w:tcPr>
                <w:p>
                  <w:pPr>
                    <w:pStyle w:val="33"/>
                    <w:rPr>
                      <w:color w:val="FF0000"/>
                    </w:rPr>
                  </w:pPr>
                  <w:r>
                    <w:rPr>
                      <w:rFonts w:hint="eastAsia"/>
                      <w:color w:val="FF0000"/>
                    </w:rPr>
                    <w:t>非甲烷总烃</w:t>
                  </w:r>
                </w:p>
              </w:tc>
              <w:tc>
                <w:tcPr>
                  <w:tcW w:w="1220" w:type="pct"/>
                  <w:shd w:val="clear" w:color="auto" w:fill="auto"/>
                  <w:vAlign w:val="center"/>
                </w:tcPr>
                <w:p>
                  <w:pPr>
                    <w:pStyle w:val="33"/>
                    <w:rPr>
                      <w:color w:val="FF0000"/>
                    </w:rPr>
                  </w:pPr>
                  <w:r>
                    <w:rPr>
                      <w:rFonts w:hint="eastAsia"/>
                      <w:color w:val="FF0000"/>
                    </w:rPr>
                    <w:t>4</w:t>
                  </w:r>
                  <w:r>
                    <w:rPr>
                      <w:color w:val="FF0000"/>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vMerge w:val="restart"/>
                  <w:shd w:val="clear" w:color="auto" w:fill="auto"/>
                  <w:vAlign w:val="center"/>
                </w:tcPr>
                <w:p>
                  <w:pPr>
                    <w:pStyle w:val="33"/>
                    <w:rPr>
                      <w:color w:val="FF0000"/>
                    </w:rPr>
                  </w:pPr>
                  <w:r>
                    <w:rPr>
                      <w:rFonts w:hint="eastAsia"/>
                      <w:color w:val="FF0000"/>
                    </w:rPr>
                    <w:t>《挥发性有机物无组织排放控制标准》（</w:t>
                  </w:r>
                  <w:r>
                    <w:rPr>
                      <w:color w:val="FF0000"/>
                    </w:rPr>
                    <w:t>GB37822-2019</w:t>
                  </w:r>
                  <w:r>
                    <w:rPr>
                      <w:rFonts w:hint="eastAsia"/>
                      <w:color w:val="FF0000"/>
                    </w:rPr>
                    <w:t>）</w:t>
                  </w:r>
                </w:p>
              </w:tc>
              <w:tc>
                <w:tcPr>
                  <w:tcW w:w="1333" w:type="pct"/>
                  <w:shd w:val="clear" w:color="auto" w:fill="auto"/>
                  <w:vAlign w:val="center"/>
                </w:tcPr>
                <w:p>
                  <w:pPr>
                    <w:pStyle w:val="33"/>
                    <w:rPr>
                      <w:color w:val="FF0000"/>
                    </w:rPr>
                  </w:pPr>
                  <w:r>
                    <w:rPr>
                      <w:rFonts w:hint="eastAsia"/>
                      <w:color w:val="FF0000"/>
                    </w:rPr>
                    <w:t>非甲烷总烃监控点处1h平均浓度值</w:t>
                  </w:r>
                </w:p>
              </w:tc>
              <w:tc>
                <w:tcPr>
                  <w:tcW w:w="1220" w:type="pct"/>
                  <w:shd w:val="clear" w:color="auto" w:fill="auto"/>
                  <w:vAlign w:val="center"/>
                </w:tcPr>
                <w:p>
                  <w:pPr>
                    <w:pStyle w:val="33"/>
                    <w:rPr>
                      <w:color w:val="FF0000"/>
                    </w:rPr>
                  </w:pPr>
                  <w:r>
                    <w:rPr>
                      <w:rFonts w:hint="eastAsia"/>
                      <w:color w:val="FF0000"/>
                    </w:rPr>
                    <w:t>1</w:t>
                  </w:r>
                  <w:r>
                    <w:rPr>
                      <w:color w:val="FF0000"/>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vMerge w:val="continue"/>
                  <w:shd w:val="clear" w:color="auto" w:fill="auto"/>
                  <w:vAlign w:val="center"/>
                </w:tcPr>
                <w:p>
                  <w:pPr>
                    <w:pStyle w:val="33"/>
                  </w:pPr>
                </w:p>
              </w:tc>
              <w:tc>
                <w:tcPr>
                  <w:tcW w:w="1333" w:type="pct"/>
                  <w:shd w:val="clear" w:color="auto" w:fill="auto"/>
                  <w:vAlign w:val="center"/>
                </w:tcPr>
                <w:p>
                  <w:pPr>
                    <w:pStyle w:val="33"/>
                    <w:rPr>
                      <w:color w:val="FF0000"/>
                    </w:rPr>
                  </w:pPr>
                  <w:r>
                    <w:rPr>
                      <w:rFonts w:hint="eastAsia"/>
                      <w:color w:val="FF0000"/>
                    </w:rPr>
                    <w:t>非甲烷总烃监控点处任意一次浓度值</w:t>
                  </w:r>
                </w:p>
              </w:tc>
              <w:tc>
                <w:tcPr>
                  <w:tcW w:w="1220" w:type="pct"/>
                  <w:shd w:val="clear" w:color="auto" w:fill="auto"/>
                  <w:vAlign w:val="center"/>
                </w:tcPr>
                <w:p>
                  <w:pPr>
                    <w:pStyle w:val="33"/>
                    <w:rPr>
                      <w:color w:val="FF0000"/>
                    </w:rPr>
                  </w:pPr>
                  <w:r>
                    <w:rPr>
                      <w:color w:val="FF0000"/>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vMerge w:val="restart"/>
                  <w:shd w:val="clear" w:color="auto" w:fill="auto"/>
                  <w:vAlign w:val="center"/>
                </w:tcPr>
                <w:p>
                  <w:pPr>
                    <w:pStyle w:val="33"/>
                  </w:pPr>
                  <w:r>
                    <w:rPr>
                      <w:rFonts w:hint="eastAsia"/>
                    </w:rPr>
                    <w:t>《恶臭污染物排放标准》（</w:t>
                  </w:r>
                  <w:r>
                    <w:t>GB14554-93</w:t>
                  </w:r>
                  <w:r>
                    <w:rPr>
                      <w:rFonts w:hint="eastAsia"/>
                    </w:rPr>
                    <w:t>）</w:t>
                  </w:r>
                </w:p>
              </w:tc>
              <w:tc>
                <w:tcPr>
                  <w:tcW w:w="1333" w:type="pct"/>
                  <w:tcBorders>
                    <w:top w:val="single" w:color="auto" w:sz="4" w:space="0"/>
                    <w:left w:val="nil"/>
                    <w:bottom w:val="single" w:color="auto" w:sz="4" w:space="0"/>
                    <w:right w:val="single" w:color="auto" w:sz="4" w:space="0"/>
                  </w:tcBorders>
                  <w:vAlign w:val="center"/>
                </w:tcPr>
                <w:p>
                  <w:pPr>
                    <w:widowControl w:val="0"/>
                    <w:spacing w:line="240" w:lineRule="auto"/>
                    <w:ind w:firstLine="0" w:firstLineChars="0"/>
                    <w:jc w:val="center"/>
                    <w:rPr>
                      <w:rFonts w:cs="Times New Roman"/>
                      <w:kern w:val="2"/>
                      <w:sz w:val="21"/>
                      <w:szCs w:val="21"/>
                    </w:rPr>
                  </w:pPr>
                  <w:r>
                    <w:rPr>
                      <w:rFonts w:hint="eastAsia" w:cs="Times New Roman"/>
                      <w:bCs/>
                      <w:kern w:val="2"/>
                      <w:sz w:val="21"/>
                      <w:szCs w:val="21"/>
                    </w:rPr>
                    <w:t>硫化氢</w:t>
                  </w:r>
                </w:p>
              </w:tc>
              <w:tc>
                <w:tcPr>
                  <w:tcW w:w="1220" w:type="pct"/>
                  <w:shd w:val="clear" w:color="auto" w:fill="auto"/>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0.06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vMerge w:val="continue"/>
                  <w:shd w:val="clear" w:color="auto" w:fill="auto"/>
                  <w:vAlign w:val="center"/>
                </w:tcPr>
                <w:p>
                  <w:pPr>
                    <w:pStyle w:val="33"/>
                  </w:pPr>
                </w:p>
              </w:tc>
              <w:tc>
                <w:tcPr>
                  <w:tcW w:w="1333" w:type="pct"/>
                  <w:tcBorders>
                    <w:top w:val="single" w:color="auto" w:sz="4" w:space="0"/>
                    <w:left w:val="nil"/>
                    <w:bottom w:val="single" w:color="auto" w:sz="4" w:space="0"/>
                    <w:right w:val="single" w:color="auto" w:sz="4" w:space="0"/>
                  </w:tcBorders>
                  <w:vAlign w:val="center"/>
                </w:tcPr>
                <w:p>
                  <w:pPr>
                    <w:widowControl w:val="0"/>
                    <w:spacing w:line="240" w:lineRule="auto"/>
                    <w:ind w:firstLine="0" w:firstLineChars="0"/>
                    <w:jc w:val="center"/>
                    <w:rPr>
                      <w:rFonts w:cs="Times New Roman"/>
                      <w:kern w:val="2"/>
                      <w:sz w:val="21"/>
                      <w:szCs w:val="21"/>
                    </w:rPr>
                  </w:pPr>
                  <w:r>
                    <w:rPr>
                      <w:rFonts w:hint="eastAsia" w:cs="Times New Roman"/>
                      <w:bCs/>
                      <w:kern w:val="2"/>
                      <w:sz w:val="21"/>
                      <w:szCs w:val="21"/>
                    </w:rPr>
                    <w:t>氨</w:t>
                  </w:r>
                </w:p>
              </w:tc>
              <w:tc>
                <w:tcPr>
                  <w:tcW w:w="1220" w:type="pct"/>
                  <w:shd w:val="clear" w:color="auto" w:fill="auto"/>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447" w:type="pct"/>
                  <w:vMerge w:val="continue"/>
                  <w:shd w:val="clear" w:color="auto" w:fill="auto"/>
                  <w:vAlign w:val="center"/>
                </w:tcPr>
                <w:p>
                  <w:pPr>
                    <w:pStyle w:val="33"/>
                  </w:pPr>
                </w:p>
              </w:tc>
              <w:tc>
                <w:tcPr>
                  <w:tcW w:w="1333" w:type="pct"/>
                  <w:tcBorders>
                    <w:top w:val="single" w:color="auto" w:sz="4" w:space="0"/>
                    <w:left w:val="nil"/>
                    <w:bottom w:val="single" w:color="auto" w:sz="4" w:space="0"/>
                    <w:right w:val="single" w:color="auto" w:sz="4" w:space="0"/>
                  </w:tcBorders>
                  <w:vAlign w:val="center"/>
                </w:tcPr>
                <w:p>
                  <w:pPr>
                    <w:widowControl w:val="0"/>
                    <w:spacing w:line="240" w:lineRule="auto"/>
                    <w:ind w:firstLine="0" w:firstLineChars="0"/>
                    <w:jc w:val="center"/>
                    <w:rPr>
                      <w:rFonts w:cs="Times New Roman"/>
                      <w:bCs/>
                      <w:kern w:val="2"/>
                      <w:sz w:val="21"/>
                      <w:szCs w:val="21"/>
                    </w:rPr>
                  </w:pPr>
                  <w:r>
                    <w:rPr>
                      <w:rFonts w:hint="eastAsia" w:cs="Times New Roman"/>
                      <w:bCs/>
                      <w:kern w:val="2"/>
                      <w:sz w:val="21"/>
                      <w:szCs w:val="21"/>
                    </w:rPr>
                    <w:t>臭气浓度</w:t>
                  </w:r>
                </w:p>
              </w:tc>
              <w:tc>
                <w:tcPr>
                  <w:tcW w:w="1220" w:type="pct"/>
                  <w:shd w:val="clear" w:color="auto" w:fill="auto"/>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20</w:t>
                  </w:r>
                  <w:r>
                    <w:rPr>
                      <w:rFonts w:hint="eastAsia" w:cs="Times New Roman"/>
                      <w:kern w:val="2"/>
                      <w:sz w:val="21"/>
                      <w:szCs w:val="21"/>
                    </w:rPr>
                    <w:t>（无量纲）</w:t>
                  </w:r>
                </w:p>
              </w:tc>
            </w:tr>
          </w:tbl>
          <w:p>
            <w:pPr>
              <w:pStyle w:val="35"/>
              <w:jc w:val="left"/>
            </w:pPr>
          </w:p>
          <w:p>
            <w:pPr>
              <w:ind w:firstLine="482"/>
              <w:rPr>
                <w:b/>
                <w:bCs/>
              </w:rPr>
            </w:pPr>
            <w:r>
              <w:rPr>
                <w:b/>
                <w:bCs/>
              </w:rPr>
              <w:t>2、噪声排放标准</w:t>
            </w:r>
          </w:p>
          <w:p>
            <w:pPr>
              <w:ind w:firstLine="480"/>
            </w:pPr>
            <w:r>
              <w:t>项目施工期建筑施工场界噪声排放执行《建筑施工场界环境噪声排放标准》（GB12523-2011）标准限值；营运期</w:t>
            </w:r>
            <w:r>
              <w:rPr>
                <w:rFonts w:hint="eastAsia"/>
              </w:rPr>
              <w:t>厂界南侧、西侧、北侧</w:t>
            </w:r>
            <w:r>
              <w:t>执行《工业企业厂界环境噪声排放标准》（GB12348-2008）2类标准</w:t>
            </w:r>
            <w:r>
              <w:rPr>
                <w:rFonts w:hint="eastAsia"/>
              </w:rPr>
              <w:t>，厂界东侧执行4</w:t>
            </w:r>
            <w:r>
              <w:t>a</w:t>
            </w:r>
            <w:r>
              <w:rPr>
                <w:rFonts w:hint="eastAsia"/>
              </w:rPr>
              <w:t>类标准</w:t>
            </w:r>
            <w:r>
              <w:t>。</w:t>
            </w:r>
          </w:p>
          <w:p>
            <w:pPr>
              <w:pStyle w:val="35"/>
            </w:pPr>
            <w:r>
              <w:t>表3-7  噪声排放执行标准</w:t>
            </w:r>
          </w:p>
          <w:tbl>
            <w:tblPr>
              <w:tblStyle w:val="22"/>
              <w:tblW w:w="5000" w:type="pct"/>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452"/>
              <w:gridCol w:w="1452"/>
              <w:gridCol w:w="2571"/>
              <w:gridCol w:w="3006"/>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1712" w:type="pct"/>
                  <w:gridSpan w:val="2"/>
                  <w:tcBorders>
                    <w:left w:val="nil"/>
                    <w:bottom w:val="single" w:color="auto" w:sz="4" w:space="0"/>
                  </w:tcBorders>
                </w:tcPr>
                <w:p>
                  <w:pPr>
                    <w:pStyle w:val="33"/>
                    <w:rPr>
                      <w:b/>
                      <w:bCs/>
                    </w:rPr>
                  </w:pPr>
                  <w:r>
                    <w:rPr>
                      <w:b/>
                      <w:bCs/>
                    </w:rPr>
                    <w:t>类  别</w:t>
                  </w:r>
                </w:p>
              </w:tc>
              <w:tc>
                <w:tcPr>
                  <w:tcW w:w="1516" w:type="pct"/>
                </w:tcPr>
                <w:p>
                  <w:pPr>
                    <w:pStyle w:val="33"/>
                    <w:rPr>
                      <w:b/>
                      <w:bCs/>
                    </w:rPr>
                  </w:pPr>
                  <w:r>
                    <w:rPr>
                      <w:b/>
                      <w:bCs/>
                    </w:rPr>
                    <w:t>昼   间</w:t>
                  </w:r>
                </w:p>
              </w:tc>
              <w:tc>
                <w:tcPr>
                  <w:tcW w:w="1772" w:type="pct"/>
                  <w:tcBorders>
                    <w:right w:val="nil"/>
                  </w:tcBorders>
                </w:tcPr>
                <w:p>
                  <w:pPr>
                    <w:pStyle w:val="33"/>
                    <w:rPr>
                      <w:b/>
                      <w:bCs/>
                    </w:rPr>
                  </w:pPr>
                  <w:r>
                    <w:rPr>
                      <w:b/>
                      <w:bCs/>
                    </w:rPr>
                    <w:t>夜   间</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1712" w:type="pct"/>
                  <w:gridSpan w:val="2"/>
                  <w:tcBorders>
                    <w:top w:val="single" w:color="auto" w:sz="4" w:space="0"/>
                    <w:left w:val="nil"/>
                  </w:tcBorders>
                </w:tcPr>
                <w:p>
                  <w:pPr>
                    <w:pStyle w:val="33"/>
                  </w:pPr>
                  <w:r>
                    <w:t>施工期</w:t>
                  </w:r>
                </w:p>
              </w:tc>
              <w:tc>
                <w:tcPr>
                  <w:tcW w:w="1516" w:type="pct"/>
                </w:tcPr>
                <w:p>
                  <w:pPr>
                    <w:pStyle w:val="33"/>
                  </w:pPr>
                  <w:r>
                    <w:t>70</w:t>
                  </w:r>
                </w:p>
              </w:tc>
              <w:tc>
                <w:tcPr>
                  <w:tcW w:w="1772" w:type="pct"/>
                  <w:tcBorders>
                    <w:right w:val="nil"/>
                  </w:tcBorders>
                </w:tcPr>
                <w:p>
                  <w:pPr>
                    <w:pStyle w:val="33"/>
                  </w:pPr>
                  <w:r>
                    <w:t>55</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856" w:type="pct"/>
                  <w:vMerge w:val="restart"/>
                  <w:tcBorders>
                    <w:left w:val="nil"/>
                  </w:tcBorders>
                  <w:vAlign w:val="center"/>
                </w:tcPr>
                <w:p>
                  <w:pPr>
                    <w:pStyle w:val="33"/>
                  </w:pPr>
                  <w:r>
                    <w:t>运营期</w:t>
                  </w:r>
                </w:p>
              </w:tc>
              <w:tc>
                <w:tcPr>
                  <w:tcW w:w="856" w:type="pct"/>
                  <w:tcBorders>
                    <w:left w:val="nil"/>
                  </w:tcBorders>
                </w:tcPr>
                <w:p>
                  <w:pPr>
                    <w:pStyle w:val="33"/>
                  </w:pPr>
                  <w:r>
                    <w:t>2类</w:t>
                  </w:r>
                </w:p>
              </w:tc>
              <w:tc>
                <w:tcPr>
                  <w:tcW w:w="1516" w:type="pct"/>
                </w:tcPr>
                <w:p>
                  <w:pPr>
                    <w:pStyle w:val="33"/>
                  </w:pPr>
                  <w:r>
                    <w:t>60</w:t>
                  </w:r>
                </w:p>
              </w:tc>
              <w:tc>
                <w:tcPr>
                  <w:tcW w:w="1772" w:type="pct"/>
                  <w:tcBorders>
                    <w:right w:val="nil"/>
                  </w:tcBorders>
                </w:tcPr>
                <w:p>
                  <w:pPr>
                    <w:pStyle w:val="33"/>
                  </w:pPr>
                  <w:r>
                    <w:t>50</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856" w:type="pct"/>
                  <w:vMerge w:val="continue"/>
                  <w:tcBorders>
                    <w:left w:val="nil"/>
                  </w:tcBorders>
                  <w:vAlign w:val="center"/>
                </w:tcPr>
                <w:p>
                  <w:pPr>
                    <w:pStyle w:val="33"/>
                  </w:pPr>
                </w:p>
              </w:tc>
              <w:tc>
                <w:tcPr>
                  <w:tcW w:w="856" w:type="pct"/>
                  <w:tcBorders>
                    <w:left w:val="nil"/>
                  </w:tcBorders>
                </w:tcPr>
                <w:p>
                  <w:pPr>
                    <w:pStyle w:val="33"/>
                  </w:pPr>
                  <w:r>
                    <w:rPr>
                      <w:rFonts w:hint="eastAsia"/>
                    </w:rPr>
                    <w:t>4</w:t>
                  </w:r>
                  <w:r>
                    <w:t>a类</w:t>
                  </w:r>
                </w:p>
              </w:tc>
              <w:tc>
                <w:tcPr>
                  <w:tcW w:w="1516" w:type="pct"/>
                </w:tcPr>
                <w:p>
                  <w:pPr>
                    <w:pStyle w:val="33"/>
                  </w:pPr>
                  <w:r>
                    <w:rPr>
                      <w:rFonts w:hint="eastAsia"/>
                    </w:rPr>
                    <w:t>7</w:t>
                  </w:r>
                  <w:r>
                    <w:t>0</w:t>
                  </w:r>
                </w:p>
              </w:tc>
              <w:tc>
                <w:tcPr>
                  <w:tcW w:w="1772" w:type="pct"/>
                  <w:tcBorders>
                    <w:right w:val="nil"/>
                  </w:tcBorders>
                </w:tcPr>
                <w:p>
                  <w:pPr>
                    <w:pStyle w:val="33"/>
                  </w:pPr>
                  <w:r>
                    <w:rPr>
                      <w:rFonts w:hint="eastAsia"/>
                    </w:rPr>
                    <w:t>5</w:t>
                  </w:r>
                  <w:r>
                    <w:t>5</w:t>
                  </w:r>
                </w:p>
              </w:tc>
            </w:tr>
          </w:tbl>
          <w:p>
            <w:pPr>
              <w:ind w:firstLine="482"/>
              <w:rPr>
                <w:b/>
                <w:bCs/>
              </w:rPr>
            </w:pPr>
            <w:r>
              <w:rPr>
                <w:b/>
                <w:bCs/>
              </w:rPr>
              <w:t>3、固体废物标准</w:t>
            </w:r>
          </w:p>
          <w:p>
            <w:pPr>
              <w:ind w:firstLine="480"/>
            </w:pPr>
            <w:r>
              <w:rPr>
                <w:bCs/>
              </w:rPr>
              <w:t>一般工业固废执行《</w:t>
            </w:r>
            <w:r>
              <w:rPr>
                <w:rFonts w:hint="eastAsia"/>
                <w:bCs/>
              </w:rPr>
              <w:t>一般工业固体废物贮存和填埋污染控制标准</w:t>
            </w:r>
            <w:r>
              <w:rPr>
                <w:bCs/>
              </w:rPr>
              <w:t>》（GB18599-2020）</w:t>
            </w:r>
            <w:r>
              <w:t>。</w:t>
            </w:r>
            <w:r>
              <w:rPr>
                <w:rFonts w:hint="eastAsia"/>
              </w:rPr>
              <w:t>危险废物在厂区暂存执行《危险废物贮存污染控制标准》（G</w:t>
            </w:r>
            <w:r>
              <w:t>B18597-2001</w:t>
            </w:r>
            <w:r>
              <w:rPr>
                <w:rFonts w:hint="eastAsia"/>
              </w:rPr>
              <w:t>）及其修改单的相关要求。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768" w:type="dxa"/>
            <w:vAlign w:val="center"/>
          </w:tcPr>
          <w:p>
            <w:pPr>
              <w:ind w:firstLine="0" w:firstLineChars="0"/>
            </w:pPr>
            <w:r>
              <w:rPr>
                <w:rFonts w:hint="eastAsia"/>
              </w:rPr>
              <w:t>总量控制指标</w:t>
            </w:r>
          </w:p>
        </w:tc>
        <w:tc>
          <w:tcPr>
            <w:tcW w:w="8222" w:type="dxa"/>
            <w:vAlign w:val="center"/>
          </w:tcPr>
          <w:p>
            <w:pPr>
              <w:ind w:firstLine="480"/>
            </w:pPr>
            <w:r>
              <w:rPr>
                <w:rFonts w:hint="eastAsia"/>
              </w:rPr>
              <w:t>本项目生产过程中，无涉及总量控制指标的废气污染物产生；生活废水依托现有旱厕处理，定期清掏；水洗产生的废水循环使用不外排。故本项目不涉及总量控制指标。</w:t>
            </w:r>
          </w:p>
          <w:p>
            <w:pPr>
              <w:ind w:firstLine="480"/>
            </w:pPr>
          </w:p>
          <w:p>
            <w:pPr>
              <w:ind w:firstLine="480"/>
            </w:pPr>
          </w:p>
          <w:p>
            <w:pPr>
              <w:ind w:firstLine="480"/>
            </w:pPr>
          </w:p>
          <w:p>
            <w:pPr>
              <w:ind w:firstLine="480"/>
            </w:pPr>
          </w:p>
          <w:p>
            <w:pPr>
              <w:ind w:firstLine="480"/>
            </w:pPr>
          </w:p>
        </w:tc>
      </w:tr>
    </w:tbl>
    <w:p>
      <w:pPr>
        <w:pStyle w:val="2"/>
        <w:ind w:firstLine="640"/>
        <w:rPr>
          <w:snapToGrid w:val="0"/>
        </w:rPr>
        <w:sectPr>
          <w:pgSz w:w="11906" w:h="16838"/>
          <w:pgMar w:top="1440" w:right="1800" w:bottom="1440" w:left="1800" w:header="992" w:footer="992" w:gutter="0"/>
          <w:cols w:space="425" w:num="1"/>
          <w:docGrid w:type="lines" w:linePitch="312" w:charSpace="0"/>
        </w:sectPr>
      </w:pPr>
    </w:p>
    <w:p>
      <w:pPr>
        <w:pStyle w:val="2"/>
        <w:ind w:firstLine="640"/>
      </w:pPr>
      <w:r>
        <w:rPr>
          <w:rFonts w:hint="eastAsia"/>
          <w:snapToGrid w:val="0"/>
        </w:rPr>
        <w:t>四、主要环境影响和保护措施</w:t>
      </w:r>
    </w:p>
    <w:tbl>
      <w:tblPr>
        <w:tblStyle w:val="22"/>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80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0" w:hRule="atLeast"/>
          <w:jc w:val="center"/>
        </w:trPr>
        <w:tc>
          <w:tcPr>
            <w:tcW w:w="829" w:type="dxa"/>
            <w:tcMar>
              <w:left w:w="28" w:type="dxa"/>
              <w:right w:w="28" w:type="dxa"/>
            </w:tcMar>
            <w:vAlign w:val="center"/>
          </w:tcPr>
          <w:p>
            <w:pPr>
              <w:ind w:firstLine="0" w:firstLineChars="0"/>
              <w:jc w:val="center"/>
              <w:rPr>
                <w:rFonts w:ascii="宋体" w:hAnsi="宋体" w:cs="宋体"/>
                <w:bCs/>
                <w:szCs w:val="21"/>
              </w:rPr>
            </w:pPr>
            <w:r>
              <w:rPr>
                <w:rFonts w:hint="eastAsia" w:ascii="宋体" w:hAnsi="宋体" w:cs="宋体"/>
                <w:szCs w:val="21"/>
              </w:rPr>
              <w:t>施工期环境保护措施</w:t>
            </w:r>
          </w:p>
        </w:tc>
        <w:tc>
          <w:tcPr>
            <w:tcW w:w="8079" w:type="dxa"/>
            <w:vAlign w:val="center"/>
          </w:tcPr>
          <w:p>
            <w:pPr>
              <w:ind w:firstLine="482"/>
              <w:rPr>
                <w:b/>
                <w:bCs/>
              </w:rPr>
            </w:pPr>
            <w:bookmarkStart w:id="21" w:name="_Toc168312904"/>
            <w:bookmarkStart w:id="22" w:name="_Toc168121571"/>
            <w:bookmarkStart w:id="23" w:name="_Toc168121379"/>
            <w:bookmarkStart w:id="24" w:name="_Toc156819103"/>
            <w:bookmarkStart w:id="25" w:name="_Toc167859200"/>
            <w:r>
              <w:rPr>
                <w:b/>
                <w:bCs/>
              </w:rPr>
              <w:t>1废气防治措施</w:t>
            </w:r>
          </w:p>
          <w:p>
            <w:pPr>
              <w:ind w:firstLine="480"/>
            </w:pPr>
            <w:r>
              <w:t>为有效地防治环境空气污染，建议采用以下防护措施：</w:t>
            </w:r>
          </w:p>
          <w:p>
            <w:pPr>
              <w:ind w:firstLine="480"/>
            </w:pPr>
            <w:r>
              <w:t>1</w:t>
            </w:r>
            <w:r>
              <w:rPr>
                <w:rFonts w:hint="eastAsia"/>
              </w:rPr>
              <w:t>）</w:t>
            </w:r>
            <w:r>
              <w:t>施工场地每天定期洒水，防止浮尘产生；</w:t>
            </w:r>
          </w:p>
          <w:p>
            <w:pPr>
              <w:ind w:firstLine="480"/>
            </w:pPr>
            <w:r>
              <w:t>2</w:t>
            </w:r>
            <w:r>
              <w:rPr>
                <w:rFonts w:hint="eastAsia"/>
              </w:rPr>
              <w:t>）</w:t>
            </w:r>
            <w:r>
              <w:t>施工场地内运输通道要硬化并及时清扫、冲洗，以减少汽车行驶扬尘；</w:t>
            </w:r>
          </w:p>
          <w:p>
            <w:pPr>
              <w:ind w:firstLine="480"/>
            </w:pPr>
            <w:r>
              <w:t>3</w:t>
            </w:r>
            <w:r>
              <w:rPr>
                <w:rFonts w:hint="eastAsia"/>
              </w:rPr>
              <w:t>）</w:t>
            </w:r>
            <w:r>
              <w:t>运输车辆进入施工场地应低速或限速行驶，以减少产尘量；</w:t>
            </w:r>
          </w:p>
          <w:p>
            <w:pPr>
              <w:ind w:firstLine="480"/>
            </w:pPr>
            <w:r>
              <w:t>4</w:t>
            </w:r>
            <w:r>
              <w:rPr>
                <w:rFonts w:hint="eastAsia"/>
              </w:rPr>
              <w:t>）</w:t>
            </w:r>
            <w:r>
              <w:t>避免起尘材料的露天堆放，多尘物料应用帆布覆盖；</w:t>
            </w:r>
          </w:p>
          <w:p>
            <w:pPr>
              <w:ind w:firstLine="480"/>
            </w:pPr>
            <w:r>
              <w:t>5</w:t>
            </w:r>
            <w:r>
              <w:rPr>
                <w:rFonts w:hint="eastAsia"/>
              </w:rPr>
              <w:t>）</w:t>
            </w:r>
            <w:r>
              <w:t>尽量选用烟气量少、节省燃料的内燃机械；</w:t>
            </w:r>
          </w:p>
          <w:p>
            <w:pPr>
              <w:ind w:firstLine="480"/>
            </w:pPr>
            <w:r>
              <w:t>6</w:t>
            </w:r>
            <w:r>
              <w:rPr>
                <w:rFonts w:hint="eastAsia"/>
              </w:rPr>
              <w:t>）</w:t>
            </w:r>
            <w:r>
              <w:t>施工场地设连续围档</w:t>
            </w:r>
            <w:r>
              <w:rPr>
                <w:rFonts w:hint="eastAsia"/>
              </w:rPr>
              <w:t>；</w:t>
            </w:r>
          </w:p>
          <w:p>
            <w:pPr>
              <w:ind w:firstLine="480"/>
            </w:pPr>
            <w:r>
              <w:t>7</w:t>
            </w:r>
            <w:r>
              <w:rPr>
                <w:rFonts w:hint="eastAsia"/>
              </w:rPr>
              <w:t>）</w:t>
            </w:r>
            <w:r>
              <w:t>运输车辆应按照规定的配置防洒落装备，装载不宜过满；</w:t>
            </w:r>
          </w:p>
          <w:p>
            <w:pPr>
              <w:ind w:firstLine="480"/>
            </w:pPr>
            <w:r>
              <w:t>8</w:t>
            </w:r>
            <w:r>
              <w:rPr>
                <w:rFonts w:hint="eastAsia"/>
              </w:rPr>
              <w:t>）</w:t>
            </w:r>
            <w:r>
              <w:t>施工结束后，应及时对施工场地地面、道路进行恢复。</w:t>
            </w:r>
          </w:p>
          <w:p>
            <w:pPr>
              <w:ind w:firstLine="480"/>
              <w:rPr>
                <w:color w:val="FF0000"/>
              </w:rPr>
            </w:pPr>
            <w:r>
              <w:rPr>
                <w:rFonts w:hint="eastAsia"/>
              </w:rPr>
              <w:t>9）</w:t>
            </w:r>
            <w:r>
              <w:rPr>
                <w:rFonts w:hint="eastAsia"/>
                <w:color w:val="FF0000"/>
              </w:rPr>
              <w:t>施工期对临近西北侧村庄厂界要及时洒水降尘，减少施工量，施工单位加强施工期的管理，避免大风期间施工。</w:t>
            </w:r>
          </w:p>
          <w:p>
            <w:pPr>
              <w:ind w:firstLine="480"/>
            </w:pPr>
            <w:r>
              <w:t>施工期扬尘对大气环境的影响是短暂的，随着施工期的结束而消失，只要采取以上施工扬尘的控制措施，施工期对大气环境的影响是有限的。</w:t>
            </w:r>
          </w:p>
          <w:p>
            <w:pPr>
              <w:ind w:firstLine="482"/>
              <w:rPr>
                <w:b/>
                <w:bCs/>
              </w:rPr>
            </w:pPr>
            <w:r>
              <w:rPr>
                <w:rFonts w:hint="eastAsia"/>
                <w:b/>
                <w:bCs/>
              </w:rPr>
              <w:t>2</w:t>
            </w:r>
            <w:r>
              <w:rPr>
                <w:b/>
                <w:bCs/>
              </w:rPr>
              <w:t>废水环境防治措施</w:t>
            </w:r>
          </w:p>
          <w:p>
            <w:pPr>
              <w:ind w:firstLine="480"/>
            </w:pPr>
            <w:r>
              <w:t>施工期废水主要为施工人员施工废水和生活污水。施工废水主要包括：露天堆放的垃圾和弃土受雨水冲洗所产生的泥浆，施工期挖土等所使用的机械设备在使用和维护过程中可能发生渗油以及通过雨水、人工冲洗所形成的含油和泥沙的污水。施工废水经简易沉淀池处理后回用</w:t>
            </w:r>
            <w:r>
              <w:rPr>
                <w:rFonts w:hint="eastAsia"/>
              </w:rPr>
              <w:t>，生活污水依托厂区现有旱厕处理。</w:t>
            </w:r>
          </w:p>
          <w:p>
            <w:pPr>
              <w:ind w:firstLine="482"/>
              <w:rPr>
                <w:b/>
                <w:bCs/>
              </w:rPr>
            </w:pPr>
            <w:r>
              <w:rPr>
                <w:b/>
                <w:bCs/>
              </w:rPr>
              <w:t>3</w:t>
            </w:r>
            <w:r>
              <w:rPr>
                <w:rFonts w:hint="eastAsia"/>
                <w:b/>
                <w:bCs/>
              </w:rPr>
              <w:t xml:space="preserve"> </w:t>
            </w:r>
            <w:r>
              <w:rPr>
                <w:b/>
                <w:bCs/>
              </w:rPr>
              <w:t>噪声防治措施</w:t>
            </w:r>
          </w:p>
          <w:bookmarkEnd w:id="21"/>
          <w:bookmarkEnd w:id="22"/>
          <w:bookmarkEnd w:id="23"/>
          <w:bookmarkEnd w:id="24"/>
          <w:bookmarkEnd w:id="25"/>
          <w:p>
            <w:pPr>
              <w:ind w:firstLine="480"/>
            </w:pPr>
            <w:r>
              <w:t>为减少施工噪声影响，项目可采取以下防护措施：</w:t>
            </w:r>
          </w:p>
          <w:p>
            <w:pPr>
              <w:ind w:firstLine="480"/>
            </w:pPr>
            <w:r>
              <w:t>1</w:t>
            </w:r>
            <w:r>
              <w:rPr>
                <w:rFonts w:hint="eastAsia"/>
              </w:rPr>
              <w:t>）</w:t>
            </w:r>
            <w:r>
              <w:t>高噪声施工设备尽量安排在日间作业，</w:t>
            </w:r>
            <w:r>
              <w:rPr>
                <w:rFonts w:hint="eastAsia"/>
              </w:rPr>
              <w:t>禁止</w:t>
            </w:r>
            <w:r>
              <w:t>夜间施工量；</w:t>
            </w:r>
          </w:p>
          <w:p>
            <w:pPr>
              <w:ind w:firstLine="480"/>
            </w:pPr>
            <w:r>
              <w:t>2</w:t>
            </w:r>
            <w:r>
              <w:rPr>
                <w:rFonts w:hint="eastAsia"/>
              </w:rPr>
              <w:t>）</w:t>
            </w:r>
            <w:r>
              <w:t>避免在同一地点安排大量动力机械设备，以避免局部声级过高；</w:t>
            </w:r>
          </w:p>
          <w:p>
            <w:pPr>
              <w:ind w:firstLine="480"/>
            </w:pPr>
            <w:r>
              <w:t>3</w:t>
            </w:r>
            <w:r>
              <w:rPr>
                <w:rFonts w:hint="eastAsia"/>
              </w:rPr>
              <w:t>）</w:t>
            </w:r>
            <w:r>
              <w:t>施工设备选型上尽量采用低噪声设备，如采用高频振捣器等；</w:t>
            </w:r>
          </w:p>
          <w:p>
            <w:pPr>
              <w:ind w:firstLine="480"/>
            </w:pPr>
            <w:r>
              <w:t>4</w:t>
            </w:r>
            <w:r>
              <w:rPr>
                <w:rFonts w:hint="eastAsia"/>
              </w:rPr>
              <w:t>）</w:t>
            </w:r>
            <w:r>
              <w:t>对动力机械设备进行定期维修、养护，避免设备因部件松动引起的振动或消声器的损坏而增大噪声；</w:t>
            </w:r>
          </w:p>
          <w:p>
            <w:pPr>
              <w:ind w:firstLine="480"/>
            </w:pPr>
            <w:r>
              <w:t>5</w:t>
            </w:r>
            <w:r>
              <w:rPr>
                <w:rFonts w:hint="eastAsia"/>
              </w:rPr>
              <w:t>）</w:t>
            </w:r>
            <w:r>
              <w:t>模板、支架拆卸过程中，遵守作业规定，减少碰撞噪音；</w:t>
            </w:r>
          </w:p>
          <w:p>
            <w:pPr>
              <w:ind w:firstLine="480"/>
            </w:pPr>
            <w:r>
              <w:t>6</w:t>
            </w:r>
            <w:r>
              <w:rPr>
                <w:rFonts w:hint="eastAsia"/>
              </w:rPr>
              <w:t>）</w:t>
            </w:r>
            <w:r>
              <w:t>尽量少用哨子、喇叭等指挥作业，减少人为噪声；</w:t>
            </w:r>
          </w:p>
          <w:p>
            <w:pPr>
              <w:ind w:firstLine="480"/>
              <w:rPr>
                <w:color w:val="FF0000"/>
              </w:rPr>
            </w:pPr>
            <w:r>
              <w:rPr>
                <w:rFonts w:hint="eastAsia"/>
                <w:color w:val="FF0000"/>
              </w:rPr>
              <w:t>7）施工期对临近西北侧村庄厂界要尽量减少施工作业，禁止</w:t>
            </w:r>
            <w:r>
              <w:rPr>
                <w:color w:val="FF0000"/>
              </w:rPr>
              <w:t>夜间施工</w:t>
            </w:r>
            <w:r>
              <w:rPr>
                <w:rFonts w:hint="eastAsia"/>
                <w:color w:val="FF0000"/>
              </w:rPr>
              <w:t>，施工单位加强施工期的管理，同时购买商品混凝土，避免使用混凝土搅拌机。</w:t>
            </w:r>
          </w:p>
          <w:p>
            <w:pPr>
              <w:ind w:firstLine="482"/>
              <w:rPr>
                <w:b/>
                <w:bCs/>
              </w:rPr>
            </w:pPr>
            <w:r>
              <w:rPr>
                <w:b/>
                <w:bCs/>
              </w:rPr>
              <w:t>4</w:t>
            </w:r>
            <w:r>
              <w:rPr>
                <w:rFonts w:hint="eastAsia"/>
                <w:b/>
                <w:bCs/>
              </w:rPr>
              <w:t xml:space="preserve"> </w:t>
            </w:r>
            <w:r>
              <w:rPr>
                <w:b/>
                <w:bCs/>
              </w:rPr>
              <w:t>固体废物防治措施</w:t>
            </w:r>
          </w:p>
          <w:p>
            <w:pPr>
              <w:ind w:firstLine="480"/>
            </w:pPr>
            <w:r>
              <w:t>施工期产生的固体废弃物主要为建筑施工垃圾和生活垃圾。</w:t>
            </w:r>
          </w:p>
          <w:p>
            <w:pPr>
              <w:ind w:firstLine="480"/>
            </w:pPr>
            <w:r>
              <w:t>建筑施工垃圾主要包括：建筑废模块、建筑材料下角料、破钢管、断残钢筋头、包装袋以及废旧设备等建筑施工垃圾，弃土、废沙石、建筑弃渣等没有回收价值的建筑材料废弃物，以及废木料、废钢材、塑料等后期装修废料等，应收集后由环卫部门统一清运。</w:t>
            </w:r>
          </w:p>
          <w:p>
            <w:pPr>
              <w:ind w:firstLine="480"/>
            </w:pPr>
            <w:r>
              <w:t>生活垃圾经收集后由环卫部门定期清运至指定地点。</w:t>
            </w:r>
          </w:p>
          <w:p>
            <w:pPr>
              <w:ind w:firstLine="0" w:firstLineChars="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829" w:type="dxa"/>
            <w:tcMar>
              <w:left w:w="28" w:type="dxa"/>
              <w:right w:w="28" w:type="dxa"/>
            </w:tcMar>
            <w:vAlign w:val="center"/>
          </w:tcPr>
          <w:p>
            <w:pPr>
              <w:ind w:firstLine="0" w:firstLineChars="0"/>
              <w:jc w:val="center"/>
              <w:rPr>
                <w:rFonts w:ascii="宋体" w:hAnsi="宋体" w:cs="宋体"/>
                <w:szCs w:val="21"/>
              </w:rPr>
            </w:pPr>
            <w:bookmarkStart w:id="26" w:name="_Hlk78365085"/>
            <w:r>
              <w:rPr>
                <w:rFonts w:hint="eastAsia" w:ascii="宋体" w:hAnsi="宋体" w:cs="宋体"/>
                <w:bCs/>
                <w:szCs w:val="21"/>
              </w:rPr>
              <w:t>运营期环境影响和保护措施</w:t>
            </w:r>
          </w:p>
        </w:tc>
        <w:tc>
          <w:tcPr>
            <w:tcW w:w="8079" w:type="dxa"/>
            <w:vAlign w:val="center"/>
          </w:tcPr>
          <w:p>
            <w:pPr>
              <w:ind w:firstLine="480"/>
            </w:pPr>
            <w:r>
              <w:rPr>
                <w:rFonts w:hint="eastAsia"/>
              </w:rPr>
              <w:t>项目运营期主要污染物为废气、废水、噪声和固体废物等污染物。</w:t>
            </w:r>
          </w:p>
          <w:p>
            <w:pPr>
              <w:ind w:firstLine="482"/>
              <w:rPr>
                <w:b/>
                <w:bCs/>
              </w:rPr>
            </w:pPr>
            <w:r>
              <w:rPr>
                <w:rFonts w:hint="eastAsia"/>
                <w:b/>
                <w:bCs/>
              </w:rPr>
              <w:t>1废气</w:t>
            </w:r>
          </w:p>
          <w:p>
            <w:pPr>
              <w:ind w:firstLine="482"/>
              <w:rPr>
                <w:b/>
                <w:bCs/>
              </w:rPr>
            </w:pPr>
            <w:bookmarkStart w:id="27" w:name="_Hlk74215781"/>
            <w:r>
              <w:rPr>
                <w:rFonts w:hint="eastAsia"/>
                <w:b/>
                <w:bCs/>
              </w:rPr>
              <w:t>1</w:t>
            </w:r>
            <w:r>
              <w:rPr>
                <w:b/>
                <w:bCs/>
              </w:rPr>
              <w:t>.1</w:t>
            </w:r>
            <w:r>
              <w:rPr>
                <w:rFonts w:hint="eastAsia"/>
                <w:b/>
                <w:bCs/>
              </w:rPr>
              <w:t>大气污染源源强核算及污染物产排情况</w:t>
            </w:r>
          </w:p>
          <w:p>
            <w:pPr>
              <w:ind w:firstLine="480"/>
            </w:pPr>
            <w:r>
              <w:rPr>
                <w:rFonts w:hint="eastAsia"/>
              </w:rPr>
              <w:t>本项目废气污染源来源于：废品（废钢铁、废塑料、废纸）运输产生的粉尘、废钢铁回收卸料、分拣、切割产生的粉尘；废塑料卸料、分拣产生的粉尘；废纸卸料、分拣、压缩打包产生的粉尘；废骨头堆存产生的恶臭气体。</w:t>
            </w:r>
          </w:p>
          <w:p>
            <w:pPr>
              <w:ind w:firstLine="482"/>
              <w:rPr>
                <w:b/>
                <w:bCs/>
              </w:rPr>
            </w:pPr>
            <w:r>
              <w:rPr>
                <w:rFonts w:hint="eastAsia"/>
                <w:b/>
                <w:bCs/>
              </w:rPr>
              <w:t>（</w:t>
            </w:r>
            <w:r>
              <w:rPr>
                <w:b/>
                <w:bCs/>
              </w:rPr>
              <w:t>1</w:t>
            </w:r>
            <w:r>
              <w:rPr>
                <w:rFonts w:hint="eastAsia"/>
                <w:b/>
                <w:bCs/>
              </w:rPr>
              <w:t>）运输车辆动力起尘</w:t>
            </w:r>
          </w:p>
          <w:p>
            <w:pPr>
              <w:ind w:firstLine="480"/>
            </w:pPr>
            <w:r>
              <w:rPr>
                <w:rFonts w:hint="eastAsia"/>
              </w:rPr>
              <w:t>本项目的废品均采用汽车运输，汽车运输由于碾压卷带等会产生一定的扬尘对道路两侧一定范围内会造成污染。扬尘量的大小与车流量、道路状况、气候条件、汽车行驶速度等均有关系。根据汽车道路扬尘扩散规模，在大气干燥和地面风速低于</w:t>
            </w:r>
            <w:r>
              <w:t>4m/s</w:t>
            </w:r>
            <w:r>
              <w:rPr>
                <w:rFonts w:hint="eastAsia"/>
              </w:rPr>
              <w:t>条件下，汽车行驶时引起的路面扬尘量与汽车速度成正比，与汽车质量成正比，与道路表面扬尘量成正比，其汽车道路扬尘量按下列经验公式估算：</w:t>
            </w:r>
          </w:p>
          <w:p>
            <w:pPr>
              <w:pStyle w:val="35"/>
              <w:rPr>
                <w:b w:val="0"/>
                <w:sz w:val="24"/>
              </w:rPr>
            </w:pPr>
            <w:r>
              <w:rPr>
                <w:b w:val="0"/>
                <w:sz w:val="24"/>
              </w:rPr>
              <w:drawing>
                <wp:inline distT="0" distB="0" distL="0" distR="0">
                  <wp:extent cx="2027555" cy="5753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9"/>
                          <a:stretch>
                            <a:fillRect/>
                          </a:stretch>
                        </pic:blipFill>
                        <pic:spPr>
                          <a:xfrm>
                            <a:off x="0" y="0"/>
                            <a:ext cx="2069332" cy="587589"/>
                          </a:xfrm>
                          <a:prstGeom prst="rect">
                            <a:avLst/>
                          </a:prstGeom>
                        </pic:spPr>
                      </pic:pic>
                    </a:graphicData>
                  </a:graphic>
                </wp:inline>
              </w:drawing>
            </w:r>
          </w:p>
          <w:p>
            <w:pPr>
              <w:ind w:firstLine="480"/>
            </w:pPr>
            <w:r>
              <w:rPr>
                <w:rFonts w:hint="eastAsia"/>
              </w:rPr>
              <w:t>式中：</w:t>
            </w:r>
            <w:r>
              <w:t>Q</w:t>
            </w:r>
            <w:r>
              <w:rPr>
                <w:rFonts w:hint="eastAsia"/>
              </w:rPr>
              <w:t>——汽车行驶的扬尘，</w:t>
            </w:r>
            <w:r>
              <w:t>kg/km</w:t>
            </w:r>
            <w:r>
              <w:rPr>
                <w:rFonts w:hint="eastAsia"/>
              </w:rPr>
              <w:t>·辆；</w:t>
            </w:r>
          </w:p>
          <w:p>
            <w:pPr>
              <w:ind w:firstLine="480"/>
            </w:pPr>
            <w:r>
              <w:t>V</w:t>
            </w:r>
            <w:r>
              <w:rPr>
                <w:rFonts w:hint="eastAsia"/>
              </w:rPr>
              <w:t>——汽车速度，</w:t>
            </w:r>
            <w:r>
              <w:t>km/h</w:t>
            </w:r>
            <w:r>
              <w:rPr>
                <w:rFonts w:hint="eastAsia"/>
              </w:rPr>
              <w:t>；</w:t>
            </w:r>
          </w:p>
          <w:p>
            <w:pPr>
              <w:ind w:firstLine="480"/>
            </w:pPr>
            <w:r>
              <w:t>W</w:t>
            </w:r>
            <w:r>
              <w:rPr>
                <w:rFonts w:hint="eastAsia"/>
              </w:rPr>
              <w:t>——汽车载重量，</w:t>
            </w:r>
            <w:r>
              <w:t>t</w:t>
            </w:r>
            <w:r>
              <w:rPr>
                <w:rFonts w:hint="eastAsia"/>
              </w:rPr>
              <w:t>；</w:t>
            </w:r>
          </w:p>
          <w:p>
            <w:pPr>
              <w:ind w:firstLine="480"/>
            </w:pPr>
            <w:r>
              <w:t>P</w:t>
            </w:r>
            <w:r>
              <w:rPr>
                <w:rFonts w:hint="eastAsia"/>
              </w:rPr>
              <w:t>——道路表面颗粒物量，</w:t>
            </w:r>
            <w:r>
              <w:t>kg/m</w:t>
            </w:r>
            <w:r>
              <w:rPr>
                <w:vertAlign w:val="superscript"/>
              </w:rPr>
              <w:t>2</w:t>
            </w:r>
            <w:r>
              <w:rPr>
                <w:rFonts w:hint="eastAsia"/>
              </w:rPr>
              <w:t>。</w:t>
            </w:r>
          </w:p>
          <w:p>
            <w:pPr>
              <w:ind w:firstLine="480"/>
            </w:pPr>
            <w:r>
              <w:rPr>
                <w:rFonts w:hint="eastAsia"/>
                <w:color w:val="FF0000"/>
              </w:rPr>
              <w:t>本项目车辆在厂区行驶距离按</w:t>
            </w:r>
            <w:r>
              <w:rPr>
                <w:color w:val="FF0000"/>
              </w:rPr>
              <w:t xml:space="preserve">100m </w:t>
            </w:r>
            <w:r>
              <w:rPr>
                <w:rFonts w:hint="eastAsia"/>
                <w:color w:val="FF0000"/>
              </w:rPr>
              <w:t>计，</w:t>
            </w:r>
            <w:r>
              <w:rPr>
                <w:rFonts w:hint="eastAsia"/>
              </w:rPr>
              <w:t>原料及成品年运输量约为</w:t>
            </w:r>
            <w:r>
              <w:t>25</w:t>
            </w:r>
            <w:r>
              <w:rPr>
                <w:rFonts w:hint="eastAsia"/>
              </w:rPr>
              <w:t>万吨，全年发车</w:t>
            </w:r>
            <w:r>
              <w:t>5000</w:t>
            </w:r>
            <w:r>
              <w:rPr>
                <w:rFonts w:hint="eastAsia"/>
              </w:rPr>
              <w:t>辆·次；车重约</w:t>
            </w:r>
            <w:r>
              <w:t>50t</w:t>
            </w:r>
            <w:r>
              <w:rPr>
                <w:rFonts w:hint="eastAsia"/>
              </w:rPr>
              <w:t>。汽车在厂区内的行驶速度一般不超过</w:t>
            </w:r>
            <w:r>
              <w:t>10km/h</w:t>
            </w:r>
            <w:r>
              <w:rPr>
                <w:rFonts w:hint="eastAsia"/>
              </w:rPr>
              <w:t>，道路表面颗粒物的量为</w:t>
            </w:r>
            <w:r>
              <w:t>0.2kg/m</w:t>
            </w:r>
            <w:r>
              <w:rPr>
                <w:vertAlign w:val="superscript"/>
              </w:rPr>
              <w:t>2</w:t>
            </w:r>
            <w:r>
              <w:rPr>
                <w:rFonts w:hint="eastAsia"/>
              </w:rPr>
              <w:t>。</w:t>
            </w:r>
          </w:p>
          <w:p>
            <w:pPr>
              <w:ind w:firstLine="480"/>
            </w:pPr>
            <w:r>
              <w:rPr>
                <w:rFonts w:hint="eastAsia"/>
              </w:rPr>
              <w:t>根据以上数据计算可知，汽车行驶的扬尘为</w:t>
            </w:r>
            <w:r>
              <w:t>0.681kg/km</w:t>
            </w:r>
            <w:r>
              <w:rPr>
                <w:rFonts w:hint="eastAsia"/>
              </w:rPr>
              <w:t>·辆，本项目厂区内的汽车扬尘量约为</w:t>
            </w:r>
            <w:r>
              <w:t>0.3405t/a</w:t>
            </w:r>
            <w:r>
              <w:rPr>
                <w:rFonts w:hint="eastAsia"/>
              </w:rPr>
              <w:t>。为了最大限度减小原材料及成品运输对外环境带来的不利影响，评价要求采取以下措施：</w:t>
            </w:r>
          </w:p>
          <w:p>
            <w:pPr>
              <w:ind w:firstLine="480"/>
            </w:pPr>
            <w:r>
              <w:rPr>
                <w:rFonts w:hint="eastAsia"/>
              </w:rPr>
              <w:t>①项目厂区裸露地面全部进行硬化，及时对厂区内地面进行洒水降尘、清扫；</w:t>
            </w:r>
          </w:p>
          <w:p>
            <w:pPr>
              <w:ind w:firstLine="480"/>
            </w:pPr>
            <w:r>
              <w:rPr>
                <w:rFonts w:hint="eastAsia"/>
              </w:rPr>
              <w:t>②汽车进入厂区后要减速慢行，装满物料后应加盖篷布防止运输过程中物料抛洒泄漏及颗粒物飞扬；</w:t>
            </w:r>
          </w:p>
          <w:p>
            <w:pPr>
              <w:ind w:firstLine="480"/>
            </w:pPr>
            <w:r>
              <w:rPr>
                <w:rFonts w:hint="eastAsia"/>
              </w:rPr>
              <w:t>③对厂区及附近的道路实施洒水抑尘作业，主要运输道路设专人负责定期清扫，防止积尘；</w:t>
            </w:r>
          </w:p>
          <w:p>
            <w:pPr>
              <w:ind w:firstLine="480"/>
            </w:pPr>
            <w:r>
              <w:rPr>
                <w:rFonts w:hint="eastAsia"/>
              </w:rPr>
              <w:t>经采取以上措施后可大大减小运输道路扬尘，使扬尘降低</w:t>
            </w:r>
            <w:r>
              <w:t>80%</w:t>
            </w:r>
            <w:r>
              <w:rPr>
                <w:rFonts w:hint="eastAsia"/>
              </w:rPr>
              <w:t>左右，即汽车运输扬尘排放量为</w:t>
            </w:r>
            <w:r>
              <w:t>0.0681t/a</w:t>
            </w:r>
            <w:r>
              <w:rPr>
                <w:rFonts w:hint="eastAsia"/>
              </w:rPr>
              <w:t>，大大降低了运输颗粒物对外环境的影响。</w:t>
            </w:r>
          </w:p>
          <w:p>
            <w:pPr>
              <w:ind w:firstLine="482"/>
              <w:rPr>
                <w:b/>
                <w:bCs/>
              </w:rPr>
            </w:pPr>
            <w:bookmarkStart w:id="28" w:name="_Hlk78365164"/>
            <w:r>
              <w:rPr>
                <w:rFonts w:hint="eastAsia"/>
                <w:b/>
                <w:bCs/>
              </w:rPr>
              <w:t>（2）原料装卸扬尘</w:t>
            </w:r>
          </w:p>
          <w:p>
            <w:pPr>
              <w:ind w:firstLine="480"/>
            </w:pPr>
            <w:r>
              <w:rPr>
                <w:rFonts w:hint="eastAsia"/>
              </w:rPr>
              <w:t>本项目年回收废品约为</w:t>
            </w:r>
            <w:r>
              <w:t>15</w:t>
            </w:r>
            <w:r>
              <w:rPr>
                <w:rFonts w:hint="eastAsia"/>
              </w:rPr>
              <w:t>万t，废纸、废塑料附着灰尘较少，可以忽略不计；本次评价只对废钢铁（5万t</w:t>
            </w:r>
            <w:r>
              <w:t>/a</w:t>
            </w:r>
            <w:r>
              <w:rPr>
                <w:rFonts w:hint="eastAsia"/>
              </w:rPr>
              <w:t>）附着灰尘及铁锈做分析：来自于周边地区收购的废铁，其大多附着灰尘、铁锈，在卸车过程中会有粉尘的扩散，参考分析《新乡市亚洲金属科技有限公司年处理30 万吨废钢加工利用项目》环境影响评价报告表数据得知，每吨废铁表面附着的粉尘及铁锈占废铁总量的万分之一，即约</w:t>
            </w:r>
            <w:r>
              <w:t>5</w:t>
            </w:r>
            <w:r>
              <w:rPr>
                <w:rFonts w:hint="eastAsia"/>
              </w:rPr>
              <w:t>t/a，其中有20%会在卸车时因振动脱落，在装卸车时，及时对厂区内地面进行洒水降尘，使扬尘降低80%左右因此粉尘产生量为</w:t>
            </w:r>
            <w:r>
              <w:t>0.2</w:t>
            </w:r>
            <w:r>
              <w:rPr>
                <w:rFonts w:hint="eastAsia"/>
              </w:rPr>
              <w:t>t/a。</w:t>
            </w:r>
          </w:p>
          <w:p>
            <w:pPr>
              <w:ind w:firstLine="482"/>
              <w:rPr>
                <w:b/>
                <w:bCs/>
              </w:rPr>
            </w:pPr>
            <w:r>
              <w:rPr>
                <w:rFonts w:hint="eastAsia"/>
                <w:b/>
                <w:bCs/>
              </w:rPr>
              <w:t>（3）分拣粉尘</w:t>
            </w:r>
          </w:p>
          <w:p>
            <w:pPr>
              <w:ind w:firstLine="480"/>
            </w:pPr>
            <w:r>
              <w:rPr>
                <w:rFonts w:hint="eastAsia"/>
              </w:rPr>
              <w:t>废钢铁、废塑料、废纸在人工分拣及废纸压缩打包时会产生少量的粉尘，项目年分拣废铁、废塑料、废纸共计1</w:t>
            </w:r>
            <w:r>
              <w:t>5</w:t>
            </w:r>
            <w:r>
              <w:rPr>
                <w:rFonts w:hint="eastAsia"/>
              </w:rPr>
              <w:t>万吨，，产尘量按照万分之一计，则产生量约为</w:t>
            </w:r>
            <w:r>
              <w:t>15t/a</w:t>
            </w:r>
            <w:r>
              <w:rPr>
                <w:rFonts w:hint="eastAsia"/>
              </w:rPr>
              <w:t>，</w:t>
            </w:r>
            <w:r>
              <w:rPr>
                <w:rFonts w:hint="eastAsia"/>
                <w:color w:val="FF0000"/>
              </w:rPr>
              <w:t>通过自然沉降和洒水降尘可使粉尘降低至</w:t>
            </w:r>
            <w:r>
              <w:rPr>
                <w:color w:val="FF0000"/>
              </w:rPr>
              <w:t>80</w:t>
            </w:r>
            <w:r>
              <w:rPr>
                <w:rFonts w:hint="eastAsia"/>
                <w:color w:val="FF0000"/>
              </w:rPr>
              <w:t>%左右，</w:t>
            </w:r>
            <w:r>
              <w:rPr>
                <w:rFonts w:hint="eastAsia"/>
              </w:rPr>
              <w:t>因此粉尘产生量为</w:t>
            </w:r>
            <w:r>
              <w:t>3</w:t>
            </w:r>
            <w:r>
              <w:rPr>
                <w:rFonts w:hint="eastAsia"/>
              </w:rPr>
              <w:t>t/a。</w:t>
            </w:r>
          </w:p>
          <w:p>
            <w:pPr>
              <w:ind w:firstLine="482"/>
              <w:rPr>
                <w:b/>
                <w:bCs/>
              </w:rPr>
            </w:pPr>
            <w:r>
              <w:rPr>
                <w:rFonts w:hint="eastAsia"/>
                <w:b/>
                <w:bCs/>
              </w:rPr>
              <w:t>（</w:t>
            </w:r>
            <w:r>
              <w:rPr>
                <w:b/>
                <w:bCs/>
              </w:rPr>
              <w:t>4</w:t>
            </w:r>
            <w:r>
              <w:rPr>
                <w:rFonts w:hint="eastAsia"/>
                <w:b/>
                <w:bCs/>
              </w:rPr>
              <w:t>）废钢铁切割粉尘</w:t>
            </w:r>
          </w:p>
          <w:p>
            <w:pPr>
              <w:ind w:firstLine="480"/>
            </w:pPr>
            <w:r>
              <w:rPr>
                <w:rFonts w:hint="eastAsia"/>
              </w:rPr>
              <w:t>本项目年回收废钢铁为5万吨，根据业主提供资料约</w:t>
            </w:r>
            <w:r>
              <w:t>2</w:t>
            </w:r>
            <w:r>
              <w:rPr>
                <w:rFonts w:hint="eastAsia"/>
              </w:rPr>
              <w:t>万吨废钢铁需要进行切割，根据《第二次全国污染源普查产排污量核算系数手册》4</w:t>
            </w:r>
            <w:r>
              <w:t>210</w:t>
            </w:r>
            <w:r>
              <w:rPr>
                <w:rFonts w:hint="eastAsia"/>
              </w:rPr>
              <w:t>金属废料和碎屑行业系数手册，废钢铁切割颗粒物产生系数为1</w:t>
            </w:r>
            <w:r>
              <w:t>.0</w:t>
            </w:r>
            <w:r>
              <w:rPr>
                <w:rFonts w:hint="eastAsia"/>
              </w:rPr>
              <w:t>克/吨-原料，则本项目废钢铁切割时颗粒物产生量为</w:t>
            </w:r>
            <w:r>
              <w:t>0.02t/a</w:t>
            </w:r>
            <w:r>
              <w:rPr>
                <w:rFonts w:hint="eastAsia"/>
              </w:rPr>
              <w:t>，年运行3</w:t>
            </w:r>
            <w:r>
              <w:t>30</w:t>
            </w:r>
            <w:r>
              <w:rPr>
                <w:rFonts w:hint="eastAsia"/>
              </w:rPr>
              <w:t>天，一天切割为8小时，则颗粒物产生速率为</w:t>
            </w:r>
            <w:r>
              <w:t>0.0076kg/h</w:t>
            </w:r>
            <w:r>
              <w:rPr>
                <w:rFonts w:hint="eastAsia"/>
              </w:rPr>
              <w:t>。由于切割产生的颗粒物多数为金属颗粒，</w:t>
            </w:r>
            <w:r>
              <w:rPr>
                <w:rFonts w:hint="eastAsia"/>
                <w:color w:val="FF0000"/>
              </w:rPr>
              <w:t>通过自然沉降后（约</w:t>
            </w:r>
            <w:r>
              <w:rPr>
                <w:color w:val="FF0000"/>
              </w:rPr>
              <w:t>50%</w:t>
            </w:r>
            <w:r>
              <w:rPr>
                <w:rFonts w:hint="eastAsia"/>
                <w:color w:val="FF0000"/>
              </w:rPr>
              <w:t>）无组织排放，则排放量为</w:t>
            </w:r>
            <w:r>
              <w:rPr>
                <w:color w:val="FF0000"/>
              </w:rPr>
              <w:t>0.01t/a</w:t>
            </w:r>
            <w:r>
              <w:rPr>
                <w:rFonts w:hint="eastAsia"/>
                <w:color w:val="FF0000"/>
              </w:rPr>
              <w:t>、排放速率为</w:t>
            </w:r>
            <w:r>
              <w:rPr>
                <w:color w:val="FF0000"/>
              </w:rPr>
              <w:t>0.0038kg/h</w:t>
            </w:r>
            <w:r>
              <w:rPr>
                <w:rFonts w:hint="eastAsia"/>
                <w:color w:val="FF0000"/>
              </w:rPr>
              <w:t>。</w:t>
            </w:r>
          </w:p>
          <w:p>
            <w:pPr>
              <w:ind w:firstLine="482"/>
              <w:rPr>
                <w:b/>
                <w:bCs/>
                <w:color w:val="FF0000"/>
              </w:rPr>
            </w:pPr>
            <w:r>
              <w:rPr>
                <w:rFonts w:hint="eastAsia"/>
                <w:b/>
                <w:bCs/>
                <w:color w:val="FF0000"/>
              </w:rPr>
              <w:t>（</w:t>
            </w:r>
            <w:r>
              <w:rPr>
                <w:b/>
                <w:bCs/>
                <w:color w:val="FF0000"/>
              </w:rPr>
              <w:t>5</w:t>
            </w:r>
            <w:r>
              <w:rPr>
                <w:rFonts w:hint="eastAsia"/>
                <w:b/>
                <w:bCs/>
                <w:color w:val="FF0000"/>
              </w:rPr>
              <w:t>）骨头及废动植物油回收区产生的恶臭</w:t>
            </w:r>
          </w:p>
          <w:p>
            <w:pPr>
              <w:ind w:firstLine="480"/>
              <w:rPr>
                <w:rFonts w:hint="eastAsia"/>
                <w:color w:val="FF0000"/>
              </w:rPr>
            </w:pPr>
            <w:r>
              <w:rPr>
                <w:rFonts w:hint="eastAsia"/>
                <w:color w:val="FF0000"/>
              </w:rPr>
              <w:t>项目回收后的骨头（约4</w:t>
            </w:r>
            <w:r>
              <w:rPr>
                <w:color w:val="FF0000"/>
              </w:rPr>
              <w:t>0t/a</w:t>
            </w:r>
            <w:r>
              <w:rPr>
                <w:rFonts w:hint="eastAsia"/>
                <w:color w:val="FF0000"/>
              </w:rPr>
              <w:t>）在厂区内储存，储存过程中会有恶臭产生，此次整改要求建设封闭式厂房（2</w:t>
            </w:r>
            <w:r>
              <w:rPr>
                <w:color w:val="FF0000"/>
              </w:rPr>
              <w:t>0m</w:t>
            </w:r>
            <w:r>
              <w:rPr>
                <w:rFonts w:hint="eastAsia"/>
                <w:color w:val="FF0000"/>
              </w:rPr>
              <w:t>×6</w:t>
            </w:r>
            <w:r>
              <w:rPr>
                <w:color w:val="FF0000"/>
              </w:rPr>
              <w:t>0m</w:t>
            </w:r>
            <w:r>
              <w:rPr>
                <w:rFonts w:hint="eastAsia"/>
                <w:color w:val="FF0000"/>
              </w:rPr>
              <w:t>）。类比</w:t>
            </w:r>
            <w:r>
              <w:rPr>
                <w:color w:val="FF0000"/>
              </w:rPr>
              <w:t>《</w:t>
            </w:r>
            <w:r>
              <w:rPr>
                <w:rFonts w:hint="eastAsia"/>
                <w:color w:val="FF0000"/>
              </w:rPr>
              <w:t>商丘市任达生物科技有限责任公司年产6万吨骨粒生产加工项目竣工环境保护验收监测报告</w:t>
            </w:r>
            <w:r>
              <w:rPr>
                <w:color w:val="FF0000"/>
              </w:rPr>
              <w:t>》</w:t>
            </w:r>
            <w:r>
              <w:rPr>
                <w:rFonts w:hint="eastAsia"/>
                <w:color w:val="FF0000"/>
              </w:rPr>
              <w:t>废骨头堆存产生的无组织废气，</w:t>
            </w:r>
            <w:r>
              <w:rPr>
                <w:color w:val="FF0000"/>
              </w:rPr>
              <w:t>类比项目厂区下风向</w:t>
            </w:r>
            <w:r>
              <w:rPr>
                <w:rFonts w:hint="eastAsia"/>
                <w:color w:val="FF0000"/>
              </w:rPr>
              <w:t>硫化氢</w:t>
            </w:r>
            <w:r>
              <w:rPr>
                <w:color w:val="FF0000"/>
              </w:rPr>
              <w:t>浓度为（0.002~0.005）mg/m</w:t>
            </w:r>
            <w:r>
              <w:rPr>
                <w:color w:val="FF0000"/>
                <w:vertAlign w:val="superscript"/>
              </w:rPr>
              <w:t>3</w:t>
            </w:r>
            <w:r>
              <w:rPr>
                <w:color w:val="FF0000"/>
              </w:rPr>
              <w:t>，氨气下风向浓度为</w:t>
            </w:r>
            <w:r>
              <w:rPr>
                <w:rFonts w:hint="eastAsia"/>
                <w:color w:val="FF0000"/>
              </w:rPr>
              <w:t>（0</w:t>
            </w:r>
            <w:r>
              <w:rPr>
                <w:color w:val="FF0000"/>
              </w:rPr>
              <w:t>.29 ~0.6</w:t>
            </w:r>
            <w:r>
              <w:rPr>
                <w:rFonts w:hint="eastAsia"/>
                <w:color w:val="FF0000"/>
              </w:rPr>
              <w:t>）</w:t>
            </w:r>
            <w:r>
              <w:rPr>
                <w:color w:val="FF0000"/>
              </w:rPr>
              <w:t>mg/m</w:t>
            </w:r>
            <w:r>
              <w:rPr>
                <w:color w:val="FF0000"/>
                <w:vertAlign w:val="superscript"/>
              </w:rPr>
              <w:t>3</w:t>
            </w:r>
            <w:r>
              <w:rPr>
                <w:color w:val="FF0000"/>
              </w:rPr>
              <w:t>，</w:t>
            </w:r>
            <w:r>
              <w:rPr>
                <w:rFonts w:hint="eastAsia"/>
                <w:color w:val="FF0000"/>
              </w:rPr>
              <w:t>臭气浓度为（</w:t>
            </w:r>
            <w:r>
              <w:rPr>
                <w:color w:val="FF0000"/>
              </w:rPr>
              <w:t>&lt;10~15</w:t>
            </w:r>
            <w:r>
              <w:rPr>
                <w:rFonts w:hint="eastAsia"/>
                <w:color w:val="FF0000"/>
              </w:rPr>
              <w:t>），验收时间为2</w:t>
            </w:r>
            <w:r>
              <w:rPr>
                <w:color w:val="FF0000"/>
              </w:rPr>
              <w:t>020</w:t>
            </w:r>
            <w:r>
              <w:rPr>
                <w:rFonts w:hint="eastAsia"/>
                <w:color w:val="FF0000"/>
              </w:rPr>
              <w:t>年6月。通过类比，本项目在废骨头在厂房内堆存，暂存时间为6个月，生产的硫化氢浓度为0.005mg/m</w:t>
            </w:r>
            <w:r>
              <w:rPr>
                <w:rFonts w:hint="eastAsia"/>
                <w:color w:val="FF0000"/>
                <w:vertAlign w:val="superscript"/>
              </w:rPr>
              <w:t>3</w:t>
            </w:r>
            <w:r>
              <w:rPr>
                <w:rFonts w:hint="eastAsia"/>
                <w:color w:val="FF0000"/>
              </w:rPr>
              <w:t>，氨气下风向浓度为0.6mg/m</w:t>
            </w:r>
            <w:r>
              <w:rPr>
                <w:rFonts w:hint="eastAsia"/>
                <w:color w:val="FF0000"/>
                <w:vertAlign w:val="superscript"/>
              </w:rPr>
              <w:t>3</w:t>
            </w:r>
            <w:r>
              <w:rPr>
                <w:rFonts w:hint="eastAsia"/>
                <w:color w:val="FF0000"/>
              </w:rPr>
              <w:t>，臭气浓度为15，本项目为减少恶臭气体的排放，评价要求企业，减少堆存时间，及时外售，同时喷洒天然植物提取液除臭，去除效率约为5</w:t>
            </w:r>
            <w:r>
              <w:rPr>
                <w:color w:val="FF0000"/>
              </w:rPr>
              <w:t>0%</w:t>
            </w:r>
            <w:r>
              <w:rPr>
                <w:rFonts w:hint="eastAsia"/>
                <w:color w:val="FF0000"/>
              </w:rPr>
              <w:t>，则N</w:t>
            </w:r>
            <w:r>
              <w:rPr>
                <w:color w:val="FF0000"/>
              </w:rPr>
              <w:t>H</w:t>
            </w:r>
            <w:r>
              <w:rPr>
                <w:color w:val="FF0000"/>
                <w:vertAlign w:val="subscript"/>
              </w:rPr>
              <w:t>3</w:t>
            </w:r>
            <w:r>
              <w:rPr>
                <w:rFonts w:hint="eastAsia"/>
                <w:color w:val="FF0000"/>
              </w:rPr>
              <w:t>的排放浓度为0.00</w:t>
            </w:r>
            <w:r>
              <w:rPr>
                <w:color w:val="FF0000"/>
              </w:rPr>
              <w:t>25</w:t>
            </w:r>
            <w:r>
              <w:rPr>
                <w:rFonts w:hint="eastAsia"/>
                <w:color w:val="FF0000"/>
              </w:rPr>
              <w:t>mg/m</w:t>
            </w:r>
            <w:r>
              <w:rPr>
                <w:rFonts w:hint="eastAsia"/>
                <w:color w:val="FF0000"/>
                <w:vertAlign w:val="superscript"/>
              </w:rPr>
              <w:t>3</w:t>
            </w:r>
            <w:r>
              <w:rPr>
                <w:rFonts w:hint="eastAsia"/>
                <w:color w:val="FF0000"/>
              </w:rPr>
              <w:t>，氨气排放浓度为</w:t>
            </w:r>
            <w:r>
              <w:rPr>
                <w:color w:val="FF0000"/>
              </w:rPr>
              <w:t>0.3</w:t>
            </w:r>
            <w:r>
              <w:rPr>
                <w:rFonts w:hint="eastAsia"/>
                <w:color w:val="FF0000"/>
              </w:rPr>
              <w:t>mg/m</w:t>
            </w:r>
            <w:r>
              <w:rPr>
                <w:rFonts w:hint="eastAsia"/>
                <w:color w:val="FF0000"/>
                <w:vertAlign w:val="superscript"/>
              </w:rPr>
              <w:t>3</w:t>
            </w:r>
            <w:r>
              <w:rPr>
                <w:rFonts w:hint="eastAsia"/>
                <w:color w:val="FF0000"/>
              </w:rPr>
              <w:t>，臭气浓度为</w:t>
            </w:r>
            <w:r>
              <w:rPr>
                <w:color w:val="FF0000"/>
              </w:rPr>
              <w:t>7.5</w:t>
            </w:r>
            <w:r>
              <w:rPr>
                <w:rFonts w:hint="eastAsia"/>
                <w:color w:val="FF0000"/>
              </w:rPr>
              <w:t>。</w:t>
            </w:r>
          </w:p>
          <w:p>
            <w:pPr>
              <w:ind w:firstLine="482"/>
              <w:rPr>
                <w:b/>
                <w:bCs/>
                <w:color w:val="FF0000"/>
              </w:rPr>
            </w:pPr>
            <w:r>
              <w:rPr>
                <w:rFonts w:hint="eastAsia"/>
                <w:b/>
                <w:bCs/>
                <w:color w:val="FF0000"/>
              </w:rPr>
              <w:t>（6）废动植物油回收暂存产生的恶臭</w:t>
            </w:r>
          </w:p>
          <w:p>
            <w:pPr>
              <w:ind w:firstLine="480"/>
              <w:rPr>
                <w:color w:val="FF0000"/>
              </w:rPr>
            </w:pPr>
            <w:r>
              <w:rPr>
                <w:rFonts w:hint="eastAsia"/>
                <w:color w:val="FF0000"/>
              </w:rPr>
              <w:t>项目回收的废动植物油约5</w:t>
            </w:r>
            <w:r>
              <w:rPr>
                <w:color w:val="FF0000"/>
              </w:rPr>
              <w:t>t/a</w:t>
            </w:r>
            <w:r>
              <w:rPr>
                <w:rFonts w:hint="eastAsia"/>
                <w:color w:val="FF0000"/>
              </w:rPr>
              <w:t>，由密闭容器包装存放在密闭房间内，产生的恶臭较小，评价要求企业，减少堆存时间，及时外售，</w:t>
            </w:r>
          </w:p>
          <w:p>
            <w:pPr>
              <w:ind w:firstLine="480"/>
              <w:rPr>
                <w:color w:val="FF0000"/>
              </w:rPr>
            </w:pPr>
            <w:r>
              <w:rPr>
                <w:rFonts w:hint="eastAsia"/>
                <w:color w:val="FF0000"/>
              </w:rPr>
              <w:t>（7）危废暂存间废气</w:t>
            </w:r>
          </w:p>
          <w:p>
            <w:pPr>
              <w:ind w:firstLine="480"/>
              <w:rPr>
                <w:color w:val="FF0000"/>
              </w:rPr>
            </w:pPr>
            <w:r>
              <w:rPr>
                <w:rFonts w:hint="eastAsia"/>
                <w:color w:val="FF0000"/>
              </w:rPr>
              <w:t>根据业主提供资料项目在废钢铁回收时，项目设备维修会产生少量的废矿物油（约</w:t>
            </w:r>
            <w:r>
              <w:rPr>
                <w:color w:val="FF0000"/>
              </w:rPr>
              <w:t>1.2t/a</w:t>
            </w:r>
            <w:r>
              <w:rPr>
                <w:rFonts w:hint="eastAsia"/>
                <w:color w:val="FF0000"/>
              </w:rPr>
              <w:t>），废矿物油桶装后暂存于危废暂存间内，暂存周期为1年后委托有资质的单位处理处置。</w:t>
            </w:r>
          </w:p>
          <w:p>
            <w:pPr>
              <w:ind w:firstLine="480"/>
              <w:rPr>
                <w:color w:val="FF0000"/>
              </w:rPr>
            </w:pPr>
            <w:r>
              <w:rPr>
                <w:rFonts w:hint="eastAsia"/>
                <w:color w:val="FF0000"/>
              </w:rPr>
              <w:t>危废暂存间产生的废气主要为废矿物油挥发的少量的有机废气（非甲烷总烃），本项目储存的危险废物主要为废矿物油、废油桶，废物类别HW08（国家危险废物名录（2021 年版）），由于目前尚无准确计算机油储期间非甲烷总烃的排放系数或计算模型，本次评价参照《散装液态石油产品损耗》（GB11085-1989）中的汽油最高输转损耗 0.12%（内蒙为 C 类地区）进行估算。根据建设单位提供资料，本项目危废暂存间废的储存量为</w:t>
            </w:r>
            <w:r>
              <w:rPr>
                <w:color w:val="FF0000"/>
              </w:rPr>
              <w:t>1.2</w:t>
            </w:r>
            <w:r>
              <w:rPr>
                <w:rFonts w:hint="eastAsia"/>
                <w:color w:val="FF0000"/>
              </w:rPr>
              <w:t>t/a，故本项目非甲烷总烃产生量为</w:t>
            </w:r>
            <w:r>
              <w:rPr>
                <w:color w:val="FF0000"/>
              </w:rPr>
              <w:t>0.00144</w:t>
            </w:r>
            <w:r>
              <w:rPr>
                <w:rFonts w:hint="eastAsia"/>
                <w:color w:val="FF0000"/>
              </w:rPr>
              <w:t>t/a（0.000</w:t>
            </w:r>
            <w:r>
              <w:rPr>
                <w:color w:val="FF0000"/>
              </w:rPr>
              <w:t>18</w:t>
            </w:r>
            <w:r>
              <w:rPr>
                <w:rFonts w:hint="eastAsia"/>
                <w:color w:val="FF0000"/>
              </w:rPr>
              <w:t>kg/h）。</w:t>
            </w:r>
          </w:p>
          <w:bookmarkEnd w:id="27"/>
          <w:bookmarkEnd w:id="28"/>
          <w:p>
            <w:pPr>
              <w:widowControl w:val="0"/>
              <w:ind w:firstLine="482"/>
              <w:rPr>
                <w:b/>
                <w:bCs/>
              </w:rPr>
            </w:pPr>
            <w:r>
              <w:rPr>
                <w:b/>
                <w:bCs/>
              </w:rPr>
              <w:t>1.2废气污染物排放环境影响分析</w:t>
            </w:r>
          </w:p>
          <w:p>
            <w:pPr>
              <w:ind w:firstLine="480"/>
              <w:rPr>
                <w:color w:val="FF0000"/>
              </w:rPr>
            </w:pPr>
            <w:r>
              <w:rPr>
                <w:rFonts w:hint="eastAsia"/>
              </w:rPr>
              <w:t>项目原料及产品运输产生的扬尘通过对地面硬化、及时洒水降尘、控制车速等措施后可大大减小运输道路扬尘，减少了运输颗粒物对外环境的影响。原料（回收的废品）装卸产生的扬尘主要为废钢铁装卸时产生的粉尘，通过对地面及时洒水降尘，可减少颗粒物对外环境的影响。</w:t>
            </w:r>
            <w:r>
              <w:rPr>
                <w:rFonts w:hint="eastAsia"/>
                <w:color w:val="FF0000"/>
              </w:rPr>
              <w:t>废纸、废钢铁、废塑料分拣时产生的粉尘通过及时洒水降尘可减少颗粒物对外环境的影响。</w:t>
            </w:r>
            <w:r>
              <w:rPr>
                <w:rFonts w:hint="eastAsia"/>
              </w:rPr>
              <w:t>废钢铁切割烟尘大部分自然沉降，排放量很少，对外环境影响较小。骨头暂存产生的恶臭气体通过建设封闭厂房、喷洒植物液除臭可减少恶臭气体对周围环境的影响，</w:t>
            </w:r>
            <w:r>
              <w:rPr>
                <w:rFonts w:hint="eastAsia"/>
                <w:color w:val="FF0000"/>
              </w:rPr>
              <w:t>危废暂存间产生的少量挥发性有机废气经通风装置外排，对周围环境影响不大。</w:t>
            </w:r>
          </w:p>
          <w:p>
            <w:pPr>
              <w:ind w:firstLine="480"/>
            </w:pPr>
            <w:r>
              <w:rPr>
                <w:rFonts w:hint="eastAsia"/>
              </w:rPr>
              <w:t>通过以上措施后，项目原料及产品运输、装卸及废钢铁切割产生的颗粒物可达到《大气污染物综合排放标准》中无组织排放限值。骨头堆存产生的恶臭气体能满足《恶臭污染物排放标准》中厂界限值。</w:t>
            </w:r>
          </w:p>
          <w:p>
            <w:pPr>
              <w:widowControl w:val="0"/>
              <w:ind w:firstLine="480"/>
            </w:pPr>
            <w:r>
              <w:t>综上所述，项目大气污染物排放对周边大气环境影响较小。</w:t>
            </w:r>
          </w:p>
        </w:tc>
      </w:tr>
    </w:tbl>
    <w:p>
      <w:pPr>
        <w:ind w:firstLine="0" w:firstLineChars="0"/>
        <w:jc w:val="center"/>
        <w:rPr>
          <w:rFonts w:ascii="宋体" w:hAnsi="宋体" w:cs="宋体"/>
          <w:bCs/>
          <w:szCs w:val="21"/>
        </w:rPr>
        <w:sectPr>
          <w:pgSz w:w="11906" w:h="16838"/>
          <w:pgMar w:top="1440" w:right="1800" w:bottom="1440" w:left="1800" w:header="992" w:footer="992" w:gutter="0"/>
          <w:cols w:space="425" w:num="1"/>
          <w:docGrid w:type="lines" w:linePitch="312" w:charSpace="0"/>
        </w:sectPr>
      </w:pPr>
    </w:p>
    <w:p>
      <w:pPr>
        <w:widowControl w:val="0"/>
        <w:spacing w:line="240" w:lineRule="auto"/>
        <w:ind w:firstLine="0" w:firstLineChars="0"/>
        <w:jc w:val="center"/>
        <w:rPr>
          <w:rFonts w:cs="Times New Roman"/>
          <w:b/>
          <w:kern w:val="2"/>
          <w:sz w:val="21"/>
          <w:szCs w:val="21"/>
        </w:rPr>
      </w:pPr>
      <w:bookmarkStart w:id="29" w:name="_Hlk72754997"/>
      <w:bookmarkStart w:id="30" w:name="_Hlk72759179"/>
      <w:r>
        <w:rPr>
          <w:rFonts w:cs="Times New Roman"/>
          <w:b/>
          <w:kern w:val="2"/>
          <w:sz w:val="21"/>
          <w:szCs w:val="21"/>
        </w:rPr>
        <w:t xml:space="preserve">表4-1  </w:t>
      </w:r>
      <w:r>
        <w:rPr>
          <w:rFonts w:hint="eastAsia" w:cs="Times New Roman"/>
          <w:b/>
          <w:kern w:val="2"/>
          <w:sz w:val="21"/>
          <w:szCs w:val="21"/>
        </w:rPr>
        <w:t>本项目废气</w:t>
      </w:r>
      <w:r>
        <w:rPr>
          <w:rFonts w:cs="Times New Roman"/>
          <w:b/>
          <w:kern w:val="2"/>
          <w:sz w:val="21"/>
          <w:szCs w:val="21"/>
        </w:rPr>
        <w:t>污染物排放情况一览表</w:t>
      </w:r>
    </w:p>
    <w:bookmarkEnd w:id="29"/>
    <w:tbl>
      <w:tblPr>
        <w:tblStyle w:val="22"/>
        <w:tblW w:w="486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7"/>
        <w:gridCol w:w="1135"/>
        <w:gridCol w:w="707"/>
        <w:gridCol w:w="707"/>
        <w:gridCol w:w="991"/>
        <w:gridCol w:w="709"/>
        <w:gridCol w:w="566"/>
        <w:gridCol w:w="569"/>
        <w:gridCol w:w="566"/>
        <w:gridCol w:w="1135"/>
        <w:gridCol w:w="569"/>
        <w:gridCol w:w="709"/>
        <w:gridCol w:w="707"/>
        <w:gridCol w:w="712"/>
        <w:gridCol w:w="1560"/>
        <w:gridCol w:w="850"/>
        <w:gridCol w:w="709"/>
        <w:gridCol w:w="5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26" w:type="pct"/>
            <w:vMerge w:val="restart"/>
            <w:vAlign w:val="center"/>
          </w:tcPr>
          <w:p>
            <w:pPr>
              <w:pStyle w:val="33"/>
              <w:rPr>
                <w:b/>
                <w:bCs/>
              </w:rPr>
            </w:pPr>
            <w:r>
              <w:rPr>
                <w:rFonts w:hint="eastAsia"/>
                <w:b/>
                <w:bCs/>
              </w:rPr>
              <w:t>序</w:t>
            </w:r>
            <w:r>
              <w:rPr>
                <w:b/>
                <w:bCs/>
              </w:rPr>
              <w:t>号</w:t>
            </w:r>
          </w:p>
        </w:tc>
        <w:tc>
          <w:tcPr>
            <w:tcW w:w="411" w:type="pct"/>
            <w:vMerge w:val="restart"/>
            <w:vAlign w:val="center"/>
          </w:tcPr>
          <w:p>
            <w:pPr>
              <w:pStyle w:val="33"/>
              <w:rPr>
                <w:b/>
                <w:bCs/>
              </w:rPr>
            </w:pPr>
            <w:r>
              <w:rPr>
                <w:b/>
                <w:bCs/>
              </w:rPr>
              <w:t>废气产污环节</w:t>
            </w:r>
          </w:p>
        </w:tc>
        <w:tc>
          <w:tcPr>
            <w:tcW w:w="256" w:type="pct"/>
            <w:vMerge w:val="restart"/>
            <w:vAlign w:val="center"/>
          </w:tcPr>
          <w:p>
            <w:pPr>
              <w:pStyle w:val="33"/>
              <w:rPr>
                <w:b/>
                <w:bCs/>
              </w:rPr>
            </w:pPr>
            <w:r>
              <w:rPr>
                <w:b/>
                <w:bCs/>
              </w:rPr>
              <w:t>污染物种类</w:t>
            </w:r>
          </w:p>
        </w:tc>
        <w:tc>
          <w:tcPr>
            <w:tcW w:w="615" w:type="pct"/>
            <w:gridSpan w:val="2"/>
            <w:vAlign w:val="center"/>
          </w:tcPr>
          <w:p>
            <w:pPr>
              <w:pStyle w:val="33"/>
              <w:rPr>
                <w:b/>
                <w:bCs/>
              </w:rPr>
            </w:pPr>
            <w:r>
              <w:rPr>
                <w:b/>
                <w:bCs/>
              </w:rPr>
              <w:t>污染物产生情况</w:t>
            </w:r>
          </w:p>
        </w:tc>
        <w:tc>
          <w:tcPr>
            <w:tcW w:w="257" w:type="pct"/>
            <w:vMerge w:val="restart"/>
            <w:vAlign w:val="center"/>
          </w:tcPr>
          <w:p>
            <w:pPr>
              <w:pStyle w:val="33"/>
              <w:rPr>
                <w:b/>
                <w:bCs/>
              </w:rPr>
            </w:pPr>
            <w:r>
              <w:rPr>
                <w:b/>
                <w:bCs/>
              </w:rPr>
              <w:t>排放形式</w:t>
            </w:r>
          </w:p>
        </w:tc>
        <w:tc>
          <w:tcPr>
            <w:tcW w:w="616" w:type="pct"/>
            <w:gridSpan w:val="3"/>
            <w:vAlign w:val="center"/>
          </w:tcPr>
          <w:p>
            <w:pPr>
              <w:pStyle w:val="33"/>
              <w:rPr>
                <w:b/>
                <w:bCs/>
              </w:rPr>
            </w:pPr>
            <w:r>
              <w:rPr>
                <w:rFonts w:hint="eastAsia"/>
                <w:b/>
                <w:bCs/>
                <w:kern w:val="2"/>
                <w:sz w:val="18"/>
                <w:szCs w:val="18"/>
              </w:rPr>
              <w:t>排放参数</w:t>
            </w:r>
          </w:p>
        </w:tc>
        <w:tc>
          <w:tcPr>
            <w:tcW w:w="617" w:type="pct"/>
            <w:gridSpan w:val="2"/>
            <w:vAlign w:val="center"/>
          </w:tcPr>
          <w:p>
            <w:pPr>
              <w:pStyle w:val="33"/>
              <w:rPr>
                <w:b/>
                <w:bCs/>
              </w:rPr>
            </w:pPr>
            <w:r>
              <w:rPr>
                <w:b/>
                <w:bCs/>
              </w:rPr>
              <w:t>污染治理设施</w:t>
            </w:r>
          </w:p>
        </w:tc>
        <w:tc>
          <w:tcPr>
            <w:tcW w:w="771" w:type="pct"/>
            <w:gridSpan w:val="3"/>
            <w:vAlign w:val="center"/>
          </w:tcPr>
          <w:p>
            <w:pPr>
              <w:pStyle w:val="33"/>
              <w:rPr>
                <w:b/>
                <w:bCs/>
              </w:rPr>
            </w:pPr>
            <w:r>
              <w:rPr>
                <w:b/>
                <w:bCs/>
              </w:rPr>
              <w:t>污染物排放情况</w:t>
            </w:r>
          </w:p>
        </w:tc>
        <w:tc>
          <w:tcPr>
            <w:tcW w:w="565" w:type="pct"/>
            <w:vMerge w:val="restart"/>
            <w:vAlign w:val="center"/>
          </w:tcPr>
          <w:p>
            <w:pPr>
              <w:pStyle w:val="33"/>
              <w:rPr>
                <w:b/>
                <w:bCs/>
              </w:rPr>
            </w:pPr>
            <w:r>
              <w:rPr>
                <w:b/>
                <w:bCs/>
              </w:rPr>
              <w:t>执行标准</w:t>
            </w:r>
          </w:p>
        </w:tc>
        <w:tc>
          <w:tcPr>
            <w:tcW w:w="766" w:type="pct"/>
            <w:gridSpan w:val="3"/>
            <w:vAlign w:val="center"/>
          </w:tcPr>
          <w:p>
            <w:pPr>
              <w:pStyle w:val="33"/>
              <w:rPr>
                <w:b/>
                <w:bCs/>
              </w:rPr>
            </w:pPr>
            <w:r>
              <w:rPr>
                <w:b/>
                <w:bCs/>
              </w:rPr>
              <w:t>跟踪监测计划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26" w:type="pct"/>
            <w:vMerge w:val="continue"/>
            <w:vAlign w:val="center"/>
          </w:tcPr>
          <w:p>
            <w:pPr>
              <w:pStyle w:val="33"/>
              <w:rPr>
                <w:b/>
                <w:bCs/>
              </w:rPr>
            </w:pPr>
          </w:p>
        </w:tc>
        <w:tc>
          <w:tcPr>
            <w:tcW w:w="411" w:type="pct"/>
            <w:vMerge w:val="continue"/>
            <w:vAlign w:val="center"/>
          </w:tcPr>
          <w:p>
            <w:pPr>
              <w:pStyle w:val="33"/>
              <w:rPr>
                <w:b/>
                <w:bCs/>
              </w:rPr>
            </w:pPr>
          </w:p>
        </w:tc>
        <w:tc>
          <w:tcPr>
            <w:tcW w:w="256" w:type="pct"/>
            <w:vMerge w:val="continue"/>
            <w:vAlign w:val="center"/>
          </w:tcPr>
          <w:p>
            <w:pPr>
              <w:pStyle w:val="33"/>
              <w:rPr>
                <w:b/>
                <w:bCs/>
              </w:rPr>
            </w:pPr>
          </w:p>
        </w:tc>
        <w:tc>
          <w:tcPr>
            <w:tcW w:w="256" w:type="pct"/>
            <w:vAlign w:val="center"/>
          </w:tcPr>
          <w:p>
            <w:pPr>
              <w:pStyle w:val="33"/>
              <w:rPr>
                <w:b/>
                <w:bCs/>
              </w:rPr>
            </w:pPr>
            <w:r>
              <w:rPr>
                <w:rFonts w:hint="eastAsia"/>
                <w:b/>
                <w:bCs/>
              </w:rPr>
              <w:t>产生速率</w:t>
            </w:r>
            <w:r>
              <w:rPr>
                <w:rFonts w:cs="Times New Roman"/>
                <w:b/>
                <w:bCs/>
              </w:rPr>
              <w:t>kg/h</w:t>
            </w:r>
          </w:p>
        </w:tc>
        <w:tc>
          <w:tcPr>
            <w:tcW w:w="359" w:type="pct"/>
            <w:vAlign w:val="center"/>
          </w:tcPr>
          <w:p>
            <w:pPr>
              <w:pStyle w:val="33"/>
              <w:rPr>
                <w:b/>
                <w:bCs/>
              </w:rPr>
            </w:pPr>
            <w:r>
              <w:rPr>
                <w:rFonts w:hint="eastAsia"/>
                <w:b/>
                <w:bCs/>
              </w:rPr>
              <w:t>产生量t/a</w:t>
            </w:r>
          </w:p>
        </w:tc>
        <w:tc>
          <w:tcPr>
            <w:tcW w:w="257" w:type="pct"/>
            <w:vMerge w:val="continue"/>
            <w:vAlign w:val="center"/>
          </w:tcPr>
          <w:p>
            <w:pPr>
              <w:pStyle w:val="33"/>
              <w:rPr>
                <w:b/>
                <w:bCs/>
              </w:rPr>
            </w:pPr>
          </w:p>
        </w:tc>
        <w:tc>
          <w:tcPr>
            <w:tcW w:w="205" w:type="pct"/>
            <w:vAlign w:val="center"/>
          </w:tcPr>
          <w:p>
            <w:pPr>
              <w:pStyle w:val="33"/>
              <w:rPr>
                <w:b/>
                <w:bCs/>
              </w:rPr>
            </w:pPr>
            <w:r>
              <w:rPr>
                <w:b/>
                <w:bCs/>
              </w:rPr>
              <w:t>长m</w:t>
            </w:r>
          </w:p>
        </w:tc>
        <w:tc>
          <w:tcPr>
            <w:tcW w:w="206" w:type="pct"/>
            <w:vAlign w:val="center"/>
          </w:tcPr>
          <w:p>
            <w:pPr>
              <w:pStyle w:val="33"/>
              <w:rPr>
                <w:b/>
                <w:bCs/>
              </w:rPr>
            </w:pPr>
            <w:r>
              <w:rPr>
                <w:b/>
                <w:bCs/>
              </w:rPr>
              <w:t>宽m</w:t>
            </w:r>
          </w:p>
        </w:tc>
        <w:tc>
          <w:tcPr>
            <w:tcW w:w="205" w:type="pct"/>
            <w:vAlign w:val="center"/>
          </w:tcPr>
          <w:p>
            <w:pPr>
              <w:pStyle w:val="33"/>
              <w:rPr>
                <w:b/>
                <w:bCs/>
              </w:rPr>
            </w:pPr>
            <w:r>
              <w:rPr>
                <w:b/>
                <w:bCs/>
              </w:rPr>
              <w:t>高m</w:t>
            </w:r>
          </w:p>
        </w:tc>
        <w:tc>
          <w:tcPr>
            <w:tcW w:w="411" w:type="pct"/>
            <w:vAlign w:val="center"/>
          </w:tcPr>
          <w:p>
            <w:pPr>
              <w:pStyle w:val="33"/>
              <w:rPr>
                <w:b/>
                <w:bCs/>
              </w:rPr>
            </w:pPr>
            <w:r>
              <w:rPr>
                <w:b/>
                <w:bCs/>
              </w:rPr>
              <w:t>工艺名称或方式</w:t>
            </w:r>
          </w:p>
        </w:tc>
        <w:tc>
          <w:tcPr>
            <w:tcW w:w="206" w:type="pct"/>
            <w:vAlign w:val="center"/>
          </w:tcPr>
          <w:p>
            <w:pPr>
              <w:pStyle w:val="33"/>
              <w:rPr>
                <w:b/>
                <w:bCs/>
              </w:rPr>
            </w:pPr>
            <w:r>
              <w:rPr>
                <w:b/>
                <w:bCs/>
              </w:rPr>
              <w:t>处理效率</w:t>
            </w:r>
          </w:p>
        </w:tc>
        <w:tc>
          <w:tcPr>
            <w:tcW w:w="257" w:type="pct"/>
            <w:vAlign w:val="center"/>
          </w:tcPr>
          <w:p>
            <w:pPr>
              <w:pStyle w:val="33"/>
              <w:rPr>
                <w:b/>
                <w:bCs/>
              </w:rPr>
            </w:pPr>
            <w:r>
              <w:rPr>
                <w:rFonts w:hint="eastAsia"/>
                <w:b/>
                <w:bCs/>
              </w:rPr>
              <w:t>排放浓度</w:t>
            </w:r>
            <w:r>
              <w:rPr>
                <w:rFonts w:cs="Times New Roman"/>
                <w:b/>
                <w:bCs/>
              </w:rPr>
              <w:t>mg/m</w:t>
            </w:r>
            <w:r>
              <w:rPr>
                <w:rFonts w:cs="Times New Roman"/>
                <w:b/>
                <w:bCs/>
                <w:vertAlign w:val="superscript"/>
              </w:rPr>
              <w:t>3</w:t>
            </w:r>
          </w:p>
        </w:tc>
        <w:tc>
          <w:tcPr>
            <w:tcW w:w="256" w:type="pct"/>
            <w:vAlign w:val="center"/>
          </w:tcPr>
          <w:p>
            <w:pPr>
              <w:pStyle w:val="33"/>
              <w:rPr>
                <w:b/>
                <w:bCs/>
              </w:rPr>
            </w:pPr>
            <w:r>
              <w:rPr>
                <w:rFonts w:hint="eastAsia"/>
                <w:b/>
                <w:bCs/>
              </w:rPr>
              <w:t>排放速率</w:t>
            </w:r>
            <w:r>
              <w:rPr>
                <w:rFonts w:cs="Times New Roman"/>
                <w:b/>
                <w:bCs/>
              </w:rPr>
              <w:t>kg/h</w:t>
            </w:r>
          </w:p>
        </w:tc>
        <w:tc>
          <w:tcPr>
            <w:tcW w:w="258" w:type="pct"/>
            <w:vAlign w:val="center"/>
          </w:tcPr>
          <w:p>
            <w:pPr>
              <w:pStyle w:val="33"/>
              <w:rPr>
                <w:b/>
                <w:bCs/>
              </w:rPr>
            </w:pPr>
            <w:r>
              <w:rPr>
                <w:rFonts w:hint="eastAsia"/>
                <w:b/>
                <w:bCs/>
              </w:rPr>
              <w:t>排放量t/a</w:t>
            </w:r>
          </w:p>
        </w:tc>
        <w:tc>
          <w:tcPr>
            <w:tcW w:w="565" w:type="pct"/>
            <w:vMerge w:val="continue"/>
            <w:vAlign w:val="center"/>
          </w:tcPr>
          <w:p>
            <w:pPr>
              <w:pStyle w:val="33"/>
              <w:rPr>
                <w:b/>
                <w:bCs/>
              </w:rPr>
            </w:pPr>
          </w:p>
        </w:tc>
        <w:tc>
          <w:tcPr>
            <w:tcW w:w="308" w:type="pct"/>
            <w:vAlign w:val="center"/>
          </w:tcPr>
          <w:p>
            <w:pPr>
              <w:pStyle w:val="33"/>
              <w:rPr>
                <w:b/>
                <w:bCs/>
              </w:rPr>
            </w:pPr>
            <w:r>
              <w:rPr>
                <w:b/>
                <w:bCs/>
              </w:rPr>
              <w:t>监测点位</w:t>
            </w:r>
          </w:p>
        </w:tc>
        <w:tc>
          <w:tcPr>
            <w:tcW w:w="257" w:type="pct"/>
            <w:vAlign w:val="center"/>
          </w:tcPr>
          <w:p>
            <w:pPr>
              <w:pStyle w:val="33"/>
              <w:rPr>
                <w:b/>
                <w:bCs/>
              </w:rPr>
            </w:pPr>
            <w:r>
              <w:rPr>
                <w:b/>
                <w:bCs/>
              </w:rPr>
              <w:t>监测项目</w:t>
            </w:r>
          </w:p>
        </w:tc>
        <w:tc>
          <w:tcPr>
            <w:tcW w:w="201" w:type="pct"/>
            <w:vAlign w:val="center"/>
          </w:tcPr>
          <w:p>
            <w:pPr>
              <w:pStyle w:val="33"/>
              <w:rPr>
                <w:b/>
                <w:bCs/>
              </w:rPr>
            </w:pPr>
            <w:r>
              <w:rPr>
                <w:b/>
                <w:bCs/>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26" w:type="pct"/>
            <w:vAlign w:val="center"/>
          </w:tcPr>
          <w:p>
            <w:pPr>
              <w:pStyle w:val="33"/>
            </w:pPr>
            <w:r>
              <w:rPr>
                <w:rFonts w:hint="eastAsia"/>
              </w:rPr>
              <w:t>1</w:t>
            </w:r>
          </w:p>
        </w:tc>
        <w:tc>
          <w:tcPr>
            <w:tcW w:w="411" w:type="pct"/>
            <w:vAlign w:val="center"/>
          </w:tcPr>
          <w:p>
            <w:pPr>
              <w:pStyle w:val="33"/>
            </w:pPr>
            <w:r>
              <w:rPr>
                <w:rFonts w:hint="eastAsia"/>
              </w:rPr>
              <w:t>原料及产品运输</w:t>
            </w:r>
          </w:p>
        </w:tc>
        <w:tc>
          <w:tcPr>
            <w:tcW w:w="256" w:type="pct"/>
            <w:vAlign w:val="center"/>
          </w:tcPr>
          <w:p>
            <w:pPr>
              <w:pStyle w:val="33"/>
            </w:pPr>
            <w:r>
              <w:rPr>
                <w:rFonts w:hint="eastAsia"/>
              </w:rPr>
              <w:t>颗粒物</w:t>
            </w:r>
          </w:p>
        </w:tc>
        <w:tc>
          <w:tcPr>
            <w:tcW w:w="256" w:type="pct"/>
            <w:vAlign w:val="center"/>
          </w:tcPr>
          <w:p>
            <w:pPr>
              <w:pStyle w:val="33"/>
            </w:pPr>
            <w:r>
              <w:rPr>
                <w:rFonts w:hint="eastAsia"/>
              </w:rPr>
              <w:t>/</w:t>
            </w:r>
          </w:p>
        </w:tc>
        <w:tc>
          <w:tcPr>
            <w:tcW w:w="359" w:type="pct"/>
            <w:vAlign w:val="center"/>
          </w:tcPr>
          <w:p>
            <w:pPr>
              <w:pStyle w:val="33"/>
            </w:pPr>
            <w:r>
              <w:t>0.3405</w:t>
            </w:r>
          </w:p>
        </w:tc>
        <w:tc>
          <w:tcPr>
            <w:tcW w:w="257" w:type="pct"/>
            <w:vAlign w:val="center"/>
          </w:tcPr>
          <w:p>
            <w:pPr>
              <w:pStyle w:val="33"/>
            </w:pPr>
            <w:r>
              <w:rPr>
                <w:rFonts w:hint="eastAsia"/>
              </w:rPr>
              <w:t>无组织</w:t>
            </w:r>
          </w:p>
        </w:tc>
        <w:tc>
          <w:tcPr>
            <w:tcW w:w="205" w:type="pct"/>
            <w:vAlign w:val="center"/>
          </w:tcPr>
          <w:p>
            <w:pPr>
              <w:pStyle w:val="33"/>
            </w:pPr>
            <w:r>
              <w:rPr>
                <w:rFonts w:hint="eastAsia"/>
              </w:rPr>
              <w:t>4</w:t>
            </w:r>
            <w:r>
              <w:t>20</w:t>
            </w:r>
          </w:p>
        </w:tc>
        <w:tc>
          <w:tcPr>
            <w:tcW w:w="206" w:type="pct"/>
            <w:vAlign w:val="center"/>
          </w:tcPr>
          <w:p>
            <w:pPr>
              <w:pStyle w:val="33"/>
            </w:pPr>
            <w:r>
              <w:rPr>
                <w:rFonts w:hint="eastAsia"/>
              </w:rPr>
              <w:t>6</w:t>
            </w:r>
            <w:r>
              <w:t>0</w:t>
            </w:r>
          </w:p>
        </w:tc>
        <w:tc>
          <w:tcPr>
            <w:tcW w:w="205" w:type="pct"/>
            <w:vAlign w:val="center"/>
          </w:tcPr>
          <w:p>
            <w:pPr>
              <w:pStyle w:val="33"/>
            </w:pPr>
            <w:r>
              <w:rPr>
                <w:rFonts w:hint="eastAsia"/>
              </w:rPr>
              <w:t>1</w:t>
            </w:r>
            <w:r>
              <w:t>2</w:t>
            </w:r>
          </w:p>
        </w:tc>
        <w:tc>
          <w:tcPr>
            <w:tcW w:w="411" w:type="pct"/>
            <w:vAlign w:val="center"/>
          </w:tcPr>
          <w:p>
            <w:pPr>
              <w:pStyle w:val="33"/>
            </w:pPr>
            <w:r>
              <w:rPr>
                <w:rFonts w:hint="eastAsia"/>
              </w:rPr>
              <w:t>洒水沉降</w:t>
            </w:r>
          </w:p>
        </w:tc>
        <w:tc>
          <w:tcPr>
            <w:tcW w:w="206" w:type="pct"/>
            <w:vAlign w:val="center"/>
          </w:tcPr>
          <w:p>
            <w:pPr>
              <w:pStyle w:val="33"/>
            </w:pPr>
            <w:r>
              <w:t>80%</w:t>
            </w:r>
          </w:p>
        </w:tc>
        <w:tc>
          <w:tcPr>
            <w:tcW w:w="257" w:type="pct"/>
            <w:vAlign w:val="center"/>
          </w:tcPr>
          <w:p>
            <w:pPr>
              <w:pStyle w:val="33"/>
            </w:pPr>
            <w:r>
              <w:rPr>
                <w:rFonts w:hint="eastAsia"/>
              </w:rPr>
              <w:t>/</w:t>
            </w:r>
          </w:p>
        </w:tc>
        <w:tc>
          <w:tcPr>
            <w:tcW w:w="256" w:type="pct"/>
            <w:vAlign w:val="center"/>
          </w:tcPr>
          <w:p>
            <w:pPr>
              <w:pStyle w:val="33"/>
            </w:pPr>
            <w:r>
              <w:rPr>
                <w:rFonts w:hint="eastAsia"/>
              </w:rPr>
              <w:t>/</w:t>
            </w:r>
          </w:p>
        </w:tc>
        <w:tc>
          <w:tcPr>
            <w:tcW w:w="258" w:type="pct"/>
            <w:vAlign w:val="center"/>
          </w:tcPr>
          <w:p>
            <w:pPr>
              <w:pStyle w:val="33"/>
            </w:pPr>
            <w:r>
              <w:rPr>
                <w:rFonts w:hint="eastAsia"/>
              </w:rPr>
              <w:t>0</w:t>
            </w:r>
            <w:r>
              <w:t>.0681</w:t>
            </w:r>
          </w:p>
        </w:tc>
        <w:tc>
          <w:tcPr>
            <w:tcW w:w="565" w:type="pct"/>
            <w:vMerge w:val="restart"/>
            <w:vAlign w:val="center"/>
          </w:tcPr>
          <w:p>
            <w:pPr>
              <w:pStyle w:val="33"/>
            </w:pPr>
            <w:r>
              <w:rPr>
                <w:rFonts w:hint="eastAsia"/>
              </w:rPr>
              <w:t>《大气污染物综合排放标准》（GB16297-1996）表2排放限值、《挥发性有机物无组织排放控制标准》（GB37822-2019）</w:t>
            </w:r>
          </w:p>
        </w:tc>
        <w:tc>
          <w:tcPr>
            <w:tcW w:w="308" w:type="pct"/>
            <w:vMerge w:val="restart"/>
            <w:vAlign w:val="center"/>
          </w:tcPr>
          <w:p>
            <w:pPr>
              <w:pStyle w:val="33"/>
            </w:pPr>
            <w:r>
              <w:rPr>
                <w:szCs w:val="21"/>
              </w:rPr>
              <w:t>厂界监测点</w:t>
            </w:r>
          </w:p>
        </w:tc>
        <w:tc>
          <w:tcPr>
            <w:tcW w:w="257" w:type="pct"/>
            <w:vMerge w:val="restart"/>
            <w:vAlign w:val="center"/>
          </w:tcPr>
          <w:p>
            <w:pPr>
              <w:pStyle w:val="33"/>
            </w:pPr>
            <w:r>
              <w:rPr>
                <w:rFonts w:hint="eastAsia"/>
              </w:rPr>
              <w:t>颗粒物</w:t>
            </w:r>
          </w:p>
        </w:tc>
        <w:tc>
          <w:tcPr>
            <w:tcW w:w="201" w:type="pct"/>
            <w:vMerge w:val="restart"/>
            <w:vAlign w:val="center"/>
          </w:tcPr>
          <w:p>
            <w:pPr>
              <w:pStyle w:val="33"/>
            </w:pPr>
            <w:r>
              <w:rPr>
                <w:kern w:val="2"/>
                <w:szCs w:val="21"/>
              </w:rPr>
              <w:t>1次/年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6" w:type="pct"/>
            <w:noWrap/>
            <w:vAlign w:val="center"/>
          </w:tcPr>
          <w:p>
            <w:pPr>
              <w:pStyle w:val="33"/>
            </w:pPr>
            <w:r>
              <w:t>2</w:t>
            </w:r>
          </w:p>
        </w:tc>
        <w:tc>
          <w:tcPr>
            <w:tcW w:w="411" w:type="pct"/>
            <w:vAlign w:val="center"/>
          </w:tcPr>
          <w:p>
            <w:pPr>
              <w:pStyle w:val="33"/>
            </w:pPr>
            <w:r>
              <w:rPr>
                <w:rFonts w:hint="eastAsia"/>
              </w:rPr>
              <w:t>原料装卸</w:t>
            </w:r>
          </w:p>
        </w:tc>
        <w:tc>
          <w:tcPr>
            <w:tcW w:w="256" w:type="pct"/>
            <w:vAlign w:val="center"/>
          </w:tcPr>
          <w:p>
            <w:pPr>
              <w:pStyle w:val="33"/>
            </w:pPr>
            <w:r>
              <w:rPr>
                <w:rFonts w:hint="eastAsia"/>
              </w:rPr>
              <w:t>颗粒物</w:t>
            </w:r>
          </w:p>
        </w:tc>
        <w:tc>
          <w:tcPr>
            <w:tcW w:w="256" w:type="pct"/>
            <w:vAlign w:val="center"/>
          </w:tcPr>
          <w:p>
            <w:pPr>
              <w:pStyle w:val="33"/>
            </w:pPr>
            <w:r>
              <w:rPr>
                <w:rFonts w:hint="eastAsia"/>
              </w:rPr>
              <w:t>/</w:t>
            </w:r>
          </w:p>
        </w:tc>
        <w:tc>
          <w:tcPr>
            <w:tcW w:w="359" w:type="pct"/>
            <w:vAlign w:val="center"/>
          </w:tcPr>
          <w:p>
            <w:pPr>
              <w:pStyle w:val="33"/>
            </w:pPr>
            <w:r>
              <w:t>5</w:t>
            </w:r>
          </w:p>
        </w:tc>
        <w:tc>
          <w:tcPr>
            <w:tcW w:w="257" w:type="pct"/>
            <w:vAlign w:val="center"/>
          </w:tcPr>
          <w:p>
            <w:pPr>
              <w:pStyle w:val="33"/>
            </w:pPr>
            <w:r>
              <w:rPr>
                <w:rFonts w:hint="eastAsia"/>
              </w:rPr>
              <w:t>无组织</w:t>
            </w:r>
          </w:p>
        </w:tc>
        <w:tc>
          <w:tcPr>
            <w:tcW w:w="205" w:type="pct"/>
            <w:vAlign w:val="center"/>
          </w:tcPr>
          <w:p>
            <w:pPr>
              <w:pStyle w:val="33"/>
              <w:rPr>
                <w:szCs w:val="24"/>
              </w:rPr>
            </w:pPr>
            <w:r>
              <w:rPr>
                <w:rFonts w:hint="eastAsia"/>
              </w:rPr>
              <w:t>4</w:t>
            </w:r>
            <w:r>
              <w:t>20</w:t>
            </w:r>
          </w:p>
        </w:tc>
        <w:tc>
          <w:tcPr>
            <w:tcW w:w="206" w:type="pct"/>
            <w:vAlign w:val="center"/>
          </w:tcPr>
          <w:p>
            <w:pPr>
              <w:pStyle w:val="33"/>
            </w:pPr>
            <w:r>
              <w:rPr>
                <w:rFonts w:hint="eastAsia"/>
              </w:rPr>
              <w:t>6</w:t>
            </w:r>
            <w:r>
              <w:t>0</w:t>
            </w:r>
          </w:p>
        </w:tc>
        <w:tc>
          <w:tcPr>
            <w:tcW w:w="205" w:type="pct"/>
            <w:vAlign w:val="center"/>
          </w:tcPr>
          <w:p>
            <w:pPr>
              <w:pStyle w:val="33"/>
            </w:pPr>
            <w:r>
              <w:rPr>
                <w:rFonts w:hint="eastAsia"/>
              </w:rPr>
              <w:t>1</w:t>
            </w:r>
            <w:r>
              <w:t>2</w:t>
            </w:r>
          </w:p>
        </w:tc>
        <w:tc>
          <w:tcPr>
            <w:tcW w:w="411" w:type="pct"/>
            <w:vAlign w:val="center"/>
          </w:tcPr>
          <w:p>
            <w:pPr>
              <w:pStyle w:val="33"/>
            </w:pPr>
            <w:r>
              <w:rPr>
                <w:rFonts w:hint="eastAsia"/>
              </w:rPr>
              <w:t>洒水沉降</w:t>
            </w:r>
          </w:p>
        </w:tc>
        <w:tc>
          <w:tcPr>
            <w:tcW w:w="206" w:type="pct"/>
            <w:vAlign w:val="center"/>
          </w:tcPr>
          <w:p>
            <w:pPr>
              <w:pStyle w:val="33"/>
            </w:pPr>
            <w:r>
              <w:t>80%</w:t>
            </w:r>
          </w:p>
        </w:tc>
        <w:tc>
          <w:tcPr>
            <w:tcW w:w="257" w:type="pct"/>
            <w:vAlign w:val="center"/>
          </w:tcPr>
          <w:p>
            <w:pPr>
              <w:pStyle w:val="33"/>
            </w:pPr>
            <w:r>
              <w:rPr>
                <w:rFonts w:hint="eastAsia"/>
              </w:rPr>
              <w:t>/</w:t>
            </w:r>
          </w:p>
        </w:tc>
        <w:tc>
          <w:tcPr>
            <w:tcW w:w="256" w:type="pct"/>
            <w:vAlign w:val="center"/>
          </w:tcPr>
          <w:p>
            <w:pPr>
              <w:pStyle w:val="33"/>
            </w:pPr>
            <w:r>
              <w:rPr>
                <w:rFonts w:hint="eastAsia"/>
              </w:rPr>
              <w:t>/</w:t>
            </w:r>
          </w:p>
        </w:tc>
        <w:tc>
          <w:tcPr>
            <w:tcW w:w="258" w:type="pct"/>
            <w:vAlign w:val="center"/>
          </w:tcPr>
          <w:p>
            <w:pPr>
              <w:pStyle w:val="33"/>
            </w:pPr>
            <w:r>
              <w:t>0.2</w:t>
            </w:r>
          </w:p>
        </w:tc>
        <w:tc>
          <w:tcPr>
            <w:tcW w:w="565" w:type="pct"/>
            <w:vMerge w:val="continue"/>
            <w:vAlign w:val="center"/>
          </w:tcPr>
          <w:p>
            <w:pPr>
              <w:pStyle w:val="33"/>
            </w:pPr>
          </w:p>
        </w:tc>
        <w:tc>
          <w:tcPr>
            <w:tcW w:w="308" w:type="pct"/>
            <w:vMerge w:val="continue"/>
            <w:vAlign w:val="center"/>
          </w:tcPr>
          <w:p>
            <w:pPr>
              <w:pStyle w:val="33"/>
            </w:pPr>
          </w:p>
        </w:tc>
        <w:tc>
          <w:tcPr>
            <w:tcW w:w="257" w:type="pct"/>
            <w:vMerge w:val="continue"/>
            <w:vAlign w:val="center"/>
          </w:tcPr>
          <w:p>
            <w:pPr>
              <w:pStyle w:val="33"/>
            </w:pPr>
          </w:p>
        </w:tc>
        <w:tc>
          <w:tcPr>
            <w:tcW w:w="201"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6" w:type="pct"/>
            <w:noWrap/>
            <w:vAlign w:val="center"/>
          </w:tcPr>
          <w:p>
            <w:pPr>
              <w:pStyle w:val="33"/>
            </w:pPr>
            <w:r>
              <w:rPr>
                <w:rFonts w:hint="eastAsia"/>
              </w:rPr>
              <w:t>3</w:t>
            </w:r>
          </w:p>
        </w:tc>
        <w:tc>
          <w:tcPr>
            <w:tcW w:w="411" w:type="pct"/>
            <w:vAlign w:val="center"/>
          </w:tcPr>
          <w:p>
            <w:pPr>
              <w:pStyle w:val="33"/>
            </w:pPr>
            <w:r>
              <w:rPr>
                <w:rFonts w:hint="eastAsia"/>
              </w:rPr>
              <w:t>废品分拣及废纸压缩</w:t>
            </w:r>
          </w:p>
        </w:tc>
        <w:tc>
          <w:tcPr>
            <w:tcW w:w="256" w:type="pct"/>
            <w:vAlign w:val="center"/>
          </w:tcPr>
          <w:p>
            <w:pPr>
              <w:pStyle w:val="33"/>
            </w:pPr>
            <w:r>
              <w:rPr>
                <w:rFonts w:hint="eastAsia"/>
              </w:rPr>
              <w:t>颗粒物</w:t>
            </w:r>
          </w:p>
        </w:tc>
        <w:tc>
          <w:tcPr>
            <w:tcW w:w="256" w:type="pct"/>
            <w:vAlign w:val="center"/>
          </w:tcPr>
          <w:p>
            <w:pPr>
              <w:pStyle w:val="33"/>
            </w:pPr>
            <w:r>
              <w:rPr>
                <w:rFonts w:hint="eastAsia"/>
              </w:rPr>
              <w:t>/</w:t>
            </w:r>
          </w:p>
        </w:tc>
        <w:tc>
          <w:tcPr>
            <w:tcW w:w="359" w:type="pct"/>
            <w:vAlign w:val="center"/>
          </w:tcPr>
          <w:p>
            <w:pPr>
              <w:pStyle w:val="33"/>
            </w:pPr>
            <w:r>
              <w:t>15</w:t>
            </w:r>
          </w:p>
        </w:tc>
        <w:tc>
          <w:tcPr>
            <w:tcW w:w="257" w:type="pct"/>
            <w:vAlign w:val="center"/>
          </w:tcPr>
          <w:p>
            <w:pPr>
              <w:pStyle w:val="33"/>
            </w:pPr>
            <w:r>
              <w:rPr>
                <w:rFonts w:hint="eastAsia"/>
              </w:rPr>
              <w:t>无组织</w:t>
            </w:r>
          </w:p>
        </w:tc>
        <w:tc>
          <w:tcPr>
            <w:tcW w:w="205" w:type="pct"/>
            <w:vAlign w:val="center"/>
          </w:tcPr>
          <w:p>
            <w:pPr>
              <w:pStyle w:val="33"/>
            </w:pPr>
            <w:r>
              <w:rPr>
                <w:rFonts w:hint="eastAsia"/>
              </w:rPr>
              <w:t>4</w:t>
            </w:r>
            <w:r>
              <w:t>20</w:t>
            </w:r>
          </w:p>
        </w:tc>
        <w:tc>
          <w:tcPr>
            <w:tcW w:w="206" w:type="pct"/>
            <w:vAlign w:val="center"/>
          </w:tcPr>
          <w:p>
            <w:pPr>
              <w:pStyle w:val="33"/>
            </w:pPr>
            <w:r>
              <w:rPr>
                <w:rFonts w:hint="eastAsia"/>
              </w:rPr>
              <w:t>6</w:t>
            </w:r>
            <w:r>
              <w:t>0</w:t>
            </w:r>
          </w:p>
        </w:tc>
        <w:tc>
          <w:tcPr>
            <w:tcW w:w="205" w:type="pct"/>
            <w:vAlign w:val="center"/>
          </w:tcPr>
          <w:p>
            <w:pPr>
              <w:pStyle w:val="33"/>
            </w:pPr>
            <w:r>
              <w:rPr>
                <w:rFonts w:hint="eastAsia"/>
              </w:rPr>
              <w:t>1</w:t>
            </w:r>
            <w:r>
              <w:t>2</w:t>
            </w:r>
          </w:p>
        </w:tc>
        <w:tc>
          <w:tcPr>
            <w:tcW w:w="411" w:type="pct"/>
            <w:vAlign w:val="center"/>
          </w:tcPr>
          <w:p>
            <w:pPr>
              <w:pStyle w:val="33"/>
            </w:pPr>
            <w:r>
              <w:rPr>
                <w:rFonts w:hint="eastAsia"/>
              </w:rPr>
              <w:t>洒水沉降自然沉降</w:t>
            </w:r>
          </w:p>
        </w:tc>
        <w:tc>
          <w:tcPr>
            <w:tcW w:w="206" w:type="pct"/>
            <w:vAlign w:val="center"/>
          </w:tcPr>
          <w:p>
            <w:pPr>
              <w:pStyle w:val="33"/>
            </w:pPr>
            <w:r>
              <w:rPr>
                <w:sz w:val="20"/>
                <w:szCs w:val="20"/>
              </w:rPr>
              <w:t>80%</w:t>
            </w:r>
          </w:p>
        </w:tc>
        <w:tc>
          <w:tcPr>
            <w:tcW w:w="257" w:type="pct"/>
            <w:vAlign w:val="center"/>
          </w:tcPr>
          <w:p>
            <w:pPr>
              <w:pStyle w:val="33"/>
            </w:pPr>
            <w:r>
              <w:rPr>
                <w:rFonts w:hint="eastAsia"/>
              </w:rPr>
              <w:t>/</w:t>
            </w:r>
          </w:p>
        </w:tc>
        <w:tc>
          <w:tcPr>
            <w:tcW w:w="256" w:type="pct"/>
            <w:vAlign w:val="center"/>
          </w:tcPr>
          <w:p>
            <w:pPr>
              <w:pStyle w:val="33"/>
            </w:pPr>
            <w:r>
              <w:rPr>
                <w:rFonts w:hint="eastAsia"/>
              </w:rPr>
              <w:t>/</w:t>
            </w:r>
          </w:p>
        </w:tc>
        <w:tc>
          <w:tcPr>
            <w:tcW w:w="258" w:type="pct"/>
            <w:vAlign w:val="center"/>
          </w:tcPr>
          <w:p>
            <w:pPr>
              <w:pStyle w:val="33"/>
            </w:pPr>
            <w:r>
              <w:t>3</w:t>
            </w:r>
          </w:p>
        </w:tc>
        <w:tc>
          <w:tcPr>
            <w:tcW w:w="565" w:type="pct"/>
            <w:vMerge w:val="continue"/>
            <w:vAlign w:val="center"/>
          </w:tcPr>
          <w:p>
            <w:pPr>
              <w:pStyle w:val="33"/>
            </w:pPr>
          </w:p>
        </w:tc>
        <w:tc>
          <w:tcPr>
            <w:tcW w:w="308" w:type="pct"/>
            <w:vMerge w:val="continue"/>
            <w:vAlign w:val="center"/>
          </w:tcPr>
          <w:p>
            <w:pPr>
              <w:pStyle w:val="33"/>
              <w:rPr>
                <w:szCs w:val="21"/>
              </w:rPr>
            </w:pPr>
          </w:p>
        </w:tc>
        <w:tc>
          <w:tcPr>
            <w:tcW w:w="257" w:type="pct"/>
            <w:vMerge w:val="continue"/>
            <w:vAlign w:val="center"/>
          </w:tcPr>
          <w:p>
            <w:pPr>
              <w:pStyle w:val="33"/>
            </w:pPr>
          </w:p>
        </w:tc>
        <w:tc>
          <w:tcPr>
            <w:tcW w:w="201" w:type="pct"/>
            <w:vMerge w:val="continue"/>
            <w:vAlign w:val="center"/>
          </w:tcPr>
          <w:p>
            <w:pPr>
              <w:pStyle w:val="33"/>
              <w:rPr>
                <w:kern w:val="2"/>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26" w:type="pct"/>
            <w:noWrap/>
            <w:vAlign w:val="center"/>
          </w:tcPr>
          <w:p>
            <w:pPr>
              <w:pStyle w:val="33"/>
            </w:pPr>
            <w:r>
              <w:t>4</w:t>
            </w:r>
          </w:p>
        </w:tc>
        <w:tc>
          <w:tcPr>
            <w:tcW w:w="411" w:type="pct"/>
            <w:vAlign w:val="center"/>
          </w:tcPr>
          <w:p>
            <w:pPr>
              <w:pStyle w:val="33"/>
            </w:pPr>
            <w:r>
              <w:rPr>
                <w:rFonts w:hint="eastAsia"/>
              </w:rPr>
              <w:t>废钢铁切割</w:t>
            </w:r>
          </w:p>
        </w:tc>
        <w:tc>
          <w:tcPr>
            <w:tcW w:w="256" w:type="pct"/>
            <w:vAlign w:val="center"/>
          </w:tcPr>
          <w:p>
            <w:pPr>
              <w:pStyle w:val="33"/>
            </w:pPr>
            <w:r>
              <w:rPr>
                <w:rFonts w:hint="eastAsia"/>
              </w:rPr>
              <w:t>颗粒物</w:t>
            </w:r>
          </w:p>
        </w:tc>
        <w:tc>
          <w:tcPr>
            <w:tcW w:w="256" w:type="pct"/>
            <w:vAlign w:val="center"/>
          </w:tcPr>
          <w:p>
            <w:pPr>
              <w:pStyle w:val="33"/>
            </w:pPr>
            <w:r>
              <w:t>0.0075</w:t>
            </w:r>
          </w:p>
        </w:tc>
        <w:tc>
          <w:tcPr>
            <w:tcW w:w="359" w:type="pct"/>
            <w:vAlign w:val="center"/>
          </w:tcPr>
          <w:p>
            <w:pPr>
              <w:pStyle w:val="33"/>
            </w:pPr>
            <w:r>
              <w:t>0.02</w:t>
            </w:r>
          </w:p>
        </w:tc>
        <w:tc>
          <w:tcPr>
            <w:tcW w:w="257" w:type="pct"/>
            <w:vAlign w:val="center"/>
          </w:tcPr>
          <w:p>
            <w:pPr>
              <w:pStyle w:val="33"/>
            </w:pPr>
            <w:r>
              <w:rPr>
                <w:rFonts w:hint="eastAsia"/>
              </w:rPr>
              <w:t>无组织</w:t>
            </w:r>
          </w:p>
        </w:tc>
        <w:tc>
          <w:tcPr>
            <w:tcW w:w="205" w:type="pct"/>
            <w:vAlign w:val="center"/>
          </w:tcPr>
          <w:p>
            <w:pPr>
              <w:pStyle w:val="33"/>
              <w:rPr>
                <w:szCs w:val="24"/>
              </w:rPr>
            </w:pPr>
            <w:r>
              <w:rPr>
                <w:szCs w:val="24"/>
              </w:rPr>
              <w:t>120</w:t>
            </w:r>
          </w:p>
        </w:tc>
        <w:tc>
          <w:tcPr>
            <w:tcW w:w="206" w:type="pct"/>
            <w:vAlign w:val="center"/>
          </w:tcPr>
          <w:p>
            <w:pPr>
              <w:pStyle w:val="33"/>
            </w:pPr>
            <w:r>
              <w:t>60</w:t>
            </w:r>
          </w:p>
        </w:tc>
        <w:tc>
          <w:tcPr>
            <w:tcW w:w="205" w:type="pct"/>
            <w:vAlign w:val="center"/>
          </w:tcPr>
          <w:p>
            <w:pPr>
              <w:pStyle w:val="33"/>
            </w:pPr>
            <w:r>
              <w:rPr>
                <w:rFonts w:hint="eastAsia"/>
              </w:rPr>
              <w:t>1</w:t>
            </w:r>
            <w:r>
              <w:t>2</w:t>
            </w:r>
          </w:p>
        </w:tc>
        <w:tc>
          <w:tcPr>
            <w:tcW w:w="411" w:type="pct"/>
            <w:vAlign w:val="center"/>
          </w:tcPr>
          <w:p>
            <w:pPr>
              <w:pStyle w:val="33"/>
            </w:pPr>
            <w:r>
              <w:rPr>
                <w:rFonts w:hint="eastAsia"/>
              </w:rPr>
              <w:t>自然沉降</w:t>
            </w:r>
          </w:p>
        </w:tc>
        <w:tc>
          <w:tcPr>
            <w:tcW w:w="206" w:type="pct"/>
            <w:vAlign w:val="center"/>
          </w:tcPr>
          <w:p>
            <w:pPr>
              <w:pStyle w:val="33"/>
              <w:rPr>
                <w:color w:val="FF0000"/>
                <w:sz w:val="20"/>
                <w:szCs w:val="20"/>
              </w:rPr>
            </w:pPr>
            <w:r>
              <w:rPr>
                <w:color w:val="FF0000"/>
                <w:sz w:val="20"/>
                <w:szCs w:val="20"/>
              </w:rPr>
              <w:t>50%</w:t>
            </w:r>
          </w:p>
        </w:tc>
        <w:tc>
          <w:tcPr>
            <w:tcW w:w="257" w:type="pct"/>
            <w:vAlign w:val="center"/>
          </w:tcPr>
          <w:p>
            <w:pPr>
              <w:pStyle w:val="33"/>
              <w:rPr>
                <w:color w:val="FF0000"/>
                <w:sz w:val="20"/>
                <w:szCs w:val="20"/>
              </w:rPr>
            </w:pPr>
            <w:r>
              <w:rPr>
                <w:color w:val="FF0000"/>
                <w:sz w:val="20"/>
                <w:szCs w:val="20"/>
              </w:rPr>
              <w:t>/</w:t>
            </w:r>
          </w:p>
        </w:tc>
        <w:tc>
          <w:tcPr>
            <w:tcW w:w="256" w:type="pct"/>
            <w:vAlign w:val="center"/>
          </w:tcPr>
          <w:p>
            <w:pPr>
              <w:pStyle w:val="33"/>
              <w:rPr>
                <w:color w:val="FF0000"/>
              </w:rPr>
            </w:pPr>
            <w:r>
              <w:rPr>
                <w:color w:val="FF0000"/>
              </w:rPr>
              <w:t>0.0038</w:t>
            </w:r>
          </w:p>
        </w:tc>
        <w:tc>
          <w:tcPr>
            <w:tcW w:w="258" w:type="pct"/>
            <w:vAlign w:val="center"/>
          </w:tcPr>
          <w:p>
            <w:pPr>
              <w:pStyle w:val="33"/>
              <w:rPr>
                <w:color w:val="FF0000"/>
              </w:rPr>
            </w:pPr>
            <w:r>
              <w:rPr>
                <w:color w:val="FF0000"/>
              </w:rPr>
              <w:t>0.01</w:t>
            </w:r>
          </w:p>
        </w:tc>
        <w:tc>
          <w:tcPr>
            <w:tcW w:w="565" w:type="pct"/>
            <w:vMerge w:val="continue"/>
            <w:vAlign w:val="center"/>
          </w:tcPr>
          <w:p>
            <w:pPr>
              <w:pStyle w:val="33"/>
            </w:pPr>
          </w:p>
        </w:tc>
        <w:tc>
          <w:tcPr>
            <w:tcW w:w="308" w:type="pct"/>
            <w:vMerge w:val="continue"/>
            <w:vAlign w:val="center"/>
          </w:tcPr>
          <w:p>
            <w:pPr>
              <w:pStyle w:val="33"/>
              <w:rPr>
                <w:szCs w:val="21"/>
              </w:rPr>
            </w:pPr>
          </w:p>
        </w:tc>
        <w:tc>
          <w:tcPr>
            <w:tcW w:w="257" w:type="pct"/>
            <w:vMerge w:val="continue"/>
            <w:vAlign w:val="center"/>
          </w:tcPr>
          <w:p>
            <w:pPr>
              <w:pStyle w:val="33"/>
            </w:pPr>
          </w:p>
        </w:tc>
        <w:tc>
          <w:tcPr>
            <w:tcW w:w="201" w:type="pct"/>
            <w:vMerge w:val="continue"/>
            <w:vAlign w:val="center"/>
          </w:tcPr>
          <w:p>
            <w:pPr>
              <w:pStyle w:val="33"/>
              <w:rPr>
                <w:kern w:val="2"/>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6" w:type="pct"/>
            <w:noWrap/>
            <w:vAlign w:val="center"/>
          </w:tcPr>
          <w:p>
            <w:pPr>
              <w:pStyle w:val="33"/>
              <w:rPr>
                <w:color w:val="FF0000"/>
              </w:rPr>
            </w:pPr>
            <w:r>
              <w:rPr>
                <w:color w:val="FF0000"/>
              </w:rPr>
              <w:t>5</w:t>
            </w:r>
          </w:p>
        </w:tc>
        <w:tc>
          <w:tcPr>
            <w:tcW w:w="411" w:type="pct"/>
            <w:vAlign w:val="center"/>
          </w:tcPr>
          <w:p>
            <w:pPr>
              <w:pStyle w:val="33"/>
              <w:rPr>
                <w:color w:val="FF0000"/>
              </w:rPr>
            </w:pPr>
            <w:r>
              <w:rPr>
                <w:rFonts w:hint="eastAsia"/>
                <w:color w:val="FF0000"/>
              </w:rPr>
              <w:t>危废暂存间</w:t>
            </w:r>
          </w:p>
        </w:tc>
        <w:tc>
          <w:tcPr>
            <w:tcW w:w="256" w:type="pct"/>
            <w:vAlign w:val="center"/>
          </w:tcPr>
          <w:p>
            <w:pPr>
              <w:pStyle w:val="33"/>
              <w:rPr>
                <w:rFonts w:hint="eastAsia"/>
                <w:color w:val="FF0000"/>
              </w:rPr>
            </w:pPr>
            <w:r>
              <w:rPr>
                <w:rFonts w:hint="eastAsia"/>
                <w:color w:val="FF0000"/>
              </w:rPr>
              <w:t>非甲烷总烃</w:t>
            </w:r>
          </w:p>
        </w:tc>
        <w:tc>
          <w:tcPr>
            <w:tcW w:w="256" w:type="pct"/>
            <w:vAlign w:val="center"/>
          </w:tcPr>
          <w:p>
            <w:pPr>
              <w:pStyle w:val="33"/>
              <w:rPr>
                <w:rFonts w:hint="eastAsia"/>
                <w:color w:val="FF0000"/>
              </w:rPr>
            </w:pPr>
            <w:r>
              <w:rPr>
                <w:color w:val="FF0000"/>
              </w:rPr>
              <w:t>0.00018</w:t>
            </w:r>
          </w:p>
        </w:tc>
        <w:tc>
          <w:tcPr>
            <w:tcW w:w="359" w:type="pct"/>
            <w:vAlign w:val="center"/>
          </w:tcPr>
          <w:p>
            <w:pPr>
              <w:pStyle w:val="33"/>
              <w:rPr>
                <w:rFonts w:hint="eastAsia"/>
                <w:color w:val="FF0000"/>
              </w:rPr>
            </w:pPr>
            <w:r>
              <w:rPr>
                <w:rFonts w:hint="eastAsia"/>
                <w:color w:val="FF0000"/>
              </w:rPr>
              <w:t>0</w:t>
            </w:r>
            <w:r>
              <w:rPr>
                <w:color w:val="FF0000"/>
              </w:rPr>
              <w:t>.00144</w:t>
            </w:r>
          </w:p>
        </w:tc>
        <w:tc>
          <w:tcPr>
            <w:tcW w:w="257" w:type="pct"/>
            <w:vAlign w:val="center"/>
          </w:tcPr>
          <w:p>
            <w:pPr>
              <w:pStyle w:val="33"/>
              <w:rPr>
                <w:color w:val="FF0000"/>
              </w:rPr>
            </w:pPr>
            <w:r>
              <w:rPr>
                <w:rFonts w:hint="eastAsia"/>
                <w:color w:val="FF0000"/>
              </w:rPr>
              <w:t>无组织</w:t>
            </w:r>
          </w:p>
        </w:tc>
        <w:tc>
          <w:tcPr>
            <w:tcW w:w="205" w:type="pct"/>
            <w:vAlign w:val="center"/>
          </w:tcPr>
          <w:p>
            <w:pPr>
              <w:pStyle w:val="33"/>
              <w:rPr>
                <w:rFonts w:hint="eastAsia"/>
                <w:color w:val="FF0000"/>
              </w:rPr>
            </w:pPr>
            <w:r>
              <w:rPr>
                <w:rFonts w:hint="eastAsia"/>
                <w:color w:val="FF0000"/>
              </w:rPr>
              <w:t>5</w:t>
            </w:r>
          </w:p>
        </w:tc>
        <w:tc>
          <w:tcPr>
            <w:tcW w:w="206" w:type="pct"/>
            <w:vAlign w:val="center"/>
          </w:tcPr>
          <w:p>
            <w:pPr>
              <w:pStyle w:val="33"/>
              <w:rPr>
                <w:rFonts w:hint="eastAsia"/>
                <w:color w:val="FF0000"/>
              </w:rPr>
            </w:pPr>
            <w:r>
              <w:rPr>
                <w:rFonts w:hint="eastAsia"/>
                <w:color w:val="FF0000"/>
              </w:rPr>
              <w:t>2</w:t>
            </w:r>
          </w:p>
        </w:tc>
        <w:tc>
          <w:tcPr>
            <w:tcW w:w="205" w:type="pct"/>
            <w:vAlign w:val="center"/>
          </w:tcPr>
          <w:p>
            <w:pPr>
              <w:pStyle w:val="33"/>
              <w:rPr>
                <w:rFonts w:hint="eastAsia"/>
                <w:color w:val="FF0000"/>
              </w:rPr>
            </w:pPr>
            <w:r>
              <w:rPr>
                <w:color w:val="FF0000"/>
              </w:rPr>
              <w:t>5</w:t>
            </w:r>
          </w:p>
        </w:tc>
        <w:tc>
          <w:tcPr>
            <w:tcW w:w="411" w:type="pct"/>
            <w:vAlign w:val="center"/>
          </w:tcPr>
          <w:p>
            <w:pPr>
              <w:pStyle w:val="33"/>
              <w:rPr>
                <w:color w:val="FF0000"/>
              </w:rPr>
            </w:pPr>
            <w:r>
              <w:rPr>
                <w:rFonts w:hint="eastAsia"/>
                <w:color w:val="FF0000"/>
              </w:rPr>
              <w:t>通风</w:t>
            </w:r>
          </w:p>
        </w:tc>
        <w:tc>
          <w:tcPr>
            <w:tcW w:w="206" w:type="pct"/>
            <w:vAlign w:val="center"/>
          </w:tcPr>
          <w:p>
            <w:pPr>
              <w:pStyle w:val="33"/>
              <w:rPr>
                <w:color w:val="FF0000"/>
              </w:rPr>
            </w:pPr>
            <w:r>
              <w:rPr>
                <w:rFonts w:hint="eastAsia"/>
                <w:color w:val="FF0000"/>
              </w:rPr>
              <w:t>/</w:t>
            </w:r>
          </w:p>
        </w:tc>
        <w:tc>
          <w:tcPr>
            <w:tcW w:w="257" w:type="pct"/>
            <w:vAlign w:val="center"/>
          </w:tcPr>
          <w:p>
            <w:pPr>
              <w:pStyle w:val="33"/>
              <w:rPr>
                <w:rFonts w:hint="eastAsia"/>
                <w:color w:val="FF0000"/>
              </w:rPr>
            </w:pPr>
            <w:r>
              <w:rPr>
                <w:rFonts w:hint="eastAsia"/>
                <w:color w:val="FF0000"/>
              </w:rPr>
              <w:t>/</w:t>
            </w:r>
          </w:p>
        </w:tc>
        <w:tc>
          <w:tcPr>
            <w:tcW w:w="256" w:type="pct"/>
            <w:vAlign w:val="center"/>
          </w:tcPr>
          <w:p>
            <w:pPr>
              <w:pStyle w:val="33"/>
              <w:rPr>
                <w:rFonts w:hint="eastAsia"/>
                <w:color w:val="FF0000"/>
              </w:rPr>
            </w:pPr>
            <w:r>
              <w:rPr>
                <w:color w:val="FF0000"/>
              </w:rPr>
              <w:t>0.00018</w:t>
            </w:r>
          </w:p>
        </w:tc>
        <w:tc>
          <w:tcPr>
            <w:tcW w:w="258" w:type="pct"/>
            <w:vAlign w:val="center"/>
          </w:tcPr>
          <w:p>
            <w:pPr>
              <w:pStyle w:val="33"/>
              <w:rPr>
                <w:rFonts w:hint="eastAsia"/>
                <w:color w:val="FF0000"/>
              </w:rPr>
            </w:pPr>
            <w:r>
              <w:rPr>
                <w:rFonts w:hint="eastAsia"/>
                <w:color w:val="FF0000"/>
              </w:rPr>
              <w:t>0</w:t>
            </w:r>
            <w:r>
              <w:rPr>
                <w:color w:val="FF0000"/>
              </w:rPr>
              <w:t>.00144</w:t>
            </w:r>
          </w:p>
        </w:tc>
        <w:tc>
          <w:tcPr>
            <w:tcW w:w="565" w:type="pct"/>
            <w:vMerge w:val="continue"/>
            <w:vAlign w:val="center"/>
          </w:tcPr>
          <w:p>
            <w:pPr>
              <w:pStyle w:val="33"/>
              <w:rPr>
                <w:color w:val="FF0000"/>
              </w:rPr>
            </w:pPr>
          </w:p>
        </w:tc>
        <w:tc>
          <w:tcPr>
            <w:tcW w:w="308" w:type="pct"/>
            <w:vAlign w:val="center"/>
          </w:tcPr>
          <w:p>
            <w:pPr>
              <w:pStyle w:val="33"/>
              <w:rPr>
                <w:color w:val="FF0000"/>
              </w:rPr>
            </w:pPr>
            <w:r>
              <w:rPr>
                <w:color w:val="FF0000"/>
              </w:rPr>
              <w:t>厂界监测点</w:t>
            </w:r>
            <w:r>
              <w:rPr>
                <w:rFonts w:hint="eastAsia"/>
                <w:color w:val="FF0000"/>
              </w:rPr>
              <w:t>、厂房外</w:t>
            </w:r>
          </w:p>
        </w:tc>
        <w:tc>
          <w:tcPr>
            <w:tcW w:w="257" w:type="pct"/>
            <w:vAlign w:val="center"/>
          </w:tcPr>
          <w:p>
            <w:pPr>
              <w:pStyle w:val="33"/>
              <w:rPr>
                <w:color w:val="FF0000"/>
              </w:rPr>
            </w:pPr>
            <w:r>
              <w:rPr>
                <w:rFonts w:hint="eastAsia"/>
                <w:color w:val="FF0000"/>
              </w:rPr>
              <w:t>非甲烷总烃</w:t>
            </w:r>
          </w:p>
        </w:tc>
        <w:tc>
          <w:tcPr>
            <w:tcW w:w="201" w:type="pct"/>
            <w:vAlign w:val="center"/>
          </w:tcPr>
          <w:p>
            <w:pPr>
              <w:pStyle w:val="33"/>
              <w:rPr>
                <w:color w:val="FF0000"/>
              </w:rPr>
            </w:pPr>
            <w:r>
              <w:rPr>
                <w:color w:val="FF0000"/>
              </w:rPr>
              <w:t>1次/年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26" w:type="pct"/>
            <w:vMerge w:val="restart"/>
            <w:noWrap/>
            <w:vAlign w:val="center"/>
          </w:tcPr>
          <w:p>
            <w:pPr>
              <w:pStyle w:val="33"/>
              <w:rPr>
                <w:color w:val="FF0000"/>
              </w:rPr>
            </w:pPr>
            <w:r>
              <w:rPr>
                <w:color w:val="FF0000"/>
              </w:rPr>
              <w:t>6</w:t>
            </w:r>
          </w:p>
        </w:tc>
        <w:tc>
          <w:tcPr>
            <w:tcW w:w="411" w:type="pct"/>
            <w:vMerge w:val="restart"/>
            <w:vAlign w:val="center"/>
          </w:tcPr>
          <w:p>
            <w:pPr>
              <w:pStyle w:val="33"/>
              <w:rPr>
                <w:color w:val="FF0000"/>
              </w:rPr>
            </w:pPr>
            <w:r>
              <w:rPr>
                <w:rFonts w:hint="eastAsia"/>
                <w:color w:val="FF0000"/>
              </w:rPr>
              <w:t>骨头堆存</w:t>
            </w:r>
          </w:p>
        </w:tc>
        <w:tc>
          <w:tcPr>
            <w:tcW w:w="256" w:type="pct"/>
            <w:vAlign w:val="center"/>
          </w:tcPr>
          <w:p>
            <w:pPr>
              <w:pStyle w:val="33"/>
              <w:rPr>
                <w:color w:val="FF0000"/>
              </w:rPr>
            </w:pPr>
            <w:r>
              <w:rPr>
                <w:rFonts w:hint="eastAsia"/>
                <w:color w:val="FF0000"/>
              </w:rPr>
              <w:t>N</w:t>
            </w:r>
            <w:r>
              <w:rPr>
                <w:color w:val="FF0000"/>
              </w:rPr>
              <w:t>H</w:t>
            </w:r>
            <w:r>
              <w:rPr>
                <w:color w:val="FF0000"/>
                <w:vertAlign w:val="subscript"/>
              </w:rPr>
              <w:t>3</w:t>
            </w:r>
          </w:p>
        </w:tc>
        <w:tc>
          <w:tcPr>
            <w:tcW w:w="256" w:type="pct"/>
            <w:vAlign w:val="center"/>
          </w:tcPr>
          <w:p>
            <w:pPr>
              <w:pStyle w:val="33"/>
              <w:rPr>
                <w:color w:val="FF0000"/>
              </w:rPr>
            </w:pPr>
            <w:r>
              <w:rPr>
                <w:rFonts w:hint="eastAsia"/>
                <w:color w:val="FF0000"/>
              </w:rPr>
              <w:t>/</w:t>
            </w:r>
          </w:p>
        </w:tc>
        <w:tc>
          <w:tcPr>
            <w:tcW w:w="359" w:type="pct"/>
            <w:vAlign w:val="center"/>
          </w:tcPr>
          <w:p>
            <w:pPr>
              <w:pStyle w:val="33"/>
              <w:rPr>
                <w:color w:val="FF0000"/>
              </w:rPr>
            </w:pPr>
            <w:r>
              <w:rPr>
                <w:rFonts w:hint="eastAsia"/>
                <w:color w:val="FF0000"/>
              </w:rPr>
              <w:t>0</w:t>
            </w:r>
            <w:r>
              <w:rPr>
                <w:color w:val="FF0000"/>
              </w:rPr>
              <w:t>.6 mg/m</w:t>
            </w:r>
            <w:r>
              <w:rPr>
                <w:color w:val="FF0000"/>
                <w:vertAlign w:val="superscript"/>
              </w:rPr>
              <w:t>3</w:t>
            </w:r>
          </w:p>
        </w:tc>
        <w:tc>
          <w:tcPr>
            <w:tcW w:w="257" w:type="pct"/>
            <w:vMerge w:val="restart"/>
            <w:vAlign w:val="center"/>
          </w:tcPr>
          <w:p>
            <w:pPr>
              <w:pStyle w:val="33"/>
              <w:rPr>
                <w:color w:val="FF0000"/>
              </w:rPr>
            </w:pPr>
            <w:r>
              <w:rPr>
                <w:rFonts w:hint="eastAsia"/>
                <w:color w:val="FF0000"/>
              </w:rPr>
              <w:t>无组织</w:t>
            </w:r>
          </w:p>
        </w:tc>
        <w:tc>
          <w:tcPr>
            <w:tcW w:w="205" w:type="pct"/>
            <w:vMerge w:val="restart"/>
            <w:vAlign w:val="center"/>
          </w:tcPr>
          <w:p>
            <w:pPr>
              <w:pStyle w:val="33"/>
              <w:rPr>
                <w:color w:val="FF0000"/>
                <w:szCs w:val="24"/>
              </w:rPr>
            </w:pPr>
            <w:r>
              <w:rPr>
                <w:rFonts w:hint="eastAsia"/>
                <w:color w:val="FF0000"/>
                <w:szCs w:val="24"/>
              </w:rPr>
              <w:t>6</w:t>
            </w:r>
            <w:r>
              <w:rPr>
                <w:color w:val="FF0000"/>
                <w:szCs w:val="24"/>
              </w:rPr>
              <w:t>0</w:t>
            </w:r>
          </w:p>
        </w:tc>
        <w:tc>
          <w:tcPr>
            <w:tcW w:w="206" w:type="pct"/>
            <w:vMerge w:val="restart"/>
            <w:vAlign w:val="center"/>
          </w:tcPr>
          <w:p>
            <w:pPr>
              <w:pStyle w:val="33"/>
              <w:rPr>
                <w:color w:val="FF0000"/>
              </w:rPr>
            </w:pPr>
            <w:r>
              <w:rPr>
                <w:rFonts w:hint="eastAsia"/>
                <w:color w:val="FF0000"/>
              </w:rPr>
              <w:t>2</w:t>
            </w:r>
            <w:r>
              <w:rPr>
                <w:color w:val="FF0000"/>
              </w:rPr>
              <w:t>0</w:t>
            </w:r>
          </w:p>
        </w:tc>
        <w:tc>
          <w:tcPr>
            <w:tcW w:w="205" w:type="pct"/>
            <w:vMerge w:val="restart"/>
            <w:vAlign w:val="center"/>
          </w:tcPr>
          <w:p>
            <w:pPr>
              <w:pStyle w:val="33"/>
              <w:rPr>
                <w:color w:val="FF0000"/>
              </w:rPr>
            </w:pPr>
            <w:r>
              <w:rPr>
                <w:rFonts w:hint="eastAsia"/>
                <w:color w:val="FF0000"/>
              </w:rPr>
              <w:t xml:space="preserve">1      </w:t>
            </w:r>
            <w:r>
              <w:rPr>
                <w:color w:val="FF0000"/>
              </w:rPr>
              <w:t>0</w:t>
            </w:r>
          </w:p>
        </w:tc>
        <w:tc>
          <w:tcPr>
            <w:tcW w:w="411" w:type="pct"/>
            <w:vMerge w:val="restart"/>
            <w:vAlign w:val="center"/>
          </w:tcPr>
          <w:p>
            <w:pPr>
              <w:pStyle w:val="33"/>
              <w:rPr>
                <w:color w:val="FF0000"/>
              </w:rPr>
            </w:pPr>
            <w:r>
              <w:rPr>
                <w:rFonts w:hint="eastAsia"/>
                <w:color w:val="FF0000"/>
              </w:rPr>
              <w:t>封闭厂房，喷洒植物液</w:t>
            </w:r>
          </w:p>
        </w:tc>
        <w:tc>
          <w:tcPr>
            <w:tcW w:w="206" w:type="pct"/>
            <w:vMerge w:val="restart"/>
            <w:vAlign w:val="center"/>
          </w:tcPr>
          <w:p>
            <w:pPr>
              <w:pStyle w:val="33"/>
              <w:rPr>
                <w:color w:val="FF0000"/>
                <w:sz w:val="20"/>
                <w:szCs w:val="20"/>
              </w:rPr>
            </w:pPr>
            <w:r>
              <w:rPr>
                <w:rFonts w:hint="eastAsia"/>
                <w:color w:val="FF0000"/>
                <w:sz w:val="20"/>
                <w:szCs w:val="20"/>
              </w:rPr>
              <w:t>5</w:t>
            </w:r>
            <w:r>
              <w:rPr>
                <w:color w:val="FF0000"/>
                <w:sz w:val="20"/>
                <w:szCs w:val="20"/>
              </w:rPr>
              <w:t>0%</w:t>
            </w:r>
          </w:p>
        </w:tc>
        <w:tc>
          <w:tcPr>
            <w:tcW w:w="257" w:type="pct"/>
            <w:vAlign w:val="center"/>
          </w:tcPr>
          <w:p>
            <w:pPr>
              <w:pStyle w:val="33"/>
              <w:rPr>
                <w:color w:val="FF0000"/>
                <w:sz w:val="20"/>
                <w:szCs w:val="20"/>
              </w:rPr>
            </w:pPr>
            <w:r>
              <w:rPr>
                <w:color w:val="FF0000"/>
                <w:sz w:val="20"/>
                <w:szCs w:val="20"/>
              </w:rPr>
              <w:t>0.3</w:t>
            </w:r>
          </w:p>
        </w:tc>
        <w:tc>
          <w:tcPr>
            <w:tcW w:w="256" w:type="pct"/>
            <w:vAlign w:val="center"/>
          </w:tcPr>
          <w:p>
            <w:pPr>
              <w:pStyle w:val="33"/>
              <w:rPr>
                <w:color w:val="FF0000"/>
              </w:rPr>
            </w:pPr>
            <w:r>
              <w:rPr>
                <w:rFonts w:hint="eastAsia"/>
                <w:color w:val="FF0000"/>
              </w:rPr>
              <w:t>/</w:t>
            </w:r>
          </w:p>
        </w:tc>
        <w:tc>
          <w:tcPr>
            <w:tcW w:w="258" w:type="pct"/>
            <w:vAlign w:val="center"/>
          </w:tcPr>
          <w:p>
            <w:pPr>
              <w:pStyle w:val="33"/>
              <w:rPr>
                <w:color w:val="FF0000"/>
              </w:rPr>
            </w:pPr>
            <w:r>
              <w:rPr>
                <w:rFonts w:hint="eastAsia"/>
                <w:color w:val="FF0000"/>
              </w:rPr>
              <w:t>/</w:t>
            </w:r>
          </w:p>
        </w:tc>
        <w:tc>
          <w:tcPr>
            <w:tcW w:w="565" w:type="pct"/>
            <w:vMerge w:val="restart"/>
            <w:vAlign w:val="center"/>
          </w:tcPr>
          <w:p>
            <w:pPr>
              <w:pStyle w:val="33"/>
              <w:rPr>
                <w:color w:val="FF0000"/>
              </w:rPr>
            </w:pPr>
            <w:r>
              <w:rPr>
                <w:rFonts w:hint="eastAsia"/>
                <w:color w:val="FF0000"/>
              </w:rPr>
              <w:t>《恶臭污染物排放标准》（G</w:t>
            </w:r>
            <w:r>
              <w:rPr>
                <w:color w:val="FF0000"/>
              </w:rPr>
              <w:t>B14554-93</w:t>
            </w:r>
          </w:p>
        </w:tc>
        <w:tc>
          <w:tcPr>
            <w:tcW w:w="308" w:type="pct"/>
            <w:vMerge w:val="restart"/>
            <w:vAlign w:val="center"/>
          </w:tcPr>
          <w:p>
            <w:pPr>
              <w:pStyle w:val="33"/>
              <w:rPr>
                <w:color w:val="FF0000"/>
                <w:szCs w:val="21"/>
              </w:rPr>
            </w:pPr>
            <w:r>
              <w:rPr>
                <w:color w:val="FF0000"/>
                <w:szCs w:val="21"/>
              </w:rPr>
              <w:t>厂界监测点</w:t>
            </w:r>
          </w:p>
        </w:tc>
        <w:tc>
          <w:tcPr>
            <w:tcW w:w="257" w:type="pct"/>
            <w:vMerge w:val="restart"/>
            <w:vAlign w:val="center"/>
          </w:tcPr>
          <w:p>
            <w:pPr>
              <w:pStyle w:val="33"/>
              <w:rPr>
                <w:rFonts w:hint="eastAsia"/>
                <w:color w:val="FF0000"/>
              </w:rPr>
            </w:pPr>
            <w:r>
              <w:rPr>
                <w:rFonts w:hint="eastAsia"/>
                <w:color w:val="FF0000"/>
              </w:rPr>
              <w:t>N</w:t>
            </w:r>
            <w:r>
              <w:rPr>
                <w:color w:val="FF0000"/>
              </w:rPr>
              <w:t>H</w:t>
            </w:r>
            <w:r>
              <w:rPr>
                <w:color w:val="FF0000"/>
                <w:vertAlign w:val="subscript"/>
              </w:rPr>
              <w:t>3</w:t>
            </w:r>
            <w:r>
              <w:rPr>
                <w:rFonts w:hint="eastAsia"/>
                <w:color w:val="FF0000"/>
                <w:vertAlign w:val="subscript"/>
              </w:rPr>
              <w:t>、</w:t>
            </w:r>
            <w:r>
              <w:rPr>
                <w:rFonts w:hint="eastAsia"/>
                <w:color w:val="FF0000"/>
              </w:rPr>
              <w:t>H</w:t>
            </w:r>
            <w:r>
              <w:rPr>
                <w:color w:val="FF0000"/>
                <w:vertAlign w:val="subscript"/>
              </w:rPr>
              <w:t>2</w:t>
            </w:r>
            <w:r>
              <w:rPr>
                <w:color w:val="FF0000"/>
              </w:rPr>
              <w:t>S</w:t>
            </w:r>
            <w:r>
              <w:rPr>
                <w:rFonts w:hint="eastAsia"/>
                <w:color w:val="FF0000"/>
              </w:rPr>
              <w:t>、臭气浓度</w:t>
            </w:r>
          </w:p>
        </w:tc>
        <w:tc>
          <w:tcPr>
            <w:tcW w:w="201" w:type="pct"/>
            <w:vMerge w:val="restart"/>
            <w:vAlign w:val="center"/>
          </w:tcPr>
          <w:p>
            <w:pPr>
              <w:pStyle w:val="33"/>
              <w:rPr>
                <w:color w:val="FF0000"/>
                <w:kern w:val="2"/>
                <w:szCs w:val="21"/>
              </w:rPr>
            </w:pPr>
            <w:r>
              <w:rPr>
                <w:color w:val="FF0000"/>
                <w:kern w:val="2"/>
                <w:szCs w:val="21"/>
              </w:rPr>
              <w:t>1次/年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6" w:type="pct"/>
            <w:vMerge w:val="continue"/>
            <w:noWrap/>
            <w:vAlign w:val="center"/>
          </w:tcPr>
          <w:p>
            <w:pPr>
              <w:pStyle w:val="33"/>
              <w:rPr>
                <w:rFonts w:ascii="TimesNewRomanPSMT" w:cs="TimesNewRomanPSMT" w:eastAsiaTheme="minorEastAsia"/>
                <w:color w:val="FF0000"/>
              </w:rPr>
            </w:pPr>
          </w:p>
        </w:tc>
        <w:tc>
          <w:tcPr>
            <w:tcW w:w="411" w:type="pct"/>
            <w:vMerge w:val="continue"/>
            <w:vAlign w:val="center"/>
          </w:tcPr>
          <w:p>
            <w:pPr>
              <w:pStyle w:val="33"/>
              <w:rPr>
                <w:color w:val="FF0000"/>
              </w:rPr>
            </w:pPr>
          </w:p>
        </w:tc>
        <w:tc>
          <w:tcPr>
            <w:tcW w:w="256" w:type="pct"/>
            <w:vAlign w:val="center"/>
          </w:tcPr>
          <w:p>
            <w:pPr>
              <w:pStyle w:val="33"/>
              <w:rPr>
                <w:color w:val="FF0000"/>
              </w:rPr>
            </w:pPr>
            <w:r>
              <w:rPr>
                <w:rFonts w:hint="eastAsia"/>
                <w:color w:val="FF0000"/>
              </w:rPr>
              <w:t>H</w:t>
            </w:r>
            <w:r>
              <w:rPr>
                <w:color w:val="FF0000"/>
                <w:vertAlign w:val="subscript"/>
              </w:rPr>
              <w:t>2</w:t>
            </w:r>
            <w:r>
              <w:rPr>
                <w:color w:val="FF0000"/>
              </w:rPr>
              <w:t>S</w:t>
            </w:r>
          </w:p>
        </w:tc>
        <w:tc>
          <w:tcPr>
            <w:tcW w:w="256" w:type="pct"/>
            <w:vAlign w:val="center"/>
          </w:tcPr>
          <w:p>
            <w:pPr>
              <w:pStyle w:val="33"/>
              <w:rPr>
                <w:color w:val="FF0000"/>
              </w:rPr>
            </w:pPr>
            <w:r>
              <w:rPr>
                <w:rFonts w:hint="eastAsia"/>
                <w:color w:val="FF0000"/>
              </w:rPr>
              <w:t>/</w:t>
            </w:r>
          </w:p>
        </w:tc>
        <w:tc>
          <w:tcPr>
            <w:tcW w:w="359" w:type="pct"/>
            <w:vAlign w:val="center"/>
          </w:tcPr>
          <w:p>
            <w:pPr>
              <w:pStyle w:val="33"/>
              <w:rPr>
                <w:color w:val="FF0000"/>
              </w:rPr>
            </w:pPr>
            <w:r>
              <w:rPr>
                <w:color w:val="FF0000"/>
              </w:rPr>
              <w:t>0.005mg/m</w:t>
            </w:r>
            <w:r>
              <w:rPr>
                <w:color w:val="FF0000"/>
                <w:vertAlign w:val="superscript"/>
              </w:rPr>
              <w:t>3</w:t>
            </w:r>
          </w:p>
        </w:tc>
        <w:tc>
          <w:tcPr>
            <w:tcW w:w="257" w:type="pct"/>
            <w:vMerge w:val="continue"/>
            <w:vAlign w:val="center"/>
          </w:tcPr>
          <w:p>
            <w:pPr>
              <w:pStyle w:val="33"/>
              <w:rPr>
                <w:color w:val="FF0000"/>
              </w:rPr>
            </w:pPr>
          </w:p>
        </w:tc>
        <w:tc>
          <w:tcPr>
            <w:tcW w:w="205" w:type="pct"/>
            <w:vMerge w:val="continue"/>
            <w:vAlign w:val="center"/>
          </w:tcPr>
          <w:p>
            <w:pPr>
              <w:pStyle w:val="33"/>
              <w:rPr>
                <w:color w:val="FF0000"/>
                <w:szCs w:val="24"/>
              </w:rPr>
            </w:pPr>
          </w:p>
        </w:tc>
        <w:tc>
          <w:tcPr>
            <w:tcW w:w="206" w:type="pct"/>
            <w:vMerge w:val="continue"/>
            <w:vAlign w:val="center"/>
          </w:tcPr>
          <w:p>
            <w:pPr>
              <w:pStyle w:val="33"/>
              <w:rPr>
                <w:color w:val="FF0000"/>
              </w:rPr>
            </w:pPr>
          </w:p>
        </w:tc>
        <w:tc>
          <w:tcPr>
            <w:tcW w:w="205" w:type="pct"/>
            <w:vMerge w:val="continue"/>
            <w:vAlign w:val="center"/>
          </w:tcPr>
          <w:p>
            <w:pPr>
              <w:pStyle w:val="33"/>
              <w:rPr>
                <w:color w:val="FF0000"/>
              </w:rPr>
            </w:pPr>
          </w:p>
        </w:tc>
        <w:tc>
          <w:tcPr>
            <w:tcW w:w="411" w:type="pct"/>
            <w:vMerge w:val="continue"/>
            <w:vAlign w:val="center"/>
          </w:tcPr>
          <w:p>
            <w:pPr>
              <w:pStyle w:val="33"/>
              <w:rPr>
                <w:color w:val="FF0000"/>
              </w:rPr>
            </w:pPr>
          </w:p>
        </w:tc>
        <w:tc>
          <w:tcPr>
            <w:tcW w:w="206" w:type="pct"/>
            <w:vMerge w:val="continue"/>
            <w:vAlign w:val="center"/>
          </w:tcPr>
          <w:p>
            <w:pPr>
              <w:pStyle w:val="33"/>
              <w:rPr>
                <w:color w:val="FF0000"/>
                <w:sz w:val="20"/>
                <w:szCs w:val="20"/>
              </w:rPr>
            </w:pPr>
          </w:p>
        </w:tc>
        <w:tc>
          <w:tcPr>
            <w:tcW w:w="257" w:type="pct"/>
            <w:vAlign w:val="center"/>
          </w:tcPr>
          <w:p>
            <w:pPr>
              <w:pStyle w:val="33"/>
              <w:rPr>
                <w:color w:val="FF0000"/>
                <w:sz w:val="20"/>
                <w:szCs w:val="20"/>
              </w:rPr>
            </w:pPr>
            <w:r>
              <w:rPr>
                <w:rFonts w:hint="eastAsia"/>
                <w:color w:val="FF0000"/>
                <w:sz w:val="20"/>
                <w:szCs w:val="20"/>
              </w:rPr>
              <w:t>0</w:t>
            </w:r>
            <w:r>
              <w:rPr>
                <w:color w:val="FF0000"/>
                <w:sz w:val="20"/>
                <w:szCs w:val="20"/>
              </w:rPr>
              <w:t>.0025</w:t>
            </w:r>
          </w:p>
        </w:tc>
        <w:tc>
          <w:tcPr>
            <w:tcW w:w="256" w:type="pct"/>
            <w:vAlign w:val="center"/>
          </w:tcPr>
          <w:p>
            <w:pPr>
              <w:pStyle w:val="33"/>
              <w:rPr>
                <w:color w:val="FF0000"/>
              </w:rPr>
            </w:pPr>
            <w:r>
              <w:rPr>
                <w:color w:val="FF0000"/>
              </w:rPr>
              <w:t>/</w:t>
            </w:r>
          </w:p>
        </w:tc>
        <w:tc>
          <w:tcPr>
            <w:tcW w:w="258" w:type="pct"/>
            <w:vAlign w:val="center"/>
          </w:tcPr>
          <w:p>
            <w:pPr>
              <w:pStyle w:val="33"/>
              <w:rPr>
                <w:color w:val="FF0000"/>
              </w:rPr>
            </w:pPr>
            <w:r>
              <w:rPr>
                <w:rFonts w:hint="eastAsia"/>
                <w:color w:val="FF0000"/>
              </w:rPr>
              <w:t>/</w:t>
            </w:r>
          </w:p>
        </w:tc>
        <w:tc>
          <w:tcPr>
            <w:tcW w:w="565" w:type="pct"/>
            <w:vMerge w:val="continue"/>
            <w:vAlign w:val="center"/>
          </w:tcPr>
          <w:p>
            <w:pPr>
              <w:pStyle w:val="33"/>
              <w:rPr>
                <w:color w:val="FF0000"/>
              </w:rPr>
            </w:pPr>
          </w:p>
        </w:tc>
        <w:tc>
          <w:tcPr>
            <w:tcW w:w="308" w:type="pct"/>
            <w:vMerge w:val="continue"/>
            <w:vAlign w:val="center"/>
          </w:tcPr>
          <w:p>
            <w:pPr>
              <w:pStyle w:val="33"/>
              <w:rPr>
                <w:color w:val="FF0000"/>
                <w:szCs w:val="21"/>
              </w:rPr>
            </w:pPr>
          </w:p>
        </w:tc>
        <w:tc>
          <w:tcPr>
            <w:tcW w:w="257" w:type="pct"/>
            <w:vMerge w:val="continue"/>
            <w:vAlign w:val="center"/>
          </w:tcPr>
          <w:p>
            <w:pPr>
              <w:pStyle w:val="33"/>
              <w:rPr>
                <w:color w:val="FF0000"/>
              </w:rPr>
            </w:pPr>
          </w:p>
        </w:tc>
        <w:tc>
          <w:tcPr>
            <w:tcW w:w="201" w:type="pct"/>
            <w:vMerge w:val="continue"/>
            <w:vAlign w:val="center"/>
          </w:tcPr>
          <w:p>
            <w:pPr>
              <w:pStyle w:val="33"/>
              <w:rPr>
                <w:color w:val="FF0000"/>
                <w:kern w:val="2"/>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26" w:type="pct"/>
            <w:vMerge w:val="continue"/>
            <w:noWrap/>
            <w:vAlign w:val="center"/>
          </w:tcPr>
          <w:p>
            <w:pPr>
              <w:pStyle w:val="33"/>
              <w:rPr>
                <w:rFonts w:ascii="TimesNewRomanPSMT" w:cs="TimesNewRomanPSMT" w:eastAsiaTheme="minorEastAsia"/>
                <w:color w:val="FF0000"/>
              </w:rPr>
            </w:pPr>
          </w:p>
        </w:tc>
        <w:tc>
          <w:tcPr>
            <w:tcW w:w="411" w:type="pct"/>
            <w:vMerge w:val="continue"/>
            <w:vAlign w:val="center"/>
          </w:tcPr>
          <w:p>
            <w:pPr>
              <w:pStyle w:val="33"/>
              <w:rPr>
                <w:color w:val="FF0000"/>
              </w:rPr>
            </w:pPr>
          </w:p>
        </w:tc>
        <w:tc>
          <w:tcPr>
            <w:tcW w:w="256" w:type="pct"/>
            <w:vAlign w:val="center"/>
          </w:tcPr>
          <w:p>
            <w:pPr>
              <w:pStyle w:val="33"/>
              <w:rPr>
                <w:rFonts w:hint="eastAsia"/>
                <w:color w:val="FF0000"/>
              </w:rPr>
            </w:pPr>
            <w:r>
              <w:rPr>
                <w:rFonts w:hint="eastAsia"/>
                <w:color w:val="FF0000"/>
              </w:rPr>
              <w:t>臭气浓度</w:t>
            </w:r>
          </w:p>
        </w:tc>
        <w:tc>
          <w:tcPr>
            <w:tcW w:w="256" w:type="pct"/>
            <w:vAlign w:val="center"/>
          </w:tcPr>
          <w:p>
            <w:pPr>
              <w:pStyle w:val="33"/>
              <w:rPr>
                <w:rFonts w:hint="eastAsia"/>
                <w:color w:val="FF0000"/>
              </w:rPr>
            </w:pPr>
            <w:r>
              <w:rPr>
                <w:rFonts w:hint="eastAsia"/>
                <w:color w:val="FF0000"/>
              </w:rPr>
              <w:t>/</w:t>
            </w:r>
          </w:p>
        </w:tc>
        <w:tc>
          <w:tcPr>
            <w:tcW w:w="359" w:type="pct"/>
            <w:vAlign w:val="center"/>
          </w:tcPr>
          <w:p>
            <w:pPr>
              <w:pStyle w:val="33"/>
              <w:rPr>
                <w:rFonts w:hint="eastAsia"/>
                <w:color w:val="FF0000"/>
              </w:rPr>
            </w:pPr>
            <w:r>
              <w:rPr>
                <w:rFonts w:hint="eastAsia"/>
                <w:color w:val="FF0000"/>
              </w:rPr>
              <w:t>1</w:t>
            </w:r>
            <w:r>
              <w:rPr>
                <w:color w:val="FF0000"/>
              </w:rPr>
              <w:t>5</w:t>
            </w:r>
            <w:r>
              <w:rPr>
                <w:rFonts w:hint="eastAsia"/>
                <w:color w:val="FF0000"/>
              </w:rPr>
              <w:t>（无量纲）</w:t>
            </w:r>
          </w:p>
        </w:tc>
        <w:tc>
          <w:tcPr>
            <w:tcW w:w="257" w:type="pct"/>
            <w:vMerge w:val="continue"/>
            <w:vAlign w:val="center"/>
          </w:tcPr>
          <w:p>
            <w:pPr>
              <w:pStyle w:val="33"/>
              <w:rPr>
                <w:color w:val="FF0000"/>
              </w:rPr>
            </w:pPr>
          </w:p>
        </w:tc>
        <w:tc>
          <w:tcPr>
            <w:tcW w:w="205" w:type="pct"/>
            <w:vAlign w:val="center"/>
          </w:tcPr>
          <w:p>
            <w:pPr>
              <w:pStyle w:val="33"/>
              <w:rPr>
                <w:color w:val="FF0000"/>
                <w:szCs w:val="24"/>
              </w:rPr>
            </w:pPr>
            <w:r>
              <w:rPr>
                <w:rFonts w:hint="eastAsia"/>
                <w:color w:val="FF0000"/>
                <w:szCs w:val="24"/>
              </w:rPr>
              <w:t>6</w:t>
            </w:r>
            <w:r>
              <w:rPr>
                <w:color w:val="FF0000"/>
                <w:szCs w:val="24"/>
              </w:rPr>
              <w:t>0</w:t>
            </w:r>
          </w:p>
        </w:tc>
        <w:tc>
          <w:tcPr>
            <w:tcW w:w="206" w:type="pct"/>
            <w:vAlign w:val="center"/>
          </w:tcPr>
          <w:p>
            <w:pPr>
              <w:pStyle w:val="33"/>
              <w:rPr>
                <w:color w:val="FF0000"/>
              </w:rPr>
            </w:pPr>
            <w:r>
              <w:rPr>
                <w:rFonts w:hint="eastAsia"/>
                <w:color w:val="FF0000"/>
              </w:rPr>
              <w:t>2</w:t>
            </w:r>
            <w:r>
              <w:rPr>
                <w:color w:val="FF0000"/>
              </w:rPr>
              <w:t>0</w:t>
            </w:r>
          </w:p>
        </w:tc>
        <w:tc>
          <w:tcPr>
            <w:tcW w:w="205" w:type="pct"/>
            <w:vAlign w:val="center"/>
          </w:tcPr>
          <w:p>
            <w:pPr>
              <w:pStyle w:val="33"/>
              <w:rPr>
                <w:color w:val="FF0000"/>
              </w:rPr>
            </w:pPr>
            <w:r>
              <w:rPr>
                <w:rFonts w:hint="eastAsia"/>
                <w:color w:val="FF0000"/>
              </w:rPr>
              <w:t xml:space="preserve">1      </w:t>
            </w:r>
            <w:r>
              <w:rPr>
                <w:color w:val="FF0000"/>
              </w:rPr>
              <w:t>0</w:t>
            </w:r>
          </w:p>
        </w:tc>
        <w:tc>
          <w:tcPr>
            <w:tcW w:w="411" w:type="pct"/>
            <w:vMerge w:val="continue"/>
            <w:vAlign w:val="center"/>
          </w:tcPr>
          <w:p>
            <w:pPr>
              <w:pStyle w:val="33"/>
              <w:rPr>
                <w:color w:val="FF0000"/>
              </w:rPr>
            </w:pPr>
          </w:p>
        </w:tc>
        <w:tc>
          <w:tcPr>
            <w:tcW w:w="206" w:type="pct"/>
            <w:vMerge w:val="continue"/>
            <w:vAlign w:val="center"/>
          </w:tcPr>
          <w:p>
            <w:pPr>
              <w:pStyle w:val="33"/>
              <w:rPr>
                <w:color w:val="FF0000"/>
                <w:sz w:val="20"/>
                <w:szCs w:val="20"/>
              </w:rPr>
            </w:pPr>
          </w:p>
        </w:tc>
        <w:tc>
          <w:tcPr>
            <w:tcW w:w="257" w:type="pct"/>
            <w:vAlign w:val="center"/>
          </w:tcPr>
          <w:p>
            <w:pPr>
              <w:pStyle w:val="33"/>
              <w:rPr>
                <w:rFonts w:hint="eastAsia"/>
                <w:color w:val="FF0000"/>
                <w:sz w:val="20"/>
                <w:szCs w:val="20"/>
              </w:rPr>
            </w:pPr>
            <w:r>
              <w:rPr>
                <w:rFonts w:hint="eastAsia"/>
                <w:color w:val="FF0000"/>
                <w:sz w:val="20"/>
                <w:szCs w:val="20"/>
              </w:rPr>
              <w:t>7</w:t>
            </w:r>
            <w:r>
              <w:rPr>
                <w:color w:val="FF0000"/>
                <w:sz w:val="20"/>
                <w:szCs w:val="20"/>
              </w:rPr>
              <w:t>.5</w:t>
            </w:r>
          </w:p>
        </w:tc>
        <w:tc>
          <w:tcPr>
            <w:tcW w:w="256" w:type="pct"/>
            <w:vAlign w:val="center"/>
          </w:tcPr>
          <w:p>
            <w:pPr>
              <w:pStyle w:val="33"/>
              <w:rPr>
                <w:color w:val="FF0000"/>
              </w:rPr>
            </w:pPr>
            <w:r>
              <w:rPr>
                <w:rFonts w:hint="eastAsia"/>
                <w:color w:val="FF0000"/>
              </w:rPr>
              <w:t>/</w:t>
            </w:r>
          </w:p>
        </w:tc>
        <w:tc>
          <w:tcPr>
            <w:tcW w:w="258" w:type="pct"/>
            <w:vAlign w:val="center"/>
          </w:tcPr>
          <w:p>
            <w:pPr>
              <w:pStyle w:val="33"/>
              <w:rPr>
                <w:color w:val="FF0000"/>
              </w:rPr>
            </w:pPr>
            <w:r>
              <w:rPr>
                <w:rFonts w:hint="eastAsia"/>
                <w:color w:val="FF0000"/>
              </w:rPr>
              <w:t>/</w:t>
            </w:r>
          </w:p>
        </w:tc>
        <w:tc>
          <w:tcPr>
            <w:tcW w:w="565" w:type="pct"/>
            <w:vMerge w:val="continue"/>
            <w:vAlign w:val="center"/>
          </w:tcPr>
          <w:p>
            <w:pPr>
              <w:pStyle w:val="33"/>
              <w:rPr>
                <w:color w:val="FF0000"/>
              </w:rPr>
            </w:pPr>
          </w:p>
        </w:tc>
        <w:tc>
          <w:tcPr>
            <w:tcW w:w="308" w:type="pct"/>
            <w:vMerge w:val="continue"/>
            <w:vAlign w:val="center"/>
          </w:tcPr>
          <w:p>
            <w:pPr>
              <w:pStyle w:val="33"/>
              <w:rPr>
                <w:color w:val="FF0000"/>
                <w:szCs w:val="21"/>
              </w:rPr>
            </w:pPr>
          </w:p>
        </w:tc>
        <w:tc>
          <w:tcPr>
            <w:tcW w:w="257" w:type="pct"/>
            <w:vMerge w:val="continue"/>
            <w:vAlign w:val="center"/>
          </w:tcPr>
          <w:p>
            <w:pPr>
              <w:pStyle w:val="33"/>
              <w:rPr>
                <w:color w:val="FF0000"/>
              </w:rPr>
            </w:pPr>
          </w:p>
        </w:tc>
        <w:tc>
          <w:tcPr>
            <w:tcW w:w="201" w:type="pct"/>
            <w:vMerge w:val="continue"/>
            <w:vAlign w:val="center"/>
          </w:tcPr>
          <w:p>
            <w:pPr>
              <w:pStyle w:val="33"/>
              <w:rPr>
                <w:color w:val="FF0000"/>
                <w:kern w:val="2"/>
                <w:szCs w:val="21"/>
              </w:rPr>
            </w:pPr>
          </w:p>
        </w:tc>
      </w:tr>
      <w:bookmarkEnd w:id="26"/>
      <w:bookmarkEnd w:id="30"/>
    </w:tbl>
    <w:p>
      <w:pPr>
        <w:ind w:firstLine="480"/>
        <w:sectPr>
          <w:pgSz w:w="16838" w:h="11906" w:orient="landscape"/>
          <w:pgMar w:top="1800" w:right="1440" w:bottom="1800" w:left="1440" w:header="992" w:footer="992" w:gutter="0"/>
          <w:cols w:space="425" w:num="1"/>
          <w:docGrid w:type="lines" w:linePitch="326"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ind w:firstLine="482"/>
              <w:rPr>
                <w:b/>
                <w:bCs/>
              </w:rPr>
            </w:pPr>
            <w:r>
              <w:rPr>
                <w:rFonts w:hint="eastAsia"/>
                <w:b/>
                <w:bCs/>
              </w:rPr>
              <w:t>2废水</w:t>
            </w:r>
          </w:p>
          <w:p>
            <w:pPr>
              <w:ind w:firstLine="482"/>
              <w:rPr>
                <w:b/>
                <w:bCs/>
              </w:rPr>
            </w:pPr>
            <w:r>
              <w:rPr>
                <w:rFonts w:hint="eastAsia"/>
                <w:b/>
                <w:bCs/>
              </w:rPr>
              <w:t>2</w:t>
            </w:r>
            <w:r>
              <w:rPr>
                <w:b/>
                <w:bCs/>
              </w:rPr>
              <w:t>.1</w:t>
            </w:r>
            <w:r>
              <w:rPr>
                <w:rFonts w:hint="eastAsia"/>
                <w:b/>
                <w:bCs/>
              </w:rPr>
              <w:t>废水产生及排放情况</w:t>
            </w:r>
          </w:p>
          <w:p>
            <w:pPr>
              <w:ind w:firstLine="482"/>
              <w:rPr>
                <w:b/>
                <w:bCs/>
              </w:rPr>
            </w:pPr>
            <w:r>
              <w:rPr>
                <w:rFonts w:hint="eastAsia"/>
                <w:b/>
                <w:bCs/>
              </w:rPr>
              <w:t>（1）生活污水</w:t>
            </w:r>
          </w:p>
          <w:p>
            <w:pPr>
              <w:ind w:firstLine="480"/>
            </w:pPr>
            <w:r>
              <w:rPr>
                <w:rFonts w:hint="eastAsia"/>
              </w:rPr>
              <w:t>项目员工生活污水产生量为9</w:t>
            </w:r>
            <w:r>
              <w:t>97.92 m</w:t>
            </w:r>
            <w:r>
              <w:rPr>
                <w:vertAlign w:val="superscript"/>
              </w:rPr>
              <w:t>3</w:t>
            </w:r>
            <w:r>
              <w:t>/a</w:t>
            </w:r>
            <w:r>
              <w:rPr>
                <w:rFonts w:hint="eastAsia"/>
              </w:rPr>
              <w:t>，</w:t>
            </w:r>
            <w:r>
              <w:t>COD</w:t>
            </w:r>
            <w:r>
              <w:rPr>
                <w:rFonts w:hint="eastAsia"/>
              </w:rPr>
              <w:t>的产生浓度为3</w:t>
            </w:r>
            <w:r>
              <w:t>00mg/l</w:t>
            </w:r>
            <w:r>
              <w:rPr>
                <w:rFonts w:hint="eastAsia"/>
              </w:rPr>
              <w:t>、</w:t>
            </w:r>
            <w:r>
              <w:t>BOD</w:t>
            </w:r>
            <w:r>
              <w:rPr>
                <w:vertAlign w:val="subscript"/>
              </w:rPr>
              <w:t>5</w:t>
            </w:r>
            <w:r>
              <w:rPr>
                <w:rFonts w:hint="eastAsia"/>
              </w:rPr>
              <w:t>的产生浓度为</w:t>
            </w:r>
            <w:r>
              <w:t>280mg/l</w:t>
            </w:r>
            <w:r>
              <w:rPr>
                <w:rFonts w:hint="eastAsia"/>
              </w:rPr>
              <w:t>、</w:t>
            </w:r>
            <w:r>
              <w:t>SS</w:t>
            </w:r>
            <w:r>
              <w:rPr>
                <w:rFonts w:hint="eastAsia"/>
              </w:rPr>
              <w:t>产生浓度为</w:t>
            </w:r>
            <w:r>
              <w:t>100mg/l</w:t>
            </w:r>
            <w:r>
              <w:rPr>
                <w:rFonts w:hint="eastAsia"/>
              </w:rPr>
              <w:t>、</w:t>
            </w:r>
            <w:r>
              <w:t>NH</w:t>
            </w:r>
            <w:r>
              <w:rPr>
                <w:vertAlign w:val="subscript"/>
              </w:rPr>
              <w:t>3</w:t>
            </w:r>
            <w:r>
              <w:t>-N</w:t>
            </w:r>
            <w:r>
              <w:rPr>
                <w:rFonts w:hint="eastAsia"/>
              </w:rPr>
              <w:t>产生浓度为</w:t>
            </w:r>
            <w:r>
              <w:t>25mg/l</w:t>
            </w:r>
            <w:r>
              <w:rPr>
                <w:rFonts w:hint="eastAsia"/>
              </w:rPr>
              <w:t>。生活污水依托现有旱厕处理，定期委托清掏。</w:t>
            </w:r>
            <w:r>
              <w:t xml:space="preserve"> </w:t>
            </w:r>
          </w:p>
          <w:p>
            <w:pPr>
              <w:ind w:firstLine="482"/>
              <w:rPr>
                <w:b/>
                <w:bCs/>
              </w:rPr>
            </w:pPr>
            <w:bookmarkStart w:id="31" w:name="_Hlk78373803"/>
            <w:r>
              <w:rPr>
                <w:rFonts w:hint="eastAsia"/>
                <w:b/>
                <w:bCs/>
              </w:rPr>
              <w:t>（2）生产废水</w:t>
            </w:r>
          </w:p>
          <w:p>
            <w:pPr>
              <w:ind w:firstLine="480"/>
            </w:pPr>
            <w:r>
              <w:rPr>
                <w:rFonts w:hint="eastAsia"/>
              </w:rPr>
              <w:t>项目废塑料破碎及水洗约为2万吨/年，本项目破碎机上端安装喷水管破碎方式为湿式破碎，破碎后的物料进入分离水洗池，本项目分离水洗池为2个，尺寸为：3m×</w:t>
            </w:r>
            <w:r>
              <w:t>1.5</w:t>
            </w:r>
            <w:r>
              <w:rPr>
                <w:rFonts w:hint="eastAsia"/>
              </w:rPr>
              <w:t>m×1m的水池（铁质），物料进入分离水洗池后，根据密度不同分别打包外售。水洗池产生的废水约3</w:t>
            </w:r>
            <w:r>
              <w:t>300m</w:t>
            </w:r>
            <w:r>
              <w:rPr>
                <w:vertAlign w:val="superscript"/>
              </w:rPr>
              <w:t>3</w:t>
            </w:r>
            <w:r>
              <w:t>/a</w:t>
            </w:r>
            <w:r>
              <w:rPr>
                <w:rFonts w:hint="eastAsia"/>
              </w:rPr>
              <w:t>，主要污染物为S</w:t>
            </w:r>
            <w:r>
              <w:t>S</w:t>
            </w:r>
            <w:r>
              <w:rPr>
                <w:rFonts w:hint="eastAsia"/>
              </w:rPr>
              <w:t>，浓度约为5</w:t>
            </w:r>
            <w:r>
              <w:t>0 mg/l</w:t>
            </w:r>
            <w:r>
              <w:rPr>
                <w:rFonts w:hint="eastAsia"/>
              </w:rPr>
              <w:t>，水洗池废水进入沉淀池沉淀后循环使用，</w:t>
            </w:r>
            <w:r>
              <w:rPr>
                <w:rFonts w:hint="eastAsia"/>
                <w:color w:val="FF0000"/>
              </w:rPr>
              <w:t>项目新建2个尺寸为</w:t>
            </w:r>
            <w:r>
              <w:rPr>
                <w:color w:val="FF0000"/>
              </w:rPr>
              <w:t>3</w:t>
            </w:r>
            <w:r>
              <w:rPr>
                <w:rFonts w:hint="eastAsia"/>
                <w:color w:val="FF0000"/>
              </w:rPr>
              <w:t>m×</w:t>
            </w:r>
            <w:r>
              <w:rPr>
                <w:color w:val="FF0000"/>
              </w:rPr>
              <w:t>2</w:t>
            </w:r>
            <w:r>
              <w:rPr>
                <w:rFonts w:hint="eastAsia"/>
                <w:color w:val="FF0000"/>
              </w:rPr>
              <w:t>m×</w:t>
            </w:r>
            <w:r>
              <w:rPr>
                <w:color w:val="FF0000"/>
              </w:rPr>
              <w:t>1</w:t>
            </w:r>
            <w:r>
              <w:rPr>
                <w:rFonts w:hint="eastAsia"/>
                <w:color w:val="FF0000"/>
              </w:rPr>
              <w:t>m的沉淀池（底部与池壁做防渗处理）。项目生产废水主要污染物为S</w:t>
            </w:r>
            <w:r>
              <w:rPr>
                <w:color w:val="FF0000"/>
              </w:rPr>
              <w:t>S</w:t>
            </w:r>
            <w:r>
              <w:rPr>
                <w:rFonts w:hint="eastAsia"/>
                <w:color w:val="FF0000"/>
              </w:rPr>
              <w:t>，参考一般防渗区，防渗技术要求为等效黏土防渗层M</w:t>
            </w:r>
            <w:r>
              <w:rPr>
                <w:color w:val="FF0000"/>
              </w:rPr>
              <w:t>b</w:t>
            </w:r>
            <w:r>
              <w:rPr>
                <w:rFonts w:hint="eastAsia"/>
                <w:color w:val="FF0000"/>
              </w:rPr>
              <w:t>≥1</w:t>
            </w:r>
            <w:r>
              <w:rPr>
                <w:color w:val="FF0000"/>
              </w:rPr>
              <w:t>.5m</w:t>
            </w:r>
            <w:r>
              <w:rPr>
                <w:rFonts w:hint="eastAsia"/>
                <w:color w:val="FF0000"/>
              </w:rPr>
              <w:t>，K</w:t>
            </w:r>
            <w:r>
              <w:rPr>
                <w:color w:val="FF0000"/>
              </w:rPr>
              <w:t>≤1×10</w:t>
            </w:r>
            <w:r>
              <w:rPr>
                <w:color w:val="FF0000"/>
                <w:vertAlign w:val="superscript"/>
              </w:rPr>
              <w:t>-7</w:t>
            </w:r>
            <w:r>
              <w:rPr>
                <w:color w:val="FF0000"/>
              </w:rPr>
              <w:t>cm/s</w:t>
            </w:r>
            <w:r>
              <w:rPr>
                <w:rFonts w:hint="eastAsia"/>
                <w:color w:val="FF0000"/>
              </w:rPr>
              <w:t>。</w:t>
            </w:r>
          </w:p>
          <w:bookmarkEnd w:id="31"/>
          <w:p>
            <w:pPr>
              <w:widowControl w:val="0"/>
              <w:adjustRightInd w:val="0"/>
              <w:snapToGrid w:val="0"/>
              <w:ind w:firstLine="482"/>
              <w:rPr>
                <w:rFonts w:cs="Times New Roman"/>
                <w:b/>
                <w:bCs/>
                <w:kern w:val="2"/>
                <w:szCs w:val="24"/>
              </w:rPr>
            </w:pPr>
            <w:r>
              <w:rPr>
                <w:rFonts w:hint="eastAsia" w:cs="Times New Roman"/>
                <w:b/>
                <w:bCs/>
                <w:kern w:val="2"/>
                <w:szCs w:val="24"/>
              </w:rPr>
              <w:t>（</w:t>
            </w:r>
            <w:r>
              <w:rPr>
                <w:rFonts w:cs="Times New Roman"/>
                <w:b/>
                <w:bCs/>
                <w:kern w:val="2"/>
                <w:szCs w:val="24"/>
              </w:rPr>
              <w:t>3</w:t>
            </w:r>
            <w:r>
              <w:rPr>
                <w:rFonts w:hint="eastAsia" w:cs="Times New Roman"/>
                <w:b/>
                <w:bCs/>
                <w:kern w:val="2"/>
                <w:szCs w:val="24"/>
              </w:rPr>
              <w:t>）初期雨水</w:t>
            </w:r>
          </w:p>
          <w:p>
            <w:pPr>
              <w:widowControl w:val="0"/>
              <w:ind w:firstLine="480"/>
              <w:rPr>
                <w:rFonts w:cs="Times New Roman"/>
                <w:kern w:val="2"/>
                <w:szCs w:val="24"/>
              </w:rPr>
            </w:pPr>
            <w:r>
              <w:rPr>
                <w:rFonts w:hint="eastAsia" w:cs="Times New Roman"/>
                <w:color w:val="FF0000"/>
                <w:kern w:val="2"/>
                <w:szCs w:val="20"/>
                <w:lang w:val="zh-CN"/>
              </w:rPr>
              <w:t>项目废钢铁为露天回收，因此对初期雨水进行收集处理。</w:t>
            </w:r>
            <w:r>
              <w:rPr>
                <w:rFonts w:hint="eastAsia" w:cs="Times New Roman"/>
                <w:kern w:val="2"/>
                <w:szCs w:val="20"/>
                <w:lang w:val="zh-CN"/>
              </w:rPr>
              <w:t>项目废品回收区面积约为</w:t>
            </w:r>
            <w:r>
              <w:rPr>
                <w:rFonts w:cs="Times New Roman"/>
                <w:kern w:val="2"/>
                <w:szCs w:val="20"/>
                <w:lang w:val="zh-CN"/>
              </w:rPr>
              <w:t>25200</w:t>
            </w:r>
            <w:r>
              <w:rPr>
                <w:rFonts w:hint="eastAsia" w:cs="Times New Roman"/>
                <w:kern w:val="2"/>
                <w:szCs w:val="20"/>
                <w:lang w:val="zh-CN"/>
              </w:rPr>
              <w:t>m</w:t>
            </w:r>
            <w:r>
              <w:rPr>
                <w:rFonts w:hint="eastAsia" w:cs="Times New Roman"/>
                <w:kern w:val="2"/>
                <w:szCs w:val="20"/>
                <w:vertAlign w:val="superscript"/>
                <w:lang w:val="zh-CN"/>
              </w:rPr>
              <w:t>2</w:t>
            </w:r>
            <w:r>
              <w:rPr>
                <w:rFonts w:hint="eastAsia" w:cs="Times New Roman"/>
                <w:kern w:val="2"/>
                <w:szCs w:val="20"/>
                <w:lang w:val="zh-CN"/>
              </w:rPr>
              <w:t>。</w:t>
            </w:r>
            <w:r>
              <w:rPr>
                <w:rFonts w:cs="Times New Roman"/>
                <w:kern w:val="2"/>
                <w:szCs w:val="24"/>
              </w:rPr>
              <w:t>一次降雨所能收集到最大的初期雨水量需根据当地的暴雨强度和设计的雨水收集时间确定。根据《给水排水设计手册》（第5册，第二版），</w:t>
            </w:r>
            <w:r>
              <w:rPr>
                <w:rFonts w:hint="eastAsia" w:cs="Times New Roman"/>
                <w:kern w:val="2"/>
                <w:szCs w:val="24"/>
              </w:rPr>
              <w:t>巴彦淖尔市</w:t>
            </w:r>
            <w:r>
              <w:rPr>
                <w:rFonts w:cs="Times New Roman"/>
                <w:kern w:val="2"/>
                <w:szCs w:val="24"/>
              </w:rPr>
              <w:t>地区初期雨水量计算如下：</w:t>
            </w:r>
          </w:p>
          <w:p>
            <w:pPr>
              <w:widowControl w:val="0"/>
              <w:ind w:firstLine="480"/>
              <w:jc w:val="center"/>
              <w:rPr>
                <w:rFonts w:cs="Times New Roman"/>
                <w:kern w:val="2"/>
                <w:szCs w:val="24"/>
              </w:rPr>
            </w:pPr>
            <w:r>
              <w:rPr>
                <w:rFonts w:cs="Times New Roman"/>
                <w:kern w:val="2"/>
                <w:szCs w:val="24"/>
              </w:rPr>
              <w:t>V=Q</w:t>
            </w:r>
            <w:r>
              <w:rPr>
                <w:rFonts w:cs="Times New Roman"/>
                <w:b/>
                <w:kern w:val="2"/>
                <w:szCs w:val="24"/>
                <w:vertAlign w:val="superscript"/>
              </w:rPr>
              <w:t>.</w:t>
            </w:r>
            <w:r>
              <w:rPr>
                <w:rFonts w:cs="Times New Roman"/>
                <w:kern w:val="2"/>
                <w:szCs w:val="24"/>
              </w:rPr>
              <w:t>T</w:t>
            </w:r>
            <w:r>
              <w:rPr>
                <w:rFonts w:cs="Times New Roman"/>
                <w:b/>
                <w:kern w:val="2"/>
                <w:szCs w:val="24"/>
                <w:vertAlign w:val="superscript"/>
              </w:rPr>
              <w:t>.</w:t>
            </w:r>
            <w:r>
              <w:rPr>
                <w:rFonts w:cs="Times New Roman"/>
                <w:kern w:val="2"/>
                <w:szCs w:val="24"/>
              </w:rPr>
              <w:t>60/1000</w:t>
            </w:r>
          </w:p>
          <w:p>
            <w:pPr>
              <w:widowControl w:val="0"/>
              <w:overflowPunct w:val="0"/>
              <w:topLinePunct/>
              <w:adjustRightInd w:val="0"/>
              <w:ind w:firstLine="420" w:firstLineChars="0"/>
              <w:jc w:val="center"/>
              <w:rPr>
                <w:rFonts w:cs="Times New Roman"/>
                <w:bCs/>
                <w:kern w:val="28"/>
                <w:szCs w:val="24"/>
              </w:rPr>
            </w:pPr>
            <w:r>
              <w:rPr>
                <w:rFonts w:cs="Times New Roman"/>
                <w:bCs/>
                <w:kern w:val="28"/>
                <w:szCs w:val="24"/>
              </w:rPr>
              <w:t>Q=ψ•q•F</w:t>
            </w:r>
          </w:p>
          <w:p>
            <w:pPr>
              <w:widowControl w:val="0"/>
              <w:ind w:firstLine="480"/>
              <w:rPr>
                <w:rFonts w:cs="Times New Roman"/>
                <w:kern w:val="2"/>
                <w:szCs w:val="24"/>
              </w:rPr>
            </w:pPr>
            <w:r>
              <w:rPr>
                <w:rFonts w:cs="Times New Roman"/>
                <w:kern w:val="2"/>
                <w:szCs w:val="24"/>
              </w:rPr>
              <w:t>式中：V —初期雨水量，m</w:t>
            </w:r>
            <w:r>
              <w:rPr>
                <w:rFonts w:cs="Times New Roman"/>
                <w:kern w:val="2"/>
                <w:szCs w:val="24"/>
                <w:vertAlign w:val="superscript"/>
              </w:rPr>
              <w:t>3</w:t>
            </w:r>
            <w:r>
              <w:rPr>
                <w:rFonts w:cs="Times New Roman"/>
                <w:kern w:val="2"/>
                <w:szCs w:val="24"/>
              </w:rPr>
              <w:t>；Q —设计雨水流量，L/s；</w:t>
            </w:r>
          </w:p>
          <w:p>
            <w:pPr>
              <w:widowControl w:val="0"/>
              <w:ind w:firstLine="480"/>
              <w:rPr>
                <w:rFonts w:cs="Times New Roman"/>
                <w:kern w:val="2"/>
                <w:szCs w:val="24"/>
              </w:rPr>
            </w:pPr>
            <w:r>
              <w:rPr>
                <w:rFonts w:cs="Times New Roman"/>
                <w:kern w:val="2"/>
                <w:szCs w:val="24"/>
              </w:rPr>
              <w:t>T —雨水收集时间，min；</w:t>
            </w:r>
            <w:r>
              <w:rPr>
                <w:rFonts w:cs="Times New Roman"/>
                <w:bCs/>
                <w:kern w:val="2"/>
                <w:szCs w:val="24"/>
              </w:rPr>
              <w:t>ψ</w:t>
            </w:r>
            <w:r>
              <w:rPr>
                <w:rFonts w:cs="Times New Roman"/>
                <w:kern w:val="2"/>
                <w:szCs w:val="24"/>
              </w:rPr>
              <w:t>—径流系数；</w:t>
            </w:r>
          </w:p>
          <w:p>
            <w:pPr>
              <w:widowControl w:val="0"/>
              <w:ind w:firstLine="480"/>
              <w:rPr>
                <w:rFonts w:cs="Times New Roman"/>
                <w:kern w:val="2"/>
                <w:szCs w:val="24"/>
              </w:rPr>
            </w:pPr>
            <w:r>
              <w:rPr>
                <w:rFonts w:cs="Times New Roman"/>
                <w:kern w:val="2"/>
                <w:szCs w:val="24"/>
              </w:rPr>
              <w:t>F —汇水面积，hm</w:t>
            </w:r>
            <w:r>
              <w:rPr>
                <w:rFonts w:cs="Times New Roman"/>
                <w:kern w:val="2"/>
                <w:szCs w:val="24"/>
                <w:vertAlign w:val="superscript"/>
              </w:rPr>
              <w:t>2</w:t>
            </w:r>
            <w:r>
              <w:rPr>
                <w:rFonts w:cs="Times New Roman"/>
                <w:kern w:val="2"/>
                <w:szCs w:val="24"/>
              </w:rPr>
              <w:t>；q —设计降雨强度，L/s</w:t>
            </w:r>
            <w:r>
              <w:rPr>
                <w:rFonts w:eastAsia="MS Mincho" w:cs="Times New Roman"/>
                <w:kern w:val="2"/>
                <w:szCs w:val="24"/>
              </w:rPr>
              <w:t>▪</w:t>
            </w:r>
            <w:r>
              <w:rPr>
                <w:rFonts w:cs="Times New Roman"/>
                <w:kern w:val="2"/>
                <w:szCs w:val="24"/>
              </w:rPr>
              <w:t>ha；</w:t>
            </w:r>
          </w:p>
          <w:p>
            <w:pPr>
              <w:widowControl w:val="0"/>
              <w:ind w:firstLine="480"/>
              <w:rPr>
                <w:rFonts w:cs="Times New Roman"/>
                <w:kern w:val="2"/>
                <w:szCs w:val="24"/>
              </w:rPr>
            </w:pPr>
            <w:r>
              <w:rPr>
                <w:rFonts w:hint="eastAsia" w:cs="Times New Roman"/>
                <w:kern w:val="2"/>
                <w:szCs w:val="24"/>
              </w:rPr>
              <w:t>巴彦淖尔市暴雨流量计算公式为：</w:t>
            </w:r>
          </w:p>
          <w:p>
            <w:pPr>
              <w:widowControl w:val="0"/>
              <w:ind w:firstLine="480"/>
              <w:jc w:val="center"/>
              <w:rPr>
                <w:rFonts w:cs="Times New Roman"/>
                <w:kern w:val="2"/>
                <w:szCs w:val="24"/>
              </w:rPr>
            </w:pPr>
            <w:r>
              <w:drawing>
                <wp:inline distT="0" distB="0" distL="0" distR="0">
                  <wp:extent cx="1856740" cy="532765"/>
                  <wp:effectExtent l="0" t="0" r="0"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0"/>
                          <a:stretch>
                            <a:fillRect/>
                          </a:stretch>
                        </pic:blipFill>
                        <pic:spPr>
                          <a:xfrm>
                            <a:off x="0" y="0"/>
                            <a:ext cx="1857143" cy="533333"/>
                          </a:xfrm>
                          <a:prstGeom prst="rect">
                            <a:avLst/>
                          </a:prstGeom>
                        </pic:spPr>
                      </pic:pic>
                    </a:graphicData>
                  </a:graphic>
                </wp:inline>
              </w:drawing>
            </w:r>
          </w:p>
          <w:p>
            <w:pPr>
              <w:widowControl w:val="0"/>
              <w:ind w:firstLine="480"/>
              <w:rPr>
                <w:rFonts w:cs="Times New Roman"/>
                <w:kern w:val="2"/>
                <w:szCs w:val="24"/>
              </w:rPr>
            </w:pPr>
            <w:r>
              <w:rPr>
                <w:rFonts w:hint="eastAsia" w:cs="Times New Roman"/>
                <w:kern w:val="2"/>
                <w:szCs w:val="24"/>
              </w:rPr>
              <w:t>式中：q—暴雨强度（升/秒•公顷）</w:t>
            </w:r>
          </w:p>
          <w:p>
            <w:pPr>
              <w:widowControl w:val="0"/>
              <w:ind w:firstLine="480"/>
              <w:rPr>
                <w:rFonts w:cs="Times New Roman"/>
                <w:kern w:val="2"/>
                <w:szCs w:val="24"/>
              </w:rPr>
            </w:pPr>
            <w:r>
              <w:rPr>
                <w:rFonts w:hint="eastAsia" w:cs="Times New Roman"/>
                <w:kern w:val="2"/>
                <w:szCs w:val="24"/>
              </w:rPr>
              <w:t xml:space="preserve">       P—为重现期，取1年；</w:t>
            </w:r>
          </w:p>
          <w:p>
            <w:pPr>
              <w:widowControl w:val="0"/>
              <w:ind w:firstLine="480"/>
              <w:rPr>
                <w:rFonts w:cs="Times New Roman"/>
                <w:kern w:val="2"/>
                <w:szCs w:val="24"/>
              </w:rPr>
            </w:pPr>
            <w:r>
              <w:rPr>
                <w:rFonts w:hint="eastAsia" w:cs="Times New Roman"/>
                <w:kern w:val="2"/>
                <w:szCs w:val="24"/>
              </w:rPr>
              <w:t xml:space="preserve">       t—降雨历时（取20min）。</w:t>
            </w:r>
          </w:p>
          <w:p>
            <w:pPr>
              <w:widowControl w:val="0"/>
              <w:ind w:firstLine="480"/>
              <w:rPr>
                <w:rFonts w:cs="Times New Roman"/>
                <w:kern w:val="2"/>
                <w:szCs w:val="24"/>
              </w:rPr>
            </w:pPr>
            <w:r>
              <w:rPr>
                <w:rFonts w:cs="Times New Roman"/>
                <w:kern w:val="2"/>
                <w:szCs w:val="24"/>
              </w:rPr>
              <w:t>项目采用明渠排水，降雨历时取</w:t>
            </w:r>
            <w:r>
              <w:rPr>
                <w:rFonts w:hint="eastAsia" w:cs="Times New Roman"/>
                <w:kern w:val="2"/>
                <w:szCs w:val="24"/>
              </w:rPr>
              <w:t>20</w:t>
            </w:r>
            <w:r>
              <w:rPr>
                <w:rFonts w:cs="Times New Roman"/>
                <w:kern w:val="2"/>
                <w:szCs w:val="24"/>
              </w:rPr>
              <w:t>min，雨水收集时间取</w:t>
            </w:r>
            <w:r>
              <w:rPr>
                <w:rFonts w:hint="eastAsia" w:cs="Times New Roman"/>
                <w:kern w:val="2"/>
                <w:szCs w:val="24"/>
              </w:rPr>
              <w:t>15</w:t>
            </w:r>
            <w:r>
              <w:rPr>
                <w:rFonts w:cs="Times New Roman"/>
                <w:kern w:val="2"/>
                <w:szCs w:val="24"/>
              </w:rPr>
              <w:t>min；汇水表面为屋面、混凝土地面，径流系数取0.9；排水沟所能收集的汇水面积</w:t>
            </w:r>
            <w:r>
              <w:rPr>
                <w:rFonts w:hint="eastAsia" w:cs="Times New Roman"/>
                <w:kern w:val="2"/>
                <w:szCs w:val="24"/>
              </w:rPr>
              <w:t>取项目用地面积，</w:t>
            </w:r>
            <w:r>
              <w:rPr>
                <w:rFonts w:cs="Times New Roman"/>
                <w:kern w:val="2"/>
                <w:szCs w:val="24"/>
              </w:rPr>
              <w:t>为</w:t>
            </w:r>
            <w:r>
              <w:rPr>
                <w:rFonts w:cs="Times New Roman"/>
                <w:kern w:val="2"/>
                <w:szCs w:val="20"/>
                <w:lang w:val="zh-CN"/>
              </w:rPr>
              <w:t>25200</w:t>
            </w:r>
            <w:r>
              <w:rPr>
                <w:rFonts w:cs="Times New Roman"/>
                <w:kern w:val="2"/>
                <w:szCs w:val="24"/>
              </w:rPr>
              <w:t>m</w:t>
            </w:r>
            <w:r>
              <w:rPr>
                <w:rFonts w:cs="Times New Roman"/>
                <w:kern w:val="2"/>
                <w:szCs w:val="24"/>
                <w:vertAlign w:val="superscript"/>
              </w:rPr>
              <w:t>2</w:t>
            </w:r>
            <w:r>
              <w:rPr>
                <w:rFonts w:cs="Times New Roman"/>
                <w:kern w:val="2"/>
                <w:szCs w:val="24"/>
              </w:rPr>
              <w:t>；设计降雨重现期取1年；</w:t>
            </w:r>
          </w:p>
          <w:p>
            <w:pPr>
              <w:widowControl w:val="0"/>
              <w:ind w:firstLine="480"/>
              <w:rPr>
                <w:rFonts w:cs="Times New Roman"/>
                <w:kern w:val="2"/>
                <w:szCs w:val="20"/>
              </w:rPr>
            </w:pPr>
            <w:r>
              <w:rPr>
                <w:rFonts w:hint="eastAsia" w:cs="Times New Roman"/>
                <w:kern w:val="2"/>
                <w:szCs w:val="20"/>
              </w:rPr>
              <w:t>经计算，项目前20分钟的暴雨强度为</w:t>
            </w:r>
            <w:r>
              <w:rPr>
                <w:rFonts w:cs="Times New Roman"/>
                <w:kern w:val="2"/>
                <w:szCs w:val="20"/>
              </w:rPr>
              <w:t>80.97L/s·hm</w:t>
            </w:r>
            <w:r>
              <w:rPr>
                <w:rFonts w:cs="Times New Roman"/>
                <w:kern w:val="2"/>
                <w:szCs w:val="20"/>
                <w:vertAlign w:val="superscript"/>
              </w:rPr>
              <w:t>2</w:t>
            </w:r>
            <w:r>
              <w:rPr>
                <w:rFonts w:cs="Times New Roman"/>
                <w:kern w:val="2"/>
                <w:szCs w:val="20"/>
              </w:rPr>
              <w:t>，计算得</w:t>
            </w:r>
            <w:r>
              <w:rPr>
                <w:rFonts w:hint="eastAsia" w:cs="Times New Roman"/>
                <w:kern w:val="2"/>
                <w:szCs w:val="20"/>
              </w:rPr>
              <w:t>雨水流量Q</w:t>
            </w:r>
            <w:r>
              <w:rPr>
                <w:rFonts w:cs="Times New Roman"/>
                <w:kern w:val="2"/>
                <w:szCs w:val="20"/>
              </w:rPr>
              <w:t>为183.64</w:t>
            </w:r>
            <w:r>
              <w:rPr>
                <w:rFonts w:hint="eastAsia" w:cs="Times New Roman"/>
                <w:kern w:val="2"/>
                <w:szCs w:val="20"/>
              </w:rPr>
              <w:t>升/秒，计算得初期雨水量为</w:t>
            </w:r>
            <w:r>
              <w:rPr>
                <w:rFonts w:cs="Times New Roman"/>
                <w:kern w:val="2"/>
                <w:szCs w:val="20"/>
              </w:rPr>
              <w:t>165.28</w:t>
            </w:r>
            <w:r>
              <w:rPr>
                <w:rFonts w:hint="eastAsia" w:cs="Times New Roman"/>
                <w:kern w:val="2"/>
                <w:szCs w:val="20"/>
              </w:rPr>
              <w:t>m</w:t>
            </w:r>
            <w:r>
              <w:rPr>
                <w:rFonts w:hint="eastAsia" w:cs="Times New Roman"/>
                <w:kern w:val="2"/>
                <w:szCs w:val="20"/>
                <w:vertAlign w:val="superscript"/>
              </w:rPr>
              <w:t>3</w:t>
            </w:r>
            <w:r>
              <w:rPr>
                <w:rFonts w:hint="eastAsia" w:cs="Times New Roman"/>
                <w:kern w:val="2"/>
                <w:szCs w:val="20"/>
              </w:rPr>
              <w:t>。则初期雨水收集池的最小容积应为</w:t>
            </w:r>
            <w:r>
              <w:rPr>
                <w:rFonts w:cs="Times New Roman"/>
                <w:kern w:val="2"/>
                <w:szCs w:val="20"/>
              </w:rPr>
              <w:t>180</w:t>
            </w:r>
            <w:r>
              <w:rPr>
                <w:rFonts w:hint="eastAsia" w:cs="Times New Roman"/>
                <w:kern w:val="2"/>
                <w:szCs w:val="20"/>
              </w:rPr>
              <w:t>m</w:t>
            </w:r>
            <w:r>
              <w:rPr>
                <w:rFonts w:hint="eastAsia" w:cs="Times New Roman"/>
                <w:kern w:val="2"/>
                <w:szCs w:val="20"/>
                <w:vertAlign w:val="superscript"/>
              </w:rPr>
              <w:t>3</w:t>
            </w:r>
            <w:r>
              <w:rPr>
                <w:rFonts w:hint="eastAsia" w:cs="Times New Roman"/>
                <w:kern w:val="2"/>
                <w:szCs w:val="20"/>
              </w:rPr>
              <w:t>。</w:t>
            </w:r>
          </w:p>
          <w:p>
            <w:pPr>
              <w:widowControl w:val="0"/>
              <w:ind w:firstLine="480"/>
              <w:rPr>
                <w:rFonts w:cs="Times New Roman"/>
                <w:kern w:val="2"/>
                <w:szCs w:val="20"/>
                <w:lang w:val="zh-CN"/>
              </w:rPr>
            </w:pPr>
            <w:r>
              <w:rPr>
                <w:rFonts w:hint="eastAsia" w:cs="Times New Roman"/>
                <w:kern w:val="2"/>
                <w:szCs w:val="24"/>
              </w:rPr>
              <w:t>初期雨水收集后</w:t>
            </w:r>
            <w:r>
              <w:rPr>
                <w:rFonts w:cs="Times New Roman"/>
                <w:kern w:val="2"/>
                <w:szCs w:val="24"/>
              </w:rPr>
              <w:t>排入</w:t>
            </w:r>
            <w:r>
              <w:rPr>
                <w:rFonts w:hint="eastAsia" w:cs="Times New Roman"/>
                <w:kern w:val="2"/>
                <w:szCs w:val="24"/>
              </w:rPr>
              <w:t>初期雨水收集池，用于厂区内的洒水降尘。</w:t>
            </w:r>
          </w:p>
          <w:p>
            <w:pPr>
              <w:ind w:firstLine="482"/>
              <w:rPr>
                <w:b/>
              </w:rPr>
            </w:pPr>
            <w:r>
              <w:rPr>
                <w:b/>
              </w:rPr>
              <w:t>2.2废水处置可行性</w:t>
            </w:r>
          </w:p>
          <w:p>
            <w:pPr>
              <w:ind w:firstLine="480"/>
            </w:pPr>
            <w:r>
              <w:t>项目</w:t>
            </w:r>
            <w:r>
              <w:rPr>
                <w:rFonts w:hint="eastAsia"/>
              </w:rPr>
              <w:t>水洗废水进入沉淀池沉淀后循环利用不外排</w:t>
            </w:r>
            <w:r>
              <w:t>，</w:t>
            </w:r>
            <w:r>
              <w:rPr>
                <w:rFonts w:hint="eastAsia"/>
              </w:rPr>
              <w:t>对沉淀池</w:t>
            </w:r>
            <w:r>
              <w:t>进行防渗后可实现长期稳定状态，对环境影响较小，措施可行。</w:t>
            </w:r>
          </w:p>
          <w:p>
            <w:pPr>
              <w:ind w:firstLine="480"/>
            </w:pPr>
            <w:r>
              <w:t>项目生活污水产生量较少，污染物单一，浓度低</w:t>
            </w:r>
            <w:r>
              <w:rPr>
                <w:rFonts w:hint="eastAsia"/>
              </w:rPr>
              <w:t>，排入现有旱厕定期委托清掏农用施肥</w:t>
            </w:r>
            <w:r>
              <w:t>，运行稳定，措施可行。</w:t>
            </w:r>
          </w:p>
          <w:p>
            <w:pPr>
              <w:ind w:firstLine="480"/>
            </w:pPr>
            <w:r>
              <w:rPr>
                <w:rFonts w:hint="eastAsia"/>
              </w:rPr>
              <w:t>项目初期雨水经收集进入初期雨水收集池，用于厂区的洒水降尘，不外排。</w:t>
            </w:r>
          </w:p>
          <w:p>
            <w:pPr>
              <w:ind w:firstLine="482"/>
              <w:rPr>
                <w:b/>
                <w:bCs/>
                <w:color w:val="FF0000"/>
              </w:rPr>
            </w:pPr>
            <w:bookmarkStart w:id="32" w:name="_Hlk78373195"/>
            <w:r>
              <w:rPr>
                <w:b/>
                <w:bCs/>
                <w:color w:val="FF0000"/>
              </w:rPr>
              <w:t>2.3</w:t>
            </w:r>
            <w:r>
              <w:rPr>
                <w:rFonts w:hint="eastAsia"/>
                <w:b/>
                <w:bCs/>
                <w:color w:val="FF0000"/>
              </w:rPr>
              <w:t>依托可行性分析</w:t>
            </w:r>
          </w:p>
          <w:p>
            <w:pPr>
              <w:ind w:firstLine="480"/>
              <w:rPr>
                <w:color w:val="FF0000"/>
              </w:rPr>
            </w:pPr>
            <w:r>
              <w:rPr>
                <w:rFonts w:hint="eastAsia"/>
                <w:color w:val="FF0000"/>
              </w:rPr>
              <w:t>厂区现有防渗旱厕2座，员工生活污水排放量为</w:t>
            </w:r>
            <w:r>
              <w:rPr>
                <w:color w:val="FF0000"/>
              </w:rPr>
              <w:t>997.92m</w:t>
            </w:r>
            <w:r>
              <w:rPr>
                <w:color w:val="FF0000"/>
                <w:vertAlign w:val="superscript"/>
              </w:rPr>
              <w:t>3</w:t>
            </w:r>
            <w:r>
              <w:rPr>
                <w:color w:val="FF0000"/>
              </w:rPr>
              <w:t>/a</w:t>
            </w:r>
            <w:r>
              <w:rPr>
                <w:rFonts w:hint="eastAsia"/>
                <w:color w:val="FF0000"/>
              </w:rPr>
              <w:t>，本项目生活污水排放至旱厕，定期清掏。能够满足本项目生活污水处理要求。</w:t>
            </w:r>
          </w:p>
          <w:p>
            <w:pPr>
              <w:ind w:firstLine="480"/>
            </w:pPr>
          </w:p>
          <w:bookmarkEnd w:id="32"/>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tc>
      </w:tr>
    </w:tbl>
    <w:p>
      <w:pPr>
        <w:ind w:firstLine="482"/>
        <w:rPr>
          <w:b/>
        </w:rPr>
        <w:sectPr>
          <w:pgSz w:w="11906" w:h="16838"/>
          <w:pgMar w:top="1440" w:right="1800" w:bottom="1440" w:left="1800" w:header="992" w:footer="992" w:gutter="0"/>
          <w:cols w:space="425" w:num="1"/>
          <w:docGrid w:type="lines" w:linePitch="312" w:charSpace="0"/>
        </w:sectPr>
      </w:pPr>
    </w:p>
    <w:p>
      <w:pPr>
        <w:widowControl w:val="0"/>
        <w:spacing w:line="240" w:lineRule="auto"/>
        <w:ind w:firstLine="482" w:firstLineChars="0"/>
        <w:jc w:val="center"/>
        <w:rPr>
          <w:rFonts w:cs="Times New Roman"/>
          <w:b/>
          <w:kern w:val="2"/>
          <w:sz w:val="21"/>
          <w:szCs w:val="21"/>
        </w:rPr>
      </w:pPr>
      <w:r>
        <w:rPr>
          <w:rFonts w:ascii="宋体" w:hAnsi="宋体" w:cs="Times New Roman"/>
          <w:b/>
          <w:kern w:val="2"/>
          <w:sz w:val="21"/>
          <w:szCs w:val="24"/>
        </w:rPr>
        <w:t>表</w:t>
      </w:r>
      <w:r>
        <w:rPr>
          <w:rFonts w:cs="Times New Roman"/>
          <w:b/>
          <w:kern w:val="2"/>
          <w:sz w:val="21"/>
          <w:szCs w:val="24"/>
        </w:rPr>
        <w:t>4-2</w:t>
      </w:r>
      <w:r>
        <w:rPr>
          <w:rFonts w:hint="eastAsia" w:cs="Times New Roman"/>
          <w:b/>
          <w:kern w:val="2"/>
          <w:sz w:val="21"/>
          <w:szCs w:val="24"/>
        </w:rPr>
        <w:t xml:space="preserve">   </w:t>
      </w:r>
      <w:r>
        <w:rPr>
          <w:rFonts w:ascii="宋体" w:hAnsi="宋体" w:cs="Times New Roman"/>
          <w:b/>
          <w:kern w:val="2"/>
          <w:sz w:val="21"/>
          <w:szCs w:val="24"/>
        </w:rPr>
        <w:t>废</w:t>
      </w:r>
      <w:r>
        <w:rPr>
          <w:rFonts w:hint="eastAsia" w:ascii="宋体" w:hAnsi="宋体" w:cs="Times New Roman"/>
          <w:b/>
          <w:kern w:val="2"/>
          <w:sz w:val="21"/>
          <w:szCs w:val="24"/>
        </w:rPr>
        <w:t>水</w:t>
      </w:r>
      <w:r>
        <w:rPr>
          <w:rFonts w:ascii="宋体" w:hAnsi="宋体" w:cs="Times New Roman"/>
          <w:b/>
          <w:kern w:val="2"/>
          <w:sz w:val="21"/>
          <w:szCs w:val="24"/>
        </w:rPr>
        <w:t>产排污节点、污染物及污染治理设施信息表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530"/>
        <w:gridCol w:w="765"/>
        <w:gridCol w:w="859"/>
        <w:gridCol w:w="845"/>
        <w:gridCol w:w="961"/>
        <w:gridCol w:w="961"/>
        <w:gridCol w:w="1009"/>
        <w:gridCol w:w="805"/>
        <w:gridCol w:w="802"/>
        <w:gridCol w:w="672"/>
        <w:gridCol w:w="805"/>
        <w:gridCol w:w="808"/>
        <w:gridCol w:w="805"/>
        <w:gridCol w:w="938"/>
        <w:gridCol w:w="927"/>
        <w:gridCol w:w="635"/>
        <w:gridCol w:w="104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5" w:hRule="atLeast"/>
          <w:jc w:val="center"/>
        </w:trPr>
        <w:tc>
          <w:tcPr>
            <w:tcW w:w="187" w:type="pct"/>
            <w:vMerge w:val="restart"/>
            <w:vAlign w:val="center"/>
          </w:tcPr>
          <w:p>
            <w:pPr>
              <w:widowControl w:val="0"/>
              <w:spacing w:line="240" w:lineRule="auto"/>
              <w:ind w:firstLine="0" w:firstLineChars="0"/>
              <w:jc w:val="center"/>
              <w:rPr>
                <w:rFonts w:cs="Times New Roman"/>
                <w:b/>
                <w:bCs/>
                <w:kern w:val="2"/>
                <w:sz w:val="21"/>
                <w:szCs w:val="20"/>
              </w:rPr>
            </w:pPr>
            <w:r>
              <w:rPr>
                <w:rFonts w:cs="Times New Roman"/>
                <w:b/>
                <w:bCs/>
                <w:kern w:val="2"/>
                <w:sz w:val="21"/>
                <w:szCs w:val="20"/>
              </w:rPr>
              <w:t>序号</w:t>
            </w:r>
          </w:p>
        </w:tc>
        <w:tc>
          <w:tcPr>
            <w:tcW w:w="270" w:type="pct"/>
            <w:vMerge w:val="restart"/>
            <w:vAlign w:val="center"/>
          </w:tcPr>
          <w:p>
            <w:pPr>
              <w:widowControl w:val="0"/>
              <w:spacing w:line="240" w:lineRule="auto"/>
              <w:ind w:firstLine="0" w:firstLineChars="0"/>
              <w:jc w:val="center"/>
              <w:rPr>
                <w:rFonts w:cs="Times New Roman"/>
                <w:b/>
                <w:bCs/>
                <w:kern w:val="2"/>
                <w:sz w:val="21"/>
                <w:szCs w:val="20"/>
              </w:rPr>
            </w:pPr>
            <w:r>
              <w:rPr>
                <w:rFonts w:cs="Times New Roman"/>
                <w:b/>
                <w:bCs/>
                <w:kern w:val="2"/>
                <w:sz w:val="21"/>
                <w:szCs w:val="20"/>
              </w:rPr>
              <w:t>对应产污环节名称</w:t>
            </w:r>
          </w:p>
        </w:tc>
        <w:tc>
          <w:tcPr>
            <w:tcW w:w="303" w:type="pct"/>
            <w:vMerge w:val="restart"/>
            <w:vAlign w:val="center"/>
          </w:tcPr>
          <w:p>
            <w:pPr>
              <w:widowControl w:val="0"/>
              <w:spacing w:line="240" w:lineRule="auto"/>
              <w:ind w:firstLine="0" w:firstLineChars="0"/>
              <w:jc w:val="center"/>
              <w:rPr>
                <w:rFonts w:cs="Calibri"/>
                <w:b/>
                <w:bCs/>
                <w:kern w:val="2"/>
                <w:sz w:val="21"/>
                <w:szCs w:val="20"/>
              </w:rPr>
            </w:pPr>
            <w:r>
              <w:rPr>
                <w:rFonts w:hint="eastAsia" w:cs="Times New Roman"/>
                <w:b/>
                <w:bCs/>
                <w:kern w:val="2"/>
                <w:sz w:val="21"/>
                <w:szCs w:val="20"/>
              </w:rPr>
              <w:t>废水类别</w:t>
            </w:r>
          </w:p>
        </w:tc>
        <w:tc>
          <w:tcPr>
            <w:tcW w:w="298" w:type="pct"/>
            <w:vMerge w:val="restart"/>
            <w:vAlign w:val="center"/>
          </w:tcPr>
          <w:p>
            <w:pPr>
              <w:widowControl w:val="0"/>
              <w:spacing w:line="240" w:lineRule="auto"/>
              <w:ind w:firstLine="0" w:firstLineChars="0"/>
              <w:jc w:val="center"/>
              <w:rPr>
                <w:rFonts w:cs="Times New Roman"/>
                <w:b/>
                <w:bCs/>
                <w:kern w:val="2"/>
                <w:sz w:val="21"/>
                <w:szCs w:val="20"/>
              </w:rPr>
            </w:pPr>
            <w:r>
              <w:rPr>
                <w:rFonts w:cs="Times New Roman"/>
                <w:b/>
                <w:bCs/>
                <w:kern w:val="2"/>
                <w:sz w:val="21"/>
                <w:szCs w:val="20"/>
              </w:rPr>
              <w:t>污染物种类</w:t>
            </w:r>
          </w:p>
        </w:tc>
        <w:tc>
          <w:tcPr>
            <w:tcW w:w="339" w:type="pct"/>
            <w:vMerge w:val="restart"/>
            <w:vAlign w:val="center"/>
          </w:tcPr>
          <w:p>
            <w:pPr>
              <w:widowControl w:val="0"/>
              <w:spacing w:line="240" w:lineRule="auto"/>
              <w:ind w:firstLine="0" w:firstLineChars="0"/>
              <w:jc w:val="center"/>
              <w:rPr>
                <w:rFonts w:cs="Times New Roman"/>
                <w:b/>
                <w:bCs/>
                <w:kern w:val="2"/>
                <w:sz w:val="21"/>
                <w:szCs w:val="20"/>
              </w:rPr>
            </w:pPr>
            <w:r>
              <w:rPr>
                <w:rFonts w:hint="eastAsia" w:cs="Times New Roman"/>
                <w:b/>
                <w:bCs/>
                <w:kern w:val="2"/>
                <w:sz w:val="21"/>
                <w:szCs w:val="20"/>
              </w:rPr>
              <w:t>废水产生量t</w:t>
            </w:r>
            <w:r>
              <w:rPr>
                <w:rFonts w:cs="Times New Roman"/>
                <w:b/>
                <w:bCs/>
                <w:kern w:val="2"/>
                <w:sz w:val="21"/>
                <w:szCs w:val="20"/>
              </w:rPr>
              <w:t>/a</w:t>
            </w:r>
          </w:p>
        </w:tc>
        <w:tc>
          <w:tcPr>
            <w:tcW w:w="339" w:type="pct"/>
            <w:vMerge w:val="restart"/>
            <w:vAlign w:val="center"/>
          </w:tcPr>
          <w:p>
            <w:pPr>
              <w:widowControl w:val="0"/>
              <w:spacing w:line="240" w:lineRule="auto"/>
              <w:ind w:firstLine="0" w:firstLineChars="0"/>
              <w:jc w:val="center"/>
              <w:rPr>
                <w:rFonts w:cs="Calibri"/>
                <w:b/>
                <w:bCs/>
                <w:kern w:val="2"/>
                <w:sz w:val="21"/>
                <w:szCs w:val="20"/>
              </w:rPr>
            </w:pPr>
            <w:r>
              <w:rPr>
                <w:rFonts w:hint="eastAsia" w:cs="Times New Roman"/>
                <w:b/>
                <w:bCs/>
                <w:kern w:val="2"/>
                <w:sz w:val="21"/>
                <w:szCs w:val="20"/>
              </w:rPr>
              <w:t>污染物</w:t>
            </w:r>
            <w:r>
              <w:rPr>
                <w:rFonts w:cs="Times New Roman"/>
                <w:b/>
                <w:bCs/>
                <w:kern w:val="2"/>
                <w:sz w:val="21"/>
                <w:szCs w:val="20"/>
              </w:rPr>
              <w:t>产生浓度mg/</w:t>
            </w:r>
            <w:r>
              <w:rPr>
                <w:rFonts w:hint="eastAsia" w:cs="Times New Roman"/>
                <w:b/>
                <w:bCs/>
                <w:kern w:val="2"/>
                <w:sz w:val="21"/>
                <w:szCs w:val="20"/>
              </w:rPr>
              <w:t>L</w:t>
            </w:r>
          </w:p>
        </w:tc>
        <w:tc>
          <w:tcPr>
            <w:tcW w:w="356" w:type="pct"/>
            <w:vMerge w:val="restart"/>
            <w:vAlign w:val="center"/>
          </w:tcPr>
          <w:p>
            <w:pPr>
              <w:widowControl w:val="0"/>
              <w:spacing w:line="240" w:lineRule="auto"/>
              <w:ind w:firstLine="0" w:firstLineChars="0"/>
              <w:jc w:val="center"/>
              <w:rPr>
                <w:rFonts w:cs="Times New Roman"/>
                <w:b/>
                <w:bCs/>
                <w:kern w:val="2"/>
                <w:sz w:val="21"/>
                <w:szCs w:val="20"/>
              </w:rPr>
            </w:pPr>
            <w:r>
              <w:rPr>
                <w:rFonts w:cs="Times New Roman"/>
                <w:b/>
                <w:bCs/>
                <w:kern w:val="2"/>
                <w:sz w:val="21"/>
                <w:szCs w:val="20"/>
              </w:rPr>
              <w:t>污染物产生量</w:t>
            </w:r>
            <w:r>
              <w:rPr>
                <w:rFonts w:hint="eastAsia" w:cs="Times New Roman"/>
                <w:b/>
                <w:bCs/>
                <w:kern w:val="2"/>
                <w:sz w:val="21"/>
                <w:szCs w:val="20"/>
              </w:rPr>
              <w:t>t</w:t>
            </w:r>
            <w:r>
              <w:rPr>
                <w:rFonts w:cs="Times New Roman"/>
                <w:b/>
                <w:bCs/>
                <w:kern w:val="2"/>
                <w:sz w:val="21"/>
                <w:szCs w:val="20"/>
              </w:rPr>
              <w:t>/a</w:t>
            </w:r>
          </w:p>
        </w:tc>
        <w:tc>
          <w:tcPr>
            <w:tcW w:w="1373" w:type="pct"/>
            <w:gridSpan w:val="5"/>
            <w:vAlign w:val="center"/>
          </w:tcPr>
          <w:p>
            <w:pPr>
              <w:widowControl w:val="0"/>
              <w:spacing w:line="240" w:lineRule="auto"/>
              <w:ind w:firstLine="0" w:firstLineChars="0"/>
              <w:jc w:val="center"/>
              <w:rPr>
                <w:rFonts w:cs="Times New Roman"/>
                <w:b/>
                <w:bCs/>
                <w:kern w:val="2"/>
                <w:sz w:val="21"/>
                <w:szCs w:val="20"/>
              </w:rPr>
            </w:pPr>
            <w:r>
              <w:rPr>
                <w:rFonts w:cs="Times New Roman"/>
                <w:b/>
                <w:bCs/>
                <w:kern w:val="2"/>
                <w:sz w:val="21"/>
                <w:szCs w:val="20"/>
              </w:rPr>
              <w:t>污染治理设施</w:t>
            </w:r>
          </w:p>
        </w:tc>
        <w:tc>
          <w:tcPr>
            <w:tcW w:w="284" w:type="pct"/>
            <w:vMerge w:val="restart"/>
            <w:vAlign w:val="center"/>
          </w:tcPr>
          <w:p>
            <w:pPr>
              <w:widowControl w:val="0"/>
              <w:spacing w:line="240" w:lineRule="auto"/>
              <w:ind w:firstLine="0" w:firstLineChars="0"/>
              <w:jc w:val="center"/>
              <w:rPr>
                <w:rFonts w:cs="Times New Roman"/>
                <w:b/>
                <w:bCs/>
                <w:kern w:val="2"/>
                <w:sz w:val="21"/>
                <w:szCs w:val="20"/>
              </w:rPr>
            </w:pPr>
            <w:r>
              <w:rPr>
                <w:rFonts w:hint="eastAsia" w:cs="Times New Roman"/>
                <w:b/>
                <w:bCs/>
                <w:kern w:val="21"/>
                <w:sz w:val="21"/>
                <w:szCs w:val="20"/>
              </w:rPr>
              <w:t>废水</w:t>
            </w:r>
            <w:r>
              <w:rPr>
                <w:rFonts w:cs="Times New Roman"/>
                <w:b/>
                <w:bCs/>
                <w:kern w:val="21"/>
                <w:sz w:val="21"/>
                <w:szCs w:val="20"/>
              </w:rPr>
              <w:t>排放量</w:t>
            </w:r>
            <w:r>
              <w:rPr>
                <w:rFonts w:hint="eastAsia" w:cs="Times New Roman"/>
                <w:b/>
                <w:bCs/>
                <w:kern w:val="21"/>
                <w:sz w:val="21"/>
                <w:szCs w:val="20"/>
              </w:rPr>
              <w:t>m</w:t>
            </w:r>
            <w:r>
              <w:rPr>
                <w:rFonts w:hint="eastAsia" w:cs="Times New Roman"/>
                <w:b/>
                <w:bCs/>
                <w:kern w:val="21"/>
                <w:sz w:val="21"/>
                <w:szCs w:val="20"/>
                <w:vertAlign w:val="superscript"/>
              </w:rPr>
              <w:t>3</w:t>
            </w:r>
          </w:p>
        </w:tc>
        <w:tc>
          <w:tcPr>
            <w:tcW w:w="331" w:type="pct"/>
            <w:vMerge w:val="restart"/>
            <w:vAlign w:val="center"/>
          </w:tcPr>
          <w:p>
            <w:pPr>
              <w:widowControl w:val="0"/>
              <w:spacing w:line="240" w:lineRule="auto"/>
              <w:ind w:firstLine="0" w:firstLineChars="0"/>
              <w:jc w:val="center"/>
              <w:rPr>
                <w:rFonts w:cs="Times New Roman"/>
                <w:b/>
                <w:bCs/>
                <w:kern w:val="2"/>
                <w:sz w:val="21"/>
                <w:szCs w:val="20"/>
              </w:rPr>
            </w:pPr>
            <w:r>
              <w:rPr>
                <w:rFonts w:cs="Times New Roman"/>
                <w:b/>
                <w:bCs/>
                <w:kern w:val="21"/>
                <w:sz w:val="21"/>
                <w:szCs w:val="20"/>
              </w:rPr>
              <w:t>污染物排放量kg/a</w:t>
            </w:r>
          </w:p>
        </w:tc>
        <w:tc>
          <w:tcPr>
            <w:tcW w:w="327" w:type="pct"/>
            <w:vMerge w:val="restart"/>
            <w:vAlign w:val="center"/>
          </w:tcPr>
          <w:p>
            <w:pPr>
              <w:widowControl w:val="0"/>
              <w:spacing w:line="240" w:lineRule="auto"/>
              <w:ind w:firstLine="0" w:firstLineChars="0"/>
              <w:jc w:val="center"/>
              <w:rPr>
                <w:rFonts w:cs="Calibri"/>
                <w:b/>
                <w:bCs/>
                <w:kern w:val="21"/>
                <w:sz w:val="21"/>
                <w:szCs w:val="20"/>
              </w:rPr>
            </w:pPr>
            <w:r>
              <w:rPr>
                <w:rFonts w:hint="eastAsia" w:cs="Times New Roman"/>
                <w:b/>
                <w:bCs/>
                <w:kern w:val="2"/>
                <w:sz w:val="21"/>
                <w:szCs w:val="20"/>
              </w:rPr>
              <w:t>污染物排放</w:t>
            </w:r>
            <w:r>
              <w:rPr>
                <w:rFonts w:cs="Times New Roman"/>
                <w:b/>
                <w:bCs/>
                <w:kern w:val="2"/>
                <w:sz w:val="21"/>
                <w:szCs w:val="20"/>
              </w:rPr>
              <w:t>浓度mg/</w:t>
            </w:r>
            <w:r>
              <w:rPr>
                <w:rFonts w:hint="eastAsia" w:cs="Times New Roman"/>
                <w:b/>
                <w:bCs/>
                <w:kern w:val="2"/>
                <w:sz w:val="21"/>
                <w:szCs w:val="20"/>
              </w:rPr>
              <w:t>L</w:t>
            </w:r>
          </w:p>
        </w:tc>
        <w:tc>
          <w:tcPr>
            <w:tcW w:w="224" w:type="pct"/>
            <w:vMerge w:val="restart"/>
            <w:vAlign w:val="center"/>
          </w:tcPr>
          <w:p>
            <w:pPr>
              <w:widowControl w:val="0"/>
              <w:spacing w:line="240" w:lineRule="auto"/>
              <w:ind w:firstLine="0" w:firstLineChars="0"/>
              <w:jc w:val="center"/>
              <w:rPr>
                <w:rFonts w:cs="Times New Roman"/>
                <w:b/>
                <w:bCs/>
                <w:kern w:val="21"/>
                <w:sz w:val="21"/>
                <w:szCs w:val="20"/>
              </w:rPr>
            </w:pPr>
            <w:r>
              <w:rPr>
                <w:rFonts w:hint="eastAsia" w:cs="Times New Roman"/>
                <w:b/>
                <w:bCs/>
                <w:kern w:val="21"/>
                <w:sz w:val="21"/>
                <w:szCs w:val="20"/>
              </w:rPr>
              <w:t>排放方式</w:t>
            </w:r>
          </w:p>
        </w:tc>
        <w:tc>
          <w:tcPr>
            <w:tcW w:w="369" w:type="pct"/>
            <w:vMerge w:val="restart"/>
            <w:vAlign w:val="center"/>
          </w:tcPr>
          <w:p>
            <w:pPr>
              <w:widowControl w:val="0"/>
              <w:spacing w:line="240" w:lineRule="auto"/>
              <w:ind w:firstLine="0" w:firstLineChars="0"/>
              <w:jc w:val="center"/>
              <w:rPr>
                <w:rFonts w:cs="Times New Roman"/>
                <w:b/>
                <w:bCs/>
                <w:kern w:val="21"/>
                <w:sz w:val="21"/>
                <w:szCs w:val="20"/>
              </w:rPr>
            </w:pPr>
            <w:r>
              <w:rPr>
                <w:rFonts w:hint="eastAsia" w:cs="Times New Roman"/>
                <w:b/>
                <w:bCs/>
                <w:kern w:val="21"/>
                <w:sz w:val="21"/>
                <w:szCs w:val="20"/>
              </w:rPr>
              <w:t>排放去向</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76" w:hRule="atLeast"/>
          <w:jc w:val="center"/>
        </w:trPr>
        <w:tc>
          <w:tcPr>
            <w:tcW w:w="187" w:type="pct"/>
            <w:vMerge w:val="continue"/>
            <w:vAlign w:val="center"/>
          </w:tcPr>
          <w:p>
            <w:pPr>
              <w:spacing w:line="240" w:lineRule="auto"/>
              <w:ind w:firstLine="0" w:firstLineChars="0"/>
              <w:rPr>
                <w:rFonts w:cs="Times New Roman"/>
                <w:b/>
                <w:bCs/>
                <w:kern w:val="2"/>
                <w:sz w:val="21"/>
                <w:szCs w:val="21"/>
              </w:rPr>
            </w:pPr>
          </w:p>
        </w:tc>
        <w:tc>
          <w:tcPr>
            <w:tcW w:w="270" w:type="pct"/>
            <w:vMerge w:val="continue"/>
            <w:vAlign w:val="center"/>
          </w:tcPr>
          <w:p>
            <w:pPr>
              <w:spacing w:line="240" w:lineRule="auto"/>
              <w:ind w:firstLine="0" w:firstLineChars="0"/>
              <w:rPr>
                <w:rFonts w:cs="Times New Roman"/>
                <w:b/>
                <w:bCs/>
                <w:kern w:val="2"/>
                <w:sz w:val="21"/>
                <w:szCs w:val="21"/>
              </w:rPr>
            </w:pPr>
          </w:p>
        </w:tc>
        <w:tc>
          <w:tcPr>
            <w:tcW w:w="303" w:type="pct"/>
            <w:vMerge w:val="continue"/>
            <w:vAlign w:val="center"/>
          </w:tcPr>
          <w:p>
            <w:pPr>
              <w:spacing w:line="240" w:lineRule="auto"/>
              <w:ind w:firstLine="0" w:firstLineChars="0"/>
              <w:rPr>
                <w:rFonts w:cs="Calibri"/>
                <w:b/>
                <w:bCs/>
                <w:kern w:val="2"/>
                <w:sz w:val="21"/>
                <w:szCs w:val="21"/>
              </w:rPr>
            </w:pPr>
          </w:p>
        </w:tc>
        <w:tc>
          <w:tcPr>
            <w:tcW w:w="298" w:type="pct"/>
            <w:vMerge w:val="continue"/>
            <w:vAlign w:val="center"/>
          </w:tcPr>
          <w:p>
            <w:pPr>
              <w:spacing w:line="240" w:lineRule="auto"/>
              <w:ind w:firstLine="0" w:firstLineChars="0"/>
              <w:rPr>
                <w:rFonts w:cs="Times New Roman"/>
                <w:b/>
                <w:bCs/>
                <w:kern w:val="2"/>
                <w:sz w:val="21"/>
                <w:szCs w:val="21"/>
              </w:rPr>
            </w:pPr>
          </w:p>
        </w:tc>
        <w:tc>
          <w:tcPr>
            <w:tcW w:w="339" w:type="pct"/>
            <w:vMerge w:val="continue"/>
            <w:vAlign w:val="center"/>
          </w:tcPr>
          <w:p>
            <w:pPr>
              <w:spacing w:line="240" w:lineRule="auto"/>
              <w:ind w:firstLine="0" w:firstLineChars="0"/>
              <w:rPr>
                <w:rFonts w:cs="Calibri"/>
                <w:b/>
                <w:bCs/>
                <w:kern w:val="2"/>
                <w:sz w:val="21"/>
                <w:szCs w:val="21"/>
              </w:rPr>
            </w:pPr>
          </w:p>
        </w:tc>
        <w:tc>
          <w:tcPr>
            <w:tcW w:w="339" w:type="pct"/>
            <w:vMerge w:val="continue"/>
            <w:vAlign w:val="center"/>
          </w:tcPr>
          <w:p>
            <w:pPr>
              <w:spacing w:line="240" w:lineRule="auto"/>
              <w:ind w:firstLine="0" w:firstLineChars="0"/>
              <w:rPr>
                <w:rFonts w:cs="Calibri"/>
                <w:b/>
                <w:bCs/>
                <w:kern w:val="2"/>
                <w:sz w:val="21"/>
                <w:szCs w:val="21"/>
              </w:rPr>
            </w:pPr>
          </w:p>
        </w:tc>
        <w:tc>
          <w:tcPr>
            <w:tcW w:w="356" w:type="pct"/>
            <w:vMerge w:val="continue"/>
            <w:vAlign w:val="center"/>
          </w:tcPr>
          <w:p>
            <w:pPr>
              <w:spacing w:line="240" w:lineRule="auto"/>
              <w:ind w:firstLine="0" w:firstLineChars="0"/>
              <w:rPr>
                <w:rFonts w:cs="Times New Roman"/>
                <w:b/>
                <w:bCs/>
                <w:kern w:val="2"/>
                <w:sz w:val="21"/>
                <w:szCs w:val="21"/>
              </w:rPr>
            </w:pPr>
          </w:p>
        </w:tc>
        <w:tc>
          <w:tcPr>
            <w:tcW w:w="284" w:type="pct"/>
            <w:vAlign w:val="center"/>
          </w:tcPr>
          <w:p>
            <w:pPr>
              <w:widowControl w:val="0"/>
              <w:spacing w:line="240" w:lineRule="auto"/>
              <w:ind w:firstLine="0" w:firstLineChars="0"/>
              <w:jc w:val="center"/>
              <w:rPr>
                <w:rFonts w:cs="Times New Roman"/>
                <w:b/>
                <w:bCs/>
                <w:kern w:val="2"/>
                <w:sz w:val="21"/>
                <w:szCs w:val="20"/>
              </w:rPr>
            </w:pPr>
            <w:r>
              <w:rPr>
                <w:rFonts w:hint="eastAsia" w:cs="Times New Roman"/>
                <w:b/>
                <w:bCs/>
                <w:kern w:val="2"/>
                <w:sz w:val="21"/>
                <w:szCs w:val="20"/>
              </w:rPr>
              <w:t>设施名称</w:t>
            </w:r>
          </w:p>
        </w:tc>
        <w:tc>
          <w:tcPr>
            <w:tcW w:w="283" w:type="pct"/>
            <w:vAlign w:val="center"/>
          </w:tcPr>
          <w:p>
            <w:pPr>
              <w:widowControl w:val="0"/>
              <w:spacing w:line="240" w:lineRule="auto"/>
              <w:ind w:firstLine="0" w:firstLineChars="0"/>
              <w:jc w:val="center"/>
              <w:rPr>
                <w:rFonts w:cs="Times New Roman"/>
                <w:b/>
                <w:bCs/>
                <w:kern w:val="2"/>
                <w:sz w:val="21"/>
                <w:szCs w:val="20"/>
              </w:rPr>
            </w:pPr>
            <w:r>
              <w:rPr>
                <w:rFonts w:hint="eastAsia" w:cs="Times New Roman"/>
                <w:b/>
                <w:bCs/>
                <w:kern w:val="2"/>
                <w:sz w:val="21"/>
                <w:szCs w:val="20"/>
              </w:rPr>
              <w:t>处理能力m</w:t>
            </w:r>
            <w:r>
              <w:rPr>
                <w:rFonts w:hint="eastAsia" w:cs="Times New Roman"/>
                <w:b/>
                <w:bCs/>
                <w:kern w:val="2"/>
                <w:sz w:val="21"/>
                <w:szCs w:val="20"/>
                <w:vertAlign w:val="superscript"/>
              </w:rPr>
              <w:t>3</w:t>
            </w:r>
            <w:r>
              <w:rPr>
                <w:rFonts w:hint="eastAsia" w:cs="Times New Roman"/>
                <w:b/>
                <w:bCs/>
                <w:kern w:val="2"/>
                <w:sz w:val="21"/>
                <w:szCs w:val="20"/>
              </w:rPr>
              <w:t>/a</w:t>
            </w:r>
          </w:p>
        </w:tc>
        <w:tc>
          <w:tcPr>
            <w:tcW w:w="237" w:type="pct"/>
            <w:vAlign w:val="center"/>
          </w:tcPr>
          <w:p>
            <w:pPr>
              <w:widowControl w:val="0"/>
              <w:spacing w:line="240" w:lineRule="auto"/>
              <w:ind w:firstLine="0" w:firstLineChars="0"/>
              <w:jc w:val="center"/>
              <w:rPr>
                <w:rFonts w:cs="Calibri"/>
                <w:b/>
                <w:bCs/>
                <w:kern w:val="2"/>
                <w:sz w:val="21"/>
                <w:szCs w:val="20"/>
              </w:rPr>
            </w:pPr>
            <w:r>
              <w:rPr>
                <w:rFonts w:hint="eastAsia" w:cs="Times New Roman"/>
                <w:b/>
                <w:bCs/>
                <w:kern w:val="2"/>
                <w:sz w:val="21"/>
                <w:szCs w:val="20"/>
              </w:rPr>
              <w:t>治理工艺</w:t>
            </w:r>
          </w:p>
        </w:tc>
        <w:tc>
          <w:tcPr>
            <w:tcW w:w="284" w:type="pct"/>
            <w:vAlign w:val="center"/>
          </w:tcPr>
          <w:p>
            <w:pPr>
              <w:widowControl w:val="0"/>
              <w:spacing w:line="240" w:lineRule="auto"/>
              <w:ind w:firstLine="0" w:firstLineChars="0"/>
              <w:jc w:val="center"/>
              <w:rPr>
                <w:rFonts w:cs="Times New Roman"/>
                <w:b/>
                <w:bCs/>
                <w:kern w:val="2"/>
                <w:sz w:val="21"/>
                <w:szCs w:val="20"/>
              </w:rPr>
            </w:pPr>
            <w:r>
              <w:rPr>
                <w:rFonts w:hint="eastAsia" w:cs="Times New Roman"/>
                <w:b/>
                <w:bCs/>
                <w:kern w:val="2"/>
                <w:sz w:val="21"/>
                <w:szCs w:val="20"/>
              </w:rPr>
              <w:t>治理效率%</w:t>
            </w:r>
          </w:p>
        </w:tc>
        <w:tc>
          <w:tcPr>
            <w:tcW w:w="285" w:type="pct"/>
            <w:vAlign w:val="center"/>
          </w:tcPr>
          <w:p>
            <w:pPr>
              <w:widowControl w:val="0"/>
              <w:spacing w:line="240" w:lineRule="auto"/>
              <w:ind w:firstLine="0" w:firstLineChars="0"/>
              <w:jc w:val="center"/>
              <w:rPr>
                <w:rFonts w:cs="Times New Roman"/>
                <w:b/>
                <w:bCs/>
                <w:kern w:val="2"/>
                <w:sz w:val="21"/>
                <w:szCs w:val="20"/>
              </w:rPr>
            </w:pPr>
            <w:r>
              <w:rPr>
                <w:rFonts w:hint="eastAsia" w:cs="Times New Roman"/>
                <w:b/>
                <w:bCs/>
                <w:kern w:val="2"/>
                <w:sz w:val="21"/>
                <w:szCs w:val="20"/>
              </w:rPr>
              <w:t>是否可行性技术</w:t>
            </w:r>
          </w:p>
        </w:tc>
        <w:tc>
          <w:tcPr>
            <w:tcW w:w="284" w:type="pct"/>
            <w:vMerge w:val="continue"/>
            <w:vAlign w:val="center"/>
          </w:tcPr>
          <w:p>
            <w:pPr>
              <w:spacing w:line="240" w:lineRule="auto"/>
              <w:ind w:firstLine="0" w:firstLineChars="0"/>
              <w:rPr>
                <w:rFonts w:cs="Times New Roman"/>
                <w:b/>
                <w:bCs/>
                <w:kern w:val="2"/>
                <w:sz w:val="21"/>
                <w:szCs w:val="21"/>
              </w:rPr>
            </w:pPr>
          </w:p>
        </w:tc>
        <w:tc>
          <w:tcPr>
            <w:tcW w:w="331" w:type="pct"/>
            <w:vMerge w:val="continue"/>
            <w:vAlign w:val="center"/>
          </w:tcPr>
          <w:p>
            <w:pPr>
              <w:spacing w:line="240" w:lineRule="auto"/>
              <w:ind w:firstLine="0" w:firstLineChars="0"/>
              <w:rPr>
                <w:rFonts w:cs="Times New Roman"/>
                <w:b/>
                <w:bCs/>
                <w:kern w:val="2"/>
                <w:sz w:val="21"/>
                <w:szCs w:val="21"/>
              </w:rPr>
            </w:pPr>
          </w:p>
        </w:tc>
        <w:tc>
          <w:tcPr>
            <w:tcW w:w="327" w:type="pct"/>
            <w:vMerge w:val="continue"/>
            <w:vAlign w:val="center"/>
          </w:tcPr>
          <w:p>
            <w:pPr>
              <w:spacing w:line="240" w:lineRule="auto"/>
              <w:ind w:firstLine="0" w:firstLineChars="0"/>
              <w:rPr>
                <w:rFonts w:cs="Calibri"/>
                <w:b/>
                <w:bCs/>
                <w:kern w:val="21"/>
                <w:sz w:val="21"/>
                <w:szCs w:val="21"/>
              </w:rPr>
            </w:pPr>
          </w:p>
        </w:tc>
        <w:tc>
          <w:tcPr>
            <w:tcW w:w="224" w:type="pct"/>
            <w:vMerge w:val="continue"/>
            <w:vAlign w:val="center"/>
          </w:tcPr>
          <w:p>
            <w:pPr>
              <w:spacing w:line="240" w:lineRule="auto"/>
              <w:ind w:firstLine="0" w:firstLineChars="0"/>
              <w:rPr>
                <w:rFonts w:cs="Calibri"/>
                <w:b/>
                <w:bCs/>
                <w:kern w:val="21"/>
                <w:sz w:val="21"/>
                <w:szCs w:val="21"/>
              </w:rPr>
            </w:pPr>
          </w:p>
        </w:tc>
        <w:tc>
          <w:tcPr>
            <w:tcW w:w="369" w:type="pct"/>
            <w:vMerge w:val="continue"/>
            <w:vAlign w:val="center"/>
          </w:tcPr>
          <w:p>
            <w:pPr>
              <w:spacing w:line="240" w:lineRule="auto"/>
              <w:ind w:firstLine="0" w:firstLineChars="0"/>
              <w:rPr>
                <w:rFonts w:cs="Calibri"/>
                <w:b/>
                <w:bCs/>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4" w:hRule="atLeast"/>
          <w:jc w:val="center"/>
        </w:trPr>
        <w:tc>
          <w:tcPr>
            <w:tcW w:w="187" w:type="pct"/>
            <w:vMerge w:val="restart"/>
            <w:vAlign w:val="center"/>
          </w:tcPr>
          <w:p>
            <w:pPr>
              <w:widowControl w:val="0"/>
              <w:spacing w:line="240" w:lineRule="auto"/>
              <w:ind w:firstLine="0" w:firstLineChars="0"/>
              <w:jc w:val="center"/>
              <w:rPr>
                <w:rFonts w:cs="Times New Roman"/>
                <w:kern w:val="2"/>
                <w:sz w:val="21"/>
                <w:szCs w:val="20"/>
              </w:rPr>
            </w:pPr>
            <w:r>
              <w:rPr>
                <w:rFonts w:hint="eastAsia" w:cs="Times New Roman"/>
                <w:kern w:val="2"/>
                <w:sz w:val="21"/>
                <w:szCs w:val="20"/>
              </w:rPr>
              <w:t>1</w:t>
            </w:r>
          </w:p>
        </w:tc>
        <w:tc>
          <w:tcPr>
            <w:tcW w:w="270" w:type="pct"/>
            <w:vMerge w:val="restart"/>
            <w:vAlign w:val="center"/>
          </w:tcPr>
          <w:p>
            <w:pPr>
              <w:pStyle w:val="33"/>
            </w:pPr>
            <w:r>
              <w:rPr>
                <w:rFonts w:hint="eastAsia"/>
              </w:rPr>
              <w:t>员工</w:t>
            </w:r>
          </w:p>
        </w:tc>
        <w:tc>
          <w:tcPr>
            <w:tcW w:w="303" w:type="pct"/>
            <w:vMerge w:val="restart"/>
            <w:vAlign w:val="center"/>
          </w:tcPr>
          <w:p>
            <w:pPr>
              <w:pStyle w:val="33"/>
            </w:pPr>
            <w:r>
              <w:rPr>
                <w:rFonts w:hint="eastAsia"/>
              </w:rPr>
              <w:t>生活污水</w:t>
            </w:r>
          </w:p>
        </w:tc>
        <w:tc>
          <w:tcPr>
            <w:tcW w:w="298" w:type="pct"/>
            <w:shd w:val="clear" w:color="auto" w:fill="auto"/>
            <w:vAlign w:val="center"/>
          </w:tcPr>
          <w:p>
            <w:pPr>
              <w:pStyle w:val="33"/>
            </w:pPr>
            <w:r>
              <w:rPr>
                <w:rFonts w:eastAsia="等线"/>
                <w:szCs w:val="21"/>
              </w:rPr>
              <w:t>COD</w:t>
            </w:r>
          </w:p>
        </w:tc>
        <w:tc>
          <w:tcPr>
            <w:tcW w:w="339" w:type="pct"/>
            <w:vMerge w:val="restart"/>
            <w:vAlign w:val="center"/>
          </w:tcPr>
          <w:p>
            <w:pPr>
              <w:pStyle w:val="33"/>
              <w:rPr>
                <w:rFonts w:eastAsia="等线"/>
                <w:szCs w:val="21"/>
              </w:rPr>
            </w:pPr>
            <w:r>
              <w:rPr>
                <w:rFonts w:hint="eastAsia" w:eastAsia="等线"/>
                <w:szCs w:val="21"/>
              </w:rPr>
              <w:t>9</w:t>
            </w:r>
            <w:r>
              <w:rPr>
                <w:rFonts w:eastAsia="等线"/>
                <w:szCs w:val="21"/>
              </w:rPr>
              <w:t>97.92</w:t>
            </w:r>
          </w:p>
        </w:tc>
        <w:tc>
          <w:tcPr>
            <w:tcW w:w="339" w:type="pct"/>
            <w:vAlign w:val="center"/>
          </w:tcPr>
          <w:p>
            <w:pPr>
              <w:pStyle w:val="33"/>
            </w:pPr>
            <w:r>
              <w:rPr>
                <w:rFonts w:eastAsia="等线"/>
                <w:szCs w:val="21"/>
              </w:rPr>
              <w:t>300</w:t>
            </w:r>
          </w:p>
        </w:tc>
        <w:tc>
          <w:tcPr>
            <w:tcW w:w="356" w:type="pct"/>
            <w:shd w:val="clear" w:color="auto" w:fill="auto"/>
            <w:vAlign w:val="center"/>
          </w:tcPr>
          <w:p>
            <w:pPr>
              <w:pStyle w:val="33"/>
            </w:pPr>
            <w:r>
              <w:rPr>
                <w:rFonts w:eastAsia="等线" w:cs="Times New Roman"/>
                <w:szCs w:val="21"/>
              </w:rPr>
              <w:t xml:space="preserve">0.299 </w:t>
            </w:r>
          </w:p>
        </w:tc>
        <w:tc>
          <w:tcPr>
            <w:tcW w:w="284" w:type="pct"/>
            <w:vMerge w:val="restart"/>
            <w:vAlign w:val="center"/>
          </w:tcPr>
          <w:p>
            <w:pPr>
              <w:pStyle w:val="33"/>
              <w:rPr>
                <w:rFonts w:cs="Calibri"/>
              </w:rPr>
            </w:pPr>
            <w:r>
              <w:rPr>
                <w:rFonts w:hint="eastAsia"/>
              </w:rPr>
              <w:t>旱厕</w:t>
            </w:r>
          </w:p>
        </w:tc>
        <w:tc>
          <w:tcPr>
            <w:tcW w:w="283" w:type="pct"/>
            <w:vMerge w:val="restart"/>
            <w:vAlign w:val="center"/>
          </w:tcPr>
          <w:p>
            <w:pPr>
              <w:pStyle w:val="33"/>
            </w:pPr>
            <w:r>
              <w:rPr>
                <w:rFonts w:hint="eastAsia"/>
              </w:rPr>
              <w:t>/</w:t>
            </w:r>
          </w:p>
        </w:tc>
        <w:tc>
          <w:tcPr>
            <w:tcW w:w="237" w:type="pct"/>
            <w:vMerge w:val="restart"/>
            <w:vAlign w:val="center"/>
          </w:tcPr>
          <w:p>
            <w:pPr>
              <w:pStyle w:val="33"/>
            </w:pPr>
            <w:r>
              <w:rPr>
                <w:rFonts w:hint="eastAsia"/>
              </w:rPr>
              <w:t>/</w:t>
            </w:r>
          </w:p>
        </w:tc>
        <w:tc>
          <w:tcPr>
            <w:tcW w:w="284" w:type="pct"/>
            <w:vMerge w:val="restart"/>
            <w:vAlign w:val="center"/>
          </w:tcPr>
          <w:p>
            <w:pPr>
              <w:pStyle w:val="33"/>
            </w:pPr>
            <w:r>
              <w:rPr>
                <w:rFonts w:hint="eastAsia"/>
              </w:rPr>
              <w:t>/</w:t>
            </w:r>
          </w:p>
        </w:tc>
        <w:tc>
          <w:tcPr>
            <w:tcW w:w="285" w:type="pct"/>
            <w:vMerge w:val="restart"/>
            <w:vAlign w:val="center"/>
          </w:tcPr>
          <w:p>
            <w:pPr>
              <w:pStyle w:val="33"/>
              <w:rPr>
                <w:rFonts w:cs="Calibri"/>
              </w:rPr>
            </w:pPr>
            <w:r>
              <w:rPr>
                <w:rFonts w:hint="eastAsia"/>
              </w:rPr>
              <w:t>否</w:t>
            </w:r>
          </w:p>
        </w:tc>
        <w:tc>
          <w:tcPr>
            <w:tcW w:w="284" w:type="pct"/>
            <w:vMerge w:val="restart"/>
            <w:vAlign w:val="center"/>
          </w:tcPr>
          <w:p>
            <w:pPr>
              <w:pStyle w:val="33"/>
            </w:pPr>
            <w:r>
              <w:t>/</w:t>
            </w:r>
          </w:p>
        </w:tc>
        <w:tc>
          <w:tcPr>
            <w:tcW w:w="331" w:type="pct"/>
            <w:vMerge w:val="restart"/>
            <w:shd w:val="clear" w:color="auto" w:fill="auto"/>
            <w:vAlign w:val="center"/>
          </w:tcPr>
          <w:p>
            <w:pPr>
              <w:pStyle w:val="33"/>
            </w:pPr>
            <w:r>
              <w:rPr>
                <w:rFonts w:hint="eastAsia"/>
              </w:rPr>
              <w:t>/</w:t>
            </w:r>
          </w:p>
        </w:tc>
        <w:tc>
          <w:tcPr>
            <w:tcW w:w="327" w:type="pct"/>
            <w:vMerge w:val="restart"/>
            <w:shd w:val="clear" w:color="auto" w:fill="auto"/>
            <w:vAlign w:val="center"/>
          </w:tcPr>
          <w:p>
            <w:pPr>
              <w:pStyle w:val="33"/>
              <w:rPr>
                <w:rFonts w:cs="Calibri"/>
              </w:rPr>
            </w:pPr>
            <w:r>
              <w:rPr>
                <w:rFonts w:hint="eastAsia" w:cs="Calibri"/>
              </w:rPr>
              <w:t>/</w:t>
            </w:r>
          </w:p>
        </w:tc>
        <w:tc>
          <w:tcPr>
            <w:tcW w:w="224" w:type="pct"/>
            <w:vMerge w:val="restart"/>
            <w:vAlign w:val="center"/>
          </w:tcPr>
          <w:p>
            <w:pPr>
              <w:pStyle w:val="33"/>
            </w:pPr>
            <w:r>
              <w:rPr>
                <w:rFonts w:hint="eastAsia"/>
              </w:rPr>
              <w:t>/</w:t>
            </w:r>
          </w:p>
        </w:tc>
        <w:tc>
          <w:tcPr>
            <w:tcW w:w="369" w:type="pct"/>
            <w:vMerge w:val="restart"/>
            <w:vAlign w:val="center"/>
          </w:tcPr>
          <w:p>
            <w:pPr>
              <w:pStyle w:val="33"/>
            </w:pPr>
            <w:r>
              <w:rPr>
                <w:rFonts w:hint="eastAsia"/>
              </w:rPr>
              <w:t>定期委托清掏处理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6" w:hRule="atLeast"/>
          <w:jc w:val="center"/>
        </w:trPr>
        <w:tc>
          <w:tcPr>
            <w:tcW w:w="187" w:type="pct"/>
            <w:vMerge w:val="continue"/>
            <w:vAlign w:val="center"/>
          </w:tcPr>
          <w:p>
            <w:pPr>
              <w:widowControl w:val="0"/>
              <w:spacing w:line="240" w:lineRule="auto"/>
              <w:ind w:firstLine="0" w:firstLineChars="0"/>
              <w:jc w:val="center"/>
              <w:rPr>
                <w:rFonts w:cs="Times New Roman"/>
                <w:kern w:val="2"/>
                <w:sz w:val="21"/>
                <w:szCs w:val="20"/>
              </w:rPr>
            </w:pPr>
          </w:p>
        </w:tc>
        <w:tc>
          <w:tcPr>
            <w:tcW w:w="270" w:type="pct"/>
            <w:vMerge w:val="continue"/>
            <w:vAlign w:val="center"/>
          </w:tcPr>
          <w:p>
            <w:pPr>
              <w:pStyle w:val="33"/>
            </w:pPr>
          </w:p>
        </w:tc>
        <w:tc>
          <w:tcPr>
            <w:tcW w:w="303" w:type="pct"/>
            <w:vMerge w:val="continue"/>
            <w:vAlign w:val="center"/>
          </w:tcPr>
          <w:p>
            <w:pPr>
              <w:pStyle w:val="33"/>
            </w:pPr>
          </w:p>
        </w:tc>
        <w:tc>
          <w:tcPr>
            <w:tcW w:w="298" w:type="pct"/>
            <w:shd w:val="clear" w:color="auto" w:fill="auto"/>
            <w:vAlign w:val="center"/>
          </w:tcPr>
          <w:p>
            <w:pPr>
              <w:pStyle w:val="33"/>
              <w:rPr>
                <w:rFonts w:eastAsia="等线"/>
                <w:szCs w:val="21"/>
              </w:rPr>
            </w:pPr>
            <w:r>
              <w:rPr>
                <w:rFonts w:eastAsia="等线"/>
                <w:szCs w:val="21"/>
              </w:rPr>
              <w:t>BOD</w:t>
            </w:r>
            <w:r>
              <w:rPr>
                <w:rFonts w:eastAsia="等线"/>
                <w:szCs w:val="21"/>
                <w:vertAlign w:val="subscript"/>
              </w:rPr>
              <w:t>5</w:t>
            </w:r>
          </w:p>
        </w:tc>
        <w:tc>
          <w:tcPr>
            <w:tcW w:w="339" w:type="pct"/>
            <w:vMerge w:val="continue"/>
            <w:vAlign w:val="center"/>
          </w:tcPr>
          <w:p>
            <w:pPr>
              <w:pStyle w:val="33"/>
              <w:rPr>
                <w:rFonts w:eastAsia="等线"/>
                <w:szCs w:val="21"/>
              </w:rPr>
            </w:pPr>
          </w:p>
        </w:tc>
        <w:tc>
          <w:tcPr>
            <w:tcW w:w="339" w:type="pct"/>
            <w:vAlign w:val="center"/>
          </w:tcPr>
          <w:p>
            <w:pPr>
              <w:pStyle w:val="33"/>
              <w:rPr>
                <w:rFonts w:eastAsia="等线"/>
                <w:szCs w:val="21"/>
              </w:rPr>
            </w:pPr>
            <w:r>
              <w:rPr>
                <w:rFonts w:hint="eastAsia" w:eastAsia="等线"/>
                <w:szCs w:val="21"/>
              </w:rPr>
              <w:t>2</w:t>
            </w:r>
            <w:r>
              <w:rPr>
                <w:rFonts w:eastAsia="等线"/>
                <w:szCs w:val="21"/>
              </w:rPr>
              <w:t>80</w:t>
            </w:r>
          </w:p>
        </w:tc>
        <w:tc>
          <w:tcPr>
            <w:tcW w:w="356" w:type="pct"/>
            <w:shd w:val="clear" w:color="auto" w:fill="auto"/>
            <w:vAlign w:val="center"/>
          </w:tcPr>
          <w:p>
            <w:pPr>
              <w:spacing w:line="240" w:lineRule="auto"/>
              <w:ind w:firstLine="0" w:firstLineChars="0"/>
              <w:jc w:val="center"/>
              <w:rPr>
                <w:rFonts w:eastAsia="等线" w:cs="Times New Roman"/>
                <w:sz w:val="21"/>
                <w:szCs w:val="21"/>
              </w:rPr>
            </w:pPr>
            <w:r>
              <w:rPr>
                <w:rFonts w:eastAsia="等线" w:cs="Times New Roman"/>
                <w:sz w:val="21"/>
                <w:szCs w:val="21"/>
              </w:rPr>
              <w:t xml:space="preserve">0.279 </w:t>
            </w:r>
          </w:p>
        </w:tc>
        <w:tc>
          <w:tcPr>
            <w:tcW w:w="284" w:type="pct"/>
            <w:vMerge w:val="continue"/>
            <w:vAlign w:val="center"/>
          </w:tcPr>
          <w:p>
            <w:pPr>
              <w:pStyle w:val="33"/>
            </w:pPr>
          </w:p>
        </w:tc>
        <w:tc>
          <w:tcPr>
            <w:tcW w:w="283" w:type="pct"/>
            <w:vMerge w:val="continue"/>
            <w:vAlign w:val="center"/>
          </w:tcPr>
          <w:p>
            <w:pPr>
              <w:pStyle w:val="33"/>
            </w:pPr>
          </w:p>
        </w:tc>
        <w:tc>
          <w:tcPr>
            <w:tcW w:w="237" w:type="pct"/>
            <w:vMerge w:val="continue"/>
            <w:vAlign w:val="center"/>
          </w:tcPr>
          <w:p>
            <w:pPr>
              <w:pStyle w:val="33"/>
            </w:pPr>
          </w:p>
        </w:tc>
        <w:tc>
          <w:tcPr>
            <w:tcW w:w="284" w:type="pct"/>
            <w:vMerge w:val="continue"/>
            <w:vAlign w:val="center"/>
          </w:tcPr>
          <w:p>
            <w:pPr>
              <w:pStyle w:val="33"/>
            </w:pPr>
          </w:p>
        </w:tc>
        <w:tc>
          <w:tcPr>
            <w:tcW w:w="285" w:type="pct"/>
            <w:vMerge w:val="continue"/>
            <w:vAlign w:val="center"/>
          </w:tcPr>
          <w:p>
            <w:pPr>
              <w:pStyle w:val="33"/>
            </w:pPr>
          </w:p>
        </w:tc>
        <w:tc>
          <w:tcPr>
            <w:tcW w:w="284" w:type="pct"/>
            <w:vMerge w:val="continue"/>
            <w:vAlign w:val="center"/>
          </w:tcPr>
          <w:p>
            <w:pPr>
              <w:pStyle w:val="33"/>
            </w:pPr>
          </w:p>
        </w:tc>
        <w:tc>
          <w:tcPr>
            <w:tcW w:w="331" w:type="pct"/>
            <w:vMerge w:val="continue"/>
            <w:shd w:val="clear" w:color="auto" w:fill="auto"/>
            <w:vAlign w:val="center"/>
          </w:tcPr>
          <w:p>
            <w:pPr>
              <w:spacing w:line="240" w:lineRule="auto"/>
              <w:ind w:firstLine="0" w:firstLineChars="0"/>
              <w:jc w:val="center"/>
              <w:rPr>
                <w:rFonts w:eastAsia="等线" w:cs="Times New Roman"/>
                <w:sz w:val="21"/>
                <w:szCs w:val="21"/>
              </w:rPr>
            </w:pPr>
          </w:p>
        </w:tc>
        <w:tc>
          <w:tcPr>
            <w:tcW w:w="327" w:type="pct"/>
            <w:vMerge w:val="continue"/>
            <w:shd w:val="clear" w:color="auto" w:fill="auto"/>
            <w:vAlign w:val="center"/>
          </w:tcPr>
          <w:p>
            <w:pPr>
              <w:pStyle w:val="33"/>
            </w:pPr>
          </w:p>
        </w:tc>
        <w:tc>
          <w:tcPr>
            <w:tcW w:w="224" w:type="pct"/>
            <w:vMerge w:val="continue"/>
            <w:vAlign w:val="center"/>
          </w:tcPr>
          <w:p>
            <w:pPr>
              <w:pStyle w:val="33"/>
            </w:pPr>
          </w:p>
        </w:tc>
        <w:tc>
          <w:tcPr>
            <w:tcW w:w="369"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8" w:hRule="atLeast"/>
          <w:jc w:val="center"/>
        </w:trPr>
        <w:tc>
          <w:tcPr>
            <w:tcW w:w="187" w:type="pct"/>
            <w:vMerge w:val="continue"/>
            <w:vAlign w:val="center"/>
          </w:tcPr>
          <w:p>
            <w:pPr>
              <w:spacing w:line="240" w:lineRule="auto"/>
              <w:ind w:firstLine="0" w:firstLineChars="0"/>
              <w:rPr>
                <w:rFonts w:cs="Calibri"/>
                <w:kern w:val="2"/>
                <w:sz w:val="21"/>
                <w:szCs w:val="21"/>
              </w:rPr>
            </w:pPr>
          </w:p>
        </w:tc>
        <w:tc>
          <w:tcPr>
            <w:tcW w:w="270" w:type="pct"/>
            <w:vMerge w:val="continue"/>
            <w:vAlign w:val="center"/>
          </w:tcPr>
          <w:p>
            <w:pPr>
              <w:pStyle w:val="33"/>
              <w:rPr>
                <w:rFonts w:cs="Calibri"/>
                <w:szCs w:val="21"/>
              </w:rPr>
            </w:pPr>
          </w:p>
        </w:tc>
        <w:tc>
          <w:tcPr>
            <w:tcW w:w="303" w:type="pct"/>
            <w:vMerge w:val="continue"/>
            <w:vAlign w:val="center"/>
          </w:tcPr>
          <w:p>
            <w:pPr>
              <w:pStyle w:val="33"/>
              <w:rPr>
                <w:rFonts w:cs="Calibri"/>
                <w:szCs w:val="21"/>
              </w:rPr>
            </w:pPr>
          </w:p>
        </w:tc>
        <w:tc>
          <w:tcPr>
            <w:tcW w:w="298" w:type="pct"/>
            <w:shd w:val="clear" w:color="auto" w:fill="auto"/>
            <w:vAlign w:val="center"/>
          </w:tcPr>
          <w:p>
            <w:pPr>
              <w:pStyle w:val="33"/>
            </w:pPr>
            <w:r>
              <w:rPr>
                <w:rFonts w:eastAsia="等线"/>
                <w:szCs w:val="21"/>
              </w:rPr>
              <w:t>SS</w:t>
            </w:r>
          </w:p>
        </w:tc>
        <w:tc>
          <w:tcPr>
            <w:tcW w:w="339" w:type="pct"/>
            <w:vMerge w:val="continue"/>
            <w:vAlign w:val="center"/>
          </w:tcPr>
          <w:p>
            <w:pPr>
              <w:pStyle w:val="33"/>
              <w:rPr>
                <w:rFonts w:eastAsia="等线"/>
                <w:szCs w:val="21"/>
              </w:rPr>
            </w:pPr>
          </w:p>
        </w:tc>
        <w:tc>
          <w:tcPr>
            <w:tcW w:w="339" w:type="pct"/>
            <w:vAlign w:val="center"/>
          </w:tcPr>
          <w:p>
            <w:pPr>
              <w:pStyle w:val="33"/>
            </w:pPr>
            <w:r>
              <w:rPr>
                <w:rFonts w:eastAsia="等线"/>
                <w:szCs w:val="21"/>
              </w:rPr>
              <w:t>100</w:t>
            </w:r>
          </w:p>
        </w:tc>
        <w:tc>
          <w:tcPr>
            <w:tcW w:w="356" w:type="pct"/>
            <w:shd w:val="clear" w:color="auto" w:fill="auto"/>
            <w:vAlign w:val="center"/>
          </w:tcPr>
          <w:p>
            <w:pPr>
              <w:pStyle w:val="33"/>
            </w:pPr>
            <w:r>
              <w:rPr>
                <w:rFonts w:eastAsia="等线" w:cs="Times New Roman"/>
                <w:szCs w:val="21"/>
              </w:rPr>
              <w:t xml:space="preserve">0.100 </w:t>
            </w:r>
          </w:p>
        </w:tc>
        <w:tc>
          <w:tcPr>
            <w:tcW w:w="284" w:type="pct"/>
            <w:vMerge w:val="continue"/>
            <w:vAlign w:val="center"/>
          </w:tcPr>
          <w:p>
            <w:pPr>
              <w:pStyle w:val="33"/>
              <w:rPr>
                <w:rFonts w:cs="Calibri"/>
                <w:szCs w:val="21"/>
              </w:rPr>
            </w:pPr>
          </w:p>
        </w:tc>
        <w:tc>
          <w:tcPr>
            <w:tcW w:w="283" w:type="pct"/>
            <w:vMerge w:val="continue"/>
            <w:vAlign w:val="center"/>
          </w:tcPr>
          <w:p>
            <w:pPr>
              <w:pStyle w:val="33"/>
              <w:rPr>
                <w:szCs w:val="21"/>
              </w:rPr>
            </w:pPr>
          </w:p>
        </w:tc>
        <w:tc>
          <w:tcPr>
            <w:tcW w:w="237" w:type="pct"/>
            <w:vMerge w:val="continue"/>
            <w:vAlign w:val="center"/>
          </w:tcPr>
          <w:p>
            <w:pPr>
              <w:pStyle w:val="33"/>
              <w:rPr>
                <w:szCs w:val="21"/>
              </w:rPr>
            </w:pPr>
          </w:p>
        </w:tc>
        <w:tc>
          <w:tcPr>
            <w:tcW w:w="284" w:type="pct"/>
            <w:vMerge w:val="continue"/>
            <w:vAlign w:val="center"/>
          </w:tcPr>
          <w:p>
            <w:pPr>
              <w:pStyle w:val="33"/>
              <w:rPr>
                <w:szCs w:val="21"/>
              </w:rPr>
            </w:pPr>
          </w:p>
        </w:tc>
        <w:tc>
          <w:tcPr>
            <w:tcW w:w="285" w:type="pct"/>
            <w:vMerge w:val="continue"/>
            <w:vAlign w:val="center"/>
          </w:tcPr>
          <w:p>
            <w:pPr>
              <w:pStyle w:val="33"/>
              <w:rPr>
                <w:rFonts w:cs="Calibri"/>
                <w:szCs w:val="21"/>
              </w:rPr>
            </w:pPr>
          </w:p>
        </w:tc>
        <w:tc>
          <w:tcPr>
            <w:tcW w:w="284" w:type="pct"/>
            <w:vMerge w:val="continue"/>
            <w:vAlign w:val="center"/>
          </w:tcPr>
          <w:p>
            <w:pPr>
              <w:pStyle w:val="33"/>
              <w:rPr>
                <w:szCs w:val="21"/>
              </w:rPr>
            </w:pPr>
          </w:p>
        </w:tc>
        <w:tc>
          <w:tcPr>
            <w:tcW w:w="331" w:type="pct"/>
            <w:vMerge w:val="continue"/>
            <w:shd w:val="clear" w:color="auto" w:fill="auto"/>
            <w:vAlign w:val="center"/>
          </w:tcPr>
          <w:p>
            <w:pPr>
              <w:pStyle w:val="33"/>
            </w:pPr>
          </w:p>
        </w:tc>
        <w:tc>
          <w:tcPr>
            <w:tcW w:w="327" w:type="pct"/>
            <w:vMerge w:val="continue"/>
            <w:shd w:val="clear" w:color="auto" w:fill="auto"/>
            <w:vAlign w:val="center"/>
          </w:tcPr>
          <w:p>
            <w:pPr>
              <w:pStyle w:val="33"/>
              <w:rPr>
                <w:rFonts w:cs="Calibri"/>
              </w:rPr>
            </w:pPr>
          </w:p>
        </w:tc>
        <w:tc>
          <w:tcPr>
            <w:tcW w:w="224" w:type="pct"/>
            <w:vMerge w:val="continue"/>
            <w:vAlign w:val="center"/>
          </w:tcPr>
          <w:p>
            <w:pPr>
              <w:pStyle w:val="33"/>
              <w:rPr>
                <w:rFonts w:cs="Calibri"/>
                <w:szCs w:val="21"/>
              </w:rPr>
            </w:pPr>
          </w:p>
        </w:tc>
        <w:tc>
          <w:tcPr>
            <w:tcW w:w="369" w:type="pct"/>
            <w:vMerge w:val="continue"/>
            <w:vAlign w:val="center"/>
          </w:tcPr>
          <w:p>
            <w:pPr>
              <w:pStyle w:val="33"/>
              <w:rPr>
                <w:rFonts w:cs="Calibri"/>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8" w:hRule="atLeast"/>
          <w:jc w:val="center"/>
        </w:trPr>
        <w:tc>
          <w:tcPr>
            <w:tcW w:w="187" w:type="pct"/>
            <w:vMerge w:val="continue"/>
            <w:vAlign w:val="center"/>
          </w:tcPr>
          <w:p>
            <w:pPr>
              <w:spacing w:line="240" w:lineRule="auto"/>
              <w:ind w:firstLine="0" w:firstLineChars="0"/>
              <w:rPr>
                <w:rFonts w:cs="Calibri"/>
                <w:kern w:val="2"/>
                <w:sz w:val="21"/>
                <w:szCs w:val="21"/>
              </w:rPr>
            </w:pPr>
          </w:p>
        </w:tc>
        <w:tc>
          <w:tcPr>
            <w:tcW w:w="270" w:type="pct"/>
            <w:vMerge w:val="continue"/>
            <w:vAlign w:val="center"/>
          </w:tcPr>
          <w:p>
            <w:pPr>
              <w:pStyle w:val="33"/>
              <w:rPr>
                <w:rFonts w:cs="Calibri"/>
                <w:szCs w:val="21"/>
              </w:rPr>
            </w:pPr>
          </w:p>
        </w:tc>
        <w:tc>
          <w:tcPr>
            <w:tcW w:w="303" w:type="pct"/>
            <w:vMerge w:val="continue"/>
            <w:vAlign w:val="center"/>
          </w:tcPr>
          <w:p>
            <w:pPr>
              <w:pStyle w:val="33"/>
              <w:rPr>
                <w:rFonts w:cs="Calibri"/>
                <w:szCs w:val="21"/>
              </w:rPr>
            </w:pPr>
          </w:p>
        </w:tc>
        <w:tc>
          <w:tcPr>
            <w:tcW w:w="298" w:type="pct"/>
            <w:shd w:val="clear" w:color="auto" w:fill="auto"/>
            <w:vAlign w:val="center"/>
          </w:tcPr>
          <w:p>
            <w:pPr>
              <w:pStyle w:val="33"/>
            </w:pPr>
            <w:r>
              <w:rPr>
                <w:rFonts w:eastAsia="等线"/>
                <w:szCs w:val="21"/>
              </w:rPr>
              <w:t>NH</w:t>
            </w:r>
            <w:r>
              <w:rPr>
                <w:rFonts w:eastAsia="等线"/>
                <w:sz w:val="14"/>
                <w:szCs w:val="14"/>
              </w:rPr>
              <w:t>3</w:t>
            </w:r>
            <w:r>
              <w:rPr>
                <w:rFonts w:eastAsia="等线"/>
                <w:szCs w:val="21"/>
              </w:rPr>
              <w:t>-N</w:t>
            </w:r>
          </w:p>
        </w:tc>
        <w:tc>
          <w:tcPr>
            <w:tcW w:w="339" w:type="pct"/>
            <w:vMerge w:val="continue"/>
            <w:vAlign w:val="center"/>
          </w:tcPr>
          <w:p>
            <w:pPr>
              <w:pStyle w:val="33"/>
              <w:rPr>
                <w:rFonts w:eastAsia="等线"/>
                <w:szCs w:val="21"/>
              </w:rPr>
            </w:pPr>
          </w:p>
        </w:tc>
        <w:tc>
          <w:tcPr>
            <w:tcW w:w="339" w:type="pct"/>
            <w:vAlign w:val="center"/>
          </w:tcPr>
          <w:p>
            <w:pPr>
              <w:pStyle w:val="33"/>
            </w:pPr>
            <w:r>
              <w:rPr>
                <w:rFonts w:eastAsia="等线"/>
                <w:szCs w:val="21"/>
              </w:rPr>
              <w:t>25</w:t>
            </w:r>
          </w:p>
        </w:tc>
        <w:tc>
          <w:tcPr>
            <w:tcW w:w="356" w:type="pct"/>
            <w:shd w:val="clear" w:color="auto" w:fill="auto"/>
            <w:vAlign w:val="center"/>
          </w:tcPr>
          <w:p>
            <w:pPr>
              <w:pStyle w:val="33"/>
            </w:pPr>
            <w:r>
              <w:rPr>
                <w:rFonts w:eastAsia="等线" w:cs="Times New Roman"/>
                <w:szCs w:val="21"/>
              </w:rPr>
              <w:t xml:space="preserve">0.025 </w:t>
            </w:r>
          </w:p>
        </w:tc>
        <w:tc>
          <w:tcPr>
            <w:tcW w:w="284" w:type="pct"/>
            <w:vMerge w:val="continue"/>
            <w:vAlign w:val="center"/>
          </w:tcPr>
          <w:p>
            <w:pPr>
              <w:pStyle w:val="33"/>
              <w:rPr>
                <w:rFonts w:cs="Calibri"/>
                <w:szCs w:val="21"/>
              </w:rPr>
            </w:pPr>
          </w:p>
        </w:tc>
        <w:tc>
          <w:tcPr>
            <w:tcW w:w="283" w:type="pct"/>
            <w:vMerge w:val="continue"/>
            <w:vAlign w:val="center"/>
          </w:tcPr>
          <w:p>
            <w:pPr>
              <w:pStyle w:val="33"/>
              <w:rPr>
                <w:szCs w:val="21"/>
              </w:rPr>
            </w:pPr>
          </w:p>
        </w:tc>
        <w:tc>
          <w:tcPr>
            <w:tcW w:w="237" w:type="pct"/>
            <w:vMerge w:val="continue"/>
            <w:vAlign w:val="center"/>
          </w:tcPr>
          <w:p>
            <w:pPr>
              <w:pStyle w:val="33"/>
              <w:rPr>
                <w:szCs w:val="21"/>
              </w:rPr>
            </w:pPr>
          </w:p>
        </w:tc>
        <w:tc>
          <w:tcPr>
            <w:tcW w:w="284" w:type="pct"/>
            <w:vMerge w:val="continue"/>
            <w:vAlign w:val="center"/>
          </w:tcPr>
          <w:p>
            <w:pPr>
              <w:pStyle w:val="33"/>
              <w:rPr>
                <w:szCs w:val="21"/>
              </w:rPr>
            </w:pPr>
          </w:p>
        </w:tc>
        <w:tc>
          <w:tcPr>
            <w:tcW w:w="285" w:type="pct"/>
            <w:vMerge w:val="continue"/>
            <w:vAlign w:val="center"/>
          </w:tcPr>
          <w:p>
            <w:pPr>
              <w:pStyle w:val="33"/>
              <w:rPr>
                <w:rFonts w:cs="Calibri"/>
                <w:szCs w:val="21"/>
              </w:rPr>
            </w:pPr>
          </w:p>
        </w:tc>
        <w:tc>
          <w:tcPr>
            <w:tcW w:w="284" w:type="pct"/>
            <w:vMerge w:val="continue"/>
            <w:vAlign w:val="center"/>
          </w:tcPr>
          <w:p>
            <w:pPr>
              <w:pStyle w:val="33"/>
              <w:rPr>
                <w:szCs w:val="21"/>
              </w:rPr>
            </w:pPr>
          </w:p>
        </w:tc>
        <w:tc>
          <w:tcPr>
            <w:tcW w:w="331" w:type="pct"/>
            <w:vMerge w:val="continue"/>
            <w:shd w:val="clear" w:color="auto" w:fill="auto"/>
            <w:vAlign w:val="center"/>
          </w:tcPr>
          <w:p>
            <w:pPr>
              <w:pStyle w:val="33"/>
            </w:pPr>
          </w:p>
        </w:tc>
        <w:tc>
          <w:tcPr>
            <w:tcW w:w="327" w:type="pct"/>
            <w:vMerge w:val="continue"/>
            <w:shd w:val="clear" w:color="auto" w:fill="auto"/>
            <w:vAlign w:val="center"/>
          </w:tcPr>
          <w:p>
            <w:pPr>
              <w:pStyle w:val="33"/>
              <w:rPr>
                <w:rFonts w:cs="Calibri"/>
              </w:rPr>
            </w:pPr>
          </w:p>
        </w:tc>
        <w:tc>
          <w:tcPr>
            <w:tcW w:w="224" w:type="pct"/>
            <w:vMerge w:val="continue"/>
            <w:vAlign w:val="center"/>
          </w:tcPr>
          <w:p>
            <w:pPr>
              <w:pStyle w:val="33"/>
              <w:rPr>
                <w:rFonts w:cs="Calibri"/>
                <w:szCs w:val="21"/>
              </w:rPr>
            </w:pPr>
          </w:p>
        </w:tc>
        <w:tc>
          <w:tcPr>
            <w:tcW w:w="369" w:type="pct"/>
            <w:vMerge w:val="continue"/>
            <w:vAlign w:val="center"/>
          </w:tcPr>
          <w:p>
            <w:pPr>
              <w:pStyle w:val="33"/>
              <w:rPr>
                <w:rFonts w:cs="Calibri"/>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187" w:type="pct"/>
            <w:vAlign w:val="center"/>
          </w:tcPr>
          <w:p>
            <w:pPr>
              <w:widowControl w:val="0"/>
              <w:spacing w:line="240" w:lineRule="auto"/>
              <w:ind w:firstLine="0" w:firstLineChars="0"/>
              <w:jc w:val="center"/>
              <w:rPr>
                <w:rFonts w:cs="Calibri"/>
                <w:kern w:val="2"/>
                <w:sz w:val="21"/>
                <w:szCs w:val="20"/>
              </w:rPr>
            </w:pPr>
            <w:r>
              <w:rPr>
                <w:rFonts w:hint="eastAsia" w:cs="Times New Roman"/>
                <w:kern w:val="2"/>
                <w:sz w:val="21"/>
                <w:szCs w:val="20"/>
              </w:rPr>
              <w:t>2</w:t>
            </w:r>
          </w:p>
        </w:tc>
        <w:tc>
          <w:tcPr>
            <w:tcW w:w="270" w:type="pct"/>
            <w:vAlign w:val="center"/>
          </w:tcPr>
          <w:p>
            <w:pPr>
              <w:pStyle w:val="33"/>
            </w:pPr>
            <w:r>
              <w:rPr>
                <w:rFonts w:hint="eastAsia" w:ascii="Calibri" w:hAnsi="Calibri"/>
                <w:szCs w:val="21"/>
              </w:rPr>
              <w:t>生产</w:t>
            </w:r>
          </w:p>
        </w:tc>
        <w:tc>
          <w:tcPr>
            <w:tcW w:w="303" w:type="pct"/>
            <w:vAlign w:val="center"/>
          </w:tcPr>
          <w:p>
            <w:pPr>
              <w:pStyle w:val="33"/>
            </w:pPr>
            <w:r>
              <w:rPr>
                <w:rFonts w:hint="eastAsia" w:ascii="Calibri" w:hAnsi="Calibri"/>
                <w:szCs w:val="21"/>
              </w:rPr>
              <w:t>水洗废水</w:t>
            </w:r>
          </w:p>
        </w:tc>
        <w:tc>
          <w:tcPr>
            <w:tcW w:w="298" w:type="pct"/>
            <w:vAlign w:val="center"/>
          </w:tcPr>
          <w:p>
            <w:pPr>
              <w:pStyle w:val="33"/>
            </w:pPr>
            <w:r>
              <w:t>SS</w:t>
            </w:r>
          </w:p>
        </w:tc>
        <w:tc>
          <w:tcPr>
            <w:tcW w:w="339" w:type="pct"/>
            <w:vAlign w:val="center"/>
          </w:tcPr>
          <w:p>
            <w:pPr>
              <w:pStyle w:val="33"/>
            </w:pPr>
            <w:r>
              <w:rPr>
                <w:rFonts w:hint="eastAsia"/>
              </w:rPr>
              <w:t>3</w:t>
            </w:r>
            <w:r>
              <w:t>300</w:t>
            </w:r>
          </w:p>
        </w:tc>
        <w:tc>
          <w:tcPr>
            <w:tcW w:w="339" w:type="pct"/>
            <w:vAlign w:val="center"/>
          </w:tcPr>
          <w:p>
            <w:pPr>
              <w:pStyle w:val="33"/>
            </w:pPr>
            <w:r>
              <w:t>50</w:t>
            </w:r>
          </w:p>
        </w:tc>
        <w:tc>
          <w:tcPr>
            <w:tcW w:w="356" w:type="pct"/>
            <w:shd w:val="clear" w:color="auto" w:fill="auto"/>
            <w:vAlign w:val="center"/>
          </w:tcPr>
          <w:p>
            <w:pPr>
              <w:pStyle w:val="33"/>
            </w:pPr>
            <w:r>
              <w:rPr>
                <w:rFonts w:eastAsia="等线" w:cs="Times New Roman"/>
                <w:szCs w:val="21"/>
              </w:rPr>
              <w:t xml:space="preserve">0.165 </w:t>
            </w:r>
          </w:p>
        </w:tc>
        <w:tc>
          <w:tcPr>
            <w:tcW w:w="284" w:type="pct"/>
            <w:vAlign w:val="center"/>
          </w:tcPr>
          <w:p>
            <w:pPr>
              <w:pStyle w:val="33"/>
              <w:rPr>
                <w:rFonts w:cs="Calibri"/>
              </w:rPr>
            </w:pPr>
            <w:r>
              <w:rPr>
                <w:rFonts w:hint="eastAsia"/>
              </w:rPr>
              <w:t>沉淀池2个</w:t>
            </w:r>
          </w:p>
        </w:tc>
        <w:tc>
          <w:tcPr>
            <w:tcW w:w="283" w:type="pct"/>
            <w:vAlign w:val="center"/>
          </w:tcPr>
          <w:p>
            <w:pPr>
              <w:pStyle w:val="33"/>
            </w:pPr>
            <w:r>
              <w:rPr>
                <w:rFonts w:hint="eastAsia"/>
              </w:rPr>
              <w:t>容积：</w:t>
            </w:r>
            <w:r>
              <w:t>12</w:t>
            </w:r>
            <w:r>
              <w:rPr>
                <w:rFonts w:hint="eastAsia"/>
              </w:rPr>
              <w:t>m</w:t>
            </w:r>
            <w:r>
              <w:rPr>
                <w:rFonts w:hint="eastAsia"/>
                <w:vertAlign w:val="superscript"/>
              </w:rPr>
              <w:t>3</w:t>
            </w:r>
          </w:p>
        </w:tc>
        <w:tc>
          <w:tcPr>
            <w:tcW w:w="237" w:type="pct"/>
            <w:vAlign w:val="center"/>
          </w:tcPr>
          <w:p>
            <w:pPr>
              <w:pStyle w:val="33"/>
            </w:pPr>
            <w:r>
              <w:rPr>
                <w:rFonts w:hint="eastAsia"/>
              </w:rPr>
              <w:t>沉淀</w:t>
            </w:r>
          </w:p>
        </w:tc>
        <w:tc>
          <w:tcPr>
            <w:tcW w:w="284" w:type="pct"/>
            <w:vAlign w:val="center"/>
          </w:tcPr>
          <w:p>
            <w:pPr>
              <w:pStyle w:val="33"/>
            </w:pPr>
            <w:r>
              <w:t>90</w:t>
            </w:r>
          </w:p>
        </w:tc>
        <w:tc>
          <w:tcPr>
            <w:tcW w:w="285" w:type="pct"/>
            <w:vAlign w:val="center"/>
          </w:tcPr>
          <w:p>
            <w:pPr>
              <w:pStyle w:val="33"/>
            </w:pPr>
            <w:r>
              <w:rPr>
                <w:rFonts w:hint="eastAsia"/>
              </w:rPr>
              <w:t>否</w:t>
            </w:r>
          </w:p>
        </w:tc>
        <w:tc>
          <w:tcPr>
            <w:tcW w:w="284" w:type="pct"/>
            <w:vAlign w:val="center"/>
          </w:tcPr>
          <w:p>
            <w:pPr>
              <w:pStyle w:val="33"/>
            </w:pPr>
            <w:r>
              <w:t>/</w:t>
            </w:r>
          </w:p>
        </w:tc>
        <w:tc>
          <w:tcPr>
            <w:tcW w:w="331" w:type="pct"/>
            <w:vAlign w:val="center"/>
          </w:tcPr>
          <w:p>
            <w:pPr>
              <w:pStyle w:val="33"/>
            </w:pPr>
            <w:r>
              <w:t>/</w:t>
            </w:r>
          </w:p>
        </w:tc>
        <w:tc>
          <w:tcPr>
            <w:tcW w:w="327" w:type="pct"/>
            <w:vAlign w:val="center"/>
          </w:tcPr>
          <w:p>
            <w:pPr>
              <w:pStyle w:val="33"/>
            </w:pPr>
            <w:r>
              <w:t>/</w:t>
            </w:r>
          </w:p>
        </w:tc>
        <w:tc>
          <w:tcPr>
            <w:tcW w:w="224" w:type="pct"/>
            <w:vAlign w:val="center"/>
          </w:tcPr>
          <w:p>
            <w:pPr>
              <w:pStyle w:val="33"/>
              <w:rPr>
                <w:rFonts w:cs="Calibri"/>
              </w:rPr>
            </w:pPr>
            <w:r>
              <w:rPr>
                <w:rFonts w:hint="eastAsia"/>
              </w:rPr>
              <w:t>不外排</w:t>
            </w:r>
          </w:p>
        </w:tc>
        <w:tc>
          <w:tcPr>
            <w:tcW w:w="369" w:type="pct"/>
            <w:vAlign w:val="center"/>
          </w:tcPr>
          <w:p>
            <w:pPr>
              <w:pStyle w:val="33"/>
            </w:pPr>
            <w:r>
              <w:rPr>
                <w:rFonts w:hint="eastAsia"/>
              </w:rPr>
              <w:t>循环回用于生产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187" w:type="pct"/>
            <w:vAlign w:val="center"/>
          </w:tcPr>
          <w:p>
            <w:pPr>
              <w:widowControl w:val="0"/>
              <w:spacing w:line="240" w:lineRule="auto"/>
              <w:ind w:firstLine="0" w:firstLineChars="0"/>
              <w:jc w:val="center"/>
              <w:rPr>
                <w:rFonts w:cs="Times New Roman"/>
                <w:kern w:val="2"/>
                <w:sz w:val="21"/>
                <w:szCs w:val="20"/>
              </w:rPr>
            </w:pPr>
            <w:r>
              <w:rPr>
                <w:rFonts w:hint="eastAsia" w:cs="Times New Roman"/>
                <w:kern w:val="2"/>
                <w:sz w:val="21"/>
                <w:szCs w:val="20"/>
              </w:rPr>
              <w:t>3</w:t>
            </w:r>
          </w:p>
        </w:tc>
        <w:tc>
          <w:tcPr>
            <w:tcW w:w="270" w:type="pct"/>
            <w:vAlign w:val="center"/>
          </w:tcPr>
          <w:p>
            <w:pPr>
              <w:pStyle w:val="33"/>
              <w:rPr>
                <w:rFonts w:ascii="Calibri" w:hAnsi="Calibri"/>
                <w:szCs w:val="21"/>
              </w:rPr>
            </w:pPr>
            <w:r>
              <w:rPr>
                <w:rFonts w:hint="eastAsia" w:ascii="Calibri" w:hAnsi="Calibri"/>
                <w:szCs w:val="21"/>
              </w:rPr>
              <w:t>降雨</w:t>
            </w:r>
          </w:p>
        </w:tc>
        <w:tc>
          <w:tcPr>
            <w:tcW w:w="303" w:type="pct"/>
            <w:vAlign w:val="center"/>
          </w:tcPr>
          <w:p>
            <w:pPr>
              <w:pStyle w:val="33"/>
              <w:rPr>
                <w:rFonts w:ascii="Calibri" w:hAnsi="Calibri"/>
                <w:szCs w:val="21"/>
              </w:rPr>
            </w:pPr>
            <w:r>
              <w:rPr>
                <w:rFonts w:hint="eastAsia" w:ascii="Calibri" w:hAnsi="Calibri"/>
                <w:szCs w:val="21"/>
              </w:rPr>
              <w:t>初期雨水</w:t>
            </w:r>
          </w:p>
        </w:tc>
        <w:tc>
          <w:tcPr>
            <w:tcW w:w="298" w:type="pct"/>
            <w:vAlign w:val="center"/>
          </w:tcPr>
          <w:p>
            <w:pPr>
              <w:pStyle w:val="33"/>
            </w:pPr>
            <w:r>
              <w:t>SS</w:t>
            </w:r>
          </w:p>
        </w:tc>
        <w:tc>
          <w:tcPr>
            <w:tcW w:w="339" w:type="pct"/>
            <w:vAlign w:val="center"/>
          </w:tcPr>
          <w:p>
            <w:pPr>
              <w:pStyle w:val="33"/>
            </w:pPr>
            <w:r>
              <w:t>165.28</w:t>
            </w:r>
          </w:p>
        </w:tc>
        <w:tc>
          <w:tcPr>
            <w:tcW w:w="339" w:type="pct"/>
            <w:vAlign w:val="center"/>
          </w:tcPr>
          <w:p>
            <w:pPr>
              <w:pStyle w:val="33"/>
            </w:pPr>
            <w:r>
              <w:rPr>
                <w:rFonts w:hint="eastAsia"/>
              </w:rPr>
              <w:t>2</w:t>
            </w:r>
            <w:r>
              <w:t>00</w:t>
            </w:r>
          </w:p>
        </w:tc>
        <w:tc>
          <w:tcPr>
            <w:tcW w:w="356" w:type="pct"/>
            <w:shd w:val="clear" w:color="auto" w:fill="auto"/>
            <w:vAlign w:val="center"/>
          </w:tcPr>
          <w:p>
            <w:pPr>
              <w:pStyle w:val="33"/>
              <w:rPr>
                <w:rFonts w:eastAsia="等线" w:cs="Times New Roman"/>
                <w:szCs w:val="21"/>
              </w:rPr>
            </w:pPr>
            <w:r>
              <w:rPr>
                <w:rFonts w:hint="eastAsia" w:eastAsia="等线" w:cs="Times New Roman"/>
                <w:szCs w:val="21"/>
              </w:rPr>
              <w:t>0</w:t>
            </w:r>
            <w:r>
              <w:rPr>
                <w:rFonts w:eastAsia="等线" w:cs="Times New Roman"/>
                <w:szCs w:val="21"/>
              </w:rPr>
              <w:t>.033</w:t>
            </w:r>
          </w:p>
        </w:tc>
        <w:tc>
          <w:tcPr>
            <w:tcW w:w="284" w:type="pct"/>
            <w:vAlign w:val="center"/>
          </w:tcPr>
          <w:p>
            <w:pPr>
              <w:pStyle w:val="33"/>
            </w:pPr>
            <w:r>
              <w:rPr>
                <w:rFonts w:hint="eastAsia"/>
              </w:rPr>
              <w:t>初期雨水池</w:t>
            </w:r>
          </w:p>
        </w:tc>
        <w:tc>
          <w:tcPr>
            <w:tcW w:w="283" w:type="pct"/>
            <w:vAlign w:val="center"/>
          </w:tcPr>
          <w:p>
            <w:pPr>
              <w:pStyle w:val="33"/>
            </w:pPr>
            <w:r>
              <w:t>180</w:t>
            </w:r>
            <w:r>
              <w:rPr>
                <w:rFonts w:hint="eastAsia"/>
              </w:rPr>
              <w:t>m</w:t>
            </w:r>
            <w:r>
              <w:rPr>
                <w:rFonts w:hint="eastAsia"/>
                <w:vertAlign w:val="superscript"/>
              </w:rPr>
              <w:t>3</w:t>
            </w:r>
          </w:p>
        </w:tc>
        <w:tc>
          <w:tcPr>
            <w:tcW w:w="237" w:type="pct"/>
            <w:vAlign w:val="center"/>
          </w:tcPr>
          <w:p>
            <w:pPr>
              <w:pStyle w:val="33"/>
            </w:pPr>
            <w:r>
              <w:rPr>
                <w:rFonts w:hint="eastAsia"/>
              </w:rPr>
              <w:t>沉淀</w:t>
            </w:r>
          </w:p>
        </w:tc>
        <w:tc>
          <w:tcPr>
            <w:tcW w:w="284" w:type="pct"/>
            <w:vAlign w:val="center"/>
          </w:tcPr>
          <w:p>
            <w:pPr>
              <w:pStyle w:val="33"/>
            </w:pPr>
            <w:r>
              <w:rPr>
                <w:rFonts w:hint="eastAsia"/>
              </w:rPr>
              <w:t>9</w:t>
            </w:r>
            <w:r>
              <w:t>0</w:t>
            </w:r>
          </w:p>
        </w:tc>
        <w:tc>
          <w:tcPr>
            <w:tcW w:w="285" w:type="pct"/>
            <w:vAlign w:val="center"/>
          </w:tcPr>
          <w:p>
            <w:pPr>
              <w:pStyle w:val="33"/>
            </w:pPr>
            <w:r>
              <w:rPr>
                <w:rFonts w:hint="eastAsia"/>
              </w:rPr>
              <w:t>否</w:t>
            </w:r>
          </w:p>
        </w:tc>
        <w:tc>
          <w:tcPr>
            <w:tcW w:w="284" w:type="pct"/>
            <w:vAlign w:val="center"/>
          </w:tcPr>
          <w:p>
            <w:pPr>
              <w:pStyle w:val="33"/>
            </w:pPr>
            <w:r>
              <w:t>/</w:t>
            </w:r>
          </w:p>
        </w:tc>
        <w:tc>
          <w:tcPr>
            <w:tcW w:w="331" w:type="pct"/>
            <w:vAlign w:val="center"/>
          </w:tcPr>
          <w:p>
            <w:pPr>
              <w:pStyle w:val="33"/>
            </w:pPr>
            <w:r>
              <w:t>/</w:t>
            </w:r>
          </w:p>
        </w:tc>
        <w:tc>
          <w:tcPr>
            <w:tcW w:w="327" w:type="pct"/>
            <w:vAlign w:val="center"/>
          </w:tcPr>
          <w:p>
            <w:pPr>
              <w:pStyle w:val="33"/>
            </w:pPr>
            <w:r>
              <w:t>/</w:t>
            </w:r>
          </w:p>
        </w:tc>
        <w:tc>
          <w:tcPr>
            <w:tcW w:w="224" w:type="pct"/>
            <w:vAlign w:val="center"/>
          </w:tcPr>
          <w:p>
            <w:pPr>
              <w:pStyle w:val="33"/>
            </w:pPr>
            <w:r>
              <w:rPr>
                <w:rFonts w:hint="eastAsia"/>
              </w:rPr>
              <w:t>不外排</w:t>
            </w:r>
          </w:p>
        </w:tc>
        <w:tc>
          <w:tcPr>
            <w:tcW w:w="369" w:type="pct"/>
            <w:vAlign w:val="center"/>
          </w:tcPr>
          <w:p>
            <w:pPr>
              <w:pStyle w:val="33"/>
            </w:pPr>
            <w:r>
              <w:rPr>
                <w:rFonts w:hint="eastAsia"/>
              </w:rPr>
              <w:t>厂区洒水降尘</w:t>
            </w:r>
          </w:p>
        </w:tc>
      </w:tr>
    </w:tbl>
    <w:p>
      <w:pPr>
        <w:ind w:firstLine="482"/>
        <w:rPr>
          <w:b/>
        </w:rPr>
        <w:sectPr>
          <w:pgSz w:w="16838" w:h="11906" w:orient="landscape"/>
          <w:pgMar w:top="1800" w:right="1440" w:bottom="1800" w:left="1440" w:header="992" w:footer="992" w:gutter="0"/>
          <w:cols w:space="425" w:num="1"/>
          <w:docGrid w:type="lines" w:linePitch="326"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ind w:firstLine="482"/>
              <w:rPr>
                <w:b/>
                <w:bCs/>
              </w:rPr>
            </w:pPr>
            <w:r>
              <w:rPr>
                <w:rFonts w:hint="eastAsia"/>
                <w:b/>
                <w:bCs/>
              </w:rPr>
              <w:t>3噪声</w:t>
            </w:r>
          </w:p>
          <w:p>
            <w:pPr>
              <w:ind w:firstLine="482"/>
              <w:rPr>
                <w:b/>
                <w:bCs/>
              </w:rPr>
            </w:pPr>
            <w:r>
              <w:rPr>
                <w:rFonts w:hint="eastAsia"/>
                <w:b/>
                <w:bCs/>
              </w:rPr>
              <w:t>3</w:t>
            </w:r>
            <w:r>
              <w:rPr>
                <w:b/>
                <w:bCs/>
              </w:rPr>
              <w:t>.1</w:t>
            </w:r>
            <w:r>
              <w:rPr>
                <w:rFonts w:hint="eastAsia"/>
                <w:b/>
                <w:bCs/>
              </w:rPr>
              <w:t>噪声源强及治理措施</w:t>
            </w:r>
          </w:p>
          <w:p>
            <w:pPr>
              <w:ind w:firstLine="480"/>
            </w:pPr>
            <w:r>
              <w:rPr>
                <w:rFonts w:hint="eastAsia"/>
              </w:rPr>
              <w:t>本项目主要噪声设备种类包括龙门吊、切割机、打包机、压缩机、破碎机等，本项目噪声产生情况见表</w:t>
            </w:r>
            <w:r>
              <w:t>4-3</w:t>
            </w:r>
            <w:r>
              <w:rPr>
                <w:rFonts w:hint="eastAsia"/>
              </w:rPr>
              <w:t>。</w:t>
            </w:r>
          </w:p>
          <w:p>
            <w:pPr>
              <w:pStyle w:val="35"/>
            </w:pPr>
            <w:r>
              <w:rPr>
                <w:rFonts w:hint="eastAsia"/>
              </w:rPr>
              <w:t>表</w:t>
            </w:r>
            <w:r>
              <w:t xml:space="preserve">4-3  </w:t>
            </w:r>
            <w:r>
              <w:rPr>
                <w:rFonts w:hint="eastAsia"/>
              </w:rPr>
              <w:t>设备噪声源强、降噪措施以及降噪效果</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418"/>
              <w:gridCol w:w="1031"/>
              <w:gridCol w:w="484"/>
              <w:gridCol w:w="849"/>
              <w:gridCol w:w="1778"/>
              <w:gridCol w:w="1170"/>
              <w:gridCol w:w="836"/>
              <w:gridCol w:w="174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45" w:hRule="atLeast"/>
                <w:jc w:val="center"/>
              </w:trPr>
              <w:tc>
                <w:tcPr>
                  <w:tcW w:w="252" w:type="pct"/>
                  <w:vAlign w:val="center"/>
                </w:tcPr>
                <w:p>
                  <w:pPr>
                    <w:pStyle w:val="33"/>
                    <w:rPr>
                      <w:b/>
                      <w:bCs/>
                    </w:rPr>
                  </w:pPr>
                  <w:bookmarkStart w:id="33" w:name="_Hlk71789493"/>
                  <w:r>
                    <w:rPr>
                      <w:b/>
                      <w:bCs/>
                    </w:rPr>
                    <w:t>序号</w:t>
                  </w:r>
                </w:p>
              </w:tc>
              <w:tc>
                <w:tcPr>
                  <w:tcW w:w="621" w:type="pct"/>
                  <w:vAlign w:val="center"/>
                </w:tcPr>
                <w:p>
                  <w:pPr>
                    <w:pStyle w:val="33"/>
                    <w:rPr>
                      <w:b/>
                      <w:bCs/>
                    </w:rPr>
                  </w:pPr>
                  <w:r>
                    <w:rPr>
                      <w:b/>
                      <w:bCs/>
                    </w:rPr>
                    <w:t>噪声源</w:t>
                  </w:r>
                </w:p>
              </w:tc>
              <w:tc>
                <w:tcPr>
                  <w:tcW w:w="291" w:type="pct"/>
                  <w:vAlign w:val="center"/>
                </w:tcPr>
                <w:p>
                  <w:pPr>
                    <w:pStyle w:val="33"/>
                    <w:rPr>
                      <w:b/>
                      <w:bCs/>
                    </w:rPr>
                  </w:pPr>
                  <w:r>
                    <w:rPr>
                      <w:b/>
                      <w:bCs/>
                    </w:rPr>
                    <w:t>台/套数</w:t>
                  </w:r>
                </w:p>
              </w:tc>
              <w:tc>
                <w:tcPr>
                  <w:tcW w:w="511" w:type="pct"/>
                  <w:vAlign w:val="center"/>
                </w:tcPr>
                <w:p>
                  <w:pPr>
                    <w:pStyle w:val="33"/>
                    <w:rPr>
                      <w:b/>
                      <w:bCs/>
                    </w:rPr>
                  </w:pPr>
                  <w:r>
                    <w:rPr>
                      <w:b/>
                      <w:bCs/>
                    </w:rPr>
                    <w:t>产生强度dB(A)</w:t>
                  </w:r>
                </w:p>
              </w:tc>
              <w:tc>
                <w:tcPr>
                  <w:tcW w:w="1070" w:type="pct"/>
                  <w:vAlign w:val="center"/>
                </w:tcPr>
                <w:p>
                  <w:pPr>
                    <w:pStyle w:val="33"/>
                    <w:rPr>
                      <w:b/>
                      <w:bCs/>
                    </w:rPr>
                  </w:pPr>
                  <w:r>
                    <w:rPr>
                      <w:b/>
                      <w:bCs/>
                    </w:rPr>
                    <w:t>控制措施</w:t>
                  </w:r>
                </w:p>
              </w:tc>
              <w:tc>
                <w:tcPr>
                  <w:tcW w:w="704" w:type="pct"/>
                  <w:vAlign w:val="center"/>
                </w:tcPr>
                <w:p>
                  <w:pPr>
                    <w:pStyle w:val="33"/>
                    <w:rPr>
                      <w:b/>
                      <w:bCs/>
                    </w:rPr>
                  </w:pPr>
                  <w:r>
                    <w:rPr>
                      <w:b/>
                      <w:bCs/>
                    </w:rPr>
                    <w:t>排放强度dB(A)</w:t>
                  </w:r>
                </w:p>
              </w:tc>
              <w:tc>
                <w:tcPr>
                  <w:tcW w:w="503" w:type="pct"/>
                  <w:vAlign w:val="center"/>
                </w:tcPr>
                <w:p>
                  <w:pPr>
                    <w:pStyle w:val="33"/>
                    <w:rPr>
                      <w:b/>
                      <w:bCs/>
                    </w:rPr>
                  </w:pPr>
                  <w:r>
                    <w:rPr>
                      <w:b/>
                      <w:bCs/>
                    </w:rPr>
                    <w:t>持续时间</w:t>
                  </w:r>
                </w:p>
              </w:tc>
              <w:tc>
                <w:tcPr>
                  <w:tcW w:w="1047" w:type="pct"/>
                  <w:vAlign w:val="center"/>
                </w:tcPr>
                <w:p>
                  <w:pPr>
                    <w:pStyle w:val="33"/>
                    <w:rPr>
                      <w:b/>
                      <w:bCs/>
                    </w:rPr>
                  </w:pPr>
                  <w:r>
                    <w:rPr>
                      <w:b/>
                      <w:bCs/>
                    </w:rPr>
                    <w:t>达标情况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45" w:hRule="atLeast"/>
                <w:jc w:val="center"/>
              </w:trPr>
              <w:tc>
                <w:tcPr>
                  <w:tcW w:w="252" w:type="pct"/>
                  <w:vAlign w:val="center"/>
                </w:tcPr>
                <w:p>
                  <w:pPr>
                    <w:pStyle w:val="33"/>
                  </w:pPr>
                  <w:r>
                    <w:t>1</w:t>
                  </w:r>
                </w:p>
              </w:tc>
              <w:tc>
                <w:tcPr>
                  <w:tcW w:w="621" w:type="pct"/>
                  <w:vAlign w:val="center"/>
                </w:tcPr>
                <w:p>
                  <w:pPr>
                    <w:pStyle w:val="33"/>
                  </w:pPr>
                  <w:r>
                    <w:rPr>
                      <w:rFonts w:hint="eastAsia"/>
                    </w:rPr>
                    <w:t>龙门吊</w:t>
                  </w:r>
                </w:p>
              </w:tc>
              <w:tc>
                <w:tcPr>
                  <w:tcW w:w="291" w:type="pct"/>
                  <w:vAlign w:val="center"/>
                </w:tcPr>
                <w:p>
                  <w:pPr>
                    <w:pStyle w:val="33"/>
                  </w:pPr>
                  <w:r>
                    <w:rPr>
                      <w:rFonts w:hint="eastAsia"/>
                    </w:rPr>
                    <w:t>5</w:t>
                  </w:r>
                </w:p>
              </w:tc>
              <w:tc>
                <w:tcPr>
                  <w:tcW w:w="511" w:type="pct"/>
                  <w:vAlign w:val="center"/>
                </w:tcPr>
                <w:p>
                  <w:pPr>
                    <w:pStyle w:val="33"/>
                  </w:pPr>
                  <w:r>
                    <w:rPr>
                      <w:szCs w:val="32"/>
                      <w:lang w:bidi="en-US"/>
                    </w:rPr>
                    <w:t>75～85</w:t>
                  </w:r>
                </w:p>
              </w:tc>
              <w:tc>
                <w:tcPr>
                  <w:tcW w:w="1070" w:type="pct"/>
                  <w:vAlign w:val="center"/>
                </w:tcPr>
                <w:p>
                  <w:pPr>
                    <w:pStyle w:val="33"/>
                  </w:pPr>
                  <w:r>
                    <w:rPr>
                      <w:rFonts w:hint="eastAsia"/>
                    </w:rPr>
                    <w:t>选用低噪声设备</w:t>
                  </w:r>
                </w:p>
              </w:tc>
              <w:tc>
                <w:tcPr>
                  <w:tcW w:w="704" w:type="pct"/>
                  <w:shd w:val="clear" w:color="auto" w:fill="auto"/>
                  <w:vAlign w:val="center"/>
                </w:tcPr>
                <w:p>
                  <w:pPr>
                    <w:pStyle w:val="33"/>
                  </w:pPr>
                  <w:r>
                    <w:t>65</w:t>
                  </w:r>
                </w:p>
              </w:tc>
              <w:tc>
                <w:tcPr>
                  <w:tcW w:w="503" w:type="pct"/>
                  <w:vAlign w:val="center"/>
                </w:tcPr>
                <w:p>
                  <w:pPr>
                    <w:pStyle w:val="33"/>
                  </w:pPr>
                  <w:r>
                    <w:t>2h/d</w:t>
                  </w:r>
                </w:p>
              </w:tc>
              <w:tc>
                <w:tcPr>
                  <w:tcW w:w="1047" w:type="pct"/>
                  <w:vMerge w:val="restart"/>
                  <w:vAlign w:val="center"/>
                </w:tcPr>
                <w:p>
                  <w:pPr>
                    <w:pStyle w:val="33"/>
                  </w:pPr>
                  <w:r>
                    <w:t>满足《工业企业厂界环境噪声排放标准》(GB12348-2008)2类标准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45" w:hRule="atLeast"/>
                <w:jc w:val="center"/>
              </w:trPr>
              <w:tc>
                <w:tcPr>
                  <w:tcW w:w="252" w:type="pct"/>
                  <w:vAlign w:val="center"/>
                </w:tcPr>
                <w:p>
                  <w:pPr>
                    <w:pStyle w:val="33"/>
                  </w:pPr>
                  <w:r>
                    <w:t>2</w:t>
                  </w:r>
                </w:p>
              </w:tc>
              <w:tc>
                <w:tcPr>
                  <w:tcW w:w="621" w:type="pct"/>
                  <w:vAlign w:val="center"/>
                </w:tcPr>
                <w:p>
                  <w:pPr>
                    <w:pStyle w:val="33"/>
                  </w:pPr>
                  <w:r>
                    <w:rPr>
                      <w:rFonts w:hint="eastAsia"/>
                    </w:rPr>
                    <w:t>切割机</w:t>
                  </w:r>
                </w:p>
              </w:tc>
              <w:tc>
                <w:tcPr>
                  <w:tcW w:w="291" w:type="pct"/>
                  <w:vAlign w:val="center"/>
                </w:tcPr>
                <w:p>
                  <w:pPr>
                    <w:pStyle w:val="33"/>
                  </w:pPr>
                  <w:r>
                    <w:rPr>
                      <w:rFonts w:hint="eastAsia"/>
                    </w:rPr>
                    <w:t>6</w:t>
                  </w:r>
                </w:p>
              </w:tc>
              <w:tc>
                <w:tcPr>
                  <w:tcW w:w="511" w:type="pct"/>
                  <w:vAlign w:val="center"/>
                </w:tcPr>
                <w:p>
                  <w:pPr>
                    <w:pStyle w:val="33"/>
                  </w:pPr>
                  <w:r>
                    <w:t>85</w:t>
                  </w:r>
                </w:p>
              </w:tc>
              <w:tc>
                <w:tcPr>
                  <w:tcW w:w="1070" w:type="pct"/>
                  <w:vAlign w:val="center"/>
                </w:tcPr>
                <w:p>
                  <w:pPr>
                    <w:pStyle w:val="33"/>
                  </w:pPr>
                  <w:r>
                    <w:t>基础减振</w:t>
                  </w:r>
                </w:p>
              </w:tc>
              <w:tc>
                <w:tcPr>
                  <w:tcW w:w="704" w:type="pct"/>
                  <w:shd w:val="clear" w:color="auto" w:fill="auto"/>
                  <w:vAlign w:val="center"/>
                </w:tcPr>
                <w:p>
                  <w:pPr>
                    <w:pStyle w:val="33"/>
                  </w:pPr>
                  <w:r>
                    <w:t>65</w:t>
                  </w:r>
                </w:p>
              </w:tc>
              <w:tc>
                <w:tcPr>
                  <w:tcW w:w="503" w:type="pct"/>
                  <w:vAlign w:val="center"/>
                </w:tcPr>
                <w:p>
                  <w:pPr>
                    <w:pStyle w:val="33"/>
                  </w:pPr>
                  <w:r>
                    <w:t>8h/d</w:t>
                  </w:r>
                </w:p>
              </w:tc>
              <w:tc>
                <w:tcPr>
                  <w:tcW w:w="1047"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45" w:hRule="atLeast"/>
                <w:jc w:val="center"/>
              </w:trPr>
              <w:tc>
                <w:tcPr>
                  <w:tcW w:w="252" w:type="pct"/>
                  <w:vAlign w:val="center"/>
                </w:tcPr>
                <w:p>
                  <w:pPr>
                    <w:pStyle w:val="33"/>
                  </w:pPr>
                  <w:r>
                    <w:t>3</w:t>
                  </w:r>
                </w:p>
              </w:tc>
              <w:tc>
                <w:tcPr>
                  <w:tcW w:w="621" w:type="pct"/>
                  <w:vAlign w:val="center"/>
                </w:tcPr>
                <w:p>
                  <w:pPr>
                    <w:pStyle w:val="33"/>
                  </w:pPr>
                  <w:r>
                    <w:rPr>
                      <w:rFonts w:hint="eastAsia"/>
                    </w:rPr>
                    <w:t>破碎机</w:t>
                  </w:r>
                </w:p>
              </w:tc>
              <w:tc>
                <w:tcPr>
                  <w:tcW w:w="291" w:type="pct"/>
                  <w:vAlign w:val="center"/>
                </w:tcPr>
                <w:p>
                  <w:pPr>
                    <w:pStyle w:val="33"/>
                  </w:pPr>
                  <w:r>
                    <w:rPr>
                      <w:rFonts w:hint="eastAsia"/>
                    </w:rPr>
                    <w:t>6</w:t>
                  </w:r>
                </w:p>
              </w:tc>
              <w:tc>
                <w:tcPr>
                  <w:tcW w:w="511" w:type="pct"/>
                  <w:vAlign w:val="center"/>
                </w:tcPr>
                <w:p>
                  <w:pPr>
                    <w:pStyle w:val="33"/>
                  </w:pPr>
                  <w:r>
                    <w:t>85</w:t>
                  </w:r>
                </w:p>
              </w:tc>
              <w:tc>
                <w:tcPr>
                  <w:tcW w:w="1070" w:type="pct"/>
                  <w:vAlign w:val="center"/>
                </w:tcPr>
                <w:p>
                  <w:pPr>
                    <w:pStyle w:val="33"/>
                  </w:pPr>
                  <w:r>
                    <w:t>基础减振</w:t>
                  </w:r>
                </w:p>
              </w:tc>
              <w:tc>
                <w:tcPr>
                  <w:tcW w:w="704" w:type="pct"/>
                  <w:shd w:val="clear" w:color="auto" w:fill="auto"/>
                  <w:vAlign w:val="center"/>
                </w:tcPr>
                <w:p>
                  <w:pPr>
                    <w:pStyle w:val="33"/>
                  </w:pPr>
                  <w:r>
                    <w:t>65</w:t>
                  </w:r>
                </w:p>
              </w:tc>
              <w:tc>
                <w:tcPr>
                  <w:tcW w:w="503" w:type="pct"/>
                  <w:vAlign w:val="center"/>
                </w:tcPr>
                <w:p>
                  <w:pPr>
                    <w:pStyle w:val="33"/>
                  </w:pPr>
                  <w:r>
                    <w:t>8h/d</w:t>
                  </w:r>
                </w:p>
              </w:tc>
              <w:tc>
                <w:tcPr>
                  <w:tcW w:w="1047"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45" w:hRule="atLeast"/>
                <w:jc w:val="center"/>
              </w:trPr>
              <w:tc>
                <w:tcPr>
                  <w:tcW w:w="252" w:type="pct"/>
                  <w:vAlign w:val="center"/>
                </w:tcPr>
                <w:p>
                  <w:pPr>
                    <w:pStyle w:val="33"/>
                  </w:pPr>
                  <w:r>
                    <w:t>4</w:t>
                  </w:r>
                </w:p>
              </w:tc>
              <w:tc>
                <w:tcPr>
                  <w:tcW w:w="621" w:type="pct"/>
                  <w:vAlign w:val="center"/>
                </w:tcPr>
                <w:p>
                  <w:pPr>
                    <w:pStyle w:val="33"/>
                  </w:pPr>
                  <w:r>
                    <w:rPr>
                      <w:rFonts w:hint="eastAsia"/>
                    </w:rPr>
                    <w:t>输送带</w:t>
                  </w:r>
                </w:p>
              </w:tc>
              <w:tc>
                <w:tcPr>
                  <w:tcW w:w="291" w:type="pct"/>
                  <w:vAlign w:val="center"/>
                </w:tcPr>
                <w:p>
                  <w:pPr>
                    <w:pStyle w:val="33"/>
                  </w:pPr>
                  <w:r>
                    <w:rPr>
                      <w:rFonts w:hint="eastAsia"/>
                    </w:rPr>
                    <w:t>3</w:t>
                  </w:r>
                </w:p>
              </w:tc>
              <w:tc>
                <w:tcPr>
                  <w:tcW w:w="511" w:type="pct"/>
                  <w:vAlign w:val="center"/>
                </w:tcPr>
                <w:p>
                  <w:pPr>
                    <w:pStyle w:val="33"/>
                  </w:pPr>
                  <w:r>
                    <w:t>80</w:t>
                  </w:r>
                </w:p>
              </w:tc>
              <w:tc>
                <w:tcPr>
                  <w:tcW w:w="1070" w:type="pct"/>
                  <w:vAlign w:val="center"/>
                </w:tcPr>
                <w:p>
                  <w:pPr>
                    <w:pStyle w:val="33"/>
                  </w:pPr>
                  <w:r>
                    <w:t>基础减振</w:t>
                  </w:r>
                </w:p>
              </w:tc>
              <w:tc>
                <w:tcPr>
                  <w:tcW w:w="704" w:type="pct"/>
                  <w:shd w:val="clear" w:color="auto" w:fill="auto"/>
                  <w:vAlign w:val="center"/>
                </w:tcPr>
                <w:p>
                  <w:pPr>
                    <w:pStyle w:val="33"/>
                  </w:pPr>
                  <w:r>
                    <w:t>60</w:t>
                  </w:r>
                </w:p>
              </w:tc>
              <w:tc>
                <w:tcPr>
                  <w:tcW w:w="503" w:type="pct"/>
                  <w:vAlign w:val="center"/>
                </w:tcPr>
                <w:p>
                  <w:pPr>
                    <w:pStyle w:val="33"/>
                  </w:pPr>
                  <w:r>
                    <w:t>8h/d</w:t>
                  </w:r>
                </w:p>
              </w:tc>
              <w:tc>
                <w:tcPr>
                  <w:tcW w:w="1047"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45" w:hRule="atLeast"/>
                <w:jc w:val="center"/>
              </w:trPr>
              <w:tc>
                <w:tcPr>
                  <w:tcW w:w="252" w:type="pct"/>
                  <w:vAlign w:val="center"/>
                </w:tcPr>
                <w:p>
                  <w:pPr>
                    <w:pStyle w:val="33"/>
                  </w:pPr>
                  <w:r>
                    <w:t>5</w:t>
                  </w:r>
                </w:p>
              </w:tc>
              <w:tc>
                <w:tcPr>
                  <w:tcW w:w="621" w:type="pct"/>
                  <w:vAlign w:val="center"/>
                </w:tcPr>
                <w:p>
                  <w:pPr>
                    <w:pStyle w:val="33"/>
                  </w:pPr>
                  <w:r>
                    <w:rPr>
                      <w:rFonts w:hint="eastAsia"/>
                    </w:rPr>
                    <w:t>压缩机</w:t>
                  </w:r>
                </w:p>
              </w:tc>
              <w:tc>
                <w:tcPr>
                  <w:tcW w:w="291" w:type="pct"/>
                  <w:vAlign w:val="center"/>
                </w:tcPr>
                <w:p>
                  <w:pPr>
                    <w:pStyle w:val="33"/>
                  </w:pPr>
                  <w:r>
                    <w:rPr>
                      <w:rFonts w:hint="eastAsia"/>
                    </w:rPr>
                    <w:t>6</w:t>
                  </w:r>
                </w:p>
              </w:tc>
              <w:tc>
                <w:tcPr>
                  <w:tcW w:w="511" w:type="pct"/>
                  <w:vAlign w:val="center"/>
                </w:tcPr>
                <w:p>
                  <w:pPr>
                    <w:pStyle w:val="33"/>
                  </w:pPr>
                  <w:r>
                    <w:t>85</w:t>
                  </w:r>
                </w:p>
              </w:tc>
              <w:tc>
                <w:tcPr>
                  <w:tcW w:w="1070" w:type="pct"/>
                  <w:vAlign w:val="center"/>
                </w:tcPr>
                <w:p>
                  <w:pPr>
                    <w:pStyle w:val="33"/>
                  </w:pPr>
                  <w:r>
                    <w:t>基础减振</w:t>
                  </w:r>
                </w:p>
              </w:tc>
              <w:tc>
                <w:tcPr>
                  <w:tcW w:w="704" w:type="pct"/>
                  <w:shd w:val="clear" w:color="auto" w:fill="auto"/>
                  <w:vAlign w:val="center"/>
                </w:tcPr>
                <w:p>
                  <w:pPr>
                    <w:pStyle w:val="33"/>
                  </w:pPr>
                  <w:r>
                    <w:t>65</w:t>
                  </w:r>
                </w:p>
              </w:tc>
              <w:tc>
                <w:tcPr>
                  <w:tcW w:w="503" w:type="pct"/>
                  <w:vAlign w:val="center"/>
                </w:tcPr>
                <w:p>
                  <w:pPr>
                    <w:pStyle w:val="33"/>
                  </w:pPr>
                  <w:r>
                    <w:t>8h/d</w:t>
                  </w:r>
                </w:p>
              </w:tc>
              <w:tc>
                <w:tcPr>
                  <w:tcW w:w="1047"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60" w:hRule="atLeast"/>
                <w:jc w:val="center"/>
              </w:trPr>
              <w:tc>
                <w:tcPr>
                  <w:tcW w:w="252" w:type="pct"/>
                  <w:vAlign w:val="center"/>
                </w:tcPr>
                <w:p>
                  <w:pPr>
                    <w:pStyle w:val="33"/>
                  </w:pPr>
                  <w:r>
                    <w:t>6</w:t>
                  </w:r>
                </w:p>
              </w:tc>
              <w:tc>
                <w:tcPr>
                  <w:tcW w:w="621" w:type="pct"/>
                  <w:vAlign w:val="center"/>
                </w:tcPr>
                <w:p>
                  <w:pPr>
                    <w:pStyle w:val="33"/>
                  </w:pPr>
                  <w:r>
                    <w:rPr>
                      <w:rFonts w:hint="eastAsia"/>
                    </w:rPr>
                    <w:t>打包机</w:t>
                  </w:r>
                </w:p>
              </w:tc>
              <w:tc>
                <w:tcPr>
                  <w:tcW w:w="291" w:type="pct"/>
                  <w:vAlign w:val="center"/>
                </w:tcPr>
                <w:p>
                  <w:pPr>
                    <w:pStyle w:val="33"/>
                  </w:pPr>
                  <w:r>
                    <w:rPr>
                      <w:rFonts w:hint="eastAsia"/>
                    </w:rPr>
                    <w:t>6</w:t>
                  </w:r>
                </w:p>
              </w:tc>
              <w:tc>
                <w:tcPr>
                  <w:tcW w:w="511" w:type="pct"/>
                  <w:vAlign w:val="center"/>
                </w:tcPr>
                <w:p>
                  <w:pPr>
                    <w:pStyle w:val="33"/>
                  </w:pPr>
                  <w:r>
                    <w:t>70～80</w:t>
                  </w:r>
                </w:p>
              </w:tc>
              <w:tc>
                <w:tcPr>
                  <w:tcW w:w="1070" w:type="pct"/>
                  <w:vAlign w:val="center"/>
                </w:tcPr>
                <w:p>
                  <w:pPr>
                    <w:pStyle w:val="33"/>
                  </w:pPr>
                  <w:r>
                    <w:t>基础减振</w:t>
                  </w:r>
                </w:p>
              </w:tc>
              <w:tc>
                <w:tcPr>
                  <w:tcW w:w="704" w:type="pct"/>
                  <w:vAlign w:val="center"/>
                </w:tcPr>
                <w:p>
                  <w:pPr>
                    <w:pStyle w:val="33"/>
                  </w:pPr>
                  <w:r>
                    <w:t>60</w:t>
                  </w:r>
                </w:p>
              </w:tc>
              <w:tc>
                <w:tcPr>
                  <w:tcW w:w="503" w:type="pct"/>
                  <w:vAlign w:val="center"/>
                </w:tcPr>
                <w:p>
                  <w:pPr>
                    <w:pStyle w:val="33"/>
                  </w:pPr>
                  <w:r>
                    <w:t>8h/d</w:t>
                  </w:r>
                </w:p>
              </w:tc>
              <w:tc>
                <w:tcPr>
                  <w:tcW w:w="1047"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60" w:hRule="atLeast"/>
                <w:jc w:val="center"/>
              </w:trPr>
              <w:tc>
                <w:tcPr>
                  <w:tcW w:w="252" w:type="pct"/>
                  <w:vAlign w:val="center"/>
                </w:tcPr>
                <w:p>
                  <w:pPr>
                    <w:pStyle w:val="33"/>
                  </w:pPr>
                  <w:r>
                    <w:rPr>
                      <w:rFonts w:hint="eastAsia"/>
                    </w:rPr>
                    <w:t>7</w:t>
                  </w:r>
                </w:p>
              </w:tc>
              <w:tc>
                <w:tcPr>
                  <w:tcW w:w="621" w:type="pct"/>
                  <w:vAlign w:val="center"/>
                </w:tcPr>
                <w:p>
                  <w:pPr>
                    <w:pStyle w:val="33"/>
                  </w:pPr>
                  <w:r>
                    <w:rPr>
                      <w:rFonts w:hint="eastAsia" w:ascii="宋体" w:cs="宋体"/>
                      <w:szCs w:val="21"/>
                    </w:rPr>
                    <w:t>铲车</w:t>
                  </w:r>
                </w:p>
              </w:tc>
              <w:tc>
                <w:tcPr>
                  <w:tcW w:w="291" w:type="pct"/>
                  <w:vAlign w:val="center"/>
                </w:tcPr>
                <w:p>
                  <w:pPr>
                    <w:pStyle w:val="33"/>
                  </w:pPr>
                  <w:r>
                    <w:rPr>
                      <w:rFonts w:hint="eastAsia"/>
                    </w:rPr>
                    <w:t>2</w:t>
                  </w:r>
                </w:p>
              </w:tc>
              <w:tc>
                <w:tcPr>
                  <w:tcW w:w="511" w:type="pct"/>
                  <w:vAlign w:val="center"/>
                </w:tcPr>
                <w:p>
                  <w:pPr>
                    <w:pStyle w:val="33"/>
                  </w:pPr>
                  <w:r>
                    <w:t>80</w:t>
                  </w:r>
                </w:p>
              </w:tc>
              <w:tc>
                <w:tcPr>
                  <w:tcW w:w="1070" w:type="pct"/>
                  <w:vAlign w:val="center"/>
                </w:tcPr>
                <w:p>
                  <w:pPr>
                    <w:pStyle w:val="33"/>
                  </w:pPr>
                  <w:r>
                    <w:rPr>
                      <w:rFonts w:hint="eastAsia"/>
                    </w:rPr>
                    <w:t>选用低噪声设备</w:t>
                  </w:r>
                </w:p>
              </w:tc>
              <w:tc>
                <w:tcPr>
                  <w:tcW w:w="704" w:type="pct"/>
                  <w:vAlign w:val="center"/>
                </w:tcPr>
                <w:p>
                  <w:pPr>
                    <w:pStyle w:val="33"/>
                  </w:pPr>
                  <w:r>
                    <w:t>60</w:t>
                  </w:r>
                </w:p>
              </w:tc>
              <w:tc>
                <w:tcPr>
                  <w:tcW w:w="503" w:type="pct"/>
                  <w:vAlign w:val="center"/>
                </w:tcPr>
                <w:p>
                  <w:pPr>
                    <w:pStyle w:val="33"/>
                  </w:pPr>
                  <w:r>
                    <w:t>2h/d</w:t>
                  </w:r>
                </w:p>
              </w:tc>
              <w:tc>
                <w:tcPr>
                  <w:tcW w:w="1047" w:type="pct"/>
                  <w:vMerge w:val="continue"/>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60" w:hRule="atLeast"/>
                <w:jc w:val="center"/>
              </w:trPr>
              <w:tc>
                <w:tcPr>
                  <w:tcW w:w="252" w:type="pct"/>
                  <w:vAlign w:val="center"/>
                </w:tcPr>
                <w:p>
                  <w:pPr>
                    <w:pStyle w:val="33"/>
                  </w:pPr>
                  <w:r>
                    <w:rPr>
                      <w:rFonts w:hint="eastAsia"/>
                    </w:rPr>
                    <w:t>8</w:t>
                  </w:r>
                </w:p>
              </w:tc>
              <w:tc>
                <w:tcPr>
                  <w:tcW w:w="621" w:type="pct"/>
                  <w:vAlign w:val="center"/>
                </w:tcPr>
                <w:p>
                  <w:pPr>
                    <w:pStyle w:val="33"/>
                    <w:rPr>
                      <w:rFonts w:ascii="宋体" w:cs="宋体"/>
                      <w:szCs w:val="21"/>
                    </w:rPr>
                  </w:pPr>
                  <w:r>
                    <w:rPr>
                      <w:rFonts w:hint="eastAsia" w:ascii="宋体" w:cs="宋体"/>
                      <w:szCs w:val="21"/>
                    </w:rPr>
                    <w:t>水泵</w:t>
                  </w:r>
                </w:p>
              </w:tc>
              <w:tc>
                <w:tcPr>
                  <w:tcW w:w="291" w:type="pct"/>
                  <w:vAlign w:val="center"/>
                </w:tcPr>
                <w:p>
                  <w:pPr>
                    <w:pStyle w:val="33"/>
                  </w:pPr>
                  <w:r>
                    <w:rPr>
                      <w:rFonts w:hint="eastAsia"/>
                    </w:rPr>
                    <w:t>2</w:t>
                  </w:r>
                </w:p>
              </w:tc>
              <w:tc>
                <w:tcPr>
                  <w:tcW w:w="511" w:type="pct"/>
                  <w:vAlign w:val="center"/>
                </w:tcPr>
                <w:p>
                  <w:pPr>
                    <w:pStyle w:val="33"/>
                  </w:pPr>
                  <w:r>
                    <w:t>85</w:t>
                  </w:r>
                </w:p>
              </w:tc>
              <w:tc>
                <w:tcPr>
                  <w:tcW w:w="1070" w:type="pct"/>
                  <w:vAlign w:val="center"/>
                </w:tcPr>
                <w:p>
                  <w:pPr>
                    <w:pStyle w:val="33"/>
                  </w:pPr>
                  <w:r>
                    <w:t>基础减振</w:t>
                  </w:r>
                </w:p>
              </w:tc>
              <w:tc>
                <w:tcPr>
                  <w:tcW w:w="704" w:type="pct"/>
                  <w:vAlign w:val="center"/>
                </w:tcPr>
                <w:p>
                  <w:pPr>
                    <w:pStyle w:val="33"/>
                  </w:pPr>
                  <w:r>
                    <w:t>65</w:t>
                  </w:r>
                </w:p>
              </w:tc>
              <w:tc>
                <w:tcPr>
                  <w:tcW w:w="503" w:type="pct"/>
                  <w:vAlign w:val="center"/>
                </w:tcPr>
                <w:p>
                  <w:pPr>
                    <w:pStyle w:val="33"/>
                  </w:pPr>
                  <w:r>
                    <w:t>2h/d</w:t>
                  </w:r>
                </w:p>
              </w:tc>
              <w:tc>
                <w:tcPr>
                  <w:tcW w:w="1047" w:type="pct"/>
                  <w:vMerge w:val="continue"/>
                  <w:vAlign w:val="center"/>
                </w:tcPr>
                <w:p>
                  <w:pPr>
                    <w:pStyle w:val="33"/>
                  </w:pPr>
                </w:p>
              </w:tc>
            </w:tr>
            <w:bookmarkEnd w:id="33"/>
          </w:tbl>
          <w:p>
            <w:pPr>
              <w:ind w:firstLine="482"/>
              <w:rPr>
                <w:b/>
              </w:rPr>
            </w:pPr>
            <w:r>
              <w:rPr>
                <w:b/>
              </w:rPr>
              <w:t>3.2厂界和环境保护目标达标情况</w:t>
            </w:r>
          </w:p>
          <w:p>
            <w:pPr>
              <w:ind w:firstLine="480"/>
            </w:pPr>
            <w:r>
              <w:fldChar w:fldCharType="begin"/>
            </w:r>
            <w:r>
              <w:instrText xml:space="preserve"> = 1 \* GB3 </w:instrText>
            </w:r>
            <w:r>
              <w:fldChar w:fldCharType="separate"/>
            </w:r>
            <w:r>
              <w:rPr>
                <w:rFonts w:hint="eastAsia"/>
              </w:rPr>
              <w:t>①</w:t>
            </w:r>
            <w:r>
              <w:fldChar w:fldCharType="end"/>
            </w:r>
            <w:r>
              <w:t>评价标准</w:t>
            </w:r>
          </w:p>
          <w:p>
            <w:pPr>
              <w:ind w:firstLine="480"/>
            </w:pPr>
            <w:r>
              <w:rPr>
                <w:rFonts w:hint="eastAsia"/>
              </w:rPr>
              <w:t>项目西侧、南侧、北侧</w:t>
            </w:r>
            <w:r>
              <w:t>厂界噪声排放执行《工业企业厂界环境噪声排放标准》（GB12348-2008）2类标准</w:t>
            </w:r>
            <w:r>
              <w:rPr>
                <w:rFonts w:hint="eastAsia"/>
              </w:rPr>
              <w:t>。东侧厂界执行4</w:t>
            </w:r>
            <w:r>
              <w:t>a</w:t>
            </w:r>
            <w:r>
              <w:rPr>
                <w:rFonts w:hint="eastAsia"/>
              </w:rPr>
              <w:t>类标准</w:t>
            </w:r>
            <w:r>
              <w:t>。</w:t>
            </w:r>
          </w:p>
          <w:p>
            <w:pPr>
              <w:ind w:firstLine="480"/>
            </w:pPr>
            <w:r>
              <w:fldChar w:fldCharType="begin"/>
            </w:r>
            <w:r>
              <w:instrText xml:space="preserve"> = 2 \* GB3 </w:instrText>
            </w:r>
            <w:r>
              <w:fldChar w:fldCharType="separate"/>
            </w:r>
            <w:r>
              <w:rPr>
                <w:rFonts w:hint="eastAsia"/>
              </w:rPr>
              <w:t>②</w:t>
            </w:r>
            <w:r>
              <w:fldChar w:fldCharType="end"/>
            </w:r>
            <w:r>
              <w:t>评价方法与预测模式</w:t>
            </w:r>
          </w:p>
          <w:p>
            <w:pPr>
              <w:ind w:firstLine="480"/>
            </w:pPr>
            <w:r>
              <w:t>根据本项目噪声源的特征及传播方式，本评价采用《环境影响评价技术导则 声环境》（HJ2.4-2009）中的点源噪声距离衰减公式预测噪声源对周围区域的噪声环境影响。</w:t>
            </w:r>
          </w:p>
          <w:p>
            <w:pPr>
              <w:ind w:firstLine="480"/>
            </w:pPr>
            <w:r>
              <w:t>LA(r)＝L</w:t>
            </w:r>
            <w:r>
              <w:rPr>
                <w:vertAlign w:val="subscript"/>
              </w:rPr>
              <w:t>A</w:t>
            </w:r>
            <w:r>
              <w:t>(r</w:t>
            </w:r>
            <w:r>
              <w:rPr>
                <w:vertAlign w:val="subscript"/>
              </w:rPr>
              <w:t>0</w:t>
            </w:r>
            <w:r>
              <w:t>)－20lg(r/r</w:t>
            </w:r>
            <w:r>
              <w:rPr>
                <w:vertAlign w:val="subscript"/>
              </w:rPr>
              <w:t>0</w:t>
            </w:r>
            <w:r>
              <w:t>)</w:t>
            </w:r>
          </w:p>
          <w:p>
            <w:pPr>
              <w:ind w:firstLine="480"/>
            </w:pPr>
            <w:r>
              <w:t>式中：L</w:t>
            </w:r>
            <w:r>
              <w:rPr>
                <w:vertAlign w:val="subscript"/>
              </w:rPr>
              <w:t>A</w:t>
            </w:r>
            <w:r>
              <w:t>(r)─点声源在预测点产生的A声级，dB(A)；</w:t>
            </w:r>
          </w:p>
          <w:p>
            <w:pPr>
              <w:ind w:firstLine="480"/>
            </w:pPr>
            <w:r>
              <w:t>L</w:t>
            </w:r>
            <w:r>
              <w:rPr>
                <w:vertAlign w:val="subscript"/>
              </w:rPr>
              <w:t>A</w:t>
            </w:r>
            <w:r>
              <w:t>(r</w:t>
            </w:r>
            <w:r>
              <w:rPr>
                <w:vertAlign w:val="subscript"/>
              </w:rPr>
              <w:t>0</w:t>
            </w:r>
            <w:r>
              <w:t>)─参考位置r</w:t>
            </w:r>
            <w:r>
              <w:rPr>
                <w:vertAlign w:val="subscript"/>
              </w:rPr>
              <w:t>0</w:t>
            </w:r>
            <w:r>
              <w:t>处的A声级，dB(A)；</w:t>
            </w:r>
          </w:p>
          <w:p>
            <w:pPr>
              <w:ind w:firstLine="480"/>
            </w:pPr>
            <w:r>
              <w:t>r─预测点距声源的距离，m；</w:t>
            </w:r>
          </w:p>
          <w:p>
            <w:pPr>
              <w:ind w:firstLine="480"/>
            </w:pPr>
            <w:r>
              <w:t>r</w:t>
            </w:r>
            <w:r>
              <w:rPr>
                <w:vertAlign w:val="subscript"/>
              </w:rPr>
              <w:t>0</w:t>
            </w:r>
            <w:r>
              <w:t>─参考位置距声源的距离，m；</w:t>
            </w:r>
          </w:p>
          <w:p>
            <w:pPr>
              <w:ind w:firstLine="480"/>
            </w:pPr>
            <w:r>
              <w:t>计算得到的衰减至厂界处的噪声叠加值，噪声值叠加公式如下：</w:t>
            </w:r>
          </w:p>
          <w:p>
            <w:pPr>
              <w:ind w:firstLine="480"/>
            </w:pPr>
            <w:r>
              <w:t>Lp=10lg（10</w:t>
            </w:r>
            <w:r>
              <w:rPr>
                <w:vertAlign w:val="superscript"/>
              </w:rPr>
              <w:t>Lp1/10</w:t>
            </w:r>
            <w:r>
              <w:t>+10</w:t>
            </w:r>
            <w:r>
              <w:rPr>
                <w:vertAlign w:val="superscript"/>
              </w:rPr>
              <w:t>Lp2/10</w:t>
            </w:r>
            <w:r>
              <w:t>+10</w:t>
            </w:r>
            <w:r>
              <w:rPr>
                <w:vertAlign w:val="superscript"/>
              </w:rPr>
              <w:t>Lp3/10</w:t>
            </w:r>
            <w:r>
              <w:t>+10</w:t>
            </w:r>
            <w:r>
              <w:rPr>
                <w:vertAlign w:val="superscript"/>
              </w:rPr>
              <w:t>Lp4/10</w:t>
            </w:r>
            <w:r>
              <w:t>）</w:t>
            </w:r>
          </w:p>
          <w:p>
            <w:pPr>
              <w:ind w:firstLine="480"/>
            </w:pPr>
            <w:r>
              <w:t>式中：Lp－某点叠加后的总声压级，dB(A)；</w:t>
            </w:r>
          </w:p>
          <w:p>
            <w:pPr>
              <w:ind w:firstLine="480"/>
            </w:pPr>
            <w:r>
              <w:t>Lp1、Lp2、Lp3、Lp4－为项目区内噪声源衰减到厂界处的噪声值。</w:t>
            </w:r>
          </w:p>
          <w:p>
            <w:pPr>
              <w:ind w:firstLine="480"/>
            </w:pPr>
            <w:r>
              <w:fldChar w:fldCharType="begin"/>
            </w:r>
            <w:r>
              <w:instrText xml:space="preserve"> = 3 \* GB3 </w:instrText>
            </w:r>
            <w:r>
              <w:fldChar w:fldCharType="separate"/>
            </w:r>
            <w:r>
              <w:rPr>
                <w:rFonts w:hint="eastAsia"/>
              </w:rPr>
              <w:t>③</w:t>
            </w:r>
            <w:r>
              <w:fldChar w:fldCharType="end"/>
            </w:r>
            <w:r>
              <w:t>预测结果</w:t>
            </w:r>
          </w:p>
          <w:p>
            <w:pPr>
              <w:ind w:firstLine="480"/>
            </w:pPr>
            <w:r>
              <w:t>采用上述噪声预测模式进行预测计算，主要产噪设备运行过程中产生的噪声经封闭隔声和距离衰减后，对厂界</w:t>
            </w:r>
            <w:r>
              <w:rPr>
                <w:rFonts w:hint="eastAsia"/>
              </w:rPr>
              <w:t>及敏感目标</w:t>
            </w:r>
            <w:r>
              <w:t>的噪声影响详见表4-4。</w:t>
            </w:r>
          </w:p>
          <w:p>
            <w:pPr>
              <w:pStyle w:val="35"/>
            </w:pPr>
            <w:r>
              <w:rPr>
                <w:rFonts w:hint="eastAsia"/>
              </w:rPr>
              <w:t>表</w:t>
            </w:r>
            <w:r>
              <w:t xml:space="preserve">4-4  </w:t>
            </w:r>
            <w:r>
              <w:rPr>
                <w:rFonts w:hint="eastAsia"/>
              </w:rPr>
              <w:t>等效声级经叠加后的预测值</w:t>
            </w:r>
          </w:p>
          <w:tbl>
            <w:tblPr>
              <w:tblStyle w:val="22"/>
              <w:tblW w:w="5000" w:type="pct"/>
              <w:jc w:val="right"/>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68"/>
              <w:gridCol w:w="2769"/>
              <w:gridCol w:w="276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right"/>
              </w:trPr>
              <w:tc>
                <w:tcPr>
                  <w:tcW w:w="1666" w:type="pct"/>
                  <w:vMerge w:val="restart"/>
                  <w:shd w:val="clear" w:color="auto" w:fill="auto"/>
                  <w:vAlign w:val="center"/>
                </w:tcPr>
                <w:p>
                  <w:pPr>
                    <w:pStyle w:val="33"/>
                    <w:rPr>
                      <w:b/>
                      <w:bCs/>
                    </w:rPr>
                  </w:pPr>
                  <w:r>
                    <w:rPr>
                      <w:rFonts w:hint="eastAsia"/>
                      <w:b/>
                      <w:bCs/>
                    </w:rPr>
                    <w:t>预测点位置</w:t>
                  </w:r>
                </w:p>
              </w:tc>
              <w:tc>
                <w:tcPr>
                  <w:tcW w:w="1667" w:type="pct"/>
                  <w:vMerge w:val="restart"/>
                  <w:shd w:val="clear" w:color="auto" w:fill="auto"/>
                  <w:vAlign w:val="center"/>
                </w:tcPr>
                <w:p>
                  <w:pPr>
                    <w:pStyle w:val="33"/>
                    <w:rPr>
                      <w:b/>
                      <w:bCs/>
                    </w:rPr>
                  </w:pPr>
                  <w:r>
                    <w:rPr>
                      <w:rFonts w:hint="eastAsia"/>
                      <w:b/>
                      <w:bCs/>
                    </w:rPr>
                    <w:t>预测点处噪声值d</w:t>
                  </w:r>
                  <w:r>
                    <w:rPr>
                      <w:b/>
                      <w:bCs/>
                    </w:rPr>
                    <w:t>B(A)</w:t>
                  </w:r>
                </w:p>
              </w:tc>
              <w:tc>
                <w:tcPr>
                  <w:tcW w:w="1667" w:type="pct"/>
                  <w:tcBorders>
                    <w:top w:val="single" w:color="auto" w:sz="4" w:space="0"/>
                  </w:tcBorders>
                  <w:shd w:val="clear" w:color="auto" w:fill="auto"/>
                  <w:vAlign w:val="center"/>
                </w:tcPr>
                <w:p>
                  <w:pPr>
                    <w:pStyle w:val="33"/>
                    <w:rPr>
                      <w:b/>
                      <w:bCs/>
                    </w:rPr>
                  </w:pPr>
                  <w:r>
                    <w:rPr>
                      <w:rFonts w:hint="eastAsia"/>
                      <w:b/>
                      <w:bCs/>
                    </w:rPr>
                    <w:t>标准值d</w:t>
                  </w:r>
                  <w:r>
                    <w:rPr>
                      <w:b/>
                      <w:bCs/>
                    </w:rPr>
                    <w:t>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right"/>
              </w:trPr>
              <w:tc>
                <w:tcPr>
                  <w:tcW w:w="1666" w:type="pct"/>
                  <w:vMerge w:val="continue"/>
                  <w:shd w:val="clear" w:color="auto" w:fill="auto"/>
                  <w:vAlign w:val="center"/>
                </w:tcPr>
                <w:p>
                  <w:pPr>
                    <w:pStyle w:val="33"/>
                    <w:rPr>
                      <w:b/>
                      <w:bCs/>
                    </w:rPr>
                  </w:pPr>
                </w:p>
              </w:tc>
              <w:tc>
                <w:tcPr>
                  <w:tcW w:w="1667" w:type="pct"/>
                  <w:vMerge w:val="continue"/>
                  <w:shd w:val="clear" w:color="auto" w:fill="auto"/>
                  <w:vAlign w:val="center"/>
                </w:tcPr>
                <w:p>
                  <w:pPr>
                    <w:pStyle w:val="33"/>
                    <w:rPr>
                      <w:b/>
                      <w:bCs/>
                    </w:rPr>
                  </w:pPr>
                </w:p>
              </w:tc>
              <w:tc>
                <w:tcPr>
                  <w:tcW w:w="1667" w:type="pct"/>
                  <w:shd w:val="clear" w:color="auto" w:fill="auto"/>
                  <w:vAlign w:val="center"/>
                </w:tcPr>
                <w:p>
                  <w:pPr>
                    <w:pStyle w:val="33"/>
                    <w:rPr>
                      <w:b/>
                      <w:bCs/>
                    </w:rPr>
                  </w:pPr>
                  <w:r>
                    <w:rPr>
                      <w:rFonts w:hint="eastAsia"/>
                      <w:b/>
                      <w:bCs/>
                    </w:rPr>
                    <w:t>昼间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right"/>
              </w:trPr>
              <w:tc>
                <w:tcPr>
                  <w:tcW w:w="1666" w:type="pct"/>
                  <w:shd w:val="clear" w:color="auto" w:fill="auto"/>
                  <w:vAlign w:val="center"/>
                </w:tcPr>
                <w:p>
                  <w:pPr>
                    <w:pStyle w:val="33"/>
                  </w:pPr>
                  <w:r>
                    <w:rPr>
                      <w:rFonts w:hint="eastAsia"/>
                    </w:rPr>
                    <w:t>1#项目东边界外1m</w:t>
                  </w:r>
                </w:p>
              </w:tc>
              <w:tc>
                <w:tcPr>
                  <w:tcW w:w="1667" w:type="pct"/>
                  <w:shd w:val="clear" w:color="auto" w:fill="auto"/>
                  <w:vAlign w:val="center"/>
                </w:tcPr>
                <w:p>
                  <w:pPr>
                    <w:pStyle w:val="33"/>
                  </w:pPr>
                  <w:r>
                    <w:rPr>
                      <w:rFonts w:hint="eastAsia"/>
                    </w:rPr>
                    <w:t>6</w:t>
                  </w:r>
                  <w:r>
                    <w:t>0.3</w:t>
                  </w:r>
                </w:p>
              </w:tc>
              <w:tc>
                <w:tcPr>
                  <w:tcW w:w="1667" w:type="pct"/>
                  <w:shd w:val="clear" w:color="auto" w:fill="auto"/>
                  <w:vAlign w:val="center"/>
                </w:tcPr>
                <w:p>
                  <w:pPr>
                    <w:pStyle w:val="33"/>
                  </w:pPr>
                  <w: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right"/>
              </w:trPr>
              <w:tc>
                <w:tcPr>
                  <w:tcW w:w="1666" w:type="pct"/>
                  <w:shd w:val="clear" w:color="auto" w:fill="auto"/>
                  <w:vAlign w:val="center"/>
                </w:tcPr>
                <w:p>
                  <w:pPr>
                    <w:pStyle w:val="33"/>
                  </w:pPr>
                  <w:r>
                    <w:t>2</w:t>
                  </w:r>
                  <w:r>
                    <w:rPr>
                      <w:rFonts w:hint="eastAsia"/>
                    </w:rPr>
                    <w:t>#项目南边界外1m</w:t>
                  </w:r>
                </w:p>
              </w:tc>
              <w:tc>
                <w:tcPr>
                  <w:tcW w:w="1667" w:type="pct"/>
                  <w:shd w:val="clear" w:color="auto" w:fill="auto"/>
                  <w:vAlign w:val="center"/>
                </w:tcPr>
                <w:p>
                  <w:pPr>
                    <w:pStyle w:val="33"/>
                  </w:pPr>
                  <w:r>
                    <w:rPr>
                      <w:rFonts w:hint="eastAsia"/>
                    </w:rPr>
                    <w:t>5</w:t>
                  </w:r>
                  <w:r>
                    <w:t>7</w:t>
                  </w:r>
                  <w:r>
                    <w:rPr>
                      <w:rFonts w:hint="eastAsia"/>
                    </w:rPr>
                    <w:t>.</w:t>
                  </w:r>
                  <w:r>
                    <w:t>16</w:t>
                  </w:r>
                </w:p>
              </w:tc>
              <w:tc>
                <w:tcPr>
                  <w:tcW w:w="1667" w:type="pct"/>
                  <w:vMerge w:val="restart"/>
                  <w:shd w:val="clear" w:color="auto" w:fill="auto"/>
                  <w:vAlign w:val="center"/>
                </w:tcPr>
                <w:p>
                  <w:pPr>
                    <w:pStyle w:val="33"/>
                  </w:pPr>
                  <w: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right"/>
              </w:trPr>
              <w:tc>
                <w:tcPr>
                  <w:tcW w:w="1666" w:type="pct"/>
                  <w:shd w:val="clear" w:color="auto" w:fill="auto"/>
                  <w:vAlign w:val="center"/>
                </w:tcPr>
                <w:p>
                  <w:pPr>
                    <w:pStyle w:val="33"/>
                  </w:pPr>
                  <w:r>
                    <w:t>3</w:t>
                  </w:r>
                  <w:r>
                    <w:rPr>
                      <w:rFonts w:hint="eastAsia"/>
                    </w:rPr>
                    <w:t>#项目西边界外1m</w:t>
                  </w:r>
                </w:p>
              </w:tc>
              <w:tc>
                <w:tcPr>
                  <w:tcW w:w="1667" w:type="pct"/>
                  <w:shd w:val="clear" w:color="auto" w:fill="auto"/>
                  <w:vAlign w:val="center"/>
                </w:tcPr>
                <w:p>
                  <w:pPr>
                    <w:pStyle w:val="33"/>
                  </w:pPr>
                  <w:r>
                    <w:t>56.32</w:t>
                  </w:r>
                </w:p>
              </w:tc>
              <w:tc>
                <w:tcPr>
                  <w:tcW w:w="1667" w:type="pct"/>
                  <w:vMerge w:val="continue"/>
                  <w:shd w:val="clear" w:color="auto" w:fill="auto"/>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right"/>
              </w:trPr>
              <w:tc>
                <w:tcPr>
                  <w:tcW w:w="1666" w:type="pct"/>
                  <w:shd w:val="clear" w:color="auto" w:fill="auto"/>
                  <w:vAlign w:val="center"/>
                </w:tcPr>
                <w:p>
                  <w:pPr>
                    <w:pStyle w:val="33"/>
                  </w:pPr>
                  <w:r>
                    <w:t>4</w:t>
                  </w:r>
                  <w:r>
                    <w:rPr>
                      <w:rFonts w:hint="eastAsia"/>
                    </w:rPr>
                    <w:t>#项目北边界外1m</w:t>
                  </w:r>
                </w:p>
              </w:tc>
              <w:tc>
                <w:tcPr>
                  <w:tcW w:w="1667" w:type="pct"/>
                  <w:shd w:val="clear" w:color="auto" w:fill="auto"/>
                  <w:vAlign w:val="center"/>
                </w:tcPr>
                <w:p>
                  <w:pPr>
                    <w:pStyle w:val="33"/>
                  </w:pPr>
                  <w:r>
                    <w:rPr>
                      <w:rFonts w:hint="eastAsia"/>
                    </w:rPr>
                    <w:t>5</w:t>
                  </w:r>
                  <w:r>
                    <w:t>7.50</w:t>
                  </w:r>
                </w:p>
              </w:tc>
              <w:tc>
                <w:tcPr>
                  <w:tcW w:w="1667" w:type="pct"/>
                  <w:vMerge w:val="continue"/>
                  <w:shd w:val="clear" w:color="auto" w:fill="auto"/>
                  <w:vAlign w:val="center"/>
                </w:tcPr>
                <w:p>
                  <w:pPr>
                    <w:pStyle w:val="33"/>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4" w:hRule="atLeast"/>
                <w:jc w:val="right"/>
              </w:trPr>
              <w:tc>
                <w:tcPr>
                  <w:tcW w:w="1666" w:type="pct"/>
                  <w:shd w:val="clear" w:color="auto" w:fill="auto"/>
                  <w:vAlign w:val="center"/>
                </w:tcPr>
                <w:p>
                  <w:pPr>
                    <w:pStyle w:val="33"/>
                  </w:pPr>
                  <w:r>
                    <w:rPr>
                      <w:rFonts w:hint="eastAsia"/>
                    </w:rPr>
                    <w:t>西北侧零散住户</w:t>
                  </w:r>
                </w:p>
              </w:tc>
              <w:tc>
                <w:tcPr>
                  <w:tcW w:w="1667" w:type="pct"/>
                  <w:shd w:val="clear" w:color="auto" w:fill="auto"/>
                  <w:vAlign w:val="center"/>
                </w:tcPr>
                <w:p>
                  <w:pPr>
                    <w:pStyle w:val="33"/>
                  </w:pPr>
                  <w:r>
                    <w:rPr>
                      <w:rFonts w:hint="eastAsia"/>
                    </w:rPr>
                    <w:t>5</w:t>
                  </w:r>
                  <w:r>
                    <w:t>3.17</w:t>
                  </w:r>
                </w:p>
              </w:tc>
              <w:tc>
                <w:tcPr>
                  <w:tcW w:w="1667" w:type="pct"/>
                  <w:vMerge w:val="continue"/>
                  <w:shd w:val="clear" w:color="auto" w:fill="auto"/>
                  <w:vAlign w:val="center"/>
                </w:tcPr>
                <w:p>
                  <w:pPr>
                    <w:pStyle w:val="33"/>
                  </w:pPr>
                </w:p>
              </w:tc>
            </w:tr>
          </w:tbl>
          <w:p>
            <w:pPr>
              <w:ind w:firstLine="480"/>
            </w:pPr>
            <w:r>
              <w:rPr>
                <w:rFonts w:hint="eastAsia"/>
              </w:rPr>
              <w:t>综上所述，本项目采取以上降噪、减振后再经距离衰减，昼间南侧、西侧、北侧厂界及西北侧零散住户噪声满足《工业企业厂界环境噪声排放标准》（GB12348-2008）</w:t>
            </w:r>
            <w:r>
              <w:t>2</w:t>
            </w:r>
            <w:r>
              <w:rPr>
                <w:rFonts w:hint="eastAsia"/>
              </w:rPr>
              <w:t>类标准要求，东侧厂界满足4</w:t>
            </w:r>
            <w:r>
              <w:t>a</w:t>
            </w:r>
            <w:r>
              <w:rPr>
                <w:rFonts w:hint="eastAsia"/>
              </w:rPr>
              <w:t>类标准要求，项目夜间不生产。因此，本项目在做好噪声治理措施后，设备噪声对周围敏感目标声环境不会造成太大影响。</w:t>
            </w:r>
          </w:p>
          <w:p>
            <w:pPr>
              <w:ind w:firstLine="482"/>
              <w:rPr>
                <w:b/>
                <w:bCs/>
              </w:rPr>
            </w:pPr>
            <w:r>
              <w:rPr>
                <w:rFonts w:hint="eastAsia"/>
                <w:b/>
                <w:bCs/>
              </w:rPr>
              <w:t>拟采用的噪声治理措施：</w:t>
            </w:r>
          </w:p>
          <w:p>
            <w:pPr>
              <w:ind w:firstLine="480"/>
            </w:pPr>
            <w:r>
              <w:rPr>
                <w:rFonts w:hint="eastAsia"/>
              </w:rPr>
              <w:t>（</w:t>
            </w:r>
            <w:r>
              <w:t>1</w:t>
            </w:r>
            <w:r>
              <w:rPr>
                <w:rFonts w:hint="eastAsia"/>
              </w:rPr>
              <w:t>）选用低噪声设备；</w:t>
            </w:r>
          </w:p>
          <w:p>
            <w:pPr>
              <w:ind w:firstLine="480"/>
            </w:pPr>
            <w:r>
              <w:rPr>
                <w:rFonts w:hint="eastAsia"/>
              </w:rPr>
              <w:t>（</w:t>
            </w:r>
            <w:r>
              <w:t>2</w:t>
            </w:r>
            <w:r>
              <w:rPr>
                <w:rFonts w:hint="eastAsia"/>
              </w:rPr>
              <w:t>）加强设备的维护保养；</w:t>
            </w:r>
          </w:p>
          <w:p>
            <w:pPr>
              <w:ind w:firstLine="480"/>
            </w:pPr>
            <w:r>
              <w:rPr>
                <w:rFonts w:hint="eastAsia"/>
              </w:rPr>
              <w:t>（</w:t>
            </w:r>
            <w:r>
              <w:t>3</w:t>
            </w:r>
            <w:r>
              <w:rPr>
                <w:rFonts w:hint="eastAsia"/>
              </w:rPr>
              <w:t>）在总平面布置中注意将噪声车间与厂界保持足够的距离，使噪声最大限度地随距离自然衰减；</w:t>
            </w:r>
          </w:p>
          <w:p>
            <w:pPr>
              <w:ind w:firstLine="480"/>
              <w:rPr>
                <w:color w:val="FF0000"/>
              </w:rPr>
            </w:pPr>
            <w:r>
              <w:rPr>
                <w:rFonts w:hint="eastAsia"/>
                <w:color w:val="FF0000"/>
              </w:rPr>
              <w:t>（4）尽量在靠近厂界西北侧少布置或不布置噪声设备</w:t>
            </w:r>
          </w:p>
          <w:p>
            <w:pPr>
              <w:ind w:firstLine="480"/>
            </w:pPr>
            <w:r>
              <w:rPr>
                <w:rFonts w:hint="eastAsia"/>
              </w:rPr>
              <w:t>上述措施到位时，南侧、西侧、北侧厂界噪声低于《工业企业厂界环境噪声排放标准》（</w:t>
            </w:r>
            <w:r>
              <w:t>GB12348-2008</w:t>
            </w:r>
            <w:r>
              <w:rPr>
                <w:rFonts w:hint="eastAsia"/>
              </w:rPr>
              <w:t>）的</w:t>
            </w:r>
            <w:r>
              <w:t>2</w:t>
            </w:r>
            <w:r>
              <w:rPr>
                <w:rFonts w:hint="eastAsia"/>
              </w:rPr>
              <w:t>类标准要求，东侧厂界满足4</w:t>
            </w:r>
            <w:r>
              <w:t>a</w:t>
            </w:r>
            <w:r>
              <w:rPr>
                <w:rFonts w:hint="eastAsia"/>
              </w:rPr>
              <w:t>类标准要求，对周围声环境影响不大。</w:t>
            </w:r>
          </w:p>
          <w:p>
            <w:pPr>
              <w:ind w:firstLine="482"/>
              <w:rPr>
                <w:b/>
                <w:bCs/>
              </w:rPr>
            </w:pPr>
            <w:r>
              <w:rPr>
                <w:b/>
                <w:bCs/>
              </w:rPr>
              <w:t>3.3 噪声排放环境监测要求</w:t>
            </w:r>
          </w:p>
          <w:p>
            <w:pPr>
              <w:ind w:firstLine="480"/>
            </w:pPr>
            <w:r>
              <w:t>根据《排污单位自行监测技术指南 总则》（HJ819-2017）中相关要求制定了本项目监测计划，具体见下表：</w:t>
            </w:r>
          </w:p>
          <w:p>
            <w:pPr>
              <w:pStyle w:val="35"/>
            </w:pPr>
            <w:r>
              <w:t xml:space="preserve">表4-5  </w:t>
            </w:r>
            <w:r>
              <w:rPr>
                <w:rFonts w:hint="eastAsia"/>
              </w:rPr>
              <w:t>噪声</w:t>
            </w:r>
            <w:r>
              <w:t>环境监测计划一览表</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744"/>
              <w:gridCol w:w="1166"/>
              <w:gridCol w:w="1312"/>
              <w:gridCol w:w="1311"/>
              <w:gridCol w:w="28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trPr>
              <w:tc>
                <w:tcPr>
                  <w:tcW w:w="986" w:type="pct"/>
                  <w:gridSpan w:val="2"/>
                  <w:vAlign w:val="center"/>
                </w:tcPr>
                <w:p>
                  <w:pPr>
                    <w:pStyle w:val="33"/>
                    <w:rPr>
                      <w:b/>
                      <w:bCs/>
                    </w:rPr>
                  </w:pPr>
                  <w:r>
                    <w:rPr>
                      <w:b/>
                      <w:bCs/>
                    </w:rPr>
                    <w:t>类别</w:t>
                  </w:r>
                </w:p>
              </w:tc>
              <w:tc>
                <w:tcPr>
                  <w:tcW w:w="702" w:type="pct"/>
                  <w:vAlign w:val="center"/>
                </w:tcPr>
                <w:p>
                  <w:pPr>
                    <w:pStyle w:val="33"/>
                    <w:rPr>
                      <w:b/>
                      <w:bCs/>
                    </w:rPr>
                  </w:pPr>
                  <w:r>
                    <w:rPr>
                      <w:b/>
                      <w:bCs/>
                    </w:rPr>
                    <w:t>监测项目</w:t>
                  </w:r>
                </w:p>
              </w:tc>
              <w:tc>
                <w:tcPr>
                  <w:tcW w:w="790" w:type="pct"/>
                  <w:vAlign w:val="center"/>
                </w:tcPr>
                <w:p>
                  <w:pPr>
                    <w:pStyle w:val="33"/>
                    <w:rPr>
                      <w:b/>
                      <w:bCs/>
                    </w:rPr>
                  </w:pPr>
                  <w:r>
                    <w:rPr>
                      <w:b/>
                      <w:bCs/>
                    </w:rPr>
                    <w:t>监测点位置</w:t>
                  </w:r>
                </w:p>
              </w:tc>
              <w:tc>
                <w:tcPr>
                  <w:tcW w:w="789" w:type="pct"/>
                  <w:vAlign w:val="center"/>
                </w:tcPr>
                <w:p>
                  <w:pPr>
                    <w:pStyle w:val="33"/>
                    <w:rPr>
                      <w:b/>
                      <w:bCs/>
                    </w:rPr>
                  </w:pPr>
                  <w:r>
                    <w:rPr>
                      <w:b/>
                      <w:bCs/>
                    </w:rPr>
                    <w:t>监测频率</w:t>
                  </w:r>
                </w:p>
              </w:tc>
              <w:tc>
                <w:tcPr>
                  <w:tcW w:w="1733" w:type="pct"/>
                  <w:vAlign w:val="center"/>
                </w:tcPr>
                <w:p>
                  <w:pPr>
                    <w:pStyle w:val="33"/>
                    <w:rPr>
                      <w:b/>
                      <w:bCs/>
                    </w:rPr>
                  </w:pPr>
                  <w:r>
                    <w:rPr>
                      <w:b/>
                      <w:bCs/>
                    </w:rPr>
                    <w:t>执行标准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538" w:type="pct"/>
                  <w:vAlign w:val="center"/>
                </w:tcPr>
                <w:p>
                  <w:pPr>
                    <w:pStyle w:val="33"/>
                    <w:rPr>
                      <w:bCs/>
                    </w:rPr>
                  </w:pPr>
                  <w:r>
                    <w:rPr>
                      <w:bCs/>
                    </w:rPr>
                    <w:t>噪声</w:t>
                  </w:r>
                </w:p>
              </w:tc>
              <w:tc>
                <w:tcPr>
                  <w:tcW w:w="448" w:type="pct"/>
                  <w:vAlign w:val="center"/>
                </w:tcPr>
                <w:p>
                  <w:pPr>
                    <w:pStyle w:val="33"/>
                    <w:rPr>
                      <w:bCs/>
                    </w:rPr>
                  </w:pPr>
                  <w:r>
                    <w:rPr>
                      <w:bCs/>
                    </w:rPr>
                    <w:t>厂界</w:t>
                  </w:r>
                </w:p>
              </w:tc>
              <w:tc>
                <w:tcPr>
                  <w:tcW w:w="702" w:type="pct"/>
                  <w:vAlign w:val="center"/>
                </w:tcPr>
                <w:p>
                  <w:pPr>
                    <w:pStyle w:val="33"/>
                    <w:rPr>
                      <w:bCs/>
                    </w:rPr>
                  </w:pPr>
                  <w:r>
                    <w:rPr>
                      <w:bCs/>
                    </w:rPr>
                    <w:t>Leq（A）</w:t>
                  </w:r>
                </w:p>
              </w:tc>
              <w:tc>
                <w:tcPr>
                  <w:tcW w:w="790" w:type="pct"/>
                  <w:vAlign w:val="center"/>
                </w:tcPr>
                <w:p>
                  <w:pPr>
                    <w:pStyle w:val="33"/>
                    <w:rPr>
                      <w:bCs/>
                    </w:rPr>
                  </w:pPr>
                  <w:r>
                    <w:rPr>
                      <w:bCs/>
                    </w:rPr>
                    <w:t>厂界四周</w:t>
                  </w:r>
                </w:p>
              </w:tc>
              <w:tc>
                <w:tcPr>
                  <w:tcW w:w="789" w:type="pct"/>
                  <w:vAlign w:val="center"/>
                </w:tcPr>
                <w:p>
                  <w:pPr>
                    <w:pStyle w:val="33"/>
                    <w:rPr>
                      <w:bCs/>
                    </w:rPr>
                  </w:pPr>
                  <w:r>
                    <w:rPr>
                      <w:bCs/>
                    </w:rPr>
                    <w:t>1次/生产季</w:t>
                  </w:r>
                </w:p>
              </w:tc>
              <w:tc>
                <w:tcPr>
                  <w:tcW w:w="1733" w:type="pct"/>
                  <w:vAlign w:val="center"/>
                </w:tcPr>
                <w:p>
                  <w:pPr>
                    <w:pStyle w:val="33"/>
                    <w:rPr>
                      <w:bCs/>
                    </w:rPr>
                  </w:pPr>
                  <w:r>
                    <w:rPr>
                      <w:bCs/>
                    </w:rPr>
                    <w:t>《工业企业厂界环境噪声排放标准》2类</w:t>
                  </w:r>
                  <w:r>
                    <w:rPr>
                      <w:rFonts w:hint="eastAsia"/>
                      <w:bCs/>
                    </w:rPr>
                    <w:t>、4</w:t>
                  </w:r>
                  <w:r>
                    <w:rPr>
                      <w:bCs/>
                    </w:rPr>
                    <w:t>a</w:t>
                  </w:r>
                  <w:r>
                    <w:rPr>
                      <w:rFonts w:hint="eastAsia"/>
                      <w:bCs/>
                    </w:rPr>
                    <w:t>类</w:t>
                  </w:r>
                  <w:r>
                    <w:rPr>
                      <w:bCs/>
                    </w:rPr>
                    <w:t>标准</w:t>
                  </w:r>
                </w:p>
              </w:tc>
            </w:tr>
          </w:tbl>
          <w:p>
            <w:pPr>
              <w:ind w:firstLine="482"/>
              <w:rPr>
                <w:b/>
                <w:bCs/>
              </w:rPr>
            </w:pPr>
            <w:bookmarkStart w:id="34" w:name="_Hlk78372578"/>
            <w:r>
              <w:rPr>
                <w:rFonts w:hint="eastAsia"/>
                <w:b/>
                <w:bCs/>
              </w:rPr>
              <w:t>4固体废弃物</w:t>
            </w:r>
          </w:p>
          <w:p>
            <w:pPr>
              <w:ind w:firstLine="482"/>
              <w:rPr>
                <w:b/>
                <w:bCs/>
              </w:rPr>
            </w:pPr>
            <w:r>
              <w:rPr>
                <w:rFonts w:hint="eastAsia"/>
                <w:b/>
                <w:bCs/>
              </w:rPr>
              <w:t>4</w:t>
            </w:r>
            <w:r>
              <w:rPr>
                <w:b/>
                <w:bCs/>
              </w:rPr>
              <w:t>.1</w:t>
            </w:r>
            <w:r>
              <w:rPr>
                <w:rFonts w:hint="eastAsia"/>
                <w:b/>
                <w:bCs/>
              </w:rPr>
              <w:t>固废产生量及治理措施</w:t>
            </w:r>
          </w:p>
          <w:p>
            <w:pPr>
              <w:ind w:firstLine="480"/>
            </w:pPr>
            <w:r>
              <w:rPr>
                <w:rFonts w:hint="eastAsia"/>
              </w:rPr>
              <w:t>本项目产生的固废主要为生产过程中产生的废机油等废矿物油、沉淀池污泥</w:t>
            </w:r>
            <w:r>
              <w:rPr>
                <w:rFonts w:hint="eastAsia"/>
                <w:szCs w:val="20"/>
              </w:rPr>
              <w:t>及</w:t>
            </w:r>
            <w:r>
              <w:rPr>
                <w:rFonts w:hint="eastAsia"/>
                <w:color w:val="FF0000"/>
                <w:szCs w:val="20"/>
              </w:rPr>
              <w:t>氧气瓶、乙炔瓶、</w:t>
            </w:r>
            <w:r>
              <w:rPr>
                <w:rFonts w:hint="eastAsia"/>
              </w:rPr>
              <w:t>生活垃圾。</w:t>
            </w:r>
          </w:p>
          <w:p>
            <w:pPr>
              <w:ind w:firstLine="480"/>
            </w:pPr>
            <w:r>
              <w:rPr>
                <w:rFonts w:hint="eastAsia"/>
                <w:szCs w:val="20"/>
              </w:rPr>
              <w:t>（</w:t>
            </w:r>
            <w:r>
              <w:rPr>
                <w:szCs w:val="20"/>
              </w:rPr>
              <w:t>1</w:t>
            </w:r>
            <w:r>
              <w:rPr>
                <w:rFonts w:hint="eastAsia"/>
                <w:szCs w:val="20"/>
              </w:rPr>
              <w:t>）</w:t>
            </w:r>
            <w:r>
              <w:rPr>
                <w:rFonts w:hint="eastAsia"/>
              </w:rPr>
              <w:t>废机油等废矿物油</w:t>
            </w:r>
            <w:r>
              <w:rPr>
                <w:rFonts w:hint="eastAsia"/>
                <w:szCs w:val="20"/>
              </w:rPr>
              <w:t>：</w:t>
            </w:r>
            <w:r>
              <w:t>项目产生</w:t>
            </w:r>
            <w:r>
              <w:rPr>
                <w:rFonts w:hint="eastAsia"/>
              </w:rPr>
              <w:t>废机油等废矿物油</w:t>
            </w:r>
            <w:r>
              <w:t>约1.2t/a</w:t>
            </w:r>
            <w:r>
              <w:rPr>
                <w:rFonts w:hint="eastAsia"/>
              </w:rPr>
              <w:t>。根据《危险废物名录》（20</w:t>
            </w:r>
            <w:r>
              <w:t>21</w:t>
            </w:r>
            <w:r>
              <w:rPr>
                <w:rFonts w:hint="eastAsia"/>
              </w:rPr>
              <w:t>年），废机油等废矿物油属于危险废物，废物类别为HW</w:t>
            </w:r>
            <w:r>
              <w:t>08</w:t>
            </w:r>
            <w:r>
              <w:rPr>
                <w:rFonts w:hint="eastAsia"/>
              </w:rPr>
              <w:t>，废物代码为</w:t>
            </w:r>
            <w:r>
              <w:rPr>
                <w:szCs w:val="20"/>
              </w:rPr>
              <w:t>900-</w:t>
            </w:r>
            <w:r>
              <w:rPr>
                <w:rFonts w:hint="eastAsia"/>
                <w:szCs w:val="20"/>
              </w:rPr>
              <w:t>036</w:t>
            </w:r>
            <w:r>
              <w:rPr>
                <w:szCs w:val="20"/>
              </w:rPr>
              <w:t>-4</w:t>
            </w:r>
            <w:r>
              <w:rPr>
                <w:rFonts w:hint="eastAsia"/>
                <w:szCs w:val="20"/>
              </w:rPr>
              <w:t>5</w:t>
            </w:r>
            <w:r>
              <w:rPr>
                <w:rFonts w:hint="eastAsia"/>
              </w:rPr>
              <w:t>，暂存于危废暂存间，后续交有处置危险废物资质的单位处理。</w:t>
            </w:r>
          </w:p>
          <w:p>
            <w:pPr>
              <w:ind w:firstLine="480"/>
              <w:rPr>
                <w:color w:val="FF0000"/>
              </w:rPr>
            </w:pPr>
            <w:r>
              <w:rPr>
                <w:rFonts w:hint="eastAsia"/>
                <w:color w:val="FF0000"/>
              </w:rPr>
              <w:t>（2）沉淀池沉渣</w:t>
            </w:r>
          </w:p>
          <w:p>
            <w:pPr>
              <w:ind w:firstLine="480"/>
            </w:pPr>
            <w:r>
              <w:rPr>
                <w:rFonts w:hint="eastAsia"/>
              </w:rPr>
              <w:t>水洗废水进入沉淀池沉淀后循环利用，废水产生量为3</w:t>
            </w:r>
            <w:r>
              <w:t>300m</w:t>
            </w:r>
            <w:r>
              <w:rPr>
                <w:vertAlign w:val="superscript"/>
              </w:rPr>
              <w:t>3</w:t>
            </w:r>
            <w:r>
              <w:t>/a</w:t>
            </w:r>
            <w:r>
              <w:rPr>
                <w:rFonts w:hint="eastAsia"/>
              </w:rPr>
              <w:t>，主要为S</w:t>
            </w:r>
            <w:r>
              <w:t>S</w:t>
            </w:r>
            <w:r>
              <w:rPr>
                <w:rFonts w:hint="eastAsia"/>
              </w:rPr>
              <w:t>，则污泥产生量约为0</w:t>
            </w:r>
            <w:r>
              <w:t>.063t/a</w:t>
            </w:r>
            <w:r>
              <w:rPr>
                <w:rFonts w:hint="eastAsia"/>
              </w:rPr>
              <w:t>，由于污泥中主要成分为S</w:t>
            </w:r>
            <w:r>
              <w:t>S</w:t>
            </w:r>
            <w:r>
              <w:rPr>
                <w:rFonts w:hint="eastAsia"/>
              </w:rPr>
              <w:t>可外售综合利用制砖等。</w:t>
            </w:r>
          </w:p>
          <w:p>
            <w:pPr>
              <w:ind w:firstLine="480"/>
              <w:rPr>
                <w:color w:val="FF0000"/>
              </w:rPr>
            </w:pPr>
            <w:bookmarkStart w:id="35" w:name="_Hlk78358366"/>
            <w:r>
              <w:rPr>
                <w:rFonts w:hint="eastAsia"/>
                <w:color w:val="FF0000"/>
              </w:rPr>
              <w:t>（3）氧气瓶、乙炔瓶</w:t>
            </w:r>
          </w:p>
          <w:p>
            <w:pPr>
              <w:ind w:firstLine="480"/>
              <w:rPr>
                <w:rFonts w:hint="eastAsia"/>
                <w:color w:val="FF0000"/>
              </w:rPr>
            </w:pPr>
            <w:r>
              <w:rPr>
                <w:rFonts w:hint="eastAsia"/>
                <w:color w:val="FF0000"/>
              </w:rPr>
              <w:t>项目在废钢铁切割采用氧气乙炔气切割，会产生氧气瓶和乙炔瓶，根据《国家危险废物名录》（2021 年版）氧气瓶和乙炔瓶不在名录中，不属于危险废物，项目产生的氧气瓶为1</w:t>
            </w:r>
            <w:r>
              <w:rPr>
                <w:color w:val="FF0000"/>
              </w:rPr>
              <w:t>0</w:t>
            </w:r>
            <w:r>
              <w:rPr>
                <w:rFonts w:hint="eastAsia"/>
                <w:color w:val="FF0000"/>
              </w:rPr>
              <w:t>个/年、乙炔瓶1</w:t>
            </w:r>
            <w:r>
              <w:rPr>
                <w:color w:val="FF0000"/>
              </w:rPr>
              <w:t>0</w:t>
            </w:r>
            <w:r>
              <w:rPr>
                <w:rFonts w:hint="eastAsia"/>
                <w:color w:val="FF0000"/>
              </w:rPr>
              <w:t>个/年，氧气瓶和乙炔瓶不在厂区内暂存，由其供销商或厂家负责回收再利用。</w:t>
            </w:r>
          </w:p>
          <w:bookmarkEnd w:id="35"/>
          <w:p>
            <w:pPr>
              <w:ind w:firstLine="480"/>
            </w:pPr>
            <w:r>
              <w:rPr>
                <w:rFonts w:hint="eastAsia"/>
              </w:rPr>
              <w:t>（</w:t>
            </w:r>
            <w:r>
              <w:t>4</w:t>
            </w:r>
            <w:r>
              <w:rPr>
                <w:rFonts w:hint="eastAsia"/>
              </w:rPr>
              <w:t>）生活垃圾</w:t>
            </w:r>
          </w:p>
          <w:p>
            <w:pPr>
              <w:ind w:firstLine="480"/>
            </w:pPr>
            <w:r>
              <w:rPr>
                <w:rFonts w:hint="eastAsia"/>
              </w:rPr>
              <w:t>项目定员</w:t>
            </w:r>
            <w:r>
              <w:t>63</w:t>
            </w:r>
            <w:r>
              <w:rPr>
                <w:rFonts w:hint="eastAsia"/>
              </w:rPr>
              <w:t>人，年工作3</w:t>
            </w:r>
            <w:r>
              <w:t>3</w:t>
            </w:r>
            <w:r>
              <w:rPr>
                <w:rFonts w:hint="eastAsia"/>
              </w:rPr>
              <w:t>0天，生活垃圾产生量按0.5kg/人·d 计，生活垃圾产生量为</w:t>
            </w:r>
            <w:r>
              <w:t>10.395</w:t>
            </w:r>
            <w:r>
              <w:rPr>
                <w:rFonts w:hint="eastAsia"/>
              </w:rPr>
              <w:t>t/a，集中收集定期清运至指定垃圾收集点处理。</w:t>
            </w:r>
          </w:p>
          <w:p>
            <w:pPr>
              <w:ind w:firstLine="480"/>
              <w:rPr>
                <w:rFonts w:cs="Times New Roman" w:eastAsiaTheme="minorEastAsia"/>
                <w:b/>
                <w:bCs/>
              </w:rPr>
            </w:pPr>
          </w:p>
          <w:bookmarkEnd w:id="34"/>
          <w:p>
            <w:pPr>
              <w:ind w:firstLine="480"/>
              <w:rPr>
                <w:rFonts w:cs="Times New Roman" w:eastAsiaTheme="minorEastAsia"/>
                <w:b/>
                <w:bCs/>
              </w:rPr>
            </w:pPr>
          </w:p>
          <w:p>
            <w:pPr>
              <w:ind w:firstLine="480"/>
              <w:rPr>
                <w:rFonts w:cs="Times New Roman" w:eastAsiaTheme="minorEastAsia"/>
                <w:b/>
                <w:bCs/>
              </w:rPr>
            </w:pPr>
          </w:p>
          <w:p>
            <w:pPr>
              <w:ind w:firstLine="480"/>
              <w:rPr>
                <w:rFonts w:cs="Times New Roman" w:eastAsiaTheme="minorEastAsia"/>
                <w:b/>
                <w:bCs/>
              </w:rPr>
            </w:pPr>
          </w:p>
          <w:p>
            <w:pPr>
              <w:ind w:firstLine="480"/>
              <w:rPr>
                <w:rFonts w:cs="Times New Roman" w:eastAsiaTheme="minorEastAsia"/>
                <w:b/>
                <w:bCs/>
              </w:rPr>
            </w:pPr>
          </w:p>
          <w:p>
            <w:pPr>
              <w:ind w:firstLine="480"/>
              <w:rPr>
                <w:rFonts w:cs="Times New Roman" w:eastAsiaTheme="minorEastAsia"/>
                <w:b/>
                <w:bCs/>
              </w:rPr>
            </w:pPr>
          </w:p>
          <w:p>
            <w:pPr>
              <w:ind w:firstLine="480"/>
              <w:rPr>
                <w:rFonts w:cs="Times New Roman" w:eastAsiaTheme="minorEastAsia"/>
                <w:b/>
                <w:bCs/>
              </w:rPr>
            </w:pPr>
          </w:p>
          <w:p>
            <w:pPr>
              <w:ind w:firstLine="480"/>
              <w:rPr>
                <w:rFonts w:cs="Times New Roman" w:eastAsiaTheme="minorEastAsia"/>
                <w:b/>
                <w:bCs/>
              </w:rPr>
            </w:pPr>
          </w:p>
          <w:p>
            <w:pPr>
              <w:ind w:firstLine="0" w:firstLineChars="0"/>
              <w:rPr>
                <w:rFonts w:cs="Times New Roman" w:eastAsiaTheme="minorEastAsia"/>
                <w:b/>
                <w:bCs/>
              </w:rPr>
            </w:pPr>
          </w:p>
          <w:p>
            <w:pPr>
              <w:ind w:firstLine="0" w:firstLineChars="0"/>
              <w:rPr>
                <w:b/>
                <w:bCs/>
              </w:rPr>
            </w:pPr>
          </w:p>
        </w:tc>
      </w:tr>
    </w:tbl>
    <w:p>
      <w:pPr>
        <w:ind w:firstLine="0" w:firstLineChars="0"/>
        <w:rPr>
          <w:b/>
          <w:bCs/>
        </w:rPr>
        <w:sectPr>
          <w:pgSz w:w="11906" w:h="16838"/>
          <w:pgMar w:top="1440" w:right="1800" w:bottom="1440" w:left="1800" w:header="992" w:footer="992" w:gutter="0"/>
          <w:cols w:space="425" w:num="1"/>
          <w:docGrid w:type="lines" w:linePitch="312" w:charSpace="0"/>
        </w:sectPr>
      </w:pPr>
    </w:p>
    <w:p>
      <w:pPr>
        <w:widowControl w:val="0"/>
        <w:ind w:firstLine="0" w:firstLineChars="0"/>
        <w:jc w:val="center"/>
        <w:rPr>
          <w:rFonts w:cs="Times New Roman"/>
          <w:b/>
          <w:kern w:val="2"/>
          <w:sz w:val="21"/>
          <w:szCs w:val="20"/>
        </w:rPr>
      </w:pPr>
      <w:r>
        <w:rPr>
          <w:rFonts w:hint="eastAsia" w:cs="Times New Roman"/>
          <w:b/>
          <w:kern w:val="2"/>
          <w:sz w:val="21"/>
          <w:szCs w:val="20"/>
        </w:rPr>
        <w:t>表</w:t>
      </w:r>
      <w:r>
        <w:rPr>
          <w:rFonts w:cs="Times New Roman"/>
          <w:b/>
          <w:kern w:val="2"/>
          <w:sz w:val="21"/>
          <w:szCs w:val="20"/>
        </w:rPr>
        <w:t xml:space="preserve">4-6 </w:t>
      </w:r>
      <w:r>
        <w:rPr>
          <w:rFonts w:hint="eastAsia" w:cs="Times New Roman"/>
          <w:b/>
          <w:kern w:val="2"/>
          <w:sz w:val="21"/>
          <w:szCs w:val="20"/>
        </w:rPr>
        <w:t xml:space="preserve"> </w:t>
      </w:r>
      <w:r>
        <w:rPr>
          <w:rFonts w:cs="Times New Roman"/>
          <w:b/>
          <w:kern w:val="2"/>
          <w:sz w:val="21"/>
          <w:szCs w:val="20"/>
        </w:rPr>
        <w:t>固体废物污染源强汇总及处理方式</w:t>
      </w:r>
    </w:p>
    <w:tbl>
      <w:tblPr>
        <w:tblStyle w:val="22"/>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691"/>
        <w:gridCol w:w="1126"/>
        <w:gridCol w:w="1120"/>
        <w:gridCol w:w="1267"/>
        <w:gridCol w:w="1267"/>
        <w:gridCol w:w="692"/>
        <w:gridCol w:w="689"/>
        <w:gridCol w:w="871"/>
        <w:gridCol w:w="1080"/>
        <w:gridCol w:w="1713"/>
        <w:gridCol w:w="871"/>
        <w:gridCol w:w="2787"/>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16" w:hRule="atLeast"/>
          <w:jc w:val="center"/>
        </w:trPr>
        <w:tc>
          <w:tcPr>
            <w:tcW w:w="244" w:type="pct"/>
            <w:vAlign w:val="center"/>
          </w:tcPr>
          <w:p>
            <w:pPr>
              <w:pStyle w:val="33"/>
              <w:rPr>
                <w:b/>
                <w:bCs/>
              </w:rPr>
            </w:pPr>
            <w:r>
              <w:rPr>
                <w:rFonts w:hint="eastAsia"/>
                <w:b/>
                <w:bCs/>
              </w:rPr>
              <w:t>产生环节</w:t>
            </w:r>
          </w:p>
        </w:tc>
        <w:tc>
          <w:tcPr>
            <w:tcW w:w="397" w:type="pct"/>
            <w:vAlign w:val="center"/>
          </w:tcPr>
          <w:p>
            <w:pPr>
              <w:pStyle w:val="33"/>
              <w:rPr>
                <w:b/>
                <w:bCs/>
              </w:rPr>
            </w:pPr>
            <w:r>
              <w:rPr>
                <w:b/>
                <w:bCs/>
              </w:rPr>
              <w:t>名称</w:t>
            </w:r>
          </w:p>
        </w:tc>
        <w:tc>
          <w:tcPr>
            <w:tcW w:w="395" w:type="pct"/>
            <w:vAlign w:val="center"/>
          </w:tcPr>
          <w:p>
            <w:pPr>
              <w:pStyle w:val="33"/>
              <w:rPr>
                <w:b/>
                <w:bCs/>
              </w:rPr>
            </w:pPr>
            <w:r>
              <w:rPr>
                <w:rFonts w:hint="eastAsia"/>
                <w:b/>
                <w:bCs/>
              </w:rPr>
              <w:t>属性</w:t>
            </w:r>
          </w:p>
        </w:tc>
        <w:tc>
          <w:tcPr>
            <w:tcW w:w="447" w:type="pct"/>
            <w:vAlign w:val="center"/>
          </w:tcPr>
          <w:p>
            <w:pPr>
              <w:pStyle w:val="33"/>
              <w:rPr>
                <w:b/>
                <w:bCs/>
              </w:rPr>
            </w:pPr>
            <w:r>
              <w:rPr>
                <w:b/>
                <w:bCs/>
              </w:rPr>
              <w:t>废物类别</w:t>
            </w:r>
          </w:p>
          <w:p>
            <w:pPr>
              <w:pStyle w:val="33"/>
              <w:rPr>
                <w:b/>
                <w:bCs/>
              </w:rPr>
            </w:pPr>
            <w:r>
              <w:rPr>
                <w:b/>
                <w:bCs/>
              </w:rPr>
              <w:t>代码</w:t>
            </w:r>
          </w:p>
        </w:tc>
        <w:tc>
          <w:tcPr>
            <w:tcW w:w="447" w:type="pct"/>
            <w:vAlign w:val="center"/>
          </w:tcPr>
          <w:p>
            <w:pPr>
              <w:pStyle w:val="33"/>
              <w:rPr>
                <w:b/>
                <w:bCs/>
              </w:rPr>
            </w:pPr>
            <w:r>
              <w:rPr>
                <w:rFonts w:hint="eastAsia"/>
                <w:b/>
                <w:bCs/>
              </w:rPr>
              <w:t>主要有毒有害物质名称</w:t>
            </w:r>
          </w:p>
        </w:tc>
        <w:tc>
          <w:tcPr>
            <w:tcW w:w="244" w:type="pct"/>
            <w:vAlign w:val="center"/>
          </w:tcPr>
          <w:p>
            <w:pPr>
              <w:pStyle w:val="33"/>
              <w:rPr>
                <w:b/>
                <w:bCs/>
              </w:rPr>
            </w:pPr>
            <w:r>
              <w:rPr>
                <w:b/>
                <w:bCs/>
              </w:rPr>
              <w:t>性状</w:t>
            </w:r>
          </w:p>
        </w:tc>
        <w:tc>
          <w:tcPr>
            <w:tcW w:w="243" w:type="pct"/>
            <w:vAlign w:val="center"/>
          </w:tcPr>
          <w:p>
            <w:pPr>
              <w:pStyle w:val="33"/>
              <w:rPr>
                <w:b/>
                <w:bCs/>
              </w:rPr>
            </w:pPr>
            <w:r>
              <w:rPr>
                <w:b/>
                <w:bCs/>
              </w:rPr>
              <w:t>危险特性</w:t>
            </w:r>
          </w:p>
        </w:tc>
        <w:tc>
          <w:tcPr>
            <w:tcW w:w="307" w:type="pct"/>
            <w:vAlign w:val="center"/>
          </w:tcPr>
          <w:p>
            <w:pPr>
              <w:pStyle w:val="33"/>
              <w:rPr>
                <w:b/>
                <w:bCs/>
              </w:rPr>
            </w:pPr>
            <w:r>
              <w:rPr>
                <w:b/>
                <w:bCs/>
              </w:rPr>
              <w:t>产生量</w:t>
            </w:r>
          </w:p>
          <w:p>
            <w:pPr>
              <w:pStyle w:val="33"/>
              <w:rPr>
                <w:b/>
                <w:bCs/>
              </w:rPr>
            </w:pPr>
            <w:r>
              <w:rPr>
                <w:b/>
                <w:bCs/>
              </w:rPr>
              <w:t>（t/a）</w:t>
            </w:r>
          </w:p>
        </w:tc>
        <w:tc>
          <w:tcPr>
            <w:tcW w:w="381" w:type="pct"/>
            <w:vAlign w:val="center"/>
          </w:tcPr>
          <w:p>
            <w:pPr>
              <w:pStyle w:val="33"/>
              <w:rPr>
                <w:b/>
                <w:bCs/>
              </w:rPr>
            </w:pPr>
            <w:r>
              <w:rPr>
                <w:rFonts w:hint="eastAsia"/>
                <w:b/>
                <w:bCs/>
              </w:rPr>
              <w:t>贮存方式</w:t>
            </w:r>
          </w:p>
        </w:tc>
        <w:tc>
          <w:tcPr>
            <w:tcW w:w="604" w:type="pct"/>
            <w:vAlign w:val="center"/>
          </w:tcPr>
          <w:p>
            <w:pPr>
              <w:pStyle w:val="33"/>
              <w:rPr>
                <w:b/>
                <w:bCs/>
              </w:rPr>
            </w:pPr>
            <w:r>
              <w:rPr>
                <w:rFonts w:hint="eastAsia"/>
                <w:b/>
                <w:bCs/>
              </w:rPr>
              <w:t>利用处置方式和去向</w:t>
            </w:r>
          </w:p>
        </w:tc>
        <w:tc>
          <w:tcPr>
            <w:tcW w:w="307" w:type="pct"/>
            <w:vAlign w:val="center"/>
          </w:tcPr>
          <w:p>
            <w:pPr>
              <w:pStyle w:val="33"/>
              <w:rPr>
                <w:b/>
                <w:bCs/>
              </w:rPr>
            </w:pPr>
            <w:r>
              <w:rPr>
                <w:rFonts w:hint="eastAsia"/>
                <w:b/>
                <w:bCs/>
              </w:rPr>
              <w:t>利用或处置量</w:t>
            </w:r>
            <w:r>
              <w:rPr>
                <w:b/>
                <w:bCs/>
              </w:rPr>
              <w:t>（t/a）</w:t>
            </w:r>
          </w:p>
        </w:tc>
        <w:tc>
          <w:tcPr>
            <w:tcW w:w="983" w:type="pct"/>
            <w:vAlign w:val="center"/>
          </w:tcPr>
          <w:p>
            <w:pPr>
              <w:pStyle w:val="33"/>
              <w:rPr>
                <w:b/>
                <w:bCs/>
              </w:rPr>
            </w:pPr>
            <w:r>
              <w:rPr>
                <w:rFonts w:hint="eastAsia"/>
                <w:b/>
                <w:bCs/>
              </w:rPr>
              <w:t>环境管理要求</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244" w:type="pct"/>
            <w:vAlign w:val="center"/>
          </w:tcPr>
          <w:p>
            <w:pPr>
              <w:pStyle w:val="33"/>
            </w:pPr>
            <w:r>
              <w:rPr>
                <w:rFonts w:hint="eastAsia"/>
              </w:rPr>
              <w:t>生产</w:t>
            </w:r>
          </w:p>
        </w:tc>
        <w:tc>
          <w:tcPr>
            <w:tcW w:w="397" w:type="pct"/>
            <w:vAlign w:val="center"/>
          </w:tcPr>
          <w:p>
            <w:pPr>
              <w:pStyle w:val="33"/>
            </w:pPr>
            <w:r>
              <w:rPr>
                <w:rFonts w:hint="eastAsia" w:cs="Times New Roman"/>
                <w:kern w:val="2"/>
              </w:rPr>
              <w:t>废矿物油</w:t>
            </w:r>
          </w:p>
        </w:tc>
        <w:tc>
          <w:tcPr>
            <w:tcW w:w="395" w:type="pct"/>
            <w:vAlign w:val="center"/>
          </w:tcPr>
          <w:p>
            <w:pPr>
              <w:pStyle w:val="33"/>
            </w:pPr>
            <w:r>
              <w:rPr>
                <w:rFonts w:hint="eastAsia"/>
              </w:rPr>
              <w:t>危险废物</w:t>
            </w:r>
          </w:p>
        </w:tc>
        <w:tc>
          <w:tcPr>
            <w:tcW w:w="447" w:type="pct"/>
            <w:vAlign w:val="center"/>
          </w:tcPr>
          <w:p>
            <w:pPr>
              <w:pStyle w:val="33"/>
              <w:rPr>
                <w:szCs w:val="20"/>
              </w:rPr>
            </w:pPr>
            <w:r>
              <w:rPr>
                <w:szCs w:val="20"/>
              </w:rPr>
              <w:t>HW08</w:t>
            </w:r>
          </w:p>
          <w:p>
            <w:pPr>
              <w:pStyle w:val="33"/>
            </w:pPr>
            <w:r>
              <w:rPr>
                <w:szCs w:val="20"/>
              </w:rPr>
              <w:t>900-</w:t>
            </w:r>
            <w:r>
              <w:rPr>
                <w:rFonts w:hint="eastAsia"/>
                <w:szCs w:val="20"/>
              </w:rPr>
              <w:t>036</w:t>
            </w:r>
            <w:r>
              <w:rPr>
                <w:szCs w:val="20"/>
              </w:rPr>
              <w:t>-4</w:t>
            </w:r>
            <w:r>
              <w:rPr>
                <w:rFonts w:hint="eastAsia"/>
                <w:szCs w:val="20"/>
              </w:rPr>
              <w:t>5</w:t>
            </w:r>
          </w:p>
        </w:tc>
        <w:tc>
          <w:tcPr>
            <w:tcW w:w="447" w:type="pct"/>
            <w:vAlign w:val="center"/>
          </w:tcPr>
          <w:p>
            <w:pPr>
              <w:pStyle w:val="33"/>
            </w:pPr>
            <w:r>
              <w:rPr>
                <w:rFonts w:hint="eastAsia"/>
              </w:rPr>
              <w:t>废矿物油</w:t>
            </w:r>
          </w:p>
        </w:tc>
        <w:tc>
          <w:tcPr>
            <w:tcW w:w="244" w:type="pct"/>
            <w:vAlign w:val="center"/>
          </w:tcPr>
          <w:p>
            <w:pPr>
              <w:pStyle w:val="33"/>
            </w:pPr>
            <w:r>
              <w:rPr>
                <w:rFonts w:hint="eastAsia"/>
              </w:rPr>
              <w:t>液态</w:t>
            </w:r>
          </w:p>
        </w:tc>
        <w:tc>
          <w:tcPr>
            <w:tcW w:w="243" w:type="pct"/>
            <w:vAlign w:val="center"/>
          </w:tcPr>
          <w:p>
            <w:pPr>
              <w:pStyle w:val="33"/>
            </w:pPr>
            <w:r>
              <w:rPr>
                <w:rFonts w:hint="eastAsia"/>
              </w:rPr>
              <w:t>T</w:t>
            </w:r>
          </w:p>
        </w:tc>
        <w:tc>
          <w:tcPr>
            <w:tcW w:w="307" w:type="pct"/>
            <w:vAlign w:val="center"/>
          </w:tcPr>
          <w:p>
            <w:pPr>
              <w:pStyle w:val="33"/>
            </w:pPr>
            <w:r>
              <w:rPr>
                <w:rFonts w:cs="Times New Roman"/>
                <w:kern w:val="2"/>
              </w:rPr>
              <w:t>1.2</w:t>
            </w:r>
          </w:p>
        </w:tc>
        <w:tc>
          <w:tcPr>
            <w:tcW w:w="381" w:type="pct"/>
            <w:vAlign w:val="center"/>
          </w:tcPr>
          <w:p>
            <w:pPr>
              <w:pStyle w:val="33"/>
            </w:pPr>
            <w:r>
              <w:rPr>
                <w:rFonts w:hint="eastAsia"/>
              </w:rPr>
              <w:t>危废暂存间</w:t>
            </w:r>
          </w:p>
        </w:tc>
        <w:tc>
          <w:tcPr>
            <w:tcW w:w="604" w:type="pct"/>
            <w:vAlign w:val="center"/>
          </w:tcPr>
          <w:p>
            <w:pPr>
              <w:pStyle w:val="33"/>
            </w:pPr>
            <w:r>
              <w:rPr>
                <w:rFonts w:hint="eastAsia"/>
                <w:szCs w:val="24"/>
              </w:rPr>
              <w:t>委托有资质的单位处理处置</w:t>
            </w:r>
          </w:p>
        </w:tc>
        <w:tc>
          <w:tcPr>
            <w:tcW w:w="307" w:type="pct"/>
            <w:vAlign w:val="center"/>
          </w:tcPr>
          <w:p>
            <w:pPr>
              <w:pStyle w:val="33"/>
            </w:pPr>
            <w:r>
              <w:rPr>
                <w:rFonts w:cs="Times New Roman"/>
                <w:kern w:val="2"/>
              </w:rPr>
              <w:t>1.2</w:t>
            </w:r>
          </w:p>
        </w:tc>
        <w:tc>
          <w:tcPr>
            <w:tcW w:w="983" w:type="pct"/>
            <w:vAlign w:val="center"/>
          </w:tcPr>
          <w:p>
            <w:pPr>
              <w:pStyle w:val="33"/>
            </w:pPr>
            <w:r>
              <w:rPr>
                <w:rFonts w:hint="eastAsia"/>
              </w:rPr>
              <w:t>《危险废物贮存污染控制标准》（GB18597-2001）及其2013年修改单</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244" w:type="pct"/>
            <w:vAlign w:val="center"/>
          </w:tcPr>
          <w:p>
            <w:pPr>
              <w:pStyle w:val="33"/>
            </w:pPr>
            <w:r>
              <w:rPr>
                <w:rFonts w:hint="eastAsia"/>
              </w:rPr>
              <w:t>沉淀池</w:t>
            </w:r>
          </w:p>
        </w:tc>
        <w:tc>
          <w:tcPr>
            <w:tcW w:w="397" w:type="pct"/>
            <w:vAlign w:val="center"/>
          </w:tcPr>
          <w:p>
            <w:pPr>
              <w:pStyle w:val="33"/>
              <w:rPr>
                <w:rFonts w:cs="Times New Roman"/>
                <w:kern w:val="2"/>
              </w:rPr>
            </w:pPr>
            <w:r>
              <w:rPr>
                <w:rFonts w:hint="eastAsia" w:cs="Times New Roman"/>
                <w:kern w:val="2"/>
              </w:rPr>
              <w:t>污泥</w:t>
            </w:r>
          </w:p>
        </w:tc>
        <w:tc>
          <w:tcPr>
            <w:tcW w:w="395" w:type="pct"/>
            <w:vAlign w:val="center"/>
          </w:tcPr>
          <w:p>
            <w:pPr>
              <w:pStyle w:val="33"/>
            </w:pPr>
            <w:r>
              <w:rPr>
                <w:rFonts w:hint="eastAsia"/>
              </w:rPr>
              <w:t>一般工业固体废物</w:t>
            </w:r>
          </w:p>
        </w:tc>
        <w:tc>
          <w:tcPr>
            <w:tcW w:w="447" w:type="pct"/>
            <w:vAlign w:val="center"/>
          </w:tcPr>
          <w:p>
            <w:pPr>
              <w:pStyle w:val="33"/>
              <w:rPr>
                <w:szCs w:val="20"/>
              </w:rPr>
            </w:pPr>
            <w:r>
              <w:rPr>
                <w:rFonts w:hint="eastAsia"/>
                <w:szCs w:val="20"/>
              </w:rPr>
              <w:t>/</w:t>
            </w:r>
          </w:p>
        </w:tc>
        <w:tc>
          <w:tcPr>
            <w:tcW w:w="447" w:type="pct"/>
            <w:vAlign w:val="center"/>
          </w:tcPr>
          <w:p>
            <w:pPr>
              <w:pStyle w:val="33"/>
            </w:pPr>
            <w:r>
              <w:rPr>
                <w:rFonts w:hint="eastAsia"/>
              </w:rPr>
              <w:t>/</w:t>
            </w:r>
          </w:p>
        </w:tc>
        <w:tc>
          <w:tcPr>
            <w:tcW w:w="244" w:type="pct"/>
            <w:vAlign w:val="center"/>
          </w:tcPr>
          <w:p>
            <w:pPr>
              <w:pStyle w:val="33"/>
            </w:pPr>
            <w:r>
              <w:rPr>
                <w:rFonts w:hint="eastAsia"/>
              </w:rPr>
              <w:t>固态</w:t>
            </w:r>
          </w:p>
        </w:tc>
        <w:tc>
          <w:tcPr>
            <w:tcW w:w="243" w:type="pct"/>
            <w:vAlign w:val="center"/>
          </w:tcPr>
          <w:p>
            <w:pPr>
              <w:pStyle w:val="33"/>
            </w:pPr>
            <w:r>
              <w:rPr>
                <w:rFonts w:hint="eastAsia"/>
              </w:rPr>
              <w:t>/</w:t>
            </w:r>
          </w:p>
        </w:tc>
        <w:tc>
          <w:tcPr>
            <w:tcW w:w="307" w:type="pct"/>
            <w:vAlign w:val="center"/>
          </w:tcPr>
          <w:p>
            <w:pPr>
              <w:pStyle w:val="33"/>
              <w:rPr>
                <w:rFonts w:cs="Times New Roman"/>
                <w:kern w:val="2"/>
              </w:rPr>
            </w:pPr>
            <w:r>
              <w:rPr>
                <w:rFonts w:cs="Times New Roman"/>
                <w:kern w:val="2"/>
              </w:rPr>
              <w:t>0.063</w:t>
            </w:r>
          </w:p>
        </w:tc>
        <w:tc>
          <w:tcPr>
            <w:tcW w:w="381" w:type="pct"/>
            <w:vAlign w:val="center"/>
          </w:tcPr>
          <w:p>
            <w:pPr>
              <w:pStyle w:val="33"/>
            </w:pPr>
            <w:r>
              <w:rPr>
                <w:rFonts w:hint="eastAsia"/>
              </w:rPr>
              <w:t>不暂存</w:t>
            </w:r>
          </w:p>
        </w:tc>
        <w:tc>
          <w:tcPr>
            <w:tcW w:w="604" w:type="pct"/>
            <w:vAlign w:val="center"/>
          </w:tcPr>
          <w:p>
            <w:pPr>
              <w:pStyle w:val="33"/>
              <w:rPr>
                <w:szCs w:val="24"/>
              </w:rPr>
            </w:pPr>
            <w:r>
              <w:rPr>
                <w:rFonts w:hint="eastAsia"/>
                <w:szCs w:val="24"/>
              </w:rPr>
              <w:t>综合利用</w:t>
            </w:r>
          </w:p>
        </w:tc>
        <w:tc>
          <w:tcPr>
            <w:tcW w:w="307" w:type="pct"/>
            <w:vAlign w:val="center"/>
          </w:tcPr>
          <w:p>
            <w:pPr>
              <w:pStyle w:val="33"/>
              <w:rPr>
                <w:rFonts w:cs="Times New Roman"/>
                <w:kern w:val="2"/>
              </w:rPr>
            </w:pPr>
            <w:r>
              <w:rPr>
                <w:rFonts w:hint="eastAsia" w:cs="Times New Roman"/>
                <w:kern w:val="2"/>
              </w:rPr>
              <w:t>0</w:t>
            </w:r>
            <w:r>
              <w:rPr>
                <w:rFonts w:cs="Times New Roman"/>
                <w:kern w:val="2"/>
              </w:rPr>
              <w:t>.063</w:t>
            </w:r>
          </w:p>
        </w:tc>
        <w:tc>
          <w:tcPr>
            <w:tcW w:w="983" w:type="pct"/>
            <w:vAlign w:val="center"/>
          </w:tcPr>
          <w:p>
            <w:pPr>
              <w:pStyle w:val="33"/>
            </w:pPr>
            <w:r>
              <w:rPr>
                <w:rFonts w:hint="eastAsia"/>
              </w:rPr>
              <w:t>《一般工业固体废物贮存和填埋污染控制标准》（GB18599-2020）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244" w:type="pct"/>
            <w:vAlign w:val="center"/>
          </w:tcPr>
          <w:p>
            <w:pPr>
              <w:pStyle w:val="33"/>
              <w:rPr>
                <w:rFonts w:hint="eastAsia"/>
                <w:color w:val="FF0000"/>
              </w:rPr>
            </w:pPr>
            <w:r>
              <w:rPr>
                <w:rFonts w:hint="eastAsia"/>
                <w:color w:val="FF0000"/>
              </w:rPr>
              <w:t>废铁切割</w:t>
            </w:r>
          </w:p>
        </w:tc>
        <w:tc>
          <w:tcPr>
            <w:tcW w:w="397" w:type="pct"/>
            <w:vAlign w:val="center"/>
          </w:tcPr>
          <w:p>
            <w:pPr>
              <w:pStyle w:val="33"/>
              <w:rPr>
                <w:rFonts w:hint="eastAsia" w:cs="Times New Roman"/>
                <w:color w:val="FF0000"/>
                <w:kern w:val="2"/>
              </w:rPr>
            </w:pPr>
            <w:r>
              <w:rPr>
                <w:rFonts w:hint="eastAsia" w:cs="Times New Roman"/>
                <w:color w:val="FF0000"/>
                <w:kern w:val="2"/>
              </w:rPr>
              <w:t>氧气瓶、乙炔瓶</w:t>
            </w:r>
          </w:p>
        </w:tc>
        <w:tc>
          <w:tcPr>
            <w:tcW w:w="395" w:type="pct"/>
            <w:vAlign w:val="center"/>
          </w:tcPr>
          <w:p>
            <w:pPr>
              <w:pStyle w:val="33"/>
              <w:rPr>
                <w:rFonts w:hint="eastAsia"/>
                <w:color w:val="FF0000"/>
              </w:rPr>
            </w:pPr>
            <w:r>
              <w:rPr>
                <w:rFonts w:hint="eastAsia"/>
                <w:color w:val="FF0000"/>
              </w:rPr>
              <w:t>一般工业固体废物</w:t>
            </w:r>
          </w:p>
        </w:tc>
        <w:tc>
          <w:tcPr>
            <w:tcW w:w="447" w:type="pct"/>
            <w:vAlign w:val="center"/>
          </w:tcPr>
          <w:p>
            <w:pPr>
              <w:pStyle w:val="33"/>
              <w:rPr>
                <w:rFonts w:hint="eastAsia"/>
                <w:color w:val="FF0000"/>
                <w:szCs w:val="20"/>
              </w:rPr>
            </w:pPr>
            <w:r>
              <w:rPr>
                <w:rFonts w:hint="eastAsia"/>
                <w:color w:val="FF0000"/>
                <w:szCs w:val="20"/>
              </w:rPr>
              <w:t>/</w:t>
            </w:r>
          </w:p>
        </w:tc>
        <w:tc>
          <w:tcPr>
            <w:tcW w:w="447" w:type="pct"/>
            <w:vAlign w:val="center"/>
          </w:tcPr>
          <w:p>
            <w:pPr>
              <w:pStyle w:val="33"/>
              <w:rPr>
                <w:rFonts w:hint="eastAsia"/>
                <w:color w:val="FF0000"/>
              </w:rPr>
            </w:pPr>
            <w:r>
              <w:rPr>
                <w:rFonts w:hint="eastAsia"/>
                <w:color w:val="FF0000"/>
              </w:rPr>
              <w:t>/</w:t>
            </w:r>
          </w:p>
        </w:tc>
        <w:tc>
          <w:tcPr>
            <w:tcW w:w="244" w:type="pct"/>
            <w:vAlign w:val="center"/>
          </w:tcPr>
          <w:p>
            <w:pPr>
              <w:pStyle w:val="33"/>
              <w:rPr>
                <w:rFonts w:hint="eastAsia"/>
                <w:color w:val="FF0000"/>
              </w:rPr>
            </w:pPr>
            <w:r>
              <w:rPr>
                <w:rFonts w:hint="eastAsia"/>
                <w:color w:val="FF0000"/>
              </w:rPr>
              <w:t>固态</w:t>
            </w:r>
          </w:p>
        </w:tc>
        <w:tc>
          <w:tcPr>
            <w:tcW w:w="243" w:type="pct"/>
            <w:vAlign w:val="center"/>
          </w:tcPr>
          <w:p>
            <w:pPr>
              <w:pStyle w:val="33"/>
              <w:rPr>
                <w:rFonts w:hint="eastAsia"/>
                <w:color w:val="FF0000"/>
              </w:rPr>
            </w:pPr>
            <w:r>
              <w:rPr>
                <w:rFonts w:hint="eastAsia"/>
                <w:color w:val="FF0000"/>
              </w:rPr>
              <w:t>/</w:t>
            </w:r>
          </w:p>
        </w:tc>
        <w:tc>
          <w:tcPr>
            <w:tcW w:w="307" w:type="pct"/>
            <w:vAlign w:val="center"/>
          </w:tcPr>
          <w:p>
            <w:pPr>
              <w:pStyle w:val="33"/>
              <w:rPr>
                <w:rFonts w:hint="eastAsia" w:cs="Times New Roman"/>
                <w:color w:val="FF0000"/>
                <w:kern w:val="2"/>
              </w:rPr>
            </w:pPr>
            <w:r>
              <w:rPr>
                <w:rFonts w:hint="eastAsia" w:cs="Times New Roman"/>
                <w:color w:val="FF0000"/>
                <w:kern w:val="2"/>
              </w:rPr>
              <w:t>2</w:t>
            </w:r>
            <w:r>
              <w:rPr>
                <w:rFonts w:cs="Times New Roman"/>
                <w:color w:val="FF0000"/>
                <w:kern w:val="2"/>
              </w:rPr>
              <w:t>0</w:t>
            </w:r>
            <w:r>
              <w:rPr>
                <w:rFonts w:hint="eastAsia" w:cs="Times New Roman"/>
                <w:color w:val="FF0000"/>
                <w:kern w:val="2"/>
              </w:rPr>
              <w:t>个/年</w:t>
            </w:r>
          </w:p>
        </w:tc>
        <w:tc>
          <w:tcPr>
            <w:tcW w:w="381" w:type="pct"/>
            <w:vAlign w:val="center"/>
          </w:tcPr>
          <w:p>
            <w:pPr>
              <w:pStyle w:val="33"/>
              <w:rPr>
                <w:rFonts w:hint="eastAsia"/>
                <w:color w:val="FF0000"/>
              </w:rPr>
            </w:pPr>
            <w:r>
              <w:rPr>
                <w:rFonts w:hint="eastAsia"/>
                <w:color w:val="FF0000"/>
              </w:rPr>
              <w:t>不暂存</w:t>
            </w:r>
          </w:p>
        </w:tc>
        <w:tc>
          <w:tcPr>
            <w:tcW w:w="604" w:type="pct"/>
            <w:vAlign w:val="center"/>
          </w:tcPr>
          <w:p>
            <w:pPr>
              <w:pStyle w:val="33"/>
              <w:rPr>
                <w:rFonts w:hint="eastAsia"/>
                <w:color w:val="FF0000"/>
                <w:szCs w:val="24"/>
              </w:rPr>
            </w:pPr>
            <w:r>
              <w:rPr>
                <w:rFonts w:hint="eastAsia"/>
                <w:color w:val="FF0000"/>
                <w:szCs w:val="24"/>
              </w:rPr>
              <w:t>供销商或厂家负责回收再利用</w:t>
            </w:r>
          </w:p>
        </w:tc>
        <w:tc>
          <w:tcPr>
            <w:tcW w:w="307" w:type="pct"/>
            <w:vAlign w:val="center"/>
          </w:tcPr>
          <w:p>
            <w:pPr>
              <w:pStyle w:val="33"/>
              <w:rPr>
                <w:rFonts w:hint="eastAsia" w:cs="Times New Roman"/>
                <w:color w:val="FF0000"/>
                <w:kern w:val="2"/>
              </w:rPr>
            </w:pPr>
            <w:r>
              <w:rPr>
                <w:rFonts w:hint="eastAsia" w:cs="Times New Roman"/>
                <w:color w:val="FF0000"/>
                <w:kern w:val="2"/>
              </w:rPr>
              <w:t>2</w:t>
            </w:r>
            <w:r>
              <w:rPr>
                <w:rFonts w:cs="Times New Roman"/>
                <w:color w:val="FF0000"/>
                <w:kern w:val="2"/>
              </w:rPr>
              <w:t>0</w:t>
            </w:r>
            <w:r>
              <w:rPr>
                <w:rFonts w:hint="eastAsia" w:cs="Times New Roman"/>
                <w:color w:val="FF0000"/>
                <w:kern w:val="2"/>
              </w:rPr>
              <w:t>个/年</w:t>
            </w:r>
          </w:p>
        </w:tc>
        <w:tc>
          <w:tcPr>
            <w:tcW w:w="983" w:type="pct"/>
            <w:vAlign w:val="center"/>
          </w:tcPr>
          <w:p>
            <w:pPr>
              <w:pStyle w:val="33"/>
              <w:rPr>
                <w:rFonts w:hint="eastAsia"/>
                <w:color w:val="FF0000"/>
              </w:rPr>
            </w:pPr>
            <w:r>
              <w:rPr>
                <w:rFonts w:hint="eastAsia"/>
                <w:color w:val="FF0000"/>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28" w:hRule="atLeast"/>
          <w:jc w:val="center"/>
        </w:trPr>
        <w:tc>
          <w:tcPr>
            <w:tcW w:w="244" w:type="pct"/>
            <w:vAlign w:val="center"/>
          </w:tcPr>
          <w:p>
            <w:pPr>
              <w:pStyle w:val="33"/>
            </w:pPr>
            <w:r>
              <w:rPr>
                <w:rFonts w:hint="eastAsia"/>
                <w:szCs w:val="24"/>
              </w:rPr>
              <w:t>员工</w:t>
            </w:r>
          </w:p>
        </w:tc>
        <w:tc>
          <w:tcPr>
            <w:tcW w:w="397" w:type="pct"/>
            <w:vAlign w:val="center"/>
          </w:tcPr>
          <w:p>
            <w:pPr>
              <w:pStyle w:val="33"/>
            </w:pPr>
            <w:r>
              <w:rPr>
                <w:szCs w:val="24"/>
              </w:rPr>
              <w:t>生活垃圾</w:t>
            </w:r>
          </w:p>
        </w:tc>
        <w:tc>
          <w:tcPr>
            <w:tcW w:w="395" w:type="pct"/>
            <w:vAlign w:val="center"/>
          </w:tcPr>
          <w:p>
            <w:pPr>
              <w:pStyle w:val="33"/>
            </w:pPr>
            <w:r>
              <w:rPr>
                <w:szCs w:val="24"/>
              </w:rPr>
              <w:t>生活垃圾</w:t>
            </w:r>
          </w:p>
        </w:tc>
        <w:tc>
          <w:tcPr>
            <w:tcW w:w="447" w:type="pct"/>
            <w:vAlign w:val="center"/>
          </w:tcPr>
          <w:p>
            <w:pPr>
              <w:pStyle w:val="33"/>
            </w:pPr>
            <w:r>
              <w:rPr>
                <w:rFonts w:hint="eastAsia"/>
              </w:rPr>
              <w:t>/</w:t>
            </w:r>
          </w:p>
        </w:tc>
        <w:tc>
          <w:tcPr>
            <w:tcW w:w="447" w:type="pct"/>
            <w:vAlign w:val="center"/>
          </w:tcPr>
          <w:p>
            <w:pPr>
              <w:pStyle w:val="33"/>
            </w:pPr>
            <w:r>
              <w:rPr>
                <w:szCs w:val="24"/>
              </w:rPr>
              <w:t>生活垃圾</w:t>
            </w:r>
          </w:p>
        </w:tc>
        <w:tc>
          <w:tcPr>
            <w:tcW w:w="244" w:type="pct"/>
            <w:vAlign w:val="center"/>
          </w:tcPr>
          <w:p>
            <w:pPr>
              <w:pStyle w:val="33"/>
            </w:pPr>
            <w:r>
              <w:t>固态</w:t>
            </w:r>
          </w:p>
        </w:tc>
        <w:tc>
          <w:tcPr>
            <w:tcW w:w="243" w:type="pct"/>
            <w:vAlign w:val="center"/>
          </w:tcPr>
          <w:p>
            <w:pPr>
              <w:pStyle w:val="33"/>
            </w:pPr>
            <w:r>
              <w:rPr>
                <w:rFonts w:hint="eastAsia"/>
              </w:rPr>
              <w:t>/</w:t>
            </w:r>
          </w:p>
        </w:tc>
        <w:tc>
          <w:tcPr>
            <w:tcW w:w="307" w:type="pct"/>
            <w:vAlign w:val="center"/>
          </w:tcPr>
          <w:p>
            <w:pPr>
              <w:pStyle w:val="33"/>
            </w:pPr>
            <w:r>
              <w:t>10.395</w:t>
            </w:r>
          </w:p>
        </w:tc>
        <w:tc>
          <w:tcPr>
            <w:tcW w:w="381" w:type="pct"/>
            <w:vAlign w:val="center"/>
          </w:tcPr>
          <w:p>
            <w:pPr>
              <w:pStyle w:val="33"/>
            </w:pPr>
            <w:r>
              <w:rPr>
                <w:rFonts w:hint="eastAsia"/>
              </w:rPr>
              <w:t>垃圾桶</w:t>
            </w:r>
          </w:p>
        </w:tc>
        <w:tc>
          <w:tcPr>
            <w:tcW w:w="604" w:type="pct"/>
            <w:vAlign w:val="center"/>
          </w:tcPr>
          <w:p>
            <w:pPr>
              <w:pStyle w:val="33"/>
            </w:pPr>
            <w:r>
              <w:rPr>
                <w:rFonts w:cs="Times New Roman"/>
                <w:kern w:val="2"/>
              </w:rPr>
              <w:t>定点收集后由环卫处清运</w:t>
            </w:r>
          </w:p>
        </w:tc>
        <w:tc>
          <w:tcPr>
            <w:tcW w:w="307" w:type="pct"/>
            <w:vAlign w:val="center"/>
          </w:tcPr>
          <w:p>
            <w:pPr>
              <w:pStyle w:val="33"/>
            </w:pPr>
            <w:r>
              <w:rPr>
                <w:rFonts w:cs="Times New Roman"/>
                <w:kern w:val="2"/>
                <w:lang w:eastAsia="en-US"/>
              </w:rPr>
              <w:t>10.395</w:t>
            </w:r>
          </w:p>
        </w:tc>
        <w:tc>
          <w:tcPr>
            <w:tcW w:w="983" w:type="pct"/>
            <w:vAlign w:val="center"/>
          </w:tcPr>
          <w:p>
            <w:pPr>
              <w:pStyle w:val="33"/>
            </w:pPr>
            <w:r>
              <w:rPr>
                <w:rFonts w:hint="eastAsia"/>
              </w:rPr>
              <w:t>/</w:t>
            </w:r>
          </w:p>
        </w:tc>
      </w:tr>
    </w:tbl>
    <w:p>
      <w:pPr>
        <w:ind w:firstLine="0" w:firstLineChars="0"/>
        <w:rPr>
          <w:b/>
          <w:bCs/>
        </w:rPr>
        <w:sectPr>
          <w:pgSz w:w="16838" w:h="11906" w:orient="landscape"/>
          <w:pgMar w:top="1800" w:right="1440" w:bottom="1800" w:left="1440" w:header="992" w:footer="992" w:gutter="0"/>
          <w:cols w:space="425" w:num="1"/>
          <w:docGrid w:type="lines" w:linePitch="326" w:charSpace="0"/>
        </w:sectPr>
      </w:pPr>
    </w:p>
    <w:tbl>
      <w:tblPr>
        <w:tblStyle w:val="22"/>
        <w:tblW w:w="825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8251" w:type="dxa"/>
            <w:vAlign w:val="center"/>
          </w:tcPr>
          <w:p>
            <w:pPr>
              <w:ind w:firstLine="480"/>
              <w:rPr>
                <w:rFonts w:hAnsi="宋体"/>
                <w:b/>
                <w:bCs/>
                <w:spacing w:val="-10"/>
                <w:szCs w:val="21"/>
              </w:rPr>
            </w:pPr>
            <w:r>
              <w:rPr>
                <w:rFonts w:cs="Times New Roman" w:eastAsiaTheme="minorEastAsia"/>
                <w:b/>
                <w:bCs/>
              </w:rPr>
              <w:t>4.2</w:t>
            </w:r>
            <w:r>
              <w:rPr>
                <w:rFonts w:hint="eastAsia" w:cs="Times New Roman"/>
                <w:b/>
                <w:bCs/>
              </w:rPr>
              <w:t>危废暂存间</w:t>
            </w:r>
          </w:p>
          <w:p>
            <w:pPr>
              <w:ind w:firstLine="480"/>
            </w:pPr>
            <w:r>
              <w:rPr>
                <w:rFonts w:hint="eastAsia"/>
              </w:rPr>
              <w:t>企业在废钢铁回收区（1</w:t>
            </w:r>
            <w:r>
              <w:t>~6</w:t>
            </w:r>
            <w:r>
              <w:rPr>
                <w:rFonts w:hint="eastAsia"/>
              </w:rPr>
              <w:t>分区）设置了</w:t>
            </w:r>
            <w:r>
              <w:t>10m</w:t>
            </w:r>
            <w:r>
              <w:rPr>
                <w:vertAlign w:val="superscript"/>
              </w:rPr>
              <w:t>2</w:t>
            </w:r>
            <w:r>
              <w:rPr>
                <w:rFonts w:hint="eastAsia"/>
              </w:rPr>
              <w:t>的危废暂存间，</w:t>
            </w:r>
            <w:bookmarkStart w:id="36" w:name="_Hlk78365705"/>
            <w:r>
              <w:rPr>
                <w:rFonts w:hint="eastAsia"/>
                <w:color w:val="FF0000"/>
              </w:rPr>
              <w:t>废矿物油采用防渗、防腐蚀、密封桶装容器收集贮存。</w:t>
            </w:r>
            <w:bookmarkEnd w:id="36"/>
            <w:r>
              <w:rPr>
                <w:rFonts w:hint="eastAsia"/>
              </w:rPr>
              <w:t>危废暂存间应采取相应的防渗措施（渗透系数小于10</w:t>
            </w:r>
            <w:r>
              <w:rPr>
                <w:vertAlign w:val="superscript"/>
              </w:rPr>
              <w:t>-10</w:t>
            </w:r>
            <w:r>
              <w:rPr>
                <w:rFonts w:hint="eastAsia"/>
              </w:rPr>
              <w:t>cm/s）、设置废液收集池、导流沟等，危废集中收集后交有资质单位处理。</w:t>
            </w:r>
          </w:p>
          <w:p>
            <w:pPr>
              <w:ind w:firstLine="482"/>
              <w:rPr>
                <w:b/>
                <w:bCs/>
              </w:rPr>
            </w:pPr>
            <w:r>
              <w:rPr>
                <w:rFonts w:hint="eastAsia"/>
                <w:b/>
                <w:bCs/>
              </w:rPr>
              <w:t>为避免生产过程中产生的危废废物对环境产生影响，厂区应采取以下措施：</w:t>
            </w:r>
          </w:p>
          <w:p>
            <w:pPr>
              <w:ind w:firstLine="480"/>
            </w:pPr>
            <w:r>
              <w:rPr>
                <w:rFonts w:hint="eastAsia"/>
              </w:rPr>
              <w:t>①废矿物油用桶装密闭包装后暂存于危废暂存间，暂存期间不得打开，且联系有资质的第三方处置单位尽快收集处理。</w:t>
            </w:r>
          </w:p>
          <w:p>
            <w:pPr>
              <w:ind w:firstLine="480"/>
            </w:pPr>
            <w:r>
              <w:rPr>
                <w:rFonts w:hint="eastAsia"/>
              </w:rPr>
              <w:t>②危废暂存间严格按照《危险废物贮存污染控制标准》（</w:t>
            </w:r>
            <w:r>
              <w:t>GB18597-2001</w:t>
            </w:r>
            <w:r>
              <w:rPr>
                <w:rFonts w:hint="eastAsia"/>
              </w:rPr>
              <w:t>）进行建设管理，并送至有处理资质的单位处置，禁止混入非危险废物中贮存；</w:t>
            </w:r>
          </w:p>
          <w:p>
            <w:pPr>
              <w:ind w:firstLine="480"/>
            </w:pPr>
            <w:r>
              <w:rPr>
                <w:rFonts w:hint="eastAsia"/>
              </w:rPr>
              <w:t>③危废暂存间采取有效的防渗措施，设专人管理；项目各类废物应分类、分项存放，堆垛之间的主要通道留有安全距离，不超量储存；</w:t>
            </w:r>
          </w:p>
          <w:p>
            <w:pPr>
              <w:ind w:firstLine="440"/>
              <w:rPr>
                <w:rFonts w:ascii="宋体" w:hAnsi="宋体" w:cs="宋体"/>
                <w:bCs/>
                <w:spacing w:val="-10"/>
                <w:szCs w:val="21"/>
              </w:rPr>
            </w:pPr>
            <w:r>
              <w:rPr>
                <w:rFonts w:hint="eastAsia" w:ascii="宋体" w:hAnsi="宋体" w:cs="宋体"/>
                <w:bCs/>
                <w:spacing w:val="-10"/>
                <w:szCs w:val="21"/>
              </w:rPr>
              <w:t>危废暂存</w:t>
            </w:r>
            <w:r>
              <w:rPr>
                <w:rFonts w:hint="eastAsia"/>
              </w:rPr>
              <w:t>间</w:t>
            </w:r>
            <w:r>
              <w:rPr>
                <w:rFonts w:hint="eastAsia" w:ascii="宋体" w:hAnsi="宋体" w:cs="宋体"/>
                <w:bCs/>
                <w:spacing w:val="-10"/>
                <w:szCs w:val="21"/>
              </w:rPr>
              <w:t>建有堵截泄漏的裙脚，地面和裙脚都有坚固防漏的材料；危废暂存</w:t>
            </w:r>
            <w:r>
              <w:rPr>
                <w:rFonts w:hint="eastAsia"/>
              </w:rPr>
              <w:t>间</w:t>
            </w:r>
            <w:r>
              <w:rPr>
                <w:rFonts w:hint="eastAsia" w:ascii="宋体" w:hAnsi="宋体" w:cs="宋体"/>
                <w:bCs/>
                <w:spacing w:val="-10"/>
                <w:szCs w:val="21"/>
              </w:rPr>
              <w:t>防风、防雨、防晒。</w:t>
            </w:r>
          </w:p>
          <w:p>
            <w:pPr>
              <w:ind w:firstLine="440"/>
              <w:rPr>
                <w:rFonts w:ascii="宋体" w:hAnsi="宋体" w:cs="宋体"/>
                <w:bCs/>
                <w:spacing w:val="-10"/>
                <w:szCs w:val="21"/>
              </w:rPr>
            </w:pPr>
            <w:r>
              <w:rPr>
                <w:rFonts w:hint="eastAsia" w:ascii="宋体" w:hAnsi="宋体" w:cs="宋体"/>
                <w:bCs/>
                <w:spacing w:val="-10"/>
                <w:szCs w:val="21"/>
              </w:rPr>
              <w:t>因此，项目产生的危险废物均得到了妥善处理处置，不对外排放，不会对环境产生二次污染。</w:t>
            </w:r>
          </w:p>
          <w:p>
            <w:pPr>
              <w:ind w:firstLine="482"/>
              <w:rPr>
                <w:b/>
                <w:bCs/>
              </w:rPr>
            </w:pPr>
            <w:r>
              <w:rPr>
                <w:b/>
                <w:bCs/>
              </w:rPr>
              <w:t>5.地下水及土壤环境</w:t>
            </w:r>
          </w:p>
          <w:p>
            <w:pPr>
              <w:ind w:firstLine="480"/>
            </w:pPr>
            <w:r>
              <w:t>项目营运期产生的大气污染物主要为生产过程中产生的粉尘</w:t>
            </w:r>
            <w:r>
              <w:rPr>
                <w:rFonts w:hint="eastAsia"/>
              </w:rPr>
              <w:t>及恶臭气体</w:t>
            </w:r>
            <w:r>
              <w:t>。产生的</w:t>
            </w:r>
            <w:r>
              <w:rPr>
                <w:rFonts w:hint="eastAsia"/>
              </w:rPr>
              <w:t>水洗废水进入沉淀池沉淀后循环使用</w:t>
            </w:r>
            <w:r>
              <w:t>不外排，其主要污染物为悬浮物。生活污水</w:t>
            </w:r>
            <w:r>
              <w:rPr>
                <w:rFonts w:hint="eastAsia"/>
              </w:rPr>
              <w:t>排入旱厕后定期委托清掏处理</w:t>
            </w:r>
            <w:r>
              <w:t>。</w:t>
            </w:r>
          </w:p>
          <w:p>
            <w:pPr>
              <w:ind w:firstLine="480"/>
            </w:pPr>
            <w:r>
              <w:t>项目使用的原料组分不含有毒有害的重金属等污染物，不涉及建设用地土壤污染风险筛选值的其他污染物，</w:t>
            </w:r>
            <w:r>
              <w:rPr>
                <w:rFonts w:hint="eastAsia"/>
              </w:rPr>
              <w:t>同时，要求厂区地面进行硬化，设置初期雨水收集池，</w:t>
            </w:r>
            <w:r>
              <w:t>因此</w:t>
            </w:r>
            <w:r>
              <w:rPr>
                <w:rFonts w:hint="eastAsia"/>
              </w:rPr>
              <w:t>对</w:t>
            </w:r>
            <w:r>
              <w:t>地下水及土壤环境影响较小。</w:t>
            </w:r>
          </w:p>
          <w:p>
            <w:pPr>
              <w:ind w:firstLine="480"/>
            </w:pPr>
            <w:r>
              <w:t>项目的废水处理设施</w:t>
            </w:r>
            <w:r>
              <w:rPr>
                <w:rFonts w:hint="eastAsia"/>
              </w:rPr>
              <w:t>、危废暂存间</w:t>
            </w:r>
            <w:r>
              <w:t>等防渗措施不到位或发生事故性排放，废水</w:t>
            </w:r>
            <w:r>
              <w:rPr>
                <w:rFonts w:hint="eastAsia"/>
              </w:rPr>
              <w:t>等</w:t>
            </w:r>
            <w:r>
              <w:t>可能会下渗对地下水、土壤产生污染。项目对</w:t>
            </w:r>
            <w:r>
              <w:rPr>
                <w:rFonts w:hint="eastAsia"/>
              </w:rPr>
              <w:t>沉淀池</w:t>
            </w:r>
            <w:r>
              <w:t>、</w:t>
            </w:r>
            <w:r>
              <w:rPr>
                <w:rFonts w:hint="eastAsia"/>
              </w:rPr>
              <w:t>危废暂存间</w:t>
            </w:r>
            <w:r>
              <w:t>进行防渗等，渗透系数</w:t>
            </w:r>
            <w:r>
              <w:rPr>
                <w:rFonts w:hint="eastAsia"/>
              </w:rPr>
              <w:t>分别为</w:t>
            </w:r>
            <w:r>
              <w:t>≤10</w:t>
            </w:r>
            <w:r>
              <w:rPr>
                <w:vertAlign w:val="superscript"/>
              </w:rPr>
              <w:t>-7</w:t>
            </w:r>
            <w:r>
              <w:t>cm/s</w:t>
            </w:r>
            <w:r>
              <w:rPr>
                <w:rFonts w:hint="eastAsia"/>
              </w:rPr>
              <w:t>和</w:t>
            </w:r>
            <w:r>
              <w:t>≤10</w:t>
            </w:r>
            <w:r>
              <w:rPr>
                <w:vertAlign w:val="superscript"/>
              </w:rPr>
              <w:t>-10</w:t>
            </w:r>
            <w:r>
              <w:t>cm/s，对地下水及土壤环境影响较小。</w:t>
            </w:r>
          </w:p>
          <w:p>
            <w:pPr>
              <w:ind w:firstLine="480"/>
            </w:pPr>
          </w:p>
          <w:p>
            <w:pPr>
              <w:ind w:firstLine="482"/>
              <w:rPr>
                <w:b/>
                <w:bCs/>
              </w:rPr>
            </w:pPr>
            <w:r>
              <w:rPr>
                <w:b/>
                <w:bCs/>
              </w:rPr>
              <w:t>6.生态</w:t>
            </w:r>
          </w:p>
          <w:p>
            <w:pPr>
              <w:ind w:firstLine="480"/>
            </w:pPr>
            <w:r>
              <w:t>本项目</w:t>
            </w:r>
            <w:r>
              <w:rPr>
                <w:rFonts w:hint="eastAsia"/>
              </w:rPr>
              <w:t>在现有厂区</w:t>
            </w:r>
            <w:r>
              <w:t>进行建设，用地范围内无生态环保目标，运营期在空地进行补充绿化后，对周边的生态环境影响较小。</w:t>
            </w:r>
          </w:p>
          <w:p>
            <w:pPr>
              <w:ind w:firstLine="482"/>
              <w:rPr>
                <w:b/>
                <w:bCs/>
              </w:rPr>
            </w:pPr>
            <w:r>
              <w:rPr>
                <w:b/>
                <w:bCs/>
              </w:rPr>
              <w:t>7</w:t>
            </w:r>
            <w:r>
              <w:rPr>
                <w:rFonts w:hint="eastAsia"/>
                <w:b/>
                <w:bCs/>
              </w:rPr>
              <w:t>、环境风险</w:t>
            </w:r>
          </w:p>
          <w:p>
            <w:pPr>
              <w:ind w:firstLine="480"/>
            </w:pPr>
            <w:r>
              <w:rPr>
                <w:rFonts w:hint="eastAsia"/>
              </w:rPr>
              <w:t>本</w:t>
            </w:r>
            <w:r>
              <w:t>项目</w:t>
            </w:r>
            <w:r>
              <w:rPr>
                <w:rFonts w:hint="eastAsia"/>
              </w:rPr>
              <w:t>环境风险是指易燃易爆物质废机油和氧割过程中使用的乙炔。这类事故发生的概率大小及事故造成的环境(或健康)后果影响程度与物料的性质、物料的泄露量、管理状况以及防范补救措施等多种因素有关，较难用数字准确表示。但事故一旦发生，将会对周围生态环境及人体健康造成比较严重的影响。</w:t>
            </w:r>
          </w:p>
          <w:p>
            <w:pPr>
              <w:ind w:firstLine="482"/>
              <w:rPr>
                <w:b/>
              </w:rPr>
            </w:pPr>
            <w:r>
              <w:rPr>
                <w:rFonts w:hint="eastAsia"/>
                <w:b/>
              </w:rPr>
              <w:t>7.</w:t>
            </w:r>
            <w:r>
              <w:rPr>
                <w:b/>
              </w:rPr>
              <w:t>1</w:t>
            </w:r>
            <w:r>
              <w:rPr>
                <w:rFonts w:hint="eastAsia"/>
                <w:b/>
              </w:rPr>
              <w:t>风险调查</w:t>
            </w:r>
          </w:p>
          <w:p>
            <w:pPr>
              <w:ind w:firstLine="482"/>
              <w:rPr>
                <w:b/>
              </w:rPr>
            </w:pPr>
            <w:r>
              <w:rPr>
                <w:rFonts w:hint="eastAsia"/>
                <w:b/>
              </w:rPr>
              <w:t>7.</w:t>
            </w:r>
            <w:r>
              <w:rPr>
                <w:b/>
              </w:rPr>
              <w:t>1</w:t>
            </w:r>
            <w:r>
              <w:rPr>
                <w:rFonts w:hint="eastAsia"/>
                <w:b/>
              </w:rPr>
              <w:t>.1建设项目风险源调查</w:t>
            </w:r>
          </w:p>
          <w:p>
            <w:pPr>
              <w:ind w:firstLine="480"/>
            </w:pPr>
            <w:r>
              <w:rPr>
                <w:rFonts w:hint="eastAsia"/>
              </w:rPr>
              <w:t>根据《建设项目环境风险评价技术导则》（HJ 169-2018）附录B“重点关注的危险物质及临界量”，本项目在生产和贮存场所涉及的危险化学品主要有废矿物油、乙炔。</w:t>
            </w:r>
          </w:p>
          <w:p>
            <w:pPr>
              <w:pStyle w:val="35"/>
            </w:pPr>
            <w:r>
              <w:t>表4-7</w:t>
            </w:r>
            <w:r>
              <w:rPr>
                <w:rFonts w:hint="eastAsia"/>
              </w:rPr>
              <w:t xml:space="preserve"> </w:t>
            </w:r>
            <w:r>
              <w:t xml:space="preserve"> </w:t>
            </w:r>
            <w:r>
              <w:rPr>
                <w:rFonts w:hint="eastAsia"/>
              </w:rPr>
              <w:t xml:space="preserve">  本项目Q值确定表</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34"/>
              <w:gridCol w:w="1315"/>
              <w:gridCol w:w="1294"/>
              <w:gridCol w:w="1340"/>
              <w:gridCol w:w="1639"/>
              <w:gridCol w:w="1713"/>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457" w:type="pct"/>
                  <w:tcBorders>
                    <w:tl2br w:val="nil"/>
                    <w:tr2bl w:val="nil"/>
                  </w:tcBorders>
                  <w:shd w:val="clear" w:color="auto" w:fill="auto"/>
                  <w:vAlign w:val="center"/>
                </w:tcPr>
                <w:p>
                  <w:pPr>
                    <w:pStyle w:val="33"/>
                    <w:rPr>
                      <w:b/>
                      <w:bCs/>
                    </w:rPr>
                  </w:pPr>
                  <w:r>
                    <w:rPr>
                      <w:rFonts w:hint="eastAsia"/>
                      <w:b/>
                      <w:bCs/>
                    </w:rPr>
                    <w:t>序号</w:t>
                  </w:r>
                </w:p>
              </w:tc>
              <w:tc>
                <w:tcPr>
                  <w:tcW w:w="818" w:type="pct"/>
                  <w:tcBorders>
                    <w:tl2br w:val="nil"/>
                    <w:tr2bl w:val="nil"/>
                  </w:tcBorders>
                  <w:shd w:val="clear" w:color="auto" w:fill="auto"/>
                  <w:vAlign w:val="center"/>
                </w:tcPr>
                <w:p>
                  <w:pPr>
                    <w:pStyle w:val="33"/>
                    <w:rPr>
                      <w:b/>
                      <w:bCs/>
                    </w:rPr>
                  </w:pPr>
                  <w:r>
                    <w:rPr>
                      <w:rFonts w:hint="eastAsia"/>
                      <w:b/>
                      <w:bCs/>
                    </w:rPr>
                    <w:t>物质名称</w:t>
                  </w:r>
                </w:p>
              </w:tc>
              <w:tc>
                <w:tcPr>
                  <w:tcW w:w="805" w:type="pct"/>
                  <w:tcBorders>
                    <w:tl2br w:val="nil"/>
                    <w:tr2bl w:val="nil"/>
                  </w:tcBorders>
                  <w:shd w:val="clear" w:color="auto" w:fill="auto"/>
                  <w:vAlign w:val="center"/>
                </w:tcPr>
                <w:p>
                  <w:pPr>
                    <w:pStyle w:val="33"/>
                    <w:rPr>
                      <w:b/>
                      <w:bCs/>
                    </w:rPr>
                  </w:pPr>
                  <w:r>
                    <w:rPr>
                      <w:rFonts w:hint="eastAsia"/>
                      <w:b/>
                      <w:bCs/>
                    </w:rPr>
                    <w:t>CAS号</w:t>
                  </w:r>
                </w:p>
              </w:tc>
              <w:tc>
                <w:tcPr>
                  <w:tcW w:w="834" w:type="pct"/>
                  <w:tcBorders>
                    <w:tl2br w:val="nil"/>
                    <w:tr2bl w:val="nil"/>
                  </w:tcBorders>
                  <w:shd w:val="clear" w:color="auto" w:fill="auto"/>
                  <w:vAlign w:val="center"/>
                </w:tcPr>
                <w:p>
                  <w:pPr>
                    <w:pStyle w:val="33"/>
                    <w:rPr>
                      <w:b/>
                      <w:bCs/>
                    </w:rPr>
                  </w:pPr>
                  <w:r>
                    <w:rPr>
                      <w:rFonts w:hint="eastAsia"/>
                      <w:b/>
                      <w:bCs/>
                    </w:rPr>
                    <w:t>临界量Q</w:t>
                  </w:r>
                  <w:r>
                    <w:rPr>
                      <w:rFonts w:hint="eastAsia"/>
                      <w:b/>
                      <w:bCs/>
                      <w:vertAlign w:val="subscript"/>
                    </w:rPr>
                    <w:t>n</w:t>
                  </w:r>
                  <w:r>
                    <w:rPr>
                      <w:rFonts w:hint="eastAsia"/>
                      <w:b/>
                      <w:bCs/>
                    </w:rPr>
                    <w:t>/t</w:t>
                  </w:r>
                </w:p>
              </w:tc>
              <w:tc>
                <w:tcPr>
                  <w:tcW w:w="1020" w:type="pct"/>
                  <w:tcBorders>
                    <w:tl2br w:val="nil"/>
                    <w:tr2bl w:val="nil"/>
                  </w:tcBorders>
                  <w:shd w:val="clear" w:color="auto" w:fill="auto"/>
                  <w:vAlign w:val="center"/>
                </w:tcPr>
                <w:p>
                  <w:pPr>
                    <w:pStyle w:val="33"/>
                    <w:rPr>
                      <w:b/>
                      <w:bCs/>
                    </w:rPr>
                  </w:pPr>
                  <w:r>
                    <w:rPr>
                      <w:rFonts w:hint="eastAsia"/>
                      <w:b/>
                      <w:bCs/>
                    </w:rPr>
                    <w:t>最大存在总量q</w:t>
                  </w:r>
                  <w:r>
                    <w:rPr>
                      <w:rFonts w:hint="eastAsia"/>
                      <w:b/>
                      <w:bCs/>
                      <w:vertAlign w:val="subscript"/>
                    </w:rPr>
                    <w:t xml:space="preserve"> n</w:t>
                  </w:r>
                  <w:r>
                    <w:rPr>
                      <w:rFonts w:hint="eastAsia"/>
                      <w:b/>
                      <w:bCs/>
                    </w:rPr>
                    <w:t>/t</w:t>
                  </w:r>
                </w:p>
              </w:tc>
              <w:tc>
                <w:tcPr>
                  <w:tcW w:w="1066" w:type="pct"/>
                  <w:tcBorders>
                    <w:tl2br w:val="nil"/>
                    <w:tr2bl w:val="nil"/>
                  </w:tcBorders>
                  <w:shd w:val="clear" w:color="auto" w:fill="auto"/>
                  <w:vAlign w:val="center"/>
                </w:tcPr>
                <w:p>
                  <w:pPr>
                    <w:pStyle w:val="33"/>
                    <w:rPr>
                      <w:b/>
                      <w:bCs/>
                    </w:rPr>
                  </w:pPr>
                  <w:r>
                    <w:rPr>
                      <w:rFonts w:hint="eastAsia"/>
                      <w:b/>
                      <w:bCs/>
                    </w:rPr>
                    <w:t>该种危险物质Q值</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457" w:type="pct"/>
                  <w:tcBorders>
                    <w:tl2br w:val="nil"/>
                    <w:tr2bl w:val="nil"/>
                  </w:tcBorders>
                  <w:shd w:val="clear" w:color="auto" w:fill="auto"/>
                  <w:vAlign w:val="center"/>
                </w:tcPr>
                <w:p>
                  <w:pPr>
                    <w:pStyle w:val="33"/>
                  </w:pPr>
                  <w:r>
                    <w:rPr>
                      <w:rFonts w:hint="eastAsia"/>
                    </w:rPr>
                    <w:t>1</w:t>
                  </w:r>
                </w:p>
              </w:tc>
              <w:tc>
                <w:tcPr>
                  <w:tcW w:w="818" w:type="pct"/>
                  <w:tcBorders>
                    <w:tl2br w:val="nil"/>
                    <w:tr2bl w:val="nil"/>
                  </w:tcBorders>
                  <w:shd w:val="clear" w:color="auto" w:fill="auto"/>
                  <w:vAlign w:val="center"/>
                </w:tcPr>
                <w:p>
                  <w:pPr>
                    <w:pStyle w:val="33"/>
                  </w:pPr>
                  <w:r>
                    <w:rPr>
                      <w:rFonts w:hint="eastAsia"/>
                    </w:rPr>
                    <w:t>废油</w:t>
                  </w:r>
                </w:p>
              </w:tc>
              <w:tc>
                <w:tcPr>
                  <w:tcW w:w="805" w:type="pct"/>
                  <w:tcBorders>
                    <w:tl2br w:val="nil"/>
                    <w:tr2bl w:val="nil"/>
                  </w:tcBorders>
                  <w:shd w:val="clear" w:color="auto" w:fill="auto"/>
                  <w:vAlign w:val="center"/>
                </w:tcPr>
                <w:p>
                  <w:pPr>
                    <w:pStyle w:val="33"/>
                  </w:pPr>
                  <w:r>
                    <w:rPr>
                      <w:rFonts w:hint="eastAsia"/>
                    </w:rPr>
                    <w:t>/</w:t>
                  </w:r>
                </w:p>
              </w:tc>
              <w:tc>
                <w:tcPr>
                  <w:tcW w:w="834" w:type="pct"/>
                  <w:tcBorders>
                    <w:tl2br w:val="nil"/>
                    <w:tr2bl w:val="nil"/>
                  </w:tcBorders>
                  <w:shd w:val="clear" w:color="auto" w:fill="auto"/>
                  <w:vAlign w:val="center"/>
                </w:tcPr>
                <w:p>
                  <w:pPr>
                    <w:pStyle w:val="33"/>
                  </w:pPr>
                  <w:r>
                    <w:rPr>
                      <w:rFonts w:hint="eastAsia"/>
                    </w:rPr>
                    <w:t>2500</w:t>
                  </w:r>
                </w:p>
              </w:tc>
              <w:tc>
                <w:tcPr>
                  <w:tcW w:w="1020" w:type="pct"/>
                  <w:tcBorders>
                    <w:tl2br w:val="nil"/>
                    <w:tr2bl w:val="nil"/>
                  </w:tcBorders>
                  <w:shd w:val="clear" w:color="auto" w:fill="auto"/>
                  <w:vAlign w:val="center"/>
                </w:tcPr>
                <w:p>
                  <w:pPr>
                    <w:pStyle w:val="33"/>
                  </w:pPr>
                  <w:r>
                    <w:t>0.12</w:t>
                  </w:r>
                </w:p>
              </w:tc>
              <w:tc>
                <w:tcPr>
                  <w:tcW w:w="1066" w:type="pct"/>
                  <w:tcBorders>
                    <w:tl2br w:val="nil"/>
                    <w:tr2bl w:val="nil"/>
                  </w:tcBorders>
                  <w:shd w:val="clear" w:color="auto" w:fill="auto"/>
                  <w:vAlign w:val="center"/>
                </w:tcPr>
                <w:p>
                  <w:pPr>
                    <w:pStyle w:val="33"/>
                  </w:pPr>
                  <w:r>
                    <w:t>0.00048</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457" w:type="pct"/>
                  <w:tcBorders>
                    <w:tl2br w:val="nil"/>
                    <w:tr2bl w:val="nil"/>
                  </w:tcBorders>
                  <w:shd w:val="clear" w:color="auto" w:fill="auto"/>
                  <w:vAlign w:val="center"/>
                </w:tcPr>
                <w:p>
                  <w:pPr>
                    <w:pStyle w:val="33"/>
                  </w:pPr>
                  <w:r>
                    <w:rPr>
                      <w:rFonts w:hint="eastAsia"/>
                    </w:rPr>
                    <w:t>2</w:t>
                  </w:r>
                </w:p>
              </w:tc>
              <w:tc>
                <w:tcPr>
                  <w:tcW w:w="818" w:type="pct"/>
                  <w:tcBorders>
                    <w:tl2br w:val="nil"/>
                    <w:tr2bl w:val="nil"/>
                  </w:tcBorders>
                  <w:shd w:val="clear" w:color="auto" w:fill="auto"/>
                  <w:vAlign w:val="center"/>
                </w:tcPr>
                <w:p>
                  <w:pPr>
                    <w:pStyle w:val="33"/>
                  </w:pPr>
                  <w:r>
                    <w:rPr>
                      <w:rFonts w:hint="eastAsia"/>
                    </w:rPr>
                    <w:t>乙炔</w:t>
                  </w:r>
                </w:p>
              </w:tc>
              <w:tc>
                <w:tcPr>
                  <w:tcW w:w="805" w:type="pct"/>
                  <w:tcBorders>
                    <w:tl2br w:val="nil"/>
                    <w:tr2bl w:val="nil"/>
                  </w:tcBorders>
                  <w:shd w:val="clear" w:color="auto" w:fill="auto"/>
                  <w:vAlign w:val="center"/>
                </w:tcPr>
                <w:p>
                  <w:pPr>
                    <w:pStyle w:val="33"/>
                  </w:pPr>
                  <w:r>
                    <w:t>74-86-2</w:t>
                  </w:r>
                </w:p>
              </w:tc>
              <w:tc>
                <w:tcPr>
                  <w:tcW w:w="834" w:type="pct"/>
                  <w:tcBorders>
                    <w:tl2br w:val="nil"/>
                    <w:tr2bl w:val="nil"/>
                  </w:tcBorders>
                  <w:shd w:val="clear" w:color="auto" w:fill="auto"/>
                  <w:vAlign w:val="center"/>
                </w:tcPr>
                <w:p>
                  <w:pPr>
                    <w:pStyle w:val="33"/>
                  </w:pPr>
                  <w:r>
                    <w:rPr>
                      <w:rFonts w:hint="eastAsia"/>
                    </w:rPr>
                    <w:t>10</w:t>
                  </w:r>
                </w:p>
              </w:tc>
              <w:tc>
                <w:tcPr>
                  <w:tcW w:w="1020" w:type="pct"/>
                  <w:tcBorders>
                    <w:tl2br w:val="nil"/>
                    <w:tr2bl w:val="nil"/>
                  </w:tcBorders>
                  <w:shd w:val="clear" w:color="auto" w:fill="auto"/>
                  <w:vAlign w:val="center"/>
                </w:tcPr>
                <w:p>
                  <w:pPr>
                    <w:pStyle w:val="33"/>
                  </w:pPr>
                  <w:r>
                    <w:t>0.</w:t>
                  </w:r>
                  <w:r>
                    <w:rPr>
                      <w:rFonts w:hint="eastAsia"/>
                    </w:rPr>
                    <w:t>0</w:t>
                  </w:r>
                  <w:r>
                    <w:t>5</w:t>
                  </w:r>
                </w:p>
              </w:tc>
              <w:tc>
                <w:tcPr>
                  <w:tcW w:w="1066" w:type="pct"/>
                  <w:tcBorders>
                    <w:tl2br w:val="nil"/>
                    <w:tr2bl w:val="nil"/>
                  </w:tcBorders>
                  <w:shd w:val="clear" w:color="auto" w:fill="auto"/>
                  <w:vAlign w:val="center"/>
                </w:tcPr>
                <w:p>
                  <w:pPr>
                    <w:pStyle w:val="33"/>
                  </w:pPr>
                  <w:r>
                    <w:rPr>
                      <w:rFonts w:hint="eastAsia"/>
                    </w:rPr>
                    <w:t>0.00</w:t>
                  </w:r>
                  <w:r>
                    <w:t>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3934" w:type="pct"/>
                  <w:gridSpan w:val="5"/>
                  <w:tcBorders>
                    <w:tl2br w:val="nil"/>
                    <w:tr2bl w:val="nil"/>
                  </w:tcBorders>
                  <w:shd w:val="clear" w:color="auto" w:fill="auto"/>
                  <w:vAlign w:val="center"/>
                </w:tcPr>
                <w:p>
                  <w:pPr>
                    <w:pStyle w:val="33"/>
                  </w:pPr>
                  <w:r>
                    <w:t>项目Q值∑</w:t>
                  </w:r>
                </w:p>
              </w:tc>
              <w:tc>
                <w:tcPr>
                  <w:tcW w:w="1066" w:type="pct"/>
                  <w:tcBorders>
                    <w:tl2br w:val="nil"/>
                    <w:tr2bl w:val="nil"/>
                  </w:tcBorders>
                  <w:shd w:val="clear" w:color="auto" w:fill="auto"/>
                  <w:vAlign w:val="center"/>
                </w:tcPr>
                <w:p>
                  <w:pPr>
                    <w:pStyle w:val="33"/>
                  </w:pPr>
                  <w:r>
                    <w:t>0.005048</w:t>
                  </w:r>
                </w:p>
              </w:tc>
            </w:tr>
          </w:tbl>
          <w:p>
            <w:pPr>
              <w:ind w:firstLine="480"/>
            </w:pPr>
            <w:r>
              <w:t>经上表计算，Q值为0.005048，</w:t>
            </w:r>
            <w:r>
              <w:rPr>
                <w:rFonts w:hint="eastAsia"/>
              </w:rPr>
              <w:t>当Q＜1时，该项目环境风险潜势为I</w:t>
            </w:r>
            <w:r>
              <w:t>。</w:t>
            </w:r>
          </w:p>
          <w:p>
            <w:pPr>
              <w:pStyle w:val="35"/>
            </w:pPr>
            <w:r>
              <w:t>表4-8</w:t>
            </w:r>
            <w:r>
              <w:rPr>
                <w:rFonts w:hint="eastAsia"/>
              </w:rPr>
              <w:t xml:space="preserve">  </w:t>
            </w:r>
            <w:r>
              <w:t>评价工作等级划分</w:t>
            </w:r>
          </w:p>
          <w:tbl>
            <w:tblPr>
              <w:tblStyle w:val="22"/>
              <w:tblW w:w="47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7"/>
              <w:gridCol w:w="1557"/>
              <w:gridCol w:w="1523"/>
              <w:gridCol w:w="1517"/>
              <w:gridCol w:w="151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4" w:type="dxa"/>
                  <w:vAlign w:val="center"/>
                </w:tcPr>
                <w:p>
                  <w:pPr>
                    <w:pStyle w:val="33"/>
                    <w:rPr>
                      <w:b/>
                      <w:bCs/>
                    </w:rPr>
                  </w:pPr>
                  <w:r>
                    <w:rPr>
                      <w:b/>
                      <w:bCs/>
                    </w:rPr>
                    <w:t>环境风险潜势</w:t>
                  </w:r>
                </w:p>
              </w:tc>
              <w:tc>
                <w:tcPr>
                  <w:tcW w:w="1744" w:type="dxa"/>
                  <w:vAlign w:val="center"/>
                </w:tcPr>
                <w:p>
                  <w:pPr>
                    <w:pStyle w:val="33"/>
                    <w:rPr>
                      <w:b/>
                      <w:bCs/>
                    </w:rPr>
                  </w:pPr>
                  <w:r>
                    <w:rPr>
                      <w:b/>
                      <w:bCs/>
                    </w:rPr>
                    <w:t>IV、IV</w:t>
                  </w:r>
                  <w:r>
                    <w:rPr>
                      <w:b/>
                      <w:bCs/>
                      <w:vertAlign w:val="superscript"/>
                    </w:rPr>
                    <w:t xml:space="preserve"> +</w:t>
                  </w:r>
                </w:p>
              </w:tc>
              <w:tc>
                <w:tcPr>
                  <w:tcW w:w="1744" w:type="dxa"/>
                  <w:vAlign w:val="center"/>
                </w:tcPr>
                <w:p>
                  <w:pPr>
                    <w:pStyle w:val="33"/>
                    <w:rPr>
                      <w:b/>
                      <w:bCs/>
                    </w:rPr>
                  </w:pPr>
                  <w:r>
                    <w:rPr>
                      <w:b/>
                      <w:bCs/>
                    </w:rPr>
                    <w:t>III</w:t>
                  </w:r>
                </w:p>
              </w:tc>
              <w:tc>
                <w:tcPr>
                  <w:tcW w:w="1744" w:type="dxa"/>
                  <w:vAlign w:val="center"/>
                </w:tcPr>
                <w:p>
                  <w:pPr>
                    <w:pStyle w:val="33"/>
                    <w:rPr>
                      <w:b/>
                      <w:bCs/>
                    </w:rPr>
                  </w:pPr>
                  <w:r>
                    <w:rPr>
                      <w:b/>
                      <w:bCs/>
                    </w:rPr>
                    <w:t>II</w:t>
                  </w:r>
                </w:p>
              </w:tc>
              <w:tc>
                <w:tcPr>
                  <w:tcW w:w="1745" w:type="dxa"/>
                  <w:vAlign w:val="center"/>
                </w:tcPr>
                <w:p>
                  <w:pPr>
                    <w:pStyle w:val="33"/>
                    <w:rPr>
                      <w:b/>
                      <w:bCs/>
                    </w:rPr>
                  </w:pPr>
                  <w:r>
                    <w:rPr>
                      <w:b/>
                      <w:bCs/>
                    </w:rPr>
                    <w:t>I</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44" w:type="dxa"/>
                  <w:vAlign w:val="center"/>
                </w:tcPr>
                <w:p>
                  <w:pPr>
                    <w:pStyle w:val="33"/>
                    <w:rPr>
                      <w:b/>
                      <w:bCs/>
                    </w:rPr>
                  </w:pPr>
                  <w:r>
                    <w:rPr>
                      <w:b/>
                      <w:bCs/>
                    </w:rPr>
                    <w:t>评价工作等级</w:t>
                  </w:r>
                </w:p>
              </w:tc>
              <w:tc>
                <w:tcPr>
                  <w:tcW w:w="1744" w:type="dxa"/>
                  <w:vAlign w:val="center"/>
                </w:tcPr>
                <w:p>
                  <w:pPr>
                    <w:pStyle w:val="33"/>
                    <w:rPr>
                      <w:b/>
                      <w:bCs/>
                    </w:rPr>
                  </w:pPr>
                  <w:r>
                    <w:rPr>
                      <w:b/>
                      <w:bCs/>
                    </w:rPr>
                    <w:t>一</w:t>
                  </w:r>
                </w:p>
              </w:tc>
              <w:tc>
                <w:tcPr>
                  <w:tcW w:w="1744" w:type="dxa"/>
                  <w:vAlign w:val="center"/>
                </w:tcPr>
                <w:p>
                  <w:pPr>
                    <w:pStyle w:val="33"/>
                    <w:rPr>
                      <w:b/>
                      <w:bCs/>
                    </w:rPr>
                  </w:pPr>
                  <w:r>
                    <w:rPr>
                      <w:b/>
                      <w:bCs/>
                    </w:rPr>
                    <w:t>二</w:t>
                  </w:r>
                </w:p>
              </w:tc>
              <w:tc>
                <w:tcPr>
                  <w:tcW w:w="1744" w:type="dxa"/>
                  <w:vAlign w:val="center"/>
                </w:tcPr>
                <w:p>
                  <w:pPr>
                    <w:pStyle w:val="33"/>
                    <w:rPr>
                      <w:b/>
                      <w:bCs/>
                    </w:rPr>
                  </w:pPr>
                  <w:r>
                    <w:rPr>
                      <w:b/>
                      <w:bCs/>
                    </w:rPr>
                    <w:t>三</w:t>
                  </w:r>
                </w:p>
              </w:tc>
              <w:tc>
                <w:tcPr>
                  <w:tcW w:w="1745" w:type="dxa"/>
                  <w:vAlign w:val="center"/>
                </w:tcPr>
                <w:p>
                  <w:pPr>
                    <w:pStyle w:val="33"/>
                    <w:rPr>
                      <w:b/>
                      <w:bCs/>
                    </w:rPr>
                  </w:pPr>
                  <w:r>
                    <w:rPr>
                      <w:b/>
                      <w:bCs/>
                    </w:rPr>
                    <w:t>简单分析</w:t>
                  </w:r>
                  <w:r>
                    <w:rPr>
                      <w:b/>
                      <w:bCs/>
                      <w:vertAlign w:val="superscript"/>
                    </w:rPr>
                    <w: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21" w:type="dxa"/>
                  <w:gridSpan w:val="5"/>
                  <w:vAlign w:val="center"/>
                </w:tcPr>
                <w:p>
                  <w:pPr>
                    <w:pStyle w:val="33"/>
                  </w:pPr>
                  <w:r>
                    <w:t>a  是相对于详细评价工作内容而言，在描述危险物质、环境影响途径、环境危害后果、风险防范措施等方面给出定性的说明。见附录A。</w:t>
                  </w:r>
                </w:p>
              </w:tc>
            </w:tr>
          </w:tbl>
          <w:p>
            <w:pPr>
              <w:ind w:firstLine="480"/>
            </w:pPr>
            <w:r>
              <w:t>根据导则要求，本项目环境风险潜势为I，环境风险评价等级为简单分析。</w:t>
            </w:r>
          </w:p>
          <w:p>
            <w:pPr>
              <w:ind w:firstLine="482"/>
              <w:rPr>
                <w:b/>
              </w:rPr>
            </w:pPr>
            <w:r>
              <w:rPr>
                <w:rFonts w:hint="eastAsia"/>
                <w:b/>
              </w:rPr>
              <w:t>7.3环境风险识别</w:t>
            </w:r>
          </w:p>
          <w:p>
            <w:pPr>
              <w:ind w:firstLine="482"/>
              <w:rPr>
                <w:b/>
              </w:rPr>
            </w:pPr>
            <w:r>
              <w:rPr>
                <w:rFonts w:hint="eastAsia"/>
                <w:b/>
              </w:rPr>
              <w:t>7.3.1物质危险性识别</w:t>
            </w:r>
          </w:p>
          <w:p>
            <w:pPr>
              <w:ind w:firstLine="480"/>
            </w:pPr>
            <w:r>
              <w:rPr>
                <w:rFonts w:hint="eastAsia"/>
              </w:rPr>
              <w:t>本项目存在的风险物质为废矿物油和氧割过程中使用的乙炔、液氧。</w:t>
            </w:r>
            <w:r>
              <w:t>其危险特性见下表：</w:t>
            </w:r>
          </w:p>
          <w:p>
            <w:pPr>
              <w:ind w:firstLine="480"/>
            </w:pPr>
            <w:r>
              <w:t>（1）汽油危害性识别</w:t>
            </w:r>
          </w:p>
          <w:p>
            <w:pPr>
              <w:ind w:firstLine="480"/>
            </w:pPr>
            <w:r>
              <w:t>汽油属甲类低闪点易燃液体，具有燃烧爆炸危险和一定的毒害性。汽油液体闪点为-50</w:t>
            </w:r>
            <w:r>
              <w:rPr>
                <w:rFonts w:hint="eastAsia"/>
              </w:rPr>
              <w:t>℃</w:t>
            </w:r>
            <w:r>
              <w:t>，有流动性，遇明火、高热极易燃烧爆炸；易挥发，其蒸汽与空气混合可形成爆炸性混合气体，有扩散性，遇明火会引起着火、回燃。汽油的主要特性见表4-9。</w:t>
            </w:r>
          </w:p>
          <w:p>
            <w:pPr>
              <w:widowControl w:val="0"/>
              <w:tabs>
                <w:tab w:val="left" w:pos="360"/>
              </w:tabs>
              <w:spacing w:before="156" w:beforeLines="50" w:line="240" w:lineRule="auto"/>
              <w:ind w:firstLine="0" w:firstLineChars="0"/>
              <w:jc w:val="center"/>
              <w:rPr>
                <w:rFonts w:cs="Times New Roman"/>
                <w:b/>
                <w:bCs/>
                <w:kern w:val="2"/>
                <w:sz w:val="21"/>
                <w:szCs w:val="21"/>
              </w:rPr>
            </w:pPr>
            <w:r>
              <w:rPr>
                <w:rFonts w:cs="Times New Roman"/>
                <w:b/>
                <w:bCs/>
                <w:kern w:val="2"/>
                <w:sz w:val="21"/>
                <w:szCs w:val="21"/>
              </w:rPr>
              <w:t>表4-9</w:t>
            </w:r>
            <w:r>
              <w:rPr>
                <w:rFonts w:hint="eastAsia" w:cs="Times New Roman"/>
                <w:b/>
                <w:bCs/>
                <w:kern w:val="2"/>
                <w:sz w:val="21"/>
                <w:szCs w:val="21"/>
              </w:rPr>
              <w:t xml:space="preserve">  </w:t>
            </w:r>
            <w:r>
              <w:rPr>
                <w:rFonts w:cs="Times New Roman"/>
                <w:b/>
                <w:bCs/>
                <w:kern w:val="2"/>
                <w:sz w:val="21"/>
                <w:szCs w:val="21"/>
              </w:rPr>
              <w:t>汽油的理化性质和危险特性一览表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1999"/>
              <w:gridCol w:w="781"/>
              <w:gridCol w:w="1435"/>
              <w:gridCol w:w="386"/>
              <w:gridCol w:w="19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6"/>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第一部分    危险性概述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危险性类别：</w:t>
                  </w:r>
                </w:p>
              </w:tc>
              <w:tc>
                <w:tcPr>
                  <w:tcW w:w="1730"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第3.1类低闪点易燃液体。</w:t>
                  </w:r>
                </w:p>
              </w:tc>
              <w:tc>
                <w:tcPr>
                  <w:tcW w:w="1133"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燃爆危险：</w:t>
                  </w:r>
                </w:p>
              </w:tc>
              <w:tc>
                <w:tcPr>
                  <w:tcW w:w="121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易燃。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侵入途径：</w:t>
                  </w:r>
                </w:p>
              </w:tc>
              <w:tc>
                <w:tcPr>
                  <w:tcW w:w="1730"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吸入、食入、经皮吸收。</w:t>
                  </w:r>
                </w:p>
              </w:tc>
              <w:tc>
                <w:tcPr>
                  <w:tcW w:w="1133"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有害燃烧产物：</w:t>
                  </w:r>
                </w:p>
              </w:tc>
              <w:tc>
                <w:tcPr>
                  <w:tcW w:w="121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一氧化碳、二氧化碳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323" w:hRule="atLeas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健康危害：</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主要作用于中枢神经系统，急性中毒症状有头晕、头痛、恶心、呕吐、步态不稳、共济失调。高浓度吸入出现中毒性脑病。极高浓度吸入引起意识突然丧失，反射性呼吸停止及化学性肺炎。可致角膜溃疡、穿孔、甚至失明。皮肤接触致急性接触性皮炎或过敏性皮炎。急性经口中毒引起急性胃肠炎，重者出现类似急性吸入中毒症状。慢性中毒：神经衰弱综合症，周围神经病，皮肤损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环境危害：</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该物质对环境有危害，应特别注意对地表水、土壤、大气和饮用水的污染。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6"/>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第二部分   理化特性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外观及性状：</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无色或淡黄色易挥发液体，具有特殊臭味。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熔点（</w:t>
                  </w:r>
                  <w:r>
                    <w:rPr>
                      <w:rFonts w:hint="eastAsia" w:cs="宋体"/>
                      <w:kern w:val="2"/>
                      <w:sz w:val="21"/>
                      <w:szCs w:val="21"/>
                    </w:rPr>
                    <w:t>℃</w:t>
                  </w:r>
                  <w:r>
                    <w:rPr>
                      <w:rFonts w:cs="Times New Roman"/>
                      <w:kern w:val="2"/>
                      <w:sz w:val="21"/>
                      <w:szCs w:val="21"/>
                    </w:rPr>
                    <w:t>）：</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&lt;-60</w:t>
                  </w:r>
                </w:p>
              </w:tc>
              <w:tc>
                <w:tcPr>
                  <w:tcW w:w="1379"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相对密度（水＝1）</w:t>
                  </w:r>
                </w:p>
              </w:tc>
              <w:tc>
                <w:tcPr>
                  <w:tcW w:w="1456"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0.70～0.79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闪点（</w:t>
                  </w:r>
                  <w:r>
                    <w:rPr>
                      <w:rFonts w:hint="eastAsia" w:cs="宋体"/>
                      <w:kern w:val="2"/>
                      <w:sz w:val="21"/>
                      <w:szCs w:val="21"/>
                    </w:rPr>
                    <w:t>℃</w:t>
                  </w:r>
                  <w:r>
                    <w:rPr>
                      <w:rFonts w:cs="Times New Roman"/>
                      <w:kern w:val="2"/>
                      <w:sz w:val="21"/>
                      <w:szCs w:val="21"/>
                    </w:rPr>
                    <w:t>）：</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-50</w:t>
                  </w:r>
                </w:p>
              </w:tc>
              <w:tc>
                <w:tcPr>
                  <w:tcW w:w="1379"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相对密度（空气=1）</w:t>
                  </w:r>
                </w:p>
              </w:tc>
              <w:tc>
                <w:tcPr>
                  <w:tcW w:w="1456"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引燃温度（</w:t>
                  </w:r>
                  <w:r>
                    <w:rPr>
                      <w:rFonts w:hint="eastAsia" w:cs="宋体"/>
                      <w:kern w:val="2"/>
                      <w:sz w:val="21"/>
                      <w:szCs w:val="21"/>
                    </w:rPr>
                    <w:t>℃</w:t>
                  </w:r>
                  <w:r>
                    <w:rPr>
                      <w:rFonts w:cs="Times New Roman"/>
                      <w:kern w:val="2"/>
                      <w:sz w:val="21"/>
                      <w:szCs w:val="21"/>
                    </w:rPr>
                    <w:t>）：</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415～530</w:t>
                  </w:r>
                </w:p>
              </w:tc>
              <w:tc>
                <w:tcPr>
                  <w:tcW w:w="1379"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爆炸上限％（V/V）：</w:t>
                  </w:r>
                </w:p>
              </w:tc>
              <w:tc>
                <w:tcPr>
                  <w:tcW w:w="1456"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沸点（</w:t>
                  </w:r>
                  <w:r>
                    <w:rPr>
                      <w:rFonts w:hint="eastAsia" w:cs="宋体"/>
                      <w:kern w:val="2"/>
                      <w:sz w:val="21"/>
                      <w:szCs w:val="21"/>
                    </w:rPr>
                    <w:t>℃</w:t>
                  </w:r>
                  <w:r>
                    <w:rPr>
                      <w:rFonts w:cs="Times New Roman"/>
                      <w:kern w:val="2"/>
                      <w:sz w:val="21"/>
                      <w:szCs w:val="21"/>
                    </w:rPr>
                    <w:t>）：</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40～200</w:t>
                  </w:r>
                </w:p>
              </w:tc>
              <w:tc>
                <w:tcPr>
                  <w:tcW w:w="1379"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爆炸下限％（V/V）：</w:t>
                  </w:r>
                </w:p>
              </w:tc>
              <w:tc>
                <w:tcPr>
                  <w:tcW w:w="1456"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溶解性：</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不溶于水、易溶于苯、二硫化碳、醇、易溶于脂肪。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主要用途：</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主要用作汽油机的燃料，用于橡胶、制鞋、印刷、制革、等行业，也可用作机械零件的去污剂。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6"/>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第三部分   稳定性及化学活性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稳定性：</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稳定</w:t>
                  </w:r>
                </w:p>
              </w:tc>
              <w:tc>
                <w:tcPr>
                  <w:tcW w:w="1379"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避免接触的条件：</w:t>
                  </w:r>
                </w:p>
              </w:tc>
              <w:tc>
                <w:tcPr>
                  <w:tcW w:w="1456"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明火、高热。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禁配物：</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强氧化剂</w:t>
                  </w:r>
                </w:p>
              </w:tc>
              <w:tc>
                <w:tcPr>
                  <w:tcW w:w="1379"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聚合危害：</w:t>
                  </w:r>
                </w:p>
              </w:tc>
              <w:tc>
                <w:tcPr>
                  <w:tcW w:w="1456"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不聚合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分解产物：</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一氧化碳、二氧化碳。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6"/>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第四部分  毒理学资料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急性毒性：</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LD50  67000mg/kg（小鼠经口），（120号溶剂汽油）</w:t>
                  </w:r>
                </w:p>
                <w:p>
                  <w:pPr>
                    <w:widowControl w:val="0"/>
                    <w:spacing w:line="240" w:lineRule="auto"/>
                    <w:ind w:firstLine="0" w:firstLineChars="0"/>
                    <w:jc w:val="center"/>
                    <w:rPr>
                      <w:rFonts w:cs="Times New Roman"/>
                      <w:kern w:val="2"/>
                      <w:sz w:val="21"/>
                      <w:szCs w:val="21"/>
                    </w:rPr>
                  </w:pPr>
                  <w:r>
                    <w:rPr>
                      <w:rFonts w:cs="Times New Roman"/>
                      <w:kern w:val="2"/>
                      <w:sz w:val="21"/>
                      <w:szCs w:val="21"/>
                    </w:rPr>
                    <w:t>LC50  103000mg/m</w:t>
                  </w:r>
                  <w:r>
                    <w:rPr>
                      <w:rFonts w:cs="Times New Roman"/>
                      <w:kern w:val="2"/>
                      <w:sz w:val="21"/>
                      <w:szCs w:val="21"/>
                      <w:vertAlign w:val="superscript"/>
                    </w:rPr>
                    <w:t>3</w:t>
                  </w:r>
                  <w:r>
                    <w:rPr>
                      <w:rFonts w:cs="Times New Roman"/>
                      <w:kern w:val="2"/>
                      <w:sz w:val="21"/>
                      <w:szCs w:val="21"/>
                    </w:rPr>
                    <w:t>小鼠，2小时（120号溶剂汽油）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急性中毒：</w:t>
                  </w:r>
                </w:p>
              </w:tc>
              <w:tc>
                <w:tcPr>
                  <w:tcW w:w="4079" w:type="pct"/>
                  <w:gridSpan w:val="5"/>
                  <w:vAlign w:val="center"/>
                </w:tcPr>
                <w:p>
                  <w:pPr>
                    <w:widowControl w:val="0"/>
                    <w:spacing w:line="240" w:lineRule="auto"/>
                    <w:ind w:firstLine="0" w:firstLineChars="0"/>
                    <w:rPr>
                      <w:rFonts w:cs="Times New Roman"/>
                      <w:kern w:val="2"/>
                      <w:sz w:val="21"/>
                      <w:szCs w:val="21"/>
                    </w:rPr>
                  </w:pPr>
                  <w:r>
                    <w:rPr>
                      <w:rFonts w:cs="Times New Roman"/>
                      <w:kern w:val="2"/>
                      <w:sz w:val="21"/>
                      <w:szCs w:val="21"/>
                    </w:rPr>
                    <w:t>高浓度吸入出现中毒性脑病。极高浓度吸入引起意识突然丧失、反射性呼吸停止和化学性肺炎。可致角膜溃疡、穿孔，甚至失明。皮肤接触致急性接触性皮炎或过敏性皮炎。急性经口中毒引起急性胃肠炎；重者出现类似急性吸入中毒症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慢性中毒：</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神经衰弱综合症，周围神经病，皮肤损害。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刺激性：</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人经眼：140ppm（8小时），轻度刺激。</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921"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最高容许浓度</w:t>
                  </w:r>
                </w:p>
              </w:tc>
              <w:tc>
                <w:tcPr>
                  <w:tcW w:w="4079" w:type="pct"/>
                  <w:gridSpan w:val="5"/>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300mg/m</w:t>
                  </w:r>
                  <w:r>
                    <w:rPr>
                      <w:rFonts w:cs="Times New Roman"/>
                      <w:kern w:val="2"/>
                      <w:sz w:val="21"/>
                      <w:szCs w:val="21"/>
                      <w:vertAlign w:val="superscript"/>
                    </w:rPr>
                    <w:t>3</w:t>
                  </w:r>
                </w:p>
              </w:tc>
            </w:tr>
          </w:tbl>
          <w:p>
            <w:pPr>
              <w:ind w:firstLine="480"/>
            </w:pPr>
            <w:r>
              <w:t>（2）柴油、机油危害性识别</w:t>
            </w:r>
          </w:p>
          <w:p>
            <w:pPr>
              <w:ind w:firstLine="480"/>
            </w:pPr>
            <w:r>
              <w:t>柴油属于高温可燃液体，机油又叫发动机润滑油，能对发动机起到润滑、清洁、冷却、密封、减磨等作用，柴油、机油其特性分别见表4-10、表4-11</w:t>
            </w:r>
            <w:r>
              <w:rPr>
                <w:rFonts w:hint="eastAsia"/>
              </w:rPr>
              <w:t>。</w:t>
            </w:r>
          </w:p>
          <w:p>
            <w:pPr>
              <w:widowControl w:val="0"/>
              <w:tabs>
                <w:tab w:val="left" w:pos="360"/>
              </w:tabs>
              <w:spacing w:before="156" w:beforeLines="50" w:line="240" w:lineRule="auto"/>
              <w:ind w:firstLine="0" w:firstLineChars="0"/>
              <w:jc w:val="center"/>
              <w:rPr>
                <w:rFonts w:cs="Times New Roman"/>
                <w:b/>
                <w:bCs/>
                <w:kern w:val="2"/>
                <w:sz w:val="21"/>
                <w:szCs w:val="21"/>
              </w:rPr>
            </w:pPr>
            <w:r>
              <w:rPr>
                <w:rFonts w:cs="Times New Roman"/>
                <w:b/>
                <w:bCs/>
                <w:kern w:val="2"/>
                <w:sz w:val="21"/>
                <w:szCs w:val="21"/>
              </w:rPr>
              <w:t>表4-10</w:t>
            </w:r>
            <w:r>
              <w:rPr>
                <w:rFonts w:hint="eastAsia" w:cs="Times New Roman"/>
                <w:b/>
                <w:bCs/>
                <w:kern w:val="2"/>
                <w:sz w:val="21"/>
                <w:szCs w:val="21"/>
              </w:rPr>
              <w:t xml:space="preserve">  </w:t>
            </w:r>
            <w:r>
              <w:rPr>
                <w:rFonts w:cs="Times New Roman"/>
                <w:b/>
                <w:bCs/>
                <w:kern w:val="2"/>
                <w:sz w:val="21"/>
                <w:szCs w:val="21"/>
              </w:rPr>
              <w:t>柴油的理化性质和危险特性一览表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681"/>
              <w:gridCol w:w="378"/>
              <w:gridCol w:w="389"/>
              <w:gridCol w:w="1335"/>
              <w:gridCol w:w="129"/>
              <w:gridCol w:w="252"/>
              <w:gridCol w:w="206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8"/>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第一部分危险性概述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危险性类别：</w:t>
                  </w:r>
                </w:p>
              </w:tc>
              <w:tc>
                <w:tcPr>
                  <w:tcW w:w="1523"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第3.3类高闪点易燃液体</w:t>
                  </w:r>
                </w:p>
              </w:tc>
              <w:tc>
                <w:tcPr>
                  <w:tcW w:w="1068"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燃爆危险：</w:t>
                  </w:r>
                </w:p>
              </w:tc>
              <w:tc>
                <w:tcPr>
                  <w:tcW w:w="1283"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易燃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侵入途径：</w:t>
                  </w:r>
                </w:p>
              </w:tc>
              <w:tc>
                <w:tcPr>
                  <w:tcW w:w="1523"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吸入、食入、经皮吸收</w:t>
                  </w:r>
                </w:p>
              </w:tc>
              <w:tc>
                <w:tcPr>
                  <w:tcW w:w="1068"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有害燃烧产物：</w:t>
                  </w:r>
                </w:p>
              </w:tc>
              <w:tc>
                <w:tcPr>
                  <w:tcW w:w="1283"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一氧化碳、二氧化碳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环境危害：</w:t>
                  </w:r>
                </w:p>
              </w:tc>
              <w:tc>
                <w:tcPr>
                  <w:tcW w:w="3874" w:type="pct"/>
                  <w:gridSpan w:val="7"/>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该物质对环境有危害，应特别注意对地表水、土壤、大气和饮用水的污染。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8"/>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第二部分理化特性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外观及性状：</w:t>
                  </w:r>
                </w:p>
              </w:tc>
              <w:tc>
                <w:tcPr>
                  <w:tcW w:w="128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稍有粘性的棕色液体。</w:t>
                  </w:r>
                </w:p>
              </w:tc>
              <w:tc>
                <w:tcPr>
                  <w:tcW w:w="1153"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主要用途：</w:t>
                  </w:r>
                </w:p>
              </w:tc>
              <w:tc>
                <w:tcPr>
                  <w:tcW w:w="1440"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用作柴油机的燃料等。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闪点（</w:t>
                  </w:r>
                  <w:r>
                    <w:rPr>
                      <w:rFonts w:hint="eastAsia" w:cs="宋体"/>
                      <w:kern w:val="2"/>
                      <w:sz w:val="21"/>
                      <w:szCs w:val="21"/>
                    </w:rPr>
                    <w:t>℃</w:t>
                  </w:r>
                  <w:r>
                    <w:rPr>
                      <w:rFonts w:cs="Times New Roman"/>
                      <w:kern w:val="2"/>
                      <w:sz w:val="21"/>
                      <w:szCs w:val="21"/>
                    </w:rPr>
                    <w:t>）：</w:t>
                  </w:r>
                </w:p>
              </w:tc>
              <w:tc>
                <w:tcPr>
                  <w:tcW w:w="1281" w:type="pct"/>
                  <w:gridSpan w:val="2"/>
                  <w:vAlign w:val="center"/>
                </w:tcPr>
                <w:p>
                  <w:pPr>
                    <w:widowControl w:val="0"/>
                    <w:spacing w:line="240" w:lineRule="auto"/>
                    <w:ind w:firstLine="420"/>
                    <w:jc w:val="center"/>
                    <w:rPr>
                      <w:rFonts w:cs="Times New Roman"/>
                      <w:kern w:val="2"/>
                      <w:sz w:val="21"/>
                      <w:szCs w:val="21"/>
                    </w:rPr>
                  </w:pPr>
                  <w:r>
                    <w:rPr>
                      <w:rFonts w:cs="Times New Roman"/>
                      <w:kern w:val="2"/>
                      <w:sz w:val="21"/>
                      <w:szCs w:val="21"/>
                    </w:rPr>
                    <w:t>45～55</w:t>
                  </w:r>
                  <w:r>
                    <w:rPr>
                      <w:rFonts w:hint="eastAsia" w:cs="宋体"/>
                      <w:kern w:val="2"/>
                      <w:sz w:val="21"/>
                      <w:szCs w:val="21"/>
                    </w:rPr>
                    <w:t>℃</w:t>
                  </w:r>
                </w:p>
              </w:tc>
              <w:tc>
                <w:tcPr>
                  <w:tcW w:w="1153"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相对密度（水＝1）：</w:t>
                  </w:r>
                </w:p>
              </w:tc>
              <w:tc>
                <w:tcPr>
                  <w:tcW w:w="1440" w:type="pct"/>
                  <w:gridSpan w:val="2"/>
                  <w:vAlign w:val="center"/>
                </w:tcPr>
                <w:p>
                  <w:pPr>
                    <w:widowControl w:val="0"/>
                    <w:spacing w:line="240" w:lineRule="auto"/>
                    <w:ind w:firstLine="210" w:firstLineChars="100"/>
                    <w:jc w:val="center"/>
                    <w:rPr>
                      <w:rFonts w:cs="Times New Roman"/>
                      <w:kern w:val="2"/>
                      <w:sz w:val="21"/>
                      <w:szCs w:val="21"/>
                    </w:rPr>
                  </w:pPr>
                  <w:r>
                    <w:rPr>
                      <w:rFonts w:cs="Times New Roman"/>
                      <w:kern w:val="2"/>
                      <w:sz w:val="21"/>
                      <w:szCs w:val="21"/>
                    </w:rPr>
                    <w:t>0.87～0.9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沸点（</w:t>
                  </w:r>
                  <w:r>
                    <w:rPr>
                      <w:rFonts w:hint="eastAsia" w:cs="宋体"/>
                      <w:kern w:val="2"/>
                      <w:sz w:val="21"/>
                      <w:szCs w:val="21"/>
                    </w:rPr>
                    <w:t>℃</w:t>
                  </w:r>
                  <w:r>
                    <w:rPr>
                      <w:rFonts w:cs="Times New Roman"/>
                      <w:kern w:val="2"/>
                      <w:sz w:val="21"/>
                      <w:szCs w:val="21"/>
                    </w:rPr>
                    <w:t>）：</w:t>
                  </w:r>
                </w:p>
              </w:tc>
              <w:tc>
                <w:tcPr>
                  <w:tcW w:w="1281" w:type="pct"/>
                  <w:gridSpan w:val="2"/>
                  <w:vAlign w:val="center"/>
                </w:tcPr>
                <w:p>
                  <w:pPr>
                    <w:widowControl w:val="0"/>
                    <w:spacing w:line="240" w:lineRule="auto"/>
                    <w:ind w:firstLine="420"/>
                    <w:jc w:val="center"/>
                    <w:rPr>
                      <w:rFonts w:cs="Times New Roman"/>
                      <w:kern w:val="2"/>
                      <w:sz w:val="21"/>
                      <w:szCs w:val="21"/>
                    </w:rPr>
                  </w:pPr>
                  <w:r>
                    <w:rPr>
                      <w:rFonts w:cs="Times New Roman"/>
                      <w:kern w:val="2"/>
                      <w:sz w:val="21"/>
                      <w:szCs w:val="21"/>
                    </w:rPr>
                    <w:t>200～350</w:t>
                  </w:r>
                  <w:r>
                    <w:rPr>
                      <w:rFonts w:hint="eastAsia" w:cs="宋体"/>
                      <w:kern w:val="2"/>
                      <w:sz w:val="21"/>
                      <w:szCs w:val="21"/>
                    </w:rPr>
                    <w:t>℃</w:t>
                  </w:r>
                </w:p>
              </w:tc>
              <w:tc>
                <w:tcPr>
                  <w:tcW w:w="1153"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爆炸上限％（V/V）：</w:t>
                  </w:r>
                </w:p>
              </w:tc>
              <w:tc>
                <w:tcPr>
                  <w:tcW w:w="1440" w:type="pct"/>
                  <w:gridSpan w:val="2"/>
                  <w:vAlign w:val="center"/>
                </w:tcPr>
                <w:p>
                  <w:pPr>
                    <w:widowControl w:val="0"/>
                    <w:spacing w:line="240" w:lineRule="auto"/>
                    <w:ind w:firstLine="210" w:firstLineChars="100"/>
                    <w:jc w:val="center"/>
                    <w:rPr>
                      <w:rFonts w:cs="Times New Roman"/>
                      <w:kern w:val="2"/>
                      <w:sz w:val="21"/>
                      <w:szCs w:val="21"/>
                    </w:rPr>
                  </w:pPr>
                  <w:r>
                    <w:rPr>
                      <w:rFonts w:cs="Times New Roman"/>
                      <w:kern w:val="2"/>
                      <w:sz w:val="21"/>
                      <w:szCs w:val="21"/>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自然点（</w:t>
                  </w:r>
                  <w:r>
                    <w:rPr>
                      <w:rFonts w:hint="eastAsia" w:cs="宋体"/>
                      <w:kern w:val="2"/>
                      <w:sz w:val="21"/>
                      <w:szCs w:val="21"/>
                    </w:rPr>
                    <w:t>℃</w:t>
                  </w:r>
                  <w:r>
                    <w:rPr>
                      <w:rFonts w:cs="Times New Roman"/>
                      <w:kern w:val="2"/>
                      <w:sz w:val="21"/>
                      <w:szCs w:val="21"/>
                    </w:rPr>
                    <w:t>）：</w:t>
                  </w:r>
                </w:p>
              </w:tc>
              <w:tc>
                <w:tcPr>
                  <w:tcW w:w="1281" w:type="pct"/>
                  <w:gridSpan w:val="2"/>
                  <w:vAlign w:val="center"/>
                </w:tcPr>
                <w:p>
                  <w:pPr>
                    <w:widowControl w:val="0"/>
                    <w:spacing w:line="240" w:lineRule="auto"/>
                    <w:ind w:firstLine="420"/>
                    <w:jc w:val="center"/>
                    <w:rPr>
                      <w:rFonts w:cs="Times New Roman"/>
                      <w:kern w:val="2"/>
                      <w:sz w:val="21"/>
                      <w:szCs w:val="21"/>
                    </w:rPr>
                  </w:pPr>
                  <w:r>
                    <w:rPr>
                      <w:rFonts w:cs="Times New Roman"/>
                      <w:kern w:val="2"/>
                      <w:sz w:val="21"/>
                      <w:szCs w:val="21"/>
                    </w:rPr>
                    <w:t>257</w:t>
                  </w:r>
                </w:p>
              </w:tc>
              <w:tc>
                <w:tcPr>
                  <w:tcW w:w="1153"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爆炸下限％（V/V）：</w:t>
                  </w:r>
                </w:p>
              </w:tc>
              <w:tc>
                <w:tcPr>
                  <w:tcW w:w="1440" w:type="pct"/>
                  <w:gridSpan w:val="2"/>
                  <w:vAlign w:val="center"/>
                </w:tcPr>
                <w:p>
                  <w:pPr>
                    <w:widowControl w:val="0"/>
                    <w:spacing w:line="240" w:lineRule="auto"/>
                    <w:ind w:firstLine="210" w:firstLineChars="100"/>
                    <w:jc w:val="center"/>
                    <w:rPr>
                      <w:rFonts w:cs="Times New Roman"/>
                      <w:kern w:val="2"/>
                      <w:sz w:val="21"/>
                      <w:szCs w:val="21"/>
                    </w:rPr>
                  </w:pPr>
                  <w:r>
                    <w:rPr>
                      <w:rFonts w:cs="Times New Roman"/>
                      <w:kern w:val="2"/>
                      <w:sz w:val="21"/>
                      <w:szCs w:val="21"/>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溶解性：</w:t>
                  </w:r>
                </w:p>
              </w:tc>
              <w:tc>
                <w:tcPr>
                  <w:tcW w:w="3874" w:type="pct"/>
                  <w:gridSpan w:val="7"/>
                  <w:vAlign w:val="center"/>
                </w:tcPr>
                <w:p>
                  <w:pPr>
                    <w:widowControl w:val="0"/>
                    <w:spacing w:line="240" w:lineRule="auto"/>
                    <w:ind w:firstLine="210" w:firstLineChars="100"/>
                    <w:jc w:val="center"/>
                    <w:rPr>
                      <w:rFonts w:cs="Times New Roman"/>
                      <w:kern w:val="2"/>
                      <w:sz w:val="21"/>
                      <w:szCs w:val="21"/>
                    </w:rPr>
                  </w:pPr>
                  <w:r>
                    <w:rPr>
                      <w:rFonts w:cs="Times New Roman"/>
                      <w:kern w:val="2"/>
                      <w:sz w:val="21"/>
                      <w:szCs w:val="21"/>
                    </w:rPr>
                    <w:t>不溶于水，易溶于苯、二硫化碳、醇，易溶于脂肪。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8"/>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第三部分稳定性及化学活性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稳定性：</w:t>
                  </w:r>
                </w:p>
              </w:tc>
              <w:tc>
                <w:tcPr>
                  <w:tcW w:w="1046" w:type="pct"/>
                  <w:vAlign w:val="center"/>
                </w:tcPr>
                <w:p>
                  <w:pPr>
                    <w:widowControl w:val="0"/>
                    <w:spacing w:line="240" w:lineRule="auto"/>
                    <w:ind w:firstLine="210" w:firstLineChars="100"/>
                    <w:jc w:val="center"/>
                    <w:rPr>
                      <w:rFonts w:cs="Times New Roman"/>
                      <w:kern w:val="2"/>
                      <w:sz w:val="21"/>
                      <w:szCs w:val="21"/>
                    </w:rPr>
                  </w:pPr>
                  <w:r>
                    <w:rPr>
                      <w:rFonts w:cs="Times New Roman"/>
                      <w:kern w:val="2"/>
                      <w:sz w:val="21"/>
                      <w:szCs w:val="21"/>
                    </w:rPr>
                    <w:t>稳定</w:t>
                  </w:r>
                </w:p>
              </w:tc>
              <w:tc>
                <w:tcPr>
                  <w:tcW w:w="1308"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避免接触的条件：</w:t>
                  </w:r>
                </w:p>
              </w:tc>
              <w:tc>
                <w:tcPr>
                  <w:tcW w:w="1520"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明火、高热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禁配物：</w:t>
                  </w:r>
                </w:p>
              </w:tc>
              <w:tc>
                <w:tcPr>
                  <w:tcW w:w="1046" w:type="pct"/>
                  <w:vAlign w:val="center"/>
                </w:tcPr>
                <w:p>
                  <w:pPr>
                    <w:widowControl w:val="0"/>
                    <w:spacing w:line="240" w:lineRule="auto"/>
                    <w:ind w:firstLine="210" w:firstLineChars="100"/>
                    <w:jc w:val="center"/>
                    <w:rPr>
                      <w:rFonts w:cs="Times New Roman"/>
                      <w:kern w:val="2"/>
                      <w:sz w:val="21"/>
                      <w:szCs w:val="21"/>
                    </w:rPr>
                  </w:pPr>
                  <w:r>
                    <w:rPr>
                      <w:rFonts w:cs="Times New Roman"/>
                      <w:kern w:val="2"/>
                      <w:sz w:val="21"/>
                      <w:szCs w:val="21"/>
                    </w:rPr>
                    <w:t>强氧化剂、卤素</w:t>
                  </w:r>
                </w:p>
              </w:tc>
              <w:tc>
                <w:tcPr>
                  <w:tcW w:w="1308"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聚合危害：</w:t>
                  </w:r>
                </w:p>
              </w:tc>
              <w:tc>
                <w:tcPr>
                  <w:tcW w:w="1520" w:type="pct"/>
                  <w:gridSpan w:val="3"/>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不聚合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分解产物：</w:t>
                  </w:r>
                </w:p>
              </w:tc>
              <w:tc>
                <w:tcPr>
                  <w:tcW w:w="3874" w:type="pct"/>
                  <w:gridSpan w:val="7"/>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一氧化碳、二氧化碳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5000" w:type="pct"/>
                  <w:gridSpan w:val="8"/>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第四部分毒理学资料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急性毒性：</w:t>
                  </w:r>
                </w:p>
              </w:tc>
              <w:tc>
                <w:tcPr>
                  <w:tcW w:w="3874" w:type="pct"/>
                  <w:gridSpan w:val="7"/>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LD50LC50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急性中毒：</w:t>
                  </w:r>
                </w:p>
              </w:tc>
              <w:tc>
                <w:tcPr>
                  <w:tcW w:w="3874" w:type="pct"/>
                  <w:gridSpan w:val="7"/>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皮肤接触柴油可引起接触性皮炎、油性痤疮，吸入可引起吸入性肺炎，能经胎盘进入胎儿血中。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慢性中毒：</w:t>
                  </w:r>
                </w:p>
              </w:tc>
              <w:tc>
                <w:tcPr>
                  <w:tcW w:w="3874" w:type="pct"/>
                  <w:gridSpan w:val="7"/>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柴油废气可引起眼、鼻刺激症状，头痛。</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刺激性：</w:t>
                  </w:r>
                </w:p>
              </w:tc>
              <w:tc>
                <w:tcPr>
                  <w:tcW w:w="3874" w:type="pct"/>
                  <w:gridSpan w:val="7"/>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具有刺激作用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126"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最高容许浓度</w:t>
                  </w:r>
                </w:p>
              </w:tc>
              <w:tc>
                <w:tcPr>
                  <w:tcW w:w="3874" w:type="pct"/>
                  <w:gridSpan w:val="7"/>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目前无标准</w:t>
                  </w:r>
                </w:p>
              </w:tc>
            </w:tr>
          </w:tbl>
          <w:p>
            <w:pPr>
              <w:widowControl w:val="0"/>
              <w:tabs>
                <w:tab w:val="left" w:pos="360"/>
              </w:tabs>
              <w:spacing w:before="156" w:beforeLines="50" w:line="240" w:lineRule="auto"/>
              <w:ind w:firstLine="0" w:firstLineChars="0"/>
              <w:jc w:val="center"/>
              <w:rPr>
                <w:rFonts w:cs="Times New Roman"/>
                <w:b/>
                <w:bCs/>
                <w:kern w:val="2"/>
                <w:sz w:val="21"/>
                <w:szCs w:val="21"/>
              </w:rPr>
            </w:pPr>
            <w:r>
              <w:rPr>
                <w:rFonts w:cs="Times New Roman"/>
                <w:b/>
                <w:bCs/>
                <w:kern w:val="2"/>
                <w:sz w:val="21"/>
                <w:szCs w:val="21"/>
              </w:rPr>
              <w:t>表4-11</w:t>
            </w:r>
            <w:r>
              <w:rPr>
                <w:rFonts w:hint="eastAsia" w:cs="Times New Roman"/>
                <w:b/>
                <w:bCs/>
                <w:kern w:val="2"/>
                <w:sz w:val="21"/>
                <w:szCs w:val="21"/>
              </w:rPr>
              <w:t xml:space="preserve">  </w:t>
            </w:r>
            <w:r>
              <w:rPr>
                <w:rFonts w:cs="Times New Roman"/>
                <w:b/>
                <w:bCs/>
                <w:kern w:val="2"/>
                <w:sz w:val="21"/>
                <w:szCs w:val="21"/>
              </w:rPr>
              <w:t>废</w:t>
            </w:r>
            <w:r>
              <w:rPr>
                <w:rFonts w:hint="eastAsia" w:cs="Times New Roman"/>
                <w:b/>
                <w:bCs/>
                <w:kern w:val="2"/>
                <w:sz w:val="21"/>
                <w:szCs w:val="21"/>
              </w:rPr>
              <w:t>机</w:t>
            </w:r>
            <w:r>
              <w:rPr>
                <w:rFonts w:cs="Times New Roman"/>
                <w:b/>
                <w:bCs/>
                <w:kern w:val="2"/>
                <w:sz w:val="21"/>
                <w:szCs w:val="21"/>
              </w:rPr>
              <w:t>油理化性质一览表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17"/>
              <w:gridCol w:w="1999"/>
              <w:gridCol w:w="919"/>
              <w:gridCol w:w="1220"/>
              <w:gridCol w:w="188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1255" w:type="pct"/>
                  <w:tcBorders>
                    <w:right w:val="single" w:color="auto" w:sz="2" w:space="0"/>
                  </w:tcBorders>
                  <w:vAlign w:val="center"/>
                </w:tcPr>
                <w:p>
                  <w:pPr>
                    <w:widowControl w:val="0"/>
                    <w:spacing w:line="240" w:lineRule="auto"/>
                    <w:ind w:firstLine="0" w:firstLineChars="0"/>
                    <w:jc w:val="center"/>
                    <w:rPr>
                      <w:rFonts w:cs="Times New Roman"/>
                      <w:b/>
                      <w:bCs/>
                      <w:kern w:val="2"/>
                      <w:sz w:val="21"/>
                      <w:szCs w:val="21"/>
                    </w:rPr>
                  </w:pPr>
                  <w:r>
                    <w:rPr>
                      <w:rFonts w:cs="Times New Roman"/>
                      <w:b/>
                      <w:bCs/>
                      <w:kern w:val="2"/>
                      <w:sz w:val="21"/>
                      <w:szCs w:val="21"/>
                    </w:rPr>
                    <w:t>常规分析</w:t>
                  </w:r>
                </w:p>
              </w:tc>
              <w:tc>
                <w:tcPr>
                  <w:tcW w:w="3745" w:type="pct"/>
                  <w:gridSpan w:val="4"/>
                  <w:tcBorders>
                    <w:left w:val="single" w:color="auto" w:sz="2" w:space="0"/>
                  </w:tcBorders>
                  <w:vAlign w:val="center"/>
                </w:tcPr>
                <w:p>
                  <w:pPr>
                    <w:widowControl w:val="0"/>
                    <w:spacing w:line="240" w:lineRule="auto"/>
                    <w:ind w:firstLine="0" w:firstLineChars="0"/>
                    <w:jc w:val="center"/>
                    <w:rPr>
                      <w:rFonts w:cs="Times New Roman"/>
                      <w:b/>
                      <w:bCs/>
                      <w:kern w:val="2"/>
                      <w:sz w:val="21"/>
                      <w:szCs w:val="21"/>
                    </w:rPr>
                  </w:pPr>
                  <w:r>
                    <w:rPr>
                      <w:rFonts w:cs="Times New Roman"/>
                      <w:b/>
                      <w:bCs/>
                      <w:kern w:val="2"/>
                      <w:sz w:val="21"/>
                      <w:szCs w:val="21"/>
                    </w:rPr>
                    <w:t>分析数据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tcBorders>
                    <w:righ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密度：（26</w:t>
                  </w:r>
                  <w:r>
                    <w:rPr>
                      <w:rFonts w:hint="eastAsia" w:cs="宋体"/>
                      <w:kern w:val="2"/>
                      <w:sz w:val="21"/>
                      <w:szCs w:val="21"/>
                    </w:rPr>
                    <w:t>℃</w:t>
                  </w:r>
                  <w:r>
                    <w:rPr>
                      <w:rFonts w:cs="Times New Roman"/>
                      <w:kern w:val="2"/>
                      <w:sz w:val="21"/>
                      <w:szCs w:val="21"/>
                    </w:rPr>
                    <w:t>）kg/m</w:t>
                  </w:r>
                  <w:r>
                    <w:rPr>
                      <w:rFonts w:cs="Times New Roman"/>
                      <w:kern w:val="2"/>
                      <w:sz w:val="21"/>
                      <w:szCs w:val="21"/>
                      <w:vertAlign w:val="superscript"/>
                    </w:rPr>
                    <w:t>3</w:t>
                  </w:r>
                </w:p>
              </w:tc>
              <w:tc>
                <w:tcPr>
                  <w:tcW w:w="1244" w:type="pct"/>
                  <w:tcBorders>
                    <w:lef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875.0</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V</w:t>
                  </w:r>
                  <w:r>
                    <w:rPr>
                      <w:rFonts w:cs="Times New Roman"/>
                      <w:kern w:val="2"/>
                      <w:sz w:val="21"/>
                      <w:szCs w:val="21"/>
                      <w:vertAlign w:val="subscript"/>
                    </w:rPr>
                    <w:t>100</w:t>
                  </w:r>
                  <w:r>
                    <w:rPr>
                      <w:rFonts w:hint="eastAsia" w:cs="宋体"/>
                      <w:kern w:val="2"/>
                      <w:sz w:val="21"/>
                      <w:szCs w:val="21"/>
                      <w:vertAlign w:val="subscript"/>
                    </w:rPr>
                    <w:t>℃</w:t>
                  </w:r>
                  <w:r>
                    <w:rPr>
                      <w:rFonts w:cs="Times New Roman"/>
                      <w:kern w:val="2"/>
                      <w:sz w:val="21"/>
                      <w:szCs w:val="21"/>
                    </w:rPr>
                    <w:t>:mm</w:t>
                  </w:r>
                  <w:r>
                    <w:rPr>
                      <w:rFonts w:cs="Times New Roman"/>
                      <w:kern w:val="2"/>
                      <w:sz w:val="21"/>
                      <w:szCs w:val="21"/>
                      <w:vertAlign w:val="superscript"/>
                    </w:rPr>
                    <w:t>2</w:t>
                  </w:r>
                  <w:r>
                    <w:rPr>
                      <w:rFonts w:cs="Times New Roman"/>
                      <w:kern w:val="2"/>
                      <w:sz w:val="21"/>
                      <w:szCs w:val="21"/>
                    </w:rPr>
                    <w:t>/s</w:t>
                  </w:r>
                </w:p>
              </w:tc>
              <w:tc>
                <w:tcPr>
                  <w:tcW w:w="1170"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密度：（20</w:t>
                  </w:r>
                  <w:r>
                    <w:rPr>
                      <w:rFonts w:hint="eastAsia" w:cs="宋体"/>
                      <w:kern w:val="2"/>
                      <w:sz w:val="21"/>
                      <w:szCs w:val="21"/>
                    </w:rPr>
                    <w:t>℃</w:t>
                  </w:r>
                  <w:r>
                    <w:rPr>
                      <w:rFonts w:cs="Times New Roman"/>
                      <w:kern w:val="2"/>
                      <w:sz w:val="21"/>
                      <w:szCs w:val="21"/>
                    </w:rPr>
                    <w:t>）kg/m</w:t>
                  </w:r>
                  <w:r>
                    <w:rPr>
                      <w:rFonts w:cs="Times New Roman"/>
                      <w:kern w:val="2"/>
                      <w:sz w:val="21"/>
                      <w:szCs w:val="21"/>
                      <w:vertAlign w:val="superscript"/>
                    </w:rPr>
                    <w:t>3</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882.9</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水分：%</w:t>
                  </w:r>
                </w:p>
              </w:tc>
              <w:tc>
                <w:tcPr>
                  <w:tcW w:w="1170"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杂质：%</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0.47</w:t>
                  </w:r>
                </w:p>
              </w:tc>
              <w:tc>
                <w:tcPr>
                  <w:tcW w:w="572" w:type="pct"/>
                  <w:vMerge w:val="restar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闪点：</w:t>
                  </w:r>
                  <w:r>
                    <w:rPr>
                      <w:rFonts w:hint="eastAsia" w:cs="宋体"/>
                      <w:kern w:val="2"/>
                      <w:sz w:val="21"/>
                      <w:szCs w:val="21"/>
                    </w:rPr>
                    <w:t>℃</w:t>
                  </w:r>
                </w:p>
              </w:tc>
              <w:tc>
                <w:tcPr>
                  <w:tcW w:w="759"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开口</w:t>
                  </w:r>
                </w:p>
              </w:tc>
              <w:tc>
                <w:tcPr>
                  <w:tcW w:w="1170"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蒸后损失：%</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2.59</w:t>
                  </w:r>
                </w:p>
              </w:tc>
              <w:tc>
                <w:tcPr>
                  <w:tcW w:w="572" w:type="pct"/>
                  <w:vMerge w:val="continue"/>
                  <w:vAlign w:val="center"/>
                </w:tcPr>
                <w:p>
                  <w:pPr>
                    <w:widowControl w:val="0"/>
                    <w:spacing w:line="240" w:lineRule="auto"/>
                    <w:ind w:firstLine="0" w:firstLineChars="0"/>
                    <w:jc w:val="center"/>
                    <w:rPr>
                      <w:rFonts w:cs="Times New Roman"/>
                      <w:kern w:val="2"/>
                      <w:sz w:val="21"/>
                      <w:szCs w:val="21"/>
                    </w:rPr>
                  </w:pPr>
                </w:p>
              </w:tc>
              <w:tc>
                <w:tcPr>
                  <w:tcW w:w="759"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闭口</w:t>
                  </w:r>
                </w:p>
              </w:tc>
              <w:tc>
                <w:tcPr>
                  <w:tcW w:w="1170"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tcBorders>
                    <w:righ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酸值（前）：mg（KOH）/g</w:t>
                  </w:r>
                </w:p>
              </w:tc>
              <w:tc>
                <w:tcPr>
                  <w:tcW w:w="1244" w:type="pct"/>
                  <w:tcBorders>
                    <w:lef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1.25</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酸值（后）：mg（KOH）/g</w:t>
                  </w:r>
                </w:p>
              </w:tc>
              <w:tc>
                <w:tcPr>
                  <w:tcW w:w="1170"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0.20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tcBorders>
                    <w:righ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滤纸斑点试验（a值）</w:t>
                  </w:r>
                </w:p>
              </w:tc>
              <w:tc>
                <w:tcPr>
                  <w:tcW w:w="3745" w:type="pct"/>
                  <w:gridSpan w:val="4"/>
                  <w:tcBorders>
                    <w:lef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扩散环呈黑色，油环黄色到黄褐色，a值2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tcBorders>
                    <w:righ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安全性</w:t>
                  </w:r>
                </w:p>
              </w:tc>
              <w:tc>
                <w:tcPr>
                  <w:tcW w:w="3745" w:type="pct"/>
                  <w:gridSpan w:val="4"/>
                  <w:tcBorders>
                    <w:lef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废</w:t>
                  </w:r>
                  <w:r>
                    <w:rPr>
                      <w:rFonts w:hint="eastAsia" w:cs="Times New Roman"/>
                      <w:kern w:val="2"/>
                      <w:sz w:val="21"/>
                      <w:szCs w:val="21"/>
                    </w:rPr>
                    <w:t>机</w:t>
                  </w:r>
                  <w:r>
                    <w:rPr>
                      <w:rFonts w:cs="Times New Roman"/>
                      <w:kern w:val="2"/>
                      <w:sz w:val="21"/>
                      <w:szCs w:val="21"/>
                    </w:rPr>
                    <w:t>油属难燃物质，其火灾危险性类别为B类，温度过高可能引起燃烧；若周围有引燃源，超过油液的闪点会引起火灾。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tcBorders>
                    <w:righ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馏程分析</w:t>
                  </w:r>
                </w:p>
              </w:tc>
              <w:tc>
                <w:tcPr>
                  <w:tcW w:w="1244" w:type="pct"/>
                  <w:tcBorders>
                    <w:lef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减压温度</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常压温度</w:t>
                  </w:r>
                </w:p>
              </w:tc>
              <w:tc>
                <w:tcPr>
                  <w:tcW w:w="1170"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tcBorders>
                    <w:righ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初馏点</w:t>
                  </w:r>
                </w:p>
              </w:tc>
              <w:tc>
                <w:tcPr>
                  <w:tcW w:w="1244" w:type="pct"/>
                  <w:tcBorders>
                    <w:left w:val="single" w:color="auto" w:sz="2" w:space="0"/>
                  </w:tcBorders>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80</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160</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163</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297</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180</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319</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189</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cr/>
                  </w:r>
                  <w:r>
                    <w:rPr>
                      <w:rFonts w:cs="Times New Roman"/>
                      <w:kern w:val="2"/>
                      <w:sz w:val="21"/>
                      <w:szCs w:val="21"/>
                    </w:rPr>
                    <w:t>23</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194</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328</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201</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336</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205</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340</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209</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344</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213</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348</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40%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217</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352</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45%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221</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356</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50%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225</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360</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55%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229</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364</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60%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234</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369</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65%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238</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374</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70%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242</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378</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75%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250</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368</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80%</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259</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394</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5"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85%</w:t>
                  </w:r>
                </w:p>
              </w:tc>
              <w:tc>
                <w:tcPr>
                  <w:tcW w:w="1244" w:type="pct"/>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268</w:t>
                  </w:r>
                </w:p>
              </w:tc>
              <w:tc>
                <w:tcPr>
                  <w:tcW w:w="1331" w:type="pct"/>
                  <w:gridSpan w:val="2"/>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402</w:t>
                  </w:r>
                </w:p>
              </w:tc>
              <w:tc>
                <w:tcPr>
                  <w:tcW w:w="1170" w:type="pct"/>
                  <w:vAlign w:val="center"/>
                </w:tcPr>
                <w:p>
                  <w:pPr>
                    <w:widowControl w:val="0"/>
                    <w:spacing w:line="240" w:lineRule="auto"/>
                    <w:ind w:firstLine="0" w:firstLineChars="0"/>
                    <w:jc w:val="center"/>
                    <w:rPr>
                      <w:rFonts w:cs="Times New Roman"/>
                      <w:kern w:val="2"/>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30" w:type="pct"/>
                  <w:gridSpan w:val="4"/>
                  <w:vAlign w:val="center"/>
                </w:tcPr>
                <w:p>
                  <w:pPr>
                    <w:widowControl w:val="0"/>
                    <w:spacing w:line="240" w:lineRule="auto"/>
                    <w:ind w:firstLine="0" w:firstLineChars="0"/>
                    <w:jc w:val="center"/>
                    <w:rPr>
                      <w:rFonts w:cs="Times New Roman"/>
                      <w:kern w:val="2"/>
                      <w:sz w:val="21"/>
                      <w:szCs w:val="21"/>
                    </w:rPr>
                  </w:pPr>
                  <w:r>
                    <w:rPr>
                      <w:rFonts w:cs="Times New Roman"/>
                      <w:kern w:val="2"/>
                      <w:sz w:val="21"/>
                      <w:szCs w:val="21"/>
                    </w:rPr>
                    <w:t>15% V</w:t>
                  </w:r>
                  <w:r>
                    <w:rPr>
                      <w:rFonts w:cs="Times New Roman"/>
                      <w:kern w:val="2"/>
                      <w:sz w:val="21"/>
                      <w:szCs w:val="21"/>
                      <w:vertAlign w:val="subscript"/>
                    </w:rPr>
                    <w:t>100</w:t>
                  </w:r>
                  <w:r>
                    <w:rPr>
                      <w:rFonts w:hint="eastAsia" w:cs="宋体"/>
                      <w:kern w:val="2"/>
                      <w:sz w:val="21"/>
                      <w:szCs w:val="21"/>
                      <w:vertAlign w:val="subscript"/>
                    </w:rPr>
                    <w:t>℃</w:t>
                  </w:r>
                  <w:r>
                    <w:rPr>
                      <w:rFonts w:cs="Times New Roman"/>
                      <w:kern w:val="2"/>
                      <w:sz w:val="21"/>
                      <w:szCs w:val="21"/>
                    </w:rPr>
                    <w:t>=15.8mm</w:t>
                  </w:r>
                  <w:r>
                    <w:rPr>
                      <w:rFonts w:cs="Times New Roman"/>
                      <w:kern w:val="2"/>
                      <w:sz w:val="21"/>
                      <w:szCs w:val="21"/>
                      <w:vertAlign w:val="superscript"/>
                    </w:rPr>
                    <w:t>2</w:t>
                  </w:r>
                  <w:r>
                    <w:rPr>
                      <w:rFonts w:cs="Times New Roman"/>
                      <w:kern w:val="2"/>
                      <w:sz w:val="21"/>
                      <w:szCs w:val="21"/>
                    </w:rPr>
                    <w:t>/s</w:t>
                  </w:r>
                </w:p>
              </w:tc>
              <w:tc>
                <w:tcPr>
                  <w:tcW w:w="1170" w:type="pct"/>
                  <w:vAlign w:val="center"/>
                </w:tcPr>
                <w:p>
                  <w:pPr>
                    <w:widowControl w:val="0"/>
                    <w:spacing w:line="240" w:lineRule="auto"/>
                    <w:ind w:firstLine="0" w:firstLineChars="0"/>
                    <w:jc w:val="center"/>
                    <w:rPr>
                      <w:rFonts w:cs="Times New Roman"/>
                      <w:kern w:val="2"/>
                      <w:sz w:val="21"/>
                      <w:szCs w:val="21"/>
                    </w:rPr>
                  </w:pPr>
                </w:p>
              </w:tc>
            </w:tr>
          </w:tbl>
          <w:p>
            <w:pPr>
              <w:ind w:firstLine="480"/>
            </w:pPr>
            <w:r>
              <w:t>（3）乙炔、氧气主要性质识别</w:t>
            </w:r>
          </w:p>
          <w:p>
            <w:pPr>
              <w:ind w:firstLine="480"/>
            </w:pPr>
            <w:r>
              <w:t>乙炔，俗称风煤、电石气，是炔烃化合物系列中体积最小的一员，主要作工业用途，特别是烧焊金属方面。本项目所用氧气以液氧形式存在于氧气瓶内，最大压力为3MPa。</w:t>
            </w:r>
          </w:p>
          <w:p>
            <w:pPr>
              <w:ind w:firstLine="480"/>
            </w:pPr>
            <w:r>
              <w:t>乙炔、氧气其特性见表4-12、表4-13。</w:t>
            </w:r>
          </w:p>
          <w:p>
            <w:pPr>
              <w:pStyle w:val="35"/>
            </w:pPr>
            <w:r>
              <w:t xml:space="preserve">表4-12 </w:t>
            </w:r>
            <w:r>
              <w:rPr>
                <w:rFonts w:hint="eastAsia"/>
              </w:rPr>
              <w:t xml:space="preserve"> </w:t>
            </w:r>
            <w:r>
              <w:t>乙炔主要性质表</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28" w:type="dxa"/>
                <w:bottom w:w="0" w:type="dxa"/>
                <w:right w:w="28" w:type="dxa"/>
              </w:tblCellMar>
            </w:tblPr>
            <w:tblGrid>
              <w:gridCol w:w="660"/>
              <w:gridCol w:w="737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843" w:hRule="atLeast"/>
              </w:trPr>
              <w:tc>
                <w:tcPr>
                  <w:tcW w:w="411" w:type="pct"/>
                  <w:vAlign w:val="center"/>
                </w:tcPr>
                <w:p>
                  <w:pPr>
                    <w:pStyle w:val="33"/>
                  </w:pPr>
                  <w:r>
                    <w:t>理化</w:t>
                  </w:r>
                </w:p>
                <w:p>
                  <w:pPr>
                    <w:pStyle w:val="33"/>
                  </w:pPr>
                  <w:r>
                    <w:t>性质</w:t>
                  </w:r>
                </w:p>
              </w:tc>
              <w:tc>
                <w:tcPr>
                  <w:tcW w:w="4589" w:type="pct"/>
                  <w:vAlign w:val="center"/>
                </w:tcPr>
                <w:p>
                  <w:pPr>
                    <w:pStyle w:val="33"/>
                  </w:pPr>
                  <w:r>
                    <w:t>分子式：C</w:t>
                  </w:r>
                  <w:r>
                    <w:rPr>
                      <w:vertAlign w:val="subscript"/>
                    </w:rPr>
                    <w:t>2</w:t>
                  </w:r>
                  <w:r>
                    <w:t>H</w:t>
                  </w:r>
                  <w:r>
                    <w:rPr>
                      <w:vertAlign w:val="subscript"/>
                    </w:rPr>
                    <w:t>2</w:t>
                  </w:r>
                  <w:r>
                    <w:t>，分子量：26.4，密度1.17kg/m</w:t>
                  </w:r>
                  <w:r>
                    <w:rPr>
                      <w:vertAlign w:val="superscript"/>
                    </w:rPr>
                    <w:t>3</w:t>
                  </w:r>
                  <w:r>
                    <w:t>，熔点：- 83</w:t>
                  </w:r>
                  <w:r>
                    <w:rPr>
                      <w:rFonts w:hint="eastAsia"/>
                    </w:rPr>
                    <w:t>℃</w:t>
                  </w:r>
                  <w:r>
                    <w:t xml:space="preserve"> ，闪点：-17.78</w:t>
                  </w:r>
                  <w:r>
                    <w:rPr>
                      <w:rFonts w:hint="eastAsia"/>
                    </w:rPr>
                    <w:t>℃</w:t>
                  </w:r>
                  <w:r>
                    <w:t>，沸点：-81</w:t>
                  </w:r>
                  <w:r>
                    <w:rPr>
                      <w:rFonts w:hint="eastAsia"/>
                    </w:rPr>
                    <w:t>℃</w:t>
                  </w:r>
                  <w:r>
                    <w:t>。乙炔气体为无色无味的易燃、有毒气体。在空气中</w:t>
                  </w:r>
                  <w:r>
                    <w:rPr>
                      <w:bCs/>
                    </w:rPr>
                    <w:t>爆炸极限</w:t>
                  </w:r>
                  <w:r>
                    <w:t>2.3%-72.3%（vol）。在液态和固态下或在气态和一定压力下有猛烈爆炸的危险，受热、震动、电火花等因素都可以引发爆炸。微溶于水，易溶于</w:t>
                  </w:r>
                  <w:r>
                    <w:rPr>
                      <w:bCs/>
                    </w:rPr>
                    <w:t>乙醇</w:t>
                  </w:r>
                  <w:r>
                    <w:t>、苯、</w:t>
                  </w:r>
                  <w:r>
                    <w:rPr>
                      <w:bCs/>
                    </w:rPr>
                    <w:t>丙酮</w:t>
                  </w:r>
                  <w:r>
                    <w:t>等</w:t>
                  </w:r>
                  <w:r>
                    <w:rPr>
                      <w:bCs/>
                    </w:rPr>
                    <w:t>有机</w:t>
                  </w:r>
                  <w:r>
                    <w:t>溶剂。在一定条件下可以发生聚合反应。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cantSplit/>
                <w:trHeight w:val="1020" w:hRule="atLeast"/>
              </w:trPr>
              <w:tc>
                <w:tcPr>
                  <w:tcW w:w="411" w:type="pct"/>
                  <w:vAlign w:val="center"/>
                </w:tcPr>
                <w:p>
                  <w:pPr>
                    <w:pStyle w:val="33"/>
                  </w:pPr>
                  <w:r>
                    <w:t>毒理</w:t>
                  </w:r>
                </w:p>
                <w:p>
                  <w:pPr>
                    <w:pStyle w:val="33"/>
                  </w:pPr>
                  <w:r>
                    <w:t>学资料</w:t>
                  </w:r>
                </w:p>
              </w:tc>
              <w:tc>
                <w:tcPr>
                  <w:tcW w:w="4589" w:type="pct"/>
                  <w:vAlign w:val="center"/>
                </w:tcPr>
                <w:p>
                  <w:pPr>
                    <w:pStyle w:val="33"/>
                  </w:pPr>
                  <w:r>
                    <w:t>急性毒性：纯乙炔属微毒类，具有弱麻醉和阻止细胞氧化的作用。高浓度时排挤空气中的氧,引起单纯性窒息作用。乙炔中常混有磷化氢、硫化氢等气体，故常伴有此类毒物的毒作用。人接触100mg/m</w:t>
                  </w:r>
                  <w:r>
                    <w:rPr>
                      <w:vertAlign w:val="superscript"/>
                    </w:rPr>
                    <w:t>3</w:t>
                  </w:r>
                  <w:r>
                    <w:t xml:space="preserve">能耐受30～60 min，20%引起明显缺氧，30%时共济失调，35%下5min引起意识丧失，含10%乙炔的空气中5 h，有轻度中毒反应。 </w:t>
                  </w:r>
                </w:p>
                <w:p>
                  <w:pPr>
                    <w:pStyle w:val="33"/>
                  </w:pPr>
                  <w:r>
                    <w:t>亚急性和慢性毒性：动物长期吸入非致死性浓度本品，出现</w:t>
                  </w:r>
                  <w:r>
                    <w:rPr>
                      <w:bCs/>
                    </w:rPr>
                    <w:t>血红蛋白</w:t>
                  </w:r>
                  <w:r>
                    <w:t>、网织细胞、</w:t>
                  </w:r>
                  <w:r>
                    <w:rPr>
                      <w:bCs/>
                    </w:rPr>
                    <w:t>淋巴细胞</w:t>
                  </w:r>
                  <w:r>
                    <w:t>增加和</w:t>
                  </w:r>
                  <w:r>
                    <w:rPr>
                      <w:bCs/>
                    </w:rPr>
                    <w:t>中性粒细胞</w:t>
                  </w:r>
                  <w:r>
                    <w:t>减少。尸检有</w:t>
                  </w:r>
                  <w:r>
                    <w:rPr>
                      <w:bCs/>
                    </w:rPr>
                    <w:t>支气管炎</w:t>
                  </w:r>
                  <w:r>
                    <w:t>、</w:t>
                  </w:r>
                  <w:r>
                    <w:rPr>
                      <w:bCs/>
                    </w:rPr>
                    <w:t>肺炎</w:t>
                  </w:r>
                  <w:r>
                    <w:t>、</w:t>
                  </w:r>
                  <w:r>
                    <w:rPr>
                      <w:bCs/>
                    </w:rPr>
                    <w:t>肺水肿</w:t>
                  </w:r>
                  <w:r>
                    <w:t>、肝充血和</w:t>
                  </w:r>
                  <w:r>
                    <w:rPr>
                      <w:bCs/>
                    </w:rPr>
                    <w:t>脂肪浸润</w:t>
                  </w:r>
                  <w: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cantSplit/>
                <w:trHeight w:val="72" w:hRule="atLeast"/>
              </w:trPr>
              <w:tc>
                <w:tcPr>
                  <w:tcW w:w="411" w:type="pct"/>
                  <w:vAlign w:val="center"/>
                </w:tcPr>
                <w:p>
                  <w:pPr>
                    <w:pStyle w:val="33"/>
                  </w:pPr>
                  <w:r>
                    <w:t>应急</w:t>
                  </w:r>
                </w:p>
                <w:p>
                  <w:pPr>
                    <w:pStyle w:val="33"/>
                  </w:pPr>
                  <w:r>
                    <w:t>处置</w:t>
                  </w:r>
                </w:p>
              </w:tc>
              <w:tc>
                <w:tcPr>
                  <w:tcW w:w="4589" w:type="pct"/>
                </w:tcPr>
                <w:p>
                  <w:pPr>
                    <w:pStyle w:val="33"/>
                  </w:pPr>
                  <w:r>
                    <w:t>吸入：迅速脱离现场至空气新鲜处。保持呼吸道通畅。如呼吸困难，给予输氧。如呼吸停止，立即进行</w:t>
                  </w:r>
                  <w:r>
                    <w:rPr>
                      <w:bCs/>
                    </w:rPr>
                    <w:t>人工呼吸</w:t>
                  </w:r>
                  <w:r>
                    <w:t>。就医。</w:t>
                  </w:r>
                </w:p>
                <w:p>
                  <w:pPr>
                    <w:pStyle w:val="33"/>
                  </w:pPr>
                  <w:r>
                    <w:t>呼吸系统防护：一般不需要特殊防护，但建议特殊情况下佩带自吸过滤式防毒面具(半面罩)。</w:t>
                  </w:r>
                </w:p>
                <w:p>
                  <w:pPr>
                    <w:pStyle w:val="33"/>
                  </w:pPr>
                  <w:r>
                    <w:t>眼睛防护：一般不需要特殊防护，高浓度接触时可戴化学</w:t>
                  </w:r>
                  <w:r>
                    <w:rPr>
                      <w:bCs/>
                    </w:rPr>
                    <w:t>安全防护眼镜</w:t>
                  </w:r>
                  <w:r>
                    <w:t>。 身体防护：穿防静电工作服。 手防护：戴一般作业</w:t>
                  </w:r>
                  <w:r>
                    <w:rPr>
                      <w:bCs/>
                    </w:rPr>
                    <w:t>防护手套</w:t>
                  </w:r>
                  <w:r>
                    <w:t>。</w:t>
                  </w:r>
                </w:p>
                <w:p>
                  <w:pPr>
                    <w:pStyle w:val="33"/>
                  </w:pPr>
                  <w:r>
                    <w:t>其他防护：工作现场严禁吸烟。避免长期反复接触。进入罐、限制性空间或其他高浓度区作业，须有人监护。</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cantSplit/>
                <w:trHeight w:val="915" w:hRule="atLeast"/>
              </w:trPr>
              <w:tc>
                <w:tcPr>
                  <w:tcW w:w="411" w:type="pct"/>
                  <w:vAlign w:val="center"/>
                </w:tcPr>
                <w:p>
                  <w:pPr>
                    <w:pStyle w:val="33"/>
                  </w:pPr>
                  <w:r>
                    <w:t>泄漏应急</w:t>
                  </w:r>
                </w:p>
                <w:p>
                  <w:pPr>
                    <w:pStyle w:val="33"/>
                  </w:pPr>
                  <w:r>
                    <w:t>处理</w:t>
                  </w:r>
                </w:p>
              </w:tc>
              <w:tc>
                <w:tcPr>
                  <w:tcW w:w="4589" w:type="pct"/>
                </w:tcPr>
                <w:p>
                  <w:pPr>
                    <w:pStyle w:val="33"/>
                  </w:pPr>
                  <w:r>
                    <w:t>迅速撤离泄漏污染区人员至上风处，并进行隔离，严格限制出入。切断</w:t>
                  </w:r>
                  <w:r>
                    <w:rPr>
                      <w:bCs/>
                    </w:rPr>
                    <w:t>火源</w:t>
                  </w:r>
                  <w:r>
                    <w:t>。建议应急处理人员戴自给</w:t>
                  </w:r>
                  <w:r>
                    <w:rPr>
                      <w:bCs/>
                    </w:rPr>
                    <w:t>正压式呼吸器</w:t>
                  </w:r>
                  <w:r>
                    <w:t>，穿防静电工作服。尽可能切断泄漏源。合理通风，加速扩散。喷雾状水稀释、溶解。构筑围堤或挖坑以收容产生的大量</w:t>
                  </w:r>
                  <w:r>
                    <w:rPr>
                      <w:bCs/>
                    </w:rPr>
                    <w:t>废水</w:t>
                  </w:r>
                  <w:r>
                    <w:t>。如有可能，将漏出气用排风机送至空旷地方或装设适当喷头烧掉。漏气</w:t>
                  </w:r>
                  <w:r>
                    <w:rPr>
                      <w:bCs/>
                    </w:rPr>
                    <w:t>容器</w:t>
                  </w:r>
                  <w:r>
                    <w:t>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cantSplit/>
                <w:trHeight w:val="1194" w:hRule="atLeast"/>
              </w:trPr>
              <w:tc>
                <w:tcPr>
                  <w:tcW w:w="411" w:type="pct"/>
                  <w:vAlign w:val="center"/>
                </w:tcPr>
                <w:p>
                  <w:pPr>
                    <w:pStyle w:val="33"/>
                  </w:pPr>
                  <w:r>
                    <w:t>管理</w:t>
                  </w:r>
                </w:p>
                <w:p>
                  <w:pPr>
                    <w:pStyle w:val="33"/>
                  </w:pPr>
                  <w:r>
                    <w:t>信息</w:t>
                  </w:r>
                </w:p>
              </w:tc>
              <w:tc>
                <w:tcPr>
                  <w:tcW w:w="4589" w:type="pct"/>
                </w:tcPr>
                <w:p>
                  <w:pPr>
                    <w:pStyle w:val="33"/>
                  </w:pPr>
                  <w:r>
                    <w:t>储存的管理：乙炔的包装法通常是溶解在溶剂及多孔物中, 装入钢瓶内。储存于阴凉、通风的</w:t>
                  </w:r>
                  <w:r>
                    <w:rPr>
                      <w:bCs/>
                    </w:rPr>
                    <w:t>库房</w:t>
                  </w:r>
                  <w:r>
                    <w:t>。远离火种、热源。库温不宜超过30</w:t>
                  </w:r>
                  <w:r>
                    <w:rPr>
                      <w:rFonts w:hint="eastAsia"/>
                    </w:rPr>
                    <w:t>℃</w:t>
                  </w:r>
                  <w:r>
                    <w:t>。应与氧化剂、酸类、卤素分开存放，切忌混储。采用防爆型照明、通风设施。禁止使用易产生火花的</w:t>
                  </w:r>
                  <w:r>
                    <w:rPr>
                      <w:bCs/>
                    </w:rPr>
                    <w:t>机械设备</w:t>
                  </w:r>
                  <w:r>
                    <w:t>和工具。储区应备有泄漏应急处理设备。</w:t>
                  </w:r>
                </w:p>
                <w:p>
                  <w:pPr>
                    <w:pStyle w:val="33"/>
                  </w:pPr>
                  <w:r>
                    <w:t>运输的管理：采用钢瓶运输时必须戴好钢瓶上的安全帽。钢瓶一般平放，并应将瓶口朝同一方向，不可交叉；高度不得超过车辆的防护栏板，并用三角木垫卡牢，防止滚动。运输时运输车辆应配备相应品种和数量的消防器材。装运该物品的车辆排气管必须配备阻火装置，禁止使用易产生火花的机械设备和工具装卸。严禁与氧化剂、酸类、卤素等混装、混运。夏季应早晚运输，防止日光曝晒。中途停留时应远离火种、热源。公路运输时要按规定路线行驶，勿在</w:t>
                  </w:r>
                  <w:r>
                    <w:rPr>
                      <w:bCs/>
                    </w:rPr>
                    <w:t>居民区</w:t>
                  </w:r>
                  <w:r>
                    <w:t>和人口稠密区停留。</w:t>
                  </w:r>
                </w:p>
              </w:tc>
            </w:tr>
          </w:tbl>
          <w:p>
            <w:pPr>
              <w:pStyle w:val="35"/>
            </w:pPr>
            <w:r>
              <w:t>表4-13</w:t>
            </w:r>
            <w:r>
              <w:rPr>
                <w:rFonts w:hint="eastAsia"/>
              </w:rPr>
              <w:t xml:space="preserve">  </w:t>
            </w:r>
            <w:r>
              <w:t>氧气主要性质表</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28" w:type="dxa"/>
                <w:bottom w:w="0" w:type="dxa"/>
                <w:right w:w="28" w:type="dxa"/>
              </w:tblCellMar>
            </w:tblPr>
            <w:tblGrid>
              <w:gridCol w:w="517"/>
              <w:gridCol w:w="751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412" w:hRule="atLeast"/>
              </w:trPr>
              <w:tc>
                <w:tcPr>
                  <w:tcW w:w="322" w:type="pct"/>
                  <w:vAlign w:val="center"/>
                </w:tcPr>
                <w:p>
                  <w:pPr>
                    <w:pStyle w:val="33"/>
                  </w:pPr>
                  <w:r>
                    <w:t>理化性质</w:t>
                  </w:r>
                </w:p>
              </w:tc>
              <w:tc>
                <w:tcPr>
                  <w:tcW w:w="4678" w:type="pct"/>
                  <w:vAlign w:val="center"/>
                </w:tcPr>
                <w:p>
                  <w:pPr>
                    <w:pStyle w:val="33"/>
                  </w:pPr>
                  <w:r>
                    <w:t>常温下淡蓝色色无味气体 ，熔点：-218</w:t>
                  </w:r>
                  <w:r>
                    <w:rPr>
                      <w:rFonts w:hint="eastAsia"/>
                    </w:rPr>
                    <w:t>℃</w:t>
                  </w:r>
                  <w:r>
                    <w:t>（标准状况），沸点：-183</w:t>
                  </w:r>
                  <w:r>
                    <w:rPr>
                      <w:rFonts w:hint="eastAsia"/>
                    </w:rPr>
                    <w:t>℃</w:t>
                  </w:r>
                  <w:r>
                    <w:t>（标准状况），密度：1.429g∕L，能溶于水。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cantSplit/>
                <w:trHeight w:val="1401" w:hRule="atLeast"/>
              </w:trPr>
              <w:tc>
                <w:tcPr>
                  <w:tcW w:w="322" w:type="pct"/>
                  <w:vAlign w:val="center"/>
                </w:tcPr>
                <w:p>
                  <w:pPr>
                    <w:pStyle w:val="33"/>
                  </w:pPr>
                  <w:r>
                    <w:t>危险</w:t>
                  </w:r>
                </w:p>
                <w:p>
                  <w:pPr>
                    <w:pStyle w:val="33"/>
                  </w:pPr>
                  <w:r>
                    <w:t>特性</w:t>
                  </w:r>
                </w:p>
              </w:tc>
              <w:tc>
                <w:tcPr>
                  <w:tcW w:w="4678" w:type="pct"/>
                </w:tcPr>
                <w:p>
                  <w:pPr>
                    <w:pStyle w:val="33"/>
                  </w:pPr>
                  <w:r>
                    <w:t>氧是易燃易爆物质发生燃烧爆炸的基本要素之一，能氧化大多数活性物质。与本项目生产过程中使用的油类挥发混合，能形成易燃易爆的混合物。在常压下，当氧的浓度超过40%时，有可能发生氧中毒，吸入40%~60%的氧时，出现胸骨后不适感、轻咳，进而胸闷、胸骨后烧灼感和呼吸困难，咳嗽加剧；严重时可发生肺水肿，甚至出现呼吸窘迫综合症。吸入氧浓度80%以上时，出现面部肌肉抽动、面色苍白、眩晕、心动过速、虚脱，继而全身强直性抽搐、昏迷、呼吸衰竭而死亡。长期处于氧分压为60~100kPa（相当于吸入氧浓度40%左右）的条件下可发生眼损害，严重者可失明。</w:t>
                  </w:r>
                </w:p>
              </w:tc>
            </w:tr>
          </w:tbl>
          <w:p>
            <w:pPr>
              <w:ind w:firstLine="482"/>
              <w:rPr>
                <w:b/>
                <w:bCs/>
              </w:rPr>
            </w:pPr>
            <w:r>
              <w:rPr>
                <w:rFonts w:hint="eastAsia"/>
                <w:b/>
                <w:bCs/>
              </w:rPr>
              <w:t>7.3.2环境影响途径</w:t>
            </w:r>
          </w:p>
          <w:p>
            <w:pPr>
              <w:ind w:firstLine="480"/>
            </w:pPr>
            <w:r>
              <w:rPr>
                <w:rFonts w:hint="eastAsia"/>
              </w:rPr>
              <w:t>营运期间可能发生的环境风险为泄漏、遇明火引起火灾，继而引发的爆炸。</w:t>
            </w:r>
          </w:p>
          <w:p>
            <w:pPr>
              <w:ind w:firstLine="482"/>
              <w:rPr>
                <w:b/>
                <w:bCs/>
              </w:rPr>
            </w:pPr>
            <w:r>
              <w:rPr>
                <w:rFonts w:hint="eastAsia"/>
                <w:b/>
                <w:bCs/>
              </w:rPr>
              <w:t>7.4环境风险分析</w:t>
            </w:r>
          </w:p>
          <w:p>
            <w:pPr>
              <w:ind w:firstLine="480"/>
            </w:pPr>
            <w:r>
              <w:rPr>
                <w:rFonts w:hint="eastAsia"/>
              </w:rPr>
              <w:t>项目运营过程中，废油储存容器和乙炔瓶可能发生燃烧甚至爆炸。厂区如果发生废油燃烧爆炸灾害，不但会导致生产系统被破坏，生产设施被炸毁，而且还会导致人员伤亡。</w:t>
            </w:r>
            <w:r>
              <w:rPr>
                <w:rFonts w:hint="eastAsia"/>
                <w:color w:val="FF0000"/>
              </w:rPr>
              <w:t>由于项目把废油储存容器设在厂区东侧的危废暂存间，同时存放废油量较少，乙炔瓶安要求存放在库房中并与明火或散发火花地点的距离不得小于1</w:t>
            </w:r>
            <w:r>
              <w:rPr>
                <w:color w:val="FF0000"/>
              </w:rPr>
              <w:t>5m</w:t>
            </w:r>
            <w:r>
              <w:rPr>
                <w:rFonts w:hint="eastAsia"/>
                <w:color w:val="FF0000"/>
              </w:rPr>
              <w:t>，因此一旦发生燃烧或者爆炸，影响也是有限的。本项目发生燃烧事故时，主要影响对象为厂内员工，对外界影响较小。</w:t>
            </w:r>
          </w:p>
          <w:p>
            <w:pPr>
              <w:ind w:firstLine="482"/>
              <w:rPr>
                <w:b/>
              </w:rPr>
            </w:pPr>
            <w:r>
              <w:rPr>
                <w:rFonts w:hint="eastAsia"/>
                <w:b/>
              </w:rPr>
              <w:t>7.5环境风险范范措施及应急要求</w:t>
            </w:r>
          </w:p>
          <w:p>
            <w:pPr>
              <w:ind w:firstLine="482"/>
              <w:rPr>
                <w:b/>
              </w:rPr>
            </w:pPr>
            <w:r>
              <w:rPr>
                <w:rFonts w:hint="eastAsia"/>
                <w:b/>
              </w:rPr>
              <w:t>7.5.1环境风险防范措施</w:t>
            </w:r>
          </w:p>
          <w:p>
            <w:pPr>
              <w:ind w:firstLine="480"/>
            </w:pPr>
            <w:r>
              <w:rPr>
                <w:rFonts w:hint="eastAsia"/>
              </w:rPr>
              <w:t>（</w:t>
            </w:r>
            <w:r>
              <w:t>1）</w:t>
            </w:r>
            <w:r>
              <w:rPr>
                <w:rFonts w:hint="eastAsia"/>
              </w:rPr>
              <w:t>乙炔燃爆风险防范</w:t>
            </w:r>
          </w:p>
          <w:p>
            <w:pPr>
              <w:ind w:firstLine="480"/>
            </w:pPr>
            <w:r>
              <w:rPr>
                <w:rFonts w:hint="eastAsia"/>
              </w:rPr>
              <w:t>①</w:t>
            </w:r>
            <w:r>
              <w:t>加强生产管理。乙炔钢瓶应由专门人员负责管理，单独存放，在搬运过程中轻拿轻放，避免碰撞造成储存钢瓶破裂气体泄漏或碰撞爆炸。</w:t>
            </w:r>
          </w:p>
          <w:p>
            <w:pPr>
              <w:ind w:firstLine="480"/>
            </w:pPr>
            <w:r>
              <w:rPr>
                <w:rFonts w:hint="eastAsia"/>
              </w:rPr>
              <w:t>②</w:t>
            </w:r>
            <w:r>
              <w:t>乙炔瓶着火一定不要慌、迅速关死乙炔瓶阀门、退掉高压氧</w:t>
            </w:r>
            <w:r>
              <w:rPr>
                <w:rFonts w:hint="eastAsia"/>
              </w:rPr>
              <w:t>，</w:t>
            </w:r>
            <w:r>
              <w:t>然后用干粉灭火器扑救</w:t>
            </w:r>
            <w:r>
              <w:rPr>
                <w:rFonts w:hint="eastAsia"/>
              </w:rPr>
              <w:t>。</w:t>
            </w:r>
          </w:p>
          <w:p>
            <w:pPr>
              <w:ind w:firstLine="480"/>
            </w:pPr>
            <w:r>
              <w:t>（2）</w:t>
            </w:r>
            <w:r>
              <w:rPr>
                <w:rFonts w:hint="eastAsia"/>
              </w:rPr>
              <w:t>危险废物燃爆防范措施</w:t>
            </w:r>
          </w:p>
          <w:p>
            <w:pPr>
              <w:ind w:firstLine="480"/>
            </w:pPr>
            <w:r>
              <w:rPr>
                <w:rFonts w:hint="eastAsia"/>
              </w:rPr>
              <w:t>①</w:t>
            </w:r>
            <w:r>
              <w:t>危险废物堆放场应满足《危险废物贮存污染控制标准》</w:t>
            </w:r>
            <w:r>
              <w:rPr>
                <w:rFonts w:hint="eastAsia"/>
              </w:rPr>
              <w:t>（</w:t>
            </w:r>
            <w:r>
              <w:t>GB18597-2001</w:t>
            </w:r>
            <w:r>
              <w:rPr>
                <w:rFonts w:hint="eastAsia"/>
              </w:rPr>
              <w:t>）</w:t>
            </w:r>
            <w:r>
              <w:t>有关规定：对危险废物的容器和包装以及收集、贮存、运输、处置危险废物的设施、场所，必须设置危险废物识别标志；必须按照国家有关规定申报登记</w:t>
            </w:r>
            <w:r>
              <w:rPr>
                <w:rFonts w:hint="eastAsia"/>
              </w:rPr>
              <w:t>。</w:t>
            </w:r>
          </w:p>
          <w:p>
            <w:pPr>
              <w:ind w:firstLine="480"/>
            </w:pPr>
            <w:r>
              <w:rPr>
                <w:rFonts w:hint="eastAsia"/>
              </w:rPr>
              <w:t>②厂区</w:t>
            </w:r>
            <w:r>
              <w:t>危险废物应</w:t>
            </w:r>
            <w:r>
              <w:rPr>
                <w:rFonts w:hint="eastAsia"/>
              </w:rPr>
              <w:t>按要求盛装在</w:t>
            </w:r>
            <w:r>
              <w:t>专门的收集容器</w:t>
            </w:r>
            <w:r>
              <w:rPr>
                <w:rFonts w:hint="eastAsia"/>
              </w:rPr>
              <w:t>再存放危废暂存间。</w:t>
            </w:r>
          </w:p>
          <w:p>
            <w:pPr>
              <w:ind w:firstLine="480"/>
            </w:pPr>
            <w:r>
              <w:rPr>
                <w:rFonts w:hint="eastAsia"/>
              </w:rPr>
              <w:t>③厂区危险废物应分废机油、废柴油、废汽油，</w:t>
            </w:r>
            <w:r>
              <w:t>应</w:t>
            </w:r>
            <w:r>
              <w:rPr>
                <w:rFonts w:hint="eastAsia"/>
              </w:rPr>
              <w:t>分区堆存，</w:t>
            </w:r>
            <w:r>
              <w:t>设置独立的存放空间场所避免于其他废旧物资混杂存放。</w:t>
            </w:r>
          </w:p>
          <w:p>
            <w:pPr>
              <w:ind w:firstLine="480"/>
            </w:pPr>
            <w:r>
              <w:rPr>
                <w:rFonts w:hint="eastAsia"/>
              </w:rPr>
              <w:t>④</w:t>
            </w:r>
            <w:r>
              <w:t>各种危险废物应严格按照《危险废物贮存污染控制标准》（GB18597-2001）贮存，且在厂区内的贮存时间不得超过一年。</w:t>
            </w:r>
          </w:p>
          <w:p>
            <w:pPr>
              <w:ind w:firstLine="480"/>
            </w:pPr>
            <w:r>
              <w:rPr>
                <w:rFonts w:hint="eastAsia"/>
              </w:rPr>
              <w:t>（3）厂区消防管理措施</w:t>
            </w:r>
          </w:p>
          <w:p>
            <w:pPr>
              <w:ind w:firstLine="480"/>
            </w:pPr>
            <w:r>
              <w:rPr>
                <w:rFonts w:hint="eastAsia"/>
              </w:rPr>
              <w:t>废品</w:t>
            </w:r>
            <w:r>
              <w:t>应按种类分别收集在固定区域，并设立明显的区分标识，</w:t>
            </w:r>
            <w:r>
              <w:rPr>
                <w:rFonts w:hint="eastAsia"/>
              </w:rPr>
              <w:t>厂</w:t>
            </w:r>
            <w:r>
              <w:t>区严禁烟火，塑料和</w:t>
            </w:r>
            <w:r>
              <w:rPr>
                <w:rFonts w:hint="eastAsia"/>
              </w:rPr>
              <w:t>废纸</w:t>
            </w:r>
            <w:r>
              <w:t>的</w:t>
            </w:r>
            <w:r>
              <w:rPr>
                <w:rFonts w:hint="eastAsia"/>
              </w:rPr>
              <w:t>回收</w:t>
            </w:r>
            <w:r>
              <w:t>区应具有消防设施，并尽量避免大量堆放。</w:t>
            </w:r>
          </w:p>
          <w:p>
            <w:pPr>
              <w:ind w:firstLine="480"/>
            </w:pPr>
            <w:r>
              <w:t>设置完备的消防系统</w:t>
            </w:r>
            <w:r>
              <w:rPr>
                <w:rFonts w:hint="eastAsia"/>
              </w:rPr>
              <w:t>，配套消防栓、干粉灭火器、消防砂等消防设备。危废暂存区应同时配套干粉灭火器、消防砂消防设施应对燃爆事件。</w:t>
            </w:r>
          </w:p>
          <w:p>
            <w:pPr>
              <w:ind w:firstLine="482"/>
            </w:pPr>
            <w:r>
              <w:rPr>
                <w:rFonts w:hint="eastAsia"/>
                <w:b/>
              </w:rPr>
              <w:t>7</w:t>
            </w:r>
            <w:r>
              <w:rPr>
                <w:b/>
              </w:rPr>
              <w:t>.</w:t>
            </w:r>
            <w:r>
              <w:rPr>
                <w:rFonts w:hint="eastAsia"/>
                <w:b/>
              </w:rPr>
              <w:t>5</w:t>
            </w:r>
            <w:r>
              <w:rPr>
                <w:b/>
              </w:rPr>
              <w:t>.2环境风险应急预案</w:t>
            </w:r>
          </w:p>
          <w:p>
            <w:pPr>
              <w:ind w:firstLine="480"/>
            </w:pPr>
            <w:r>
              <w:t>环境应急预案，是指企业为了在应对各类事故、自然灾害时，采取紧急措施，避免或最大程度减少污染物或其他有毒有害物质进入厂界外大气、水体、土壤等环境介质，而预先制定的工作方案。建设单位应根据《国家突发环境事件应急预案》（国办函[2014]119号）、《企业事业单位突发环境事件应急预案备案管理办法（试行）》（环发[2015]4号）、《企业突发环境事件风险分级方法》（HJ 941-2018）要求，制定和完善突发环境事件应急预案。应急预案主要包括预案适用范围、环境事件分类与分级、组织机构与职责、监控和预警、应急响应、应急保障、善后处理、预案管理与演练等内容。相关风险防范要求和应急措施应纳入预案，做好与地方政府及其相关部门等相关应急预案的衔接和联动。应急预案应当在建设项目投入生产或者使用前，向建设项目所在地受理部门备案。严格落实备案后的应急预案，按规定开展必要的培训、宣传和演练，适时进行修订与完善。一旦发生突发环境事件，应立即启动相关预案，妥善应对。</w:t>
            </w:r>
          </w:p>
          <w:p>
            <w:pPr>
              <w:ind w:firstLine="482"/>
            </w:pPr>
            <w:r>
              <w:rPr>
                <w:rFonts w:hint="eastAsia"/>
                <w:b/>
              </w:rPr>
              <w:t>7.6分析结论</w:t>
            </w:r>
          </w:p>
          <w:p>
            <w:pPr>
              <w:ind w:firstLine="480"/>
            </w:pPr>
            <w:r>
              <w:rPr>
                <w:rFonts w:hint="eastAsia"/>
              </w:rPr>
              <w:t>本项目运营过程中涉及储存废矿物油</w:t>
            </w:r>
            <w:r>
              <w:t>、乙炔</w:t>
            </w:r>
            <w:r>
              <w:rPr>
                <w:rFonts w:hint="eastAsia"/>
              </w:rPr>
              <w:t>均属于危险物品，在其储存过程中均存在一定的环境风险。建设单位通过在项目营运过程中严格管理，遵守操作规程，经常对设备进行检查、维修，一旦发生事故，立即启动事故应急预案，遵章处置，在确保各项环境风险防范措施和应急预案逐项落实的前提下，本项目的环境风险是可以接受的。</w:t>
            </w:r>
          </w:p>
          <w:p>
            <w:pPr>
              <w:ind w:firstLine="482"/>
              <w:rPr>
                <w:b/>
                <w:bCs/>
              </w:rPr>
            </w:pPr>
            <w:r>
              <w:rPr>
                <w:rFonts w:hint="eastAsia"/>
                <w:b/>
                <w:bCs/>
              </w:rPr>
              <w:t>8</w:t>
            </w:r>
            <w:r>
              <w:rPr>
                <w:b/>
                <w:bCs/>
              </w:rPr>
              <w:t>.环保治理措施及投资估算</w:t>
            </w:r>
          </w:p>
          <w:p>
            <w:pPr>
              <w:ind w:firstLine="480"/>
            </w:pPr>
            <w:r>
              <w:t>本拟建工程环境保护设施主要有：废气污染治理设施、噪声污染治理设施、废水污染防治措施、固体废物处置设施等，环保投资89.5万元，占总投资6638万元的1.35%。环保投资估算明细见表4-11。</w:t>
            </w:r>
          </w:p>
          <w:p>
            <w:pPr>
              <w:ind w:firstLine="480"/>
            </w:pPr>
          </w:p>
          <w:p>
            <w:pPr>
              <w:pStyle w:val="35"/>
            </w:pPr>
            <w:r>
              <w:t>表4-11</w:t>
            </w:r>
            <w:r>
              <w:rPr>
                <w:rFonts w:hint="eastAsia"/>
              </w:rPr>
              <w:t xml:space="preserve">  </w:t>
            </w:r>
            <w:r>
              <w:t>拟建工程环境保护投资估算一览表  单位：万元</w:t>
            </w:r>
          </w:p>
          <w:tbl>
            <w:tblPr>
              <w:tblStyle w:val="22"/>
              <w:tblW w:w="770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33"/>
              <w:gridCol w:w="1533"/>
              <w:gridCol w:w="3762"/>
              <w:gridCol w:w="168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02" w:hRule="atLeast"/>
                <w:jc w:val="center"/>
              </w:trPr>
              <w:tc>
                <w:tcPr>
                  <w:tcW w:w="2266" w:type="dxa"/>
                  <w:gridSpan w:val="2"/>
                  <w:vAlign w:val="center"/>
                </w:tcPr>
                <w:p>
                  <w:pPr>
                    <w:pStyle w:val="33"/>
                    <w:rPr>
                      <w:b/>
                      <w:bCs/>
                    </w:rPr>
                  </w:pPr>
                  <w:r>
                    <w:rPr>
                      <w:b/>
                      <w:bCs/>
                    </w:rPr>
                    <w:t>项目</w:t>
                  </w:r>
                </w:p>
              </w:tc>
              <w:tc>
                <w:tcPr>
                  <w:tcW w:w="3762" w:type="dxa"/>
                  <w:vAlign w:val="center"/>
                </w:tcPr>
                <w:p>
                  <w:pPr>
                    <w:pStyle w:val="33"/>
                    <w:rPr>
                      <w:b/>
                      <w:bCs/>
                    </w:rPr>
                  </w:pPr>
                  <w:r>
                    <w:rPr>
                      <w:b/>
                      <w:bCs/>
                    </w:rPr>
                    <w:t>治理设施</w:t>
                  </w:r>
                </w:p>
              </w:tc>
              <w:tc>
                <w:tcPr>
                  <w:tcW w:w="1681" w:type="dxa"/>
                  <w:vAlign w:val="center"/>
                </w:tcPr>
                <w:p>
                  <w:pPr>
                    <w:pStyle w:val="33"/>
                    <w:rPr>
                      <w:b/>
                      <w:bCs/>
                    </w:rPr>
                  </w:pPr>
                  <w:r>
                    <w:rPr>
                      <w:b/>
                      <w:bCs/>
                    </w:rPr>
                    <w:t>环保投资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733" w:type="dxa"/>
                  <w:vMerge w:val="restart"/>
                  <w:vAlign w:val="center"/>
                </w:tcPr>
                <w:p>
                  <w:pPr>
                    <w:pStyle w:val="33"/>
                  </w:pPr>
                  <w:r>
                    <w:rPr>
                      <w:rFonts w:hint="eastAsia"/>
                    </w:rPr>
                    <w:t>废气</w:t>
                  </w:r>
                </w:p>
              </w:tc>
              <w:tc>
                <w:tcPr>
                  <w:tcW w:w="1533" w:type="dxa"/>
                  <w:vAlign w:val="center"/>
                </w:tcPr>
                <w:p>
                  <w:pPr>
                    <w:pStyle w:val="33"/>
                  </w:pPr>
                  <w:r>
                    <w:rPr>
                      <w:rFonts w:hint="eastAsia"/>
                    </w:rPr>
                    <w:t>骨头回收区</w:t>
                  </w:r>
                </w:p>
              </w:tc>
              <w:tc>
                <w:tcPr>
                  <w:tcW w:w="3762" w:type="dxa"/>
                  <w:vAlign w:val="center"/>
                </w:tcPr>
                <w:p>
                  <w:pPr>
                    <w:pStyle w:val="33"/>
                  </w:pPr>
                  <w:r>
                    <w:t>全封闭厂房+</w:t>
                  </w:r>
                  <w:r>
                    <w:rPr>
                      <w:rFonts w:hint="eastAsia"/>
                    </w:rPr>
                    <w:t>喷洒植物液</w:t>
                  </w:r>
                </w:p>
              </w:tc>
              <w:tc>
                <w:tcPr>
                  <w:tcW w:w="1681" w:type="dxa"/>
                  <w:vAlign w:val="center"/>
                </w:tcPr>
                <w:p>
                  <w:pPr>
                    <w:pStyle w:val="33"/>
                  </w:pPr>
                  <w: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605" w:hRule="atLeast"/>
                <w:jc w:val="center"/>
              </w:trPr>
              <w:tc>
                <w:tcPr>
                  <w:tcW w:w="733" w:type="dxa"/>
                  <w:vMerge w:val="continue"/>
                  <w:vAlign w:val="center"/>
                </w:tcPr>
                <w:p>
                  <w:pPr>
                    <w:pStyle w:val="33"/>
                  </w:pPr>
                </w:p>
              </w:tc>
              <w:tc>
                <w:tcPr>
                  <w:tcW w:w="1533" w:type="dxa"/>
                  <w:vAlign w:val="center"/>
                </w:tcPr>
                <w:p>
                  <w:pPr>
                    <w:pStyle w:val="33"/>
                  </w:pPr>
                  <w:r>
                    <w:rPr>
                      <w:rFonts w:hint="eastAsia"/>
                    </w:rPr>
                    <w:t>废塑料、废纸回收区</w:t>
                  </w:r>
                </w:p>
              </w:tc>
              <w:tc>
                <w:tcPr>
                  <w:tcW w:w="3762" w:type="dxa"/>
                  <w:vAlign w:val="center"/>
                </w:tcPr>
                <w:p>
                  <w:pPr>
                    <w:pStyle w:val="33"/>
                  </w:pPr>
                  <w:r>
                    <w:t>封闭厂房</w:t>
                  </w:r>
                  <w:r>
                    <w:rPr>
                      <w:rFonts w:hint="eastAsia"/>
                    </w:rPr>
                    <w:t>、洒水降尘</w:t>
                  </w:r>
                </w:p>
              </w:tc>
              <w:tc>
                <w:tcPr>
                  <w:tcW w:w="1681" w:type="dxa"/>
                  <w:vAlign w:val="center"/>
                </w:tcPr>
                <w:p>
                  <w:pPr>
                    <w:pStyle w:val="33"/>
                  </w:pPr>
                  <w:r>
                    <w:t>13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605" w:hRule="atLeast"/>
                <w:jc w:val="center"/>
              </w:trPr>
              <w:tc>
                <w:tcPr>
                  <w:tcW w:w="733" w:type="dxa"/>
                  <w:vMerge w:val="continue"/>
                  <w:vAlign w:val="center"/>
                </w:tcPr>
                <w:p>
                  <w:pPr>
                    <w:pStyle w:val="33"/>
                  </w:pPr>
                </w:p>
              </w:tc>
              <w:tc>
                <w:tcPr>
                  <w:tcW w:w="1533" w:type="dxa"/>
                  <w:vAlign w:val="center"/>
                </w:tcPr>
                <w:p>
                  <w:pPr>
                    <w:pStyle w:val="33"/>
                    <w:rPr>
                      <w:rFonts w:hint="eastAsia"/>
                      <w:color w:val="FF0000"/>
                    </w:rPr>
                  </w:pPr>
                  <w:r>
                    <w:rPr>
                      <w:rFonts w:hint="eastAsia"/>
                      <w:color w:val="FF0000"/>
                    </w:rPr>
                    <w:t>危废暂存间</w:t>
                  </w:r>
                </w:p>
              </w:tc>
              <w:tc>
                <w:tcPr>
                  <w:tcW w:w="3762" w:type="dxa"/>
                  <w:vAlign w:val="center"/>
                </w:tcPr>
                <w:p>
                  <w:pPr>
                    <w:pStyle w:val="33"/>
                    <w:rPr>
                      <w:color w:val="FF0000"/>
                    </w:rPr>
                  </w:pPr>
                  <w:r>
                    <w:rPr>
                      <w:rFonts w:hint="eastAsia"/>
                      <w:color w:val="FF0000"/>
                    </w:rPr>
                    <w:t>排风系统</w:t>
                  </w:r>
                </w:p>
              </w:tc>
              <w:tc>
                <w:tcPr>
                  <w:tcW w:w="1681" w:type="dxa"/>
                  <w:vAlign w:val="center"/>
                </w:tcPr>
                <w:p>
                  <w:pPr>
                    <w:pStyle w:val="33"/>
                    <w:rPr>
                      <w:color w:val="FF0000"/>
                    </w:rPr>
                  </w:pPr>
                  <w:r>
                    <w:rPr>
                      <w:rFonts w:hint="eastAsia"/>
                      <w:color w:val="FF0000"/>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02" w:hRule="atLeast"/>
                <w:jc w:val="center"/>
              </w:trPr>
              <w:tc>
                <w:tcPr>
                  <w:tcW w:w="733" w:type="dxa"/>
                  <w:vMerge w:val="restart"/>
                  <w:vAlign w:val="center"/>
                </w:tcPr>
                <w:p>
                  <w:pPr>
                    <w:pStyle w:val="33"/>
                  </w:pPr>
                  <w:r>
                    <w:t>废水</w:t>
                  </w:r>
                </w:p>
              </w:tc>
              <w:tc>
                <w:tcPr>
                  <w:tcW w:w="1533" w:type="dxa"/>
                  <w:vAlign w:val="center"/>
                </w:tcPr>
                <w:p>
                  <w:pPr>
                    <w:pStyle w:val="33"/>
                  </w:pPr>
                  <w:r>
                    <w:t>生活污水</w:t>
                  </w:r>
                </w:p>
              </w:tc>
              <w:tc>
                <w:tcPr>
                  <w:tcW w:w="3762" w:type="dxa"/>
                  <w:vAlign w:val="center"/>
                </w:tcPr>
                <w:p>
                  <w:pPr>
                    <w:pStyle w:val="33"/>
                  </w:pPr>
                  <w:r>
                    <w:rPr>
                      <w:rFonts w:hint="eastAsia"/>
                    </w:rPr>
                    <w:t>旱厕（依托）</w:t>
                  </w:r>
                </w:p>
              </w:tc>
              <w:tc>
                <w:tcPr>
                  <w:tcW w:w="1681" w:type="dxa"/>
                  <w:vAlign w:val="center"/>
                </w:tcPr>
                <w:p>
                  <w:pPr>
                    <w:pStyle w:val="33"/>
                  </w:pPr>
                  <w: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02" w:hRule="atLeast"/>
                <w:jc w:val="center"/>
              </w:trPr>
              <w:tc>
                <w:tcPr>
                  <w:tcW w:w="733" w:type="dxa"/>
                  <w:vMerge w:val="continue"/>
                  <w:vAlign w:val="center"/>
                </w:tcPr>
                <w:p>
                  <w:pPr>
                    <w:pStyle w:val="33"/>
                  </w:pPr>
                </w:p>
              </w:tc>
              <w:tc>
                <w:tcPr>
                  <w:tcW w:w="1533" w:type="dxa"/>
                  <w:vAlign w:val="center"/>
                </w:tcPr>
                <w:p>
                  <w:pPr>
                    <w:pStyle w:val="33"/>
                  </w:pPr>
                  <w:r>
                    <w:t>生产废水</w:t>
                  </w:r>
                </w:p>
              </w:tc>
              <w:tc>
                <w:tcPr>
                  <w:tcW w:w="3762" w:type="dxa"/>
                  <w:vAlign w:val="center"/>
                </w:tcPr>
                <w:p>
                  <w:pPr>
                    <w:pStyle w:val="33"/>
                  </w:pPr>
                  <w:r>
                    <w:rPr>
                      <w:rFonts w:hint="eastAsia"/>
                    </w:rPr>
                    <w:t>沉淀池</w:t>
                  </w:r>
                </w:p>
              </w:tc>
              <w:tc>
                <w:tcPr>
                  <w:tcW w:w="1681" w:type="dxa"/>
                  <w:vAlign w:val="center"/>
                </w:tcPr>
                <w:p>
                  <w:pPr>
                    <w:pStyle w:val="33"/>
                  </w:pPr>
                  <w: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02" w:hRule="atLeast"/>
                <w:jc w:val="center"/>
              </w:trPr>
              <w:tc>
                <w:tcPr>
                  <w:tcW w:w="733" w:type="dxa"/>
                  <w:vMerge w:val="continue"/>
                  <w:vAlign w:val="center"/>
                </w:tcPr>
                <w:p>
                  <w:pPr>
                    <w:pStyle w:val="33"/>
                  </w:pPr>
                </w:p>
              </w:tc>
              <w:tc>
                <w:tcPr>
                  <w:tcW w:w="1533" w:type="dxa"/>
                  <w:vAlign w:val="center"/>
                </w:tcPr>
                <w:p>
                  <w:pPr>
                    <w:pStyle w:val="33"/>
                  </w:pPr>
                  <w:r>
                    <w:rPr>
                      <w:rFonts w:hint="eastAsia"/>
                    </w:rPr>
                    <w:t>初期</w:t>
                  </w:r>
                  <w:r>
                    <w:t>雨水</w:t>
                  </w:r>
                </w:p>
              </w:tc>
              <w:tc>
                <w:tcPr>
                  <w:tcW w:w="3762" w:type="dxa"/>
                  <w:vAlign w:val="center"/>
                </w:tcPr>
                <w:p>
                  <w:pPr>
                    <w:pStyle w:val="33"/>
                  </w:pPr>
                  <w:r>
                    <w:rPr>
                      <w:rFonts w:hint="eastAsia"/>
                      <w:bCs/>
                    </w:rPr>
                    <w:t>建设防渗</w:t>
                  </w:r>
                  <w:r>
                    <w:rPr>
                      <w:bCs/>
                    </w:rPr>
                    <w:t>排水渠</w:t>
                  </w:r>
                  <w:r>
                    <w:t>及</w:t>
                  </w:r>
                  <w:r>
                    <w:rPr>
                      <w:rFonts w:hint="eastAsia"/>
                    </w:rPr>
                    <w:t>雨水</w:t>
                  </w:r>
                  <w:r>
                    <w:t>收集池</w:t>
                  </w:r>
                  <w:r>
                    <w:rPr>
                      <w:rFonts w:hint="eastAsia"/>
                    </w:rPr>
                    <w:t>（容积</w:t>
                  </w:r>
                  <w:r>
                    <w:t>为</w:t>
                  </w:r>
                  <w:r>
                    <w:rPr>
                      <w:color w:val="FF0000"/>
                    </w:rPr>
                    <w:t>180m</w:t>
                  </w:r>
                  <w:r>
                    <w:rPr>
                      <w:color w:val="FF0000"/>
                      <w:vertAlign w:val="superscript"/>
                    </w:rPr>
                    <w:t>3</w:t>
                  </w:r>
                  <w:r>
                    <w:rPr>
                      <w:rFonts w:hint="eastAsia"/>
                      <w:color w:val="FF0000"/>
                    </w:rPr>
                    <w:t>）</w:t>
                  </w:r>
                </w:p>
              </w:tc>
              <w:tc>
                <w:tcPr>
                  <w:tcW w:w="1681" w:type="dxa"/>
                  <w:vAlign w:val="center"/>
                </w:tcPr>
                <w:p>
                  <w:pPr>
                    <w:pStyle w:val="33"/>
                  </w:pPr>
                  <w:r>
                    <w:t>12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605" w:hRule="atLeast"/>
                <w:jc w:val="center"/>
              </w:trPr>
              <w:tc>
                <w:tcPr>
                  <w:tcW w:w="2266" w:type="dxa"/>
                  <w:gridSpan w:val="2"/>
                  <w:vAlign w:val="center"/>
                </w:tcPr>
                <w:p>
                  <w:pPr>
                    <w:pStyle w:val="33"/>
                  </w:pPr>
                  <w:r>
                    <w:t>噪声</w:t>
                  </w:r>
                </w:p>
              </w:tc>
              <w:tc>
                <w:tcPr>
                  <w:tcW w:w="3762" w:type="dxa"/>
                  <w:vAlign w:val="center"/>
                </w:tcPr>
                <w:p>
                  <w:pPr>
                    <w:pStyle w:val="33"/>
                  </w:pPr>
                  <w:r>
                    <w:t>采用厂房隔声、减震、选用低噪声设备，且安装在室内。</w:t>
                  </w:r>
                </w:p>
              </w:tc>
              <w:tc>
                <w:tcPr>
                  <w:tcW w:w="1681" w:type="dxa"/>
                  <w:vAlign w:val="center"/>
                </w:tcPr>
                <w:p>
                  <w:pPr>
                    <w:pStyle w:val="33"/>
                  </w:pPr>
                  <w: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227" w:hRule="atLeast"/>
                <w:jc w:val="center"/>
              </w:trPr>
              <w:tc>
                <w:tcPr>
                  <w:tcW w:w="733" w:type="dxa"/>
                  <w:vMerge w:val="restart"/>
                  <w:vAlign w:val="center"/>
                </w:tcPr>
                <w:p>
                  <w:pPr>
                    <w:pStyle w:val="33"/>
                  </w:pPr>
                  <w:r>
                    <w:t>固体</w:t>
                  </w:r>
                </w:p>
                <w:p>
                  <w:pPr>
                    <w:pStyle w:val="33"/>
                  </w:pPr>
                  <w:r>
                    <w:t>废物</w:t>
                  </w:r>
                </w:p>
              </w:tc>
              <w:tc>
                <w:tcPr>
                  <w:tcW w:w="1533" w:type="dxa"/>
                  <w:vAlign w:val="center"/>
                </w:tcPr>
                <w:p>
                  <w:pPr>
                    <w:pStyle w:val="33"/>
                  </w:pPr>
                  <w:r>
                    <w:t>生活垃圾</w:t>
                  </w:r>
                </w:p>
              </w:tc>
              <w:tc>
                <w:tcPr>
                  <w:tcW w:w="3762" w:type="dxa"/>
                  <w:vAlign w:val="center"/>
                </w:tcPr>
                <w:p>
                  <w:pPr>
                    <w:pStyle w:val="33"/>
                  </w:pPr>
                  <w:r>
                    <w:t>生活垃圾设置盖式垃圾箱收集，定期运往指定垃圾站</w:t>
                  </w:r>
                </w:p>
              </w:tc>
              <w:tc>
                <w:tcPr>
                  <w:tcW w:w="1681" w:type="dxa"/>
                  <w:vAlign w:val="center"/>
                </w:tcPr>
                <w:p>
                  <w:pPr>
                    <w:pStyle w:val="33"/>
                  </w:pPr>
                  <w:r>
                    <w:t>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658" w:hRule="atLeast"/>
                <w:jc w:val="center"/>
              </w:trPr>
              <w:tc>
                <w:tcPr>
                  <w:tcW w:w="733" w:type="dxa"/>
                  <w:vMerge w:val="continue"/>
                  <w:vAlign w:val="center"/>
                </w:tcPr>
                <w:p>
                  <w:pPr>
                    <w:pStyle w:val="33"/>
                  </w:pPr>
                </w:p>
              </w:tc>
              <w:tc>
                <w:tcPr>
                  <w:tcW w:w="1533" w:type="dxa"/>
                  <w:vAlign w:val="center"/>
                </w:tcPr>
                <w:p>
                  <w:pPr>
                    <w:pStyle w:val="33"/>
                  </w:pPr>
                  <w:r>
                    <w:t>危险废物</w:t>
                  </w:r>
                </w:p>
              </w:tc>
              <w:tc>
                <w:tcPr>
                  <w:tcW w:w="3762" w:type="dxa"/>
                  <w:vAlign w:val="center"/>
                </w:tcPr>
                <w:p>
                  <w:pPr>
                    <w:pStyle w:val="33"/>
                  </w:pPr>
                  <w:r>
                    <w:t>分类贮存在危险废物暂存间内，每种危险废物存放区符合危险废物贮存标准的容器储存，加上标签，委托有资质的单位进行处置</w:t>
                  </w:r>
                </w:p>
              </w:tc>
              <w:tc>
                <w:tcPr>
                  <w:tcW w:w="1681" w:type="dxa"/>
                  <w:vAlign w:val="center"/>
                </w:tcPr>
                <w:p>
                  <w:pPr>
                    <w:pStyle w:val="33"/>
                  </w:pPr>
                  <w: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91" w:hRule="atLeast"/>
                <w:jc w:val="center"/>
              </w:trPr>
              <w:tc>
                <w:tcPr>
                  <w:tcW w:w="2266" w:type="dxa"/>
                  <w:gridSpan w:val="2"/>
                  <w:vAlign w:val="center"/>
                </w:tcPr>
                <w:p>
                  <w:pPr>
                    <w:pStyle w:val="33"/>
                  </w:pPr>
                  <w:r>
                    <w:t>防渗</w:t>
                  </w:r>
                </w:p>
              </w:tc>
              <w:tc>
                <w:tcPr>
                  <w:tcW w:w="3762" w:type="dxa"/>
                  <w:vAlign w:val="center"/>
                </w:tcPr>
                <w:p>
                  <w:pPr>
                    <w:pStyle w:val="33"/>
                  </w:pPr>
                  <w:r>
                    <w:rPr>
                      <w:rFonts w:hint="eastAsia"/>
                    </w:rPr>
                    <w:t>厂区地面硬化、</w:t>
                  </w:r>
                  <w:r>
                    <w:rPr>
                      <w:rFonts w:hint="eastAsia"/>
                      <w:color w:val="FF0000"/>
                    </w:rPr>
                    <w:t>水池防渗</w:t>
                  </w:r>
                </w:p>
              </w:tc>
              <w:tc>
                <w:tcPr>
                  <w:tcW w:w="1681" w:type="dxa"/>
                  <w:vAlign w:val="center"/>
                </w:tcPr>
                <w:p>
                  <w:pPr>
                    <w:pStyle w:val="33"/>
                  </w:pPr>
                  <w:r>
                    <w:t>30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460" w:hRule="atLeast"/>
                <w:jc w:val="center"/>
              </w:trPr>
              <w:tc>
                <w:tcPr>
                  <w:tcW w:w="2266" w:type="dxa"/>
                  <w:gridSpan w:val="2"/>
                  <w:vAlign w:val="center"/>
                </w:tcPr>
                <w:p>
                  <w:pPr>
                    <w:pStyle w:val="33"/>
                  </w:pPr>
                  <w:r>
                    <w:t>合计</w:t>
                  </w:r>
                </w:p>
              </w:tc>
              <w:tc>
                <w:tcPr>
                  <w:tcW w:w="3762" w:type="dxa"/>
                  <w:vAlign w:val="center"/>
                </w:tcPr>
                <w:p>
                  <w:pPr>
                    <w:pStyle w:val="33"/>
                  </w:pPr>
                  <w:r>
                    <w:t>-</w:t>
                  </w:r>
                </w:p>
              </w:tc>
              <w:tc>
                <w:tcPr>
                  <w:tcW w:w="1681" w:type="dxa"/>
                  <w:vAlign w:val="center"/>
                </w:tcPr>
                <w:p>
                  <w:pPr>
                    <w:pStyle w:val="33"/>
                  </w:pPr>
                  <w:r>
                    <w:t>89.5</w:t>
                  </w:r>
                </w:p>
              </w:tc>
            </w:tr>
          </w:tbl>
          <w:p>
            <w:pPr>
              <w:ind w:firstLine="442"/>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int="eastAsia"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p>
            <w:pPr>
              <w:ind w:firstLine="199" w:firstLineChars="90"/>
              <w:rPr>
                <w:rFonts w:hAnsi="宋体"/>
                <w:b/>
                <w:bCs/>
                <w:spacing w:val="-10"/>
                <w:szCs w:val="21"/>
              </w:rPr>
            </w:pPr>
          </w:p>
        </w:tc>
      </w:tr>
    </w:tbl>
    <w:p>
      <w:pPr>
        <w:pStyle w:val="2"/>
        <w:ind w:firstLine="640"/>
        <w:rPr>
          <w:snapToGrid w:val="0"/>
        </w:rPr>
        <w:sectPr>
          <w:pgSz w:w="11906" w:h="16838"/>
          <w:pgMar w:top="1440" w:right="1800" w:bottom="1440" w:left="1800" w:header="992" w:footer="992" w:gutter="0"/>
          <w:cols w:space="425" w:num="1"/>
          <w:docGrid w:type="lines" w:linePitch="312" w:charSpace="0"/>
        </w:sectPr>
      </w:pPr>
    </w:p>
    <w:p>
      <w:pPr>
        <w:pStyle w:val="2"/>
        <w:ind w:firstLine="640"/>
        <w:rPr>
          <w:snapToGrid w:val="0"/>
        </w:rPr>
      </w:pPr>
      <w:r>
        <w:rPr>
          <w:rFonts w:hint="eastAsia"/>
          <w:snapToGrid w:val="0"/>
        </w:rPr>
        <w:t>五、</w:t>
      </w:r>
      <w:bookmarkStart w:id="37" w:name="_Hlk54167917"/>
      <w:r>
        <w:rPr>
          <w:rFonts w:hint="eastAsia"/>
          <w:snapToGrid w:val="0"/>
        </w:rPr>
        <w:t>环境保护措施监督检查清单</w:t>
      </w:r>
      <w:bookmarkEnd w:id="37"/>
    </w:p>
    <w:tbl>
      <w:tblPr>
        <w:tblStyle w:val="22"/>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1418"/>
        <w:gridCol w:w="1532"/>
        <w:gridCol w:w="1701"/>
        <w:gridCol w:w="28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1266" w:type="dxa"/>
            <w:tcBorders>
              <w:tl2br w:val="single" w:color="auto" w:sz="4" w:space="0"/>
            </w:tcBorders>
          </w:tcPr>
          <w:p>
            <w:pPr>
              <w:ind w:firstLine="0" w:firstLineChars="0"/>
              <w:jc w:val="center"/>
              <w:rPr>
                <w:b/>
                <w:bCs/>
              </w:rPr>
            </w:pPr>
            <w:r>
              <w:rPr>
                <w:b/>
                <w:bCs/>
              </w:rPr>
              <w:t xml:space="preserve">   </w:t>
            </w:r>
            <w:r>
              <w:rPr>
                <w:rFonts w:hint="eastAsia"/>
                <w:b/>
                <w:bCs/>
              </w:rPr>
              <w:t>内容</w:t>
            </w:r>
            <w:r>
              <w:rPr>
                <w:b/>
                <w:bCs/>
              </w:rPr>
              <w:t xml:space="preserve"> </w:t>
            </w:r>
          </w:p>
          <w:p>
            <w:pPr>
              <w:ind w:firstLine="0" w:firstLineChars="0"/>
              <w:jc w:val="center"/>
              <w:rPr>
                <w:b/>
                <w:bCs/>
              </w:rPr>
            </w:pPr>
          </w:p>
          <w:p>
            <w:pPr>
              <w:ind w:firstLine="0" w:firstLineChars="0"/>
              <w:rPr>
                <w:b/>
                <w:bCs/>
              </w:rPr>
            </w:pPr>
            <w:r>
              <w:rPr>
                <w:rFonts w:hint="eastAsia"/>
                <w:b/>
                <w:bCs/>
              </w:rPr>
              <w:t>要素</w:t>
            </w:r>
          </w:p>
        </w:tc>
        <w:tc>
          <w:tcPr>
            <w:tcW w:w="1418" w:type="dxa"/>
            <w:vAlign w:val="center"/>
          </w:tcPr>
          <w:p>
            <w:pPr>
              <w:ind w:firstLine="0" w:firstLineChars="0"/>
              <w:jc w:val="center"/>
              <w:rPr>
                <w:b/>
                <w:bCs/>
              </w:rPr>
            </w:pPr>
            <w:r>
              <w:rPr>
                <w:rFonts w:hint="eastAsia"/>
                <w:b/>
                <w:bCs/>
              </w:rPr>
              <w:t>排放口(编号、名称)/污染源</w:t>
            </w:r>
          </w:p>
        </w:tc>
        <w:tc>
          <w:tcPr>
            <w:tcW w:w="1532" w:type="dxa"/>
            <w:vAlign w:val="center"/>
          </w:tcPr>
          <w:p>
            <w:pPr>
              <w:ind w:firstLine="0" w:firstLineChars="0"/>
              <w:jc w:val="center"/>
              <w:rPr>
                <w:b/>
                <w:bCs/>
              </w:rPr>
            </w:pPr>
            <w:r>
              <w:rPr>
                <w:rFonts w:hint="eastAsia"/>
                <w:b/>
                <w:bCs/>
              </w:rPr>
              <w:t>污染物项目</w:t>
            </w:r>
          </w:p>
        </w:tc>
        <w:tc>
          <w:tcPr>
            <w:tcW w:w="1701" w:type="dxa"/>
            <w:vAlign w:val="center"/>
          </w:tcPr>
          <w:p>
            <w:pPr>
              <w:ind w:firstLine="0" w:firstLineChars="0"/>
              <w:jc w:val="center"/>
              <w:rPr>
                <w:b/>
                <w:bCs/>
              </w:rPr>
            </w:pPr>
            <w:r>
              <w:rPr>
                <w:rFonts w:hint="eastAsia"/>
                <w:b/>
                <w:bCs/>
              </w:rPr>
              <w:t>环境保护措施</w:t>
            </w:r>
          </w:p>
        </w:tc>
        <w:tc>
          <w:tcPr>
            <w:tcW w:w="2883" w:type="dxa"/>
            <w:vAlign w:val="center"/>
          </w:tcPr>
          <w:p>
            <w:pPr>
              <w:ind w:firstLine="0" w:firstLineChars="0"/>
              <w:jc w:val="center"/>
              <w:rPr>
                <w:b/>
                <w:bCs/>
              </w:rPr>
            </w:pPr>
            <w:r>
              <w:rPr>
                <w:rFonts w:hint="eastAsia"/>
                <w:b/>
                <w:bCs/>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Merge w:val="restart"/>
            <w:vAlign w:val="center"/>
          </w:tcPr>
          <w:p>
            <w:pPr>
              <w:ind w:firstLine="0" w:firstLineChars="0"/>
              <w:jc w:val="center"/>
            </w:pPr>
            <w:r>
              <w:rPr>
                <w:rFonts w:hint="eastAsia"/>
              </w:rPr>
              <w:t>大气环境</w:t>
            </w:r>
          </w:p>
        </w:tc>
        <w:tc>
          <w:tcPr>
            <w:tcW w:w="1418" w:type="dxa"/>
            <w:vMerge w:val="restart"/>
            <w:vAlign w:val="center"/>
          </w:tcPr>
          <w:p>
            <w:pPr>
              <w:spacing w:line="240" w:lineRule="auto"/>
              <w:ind w:firstLine="0" w:firstLineChars="0"/>
              <w:jc w:val="center"/>
            </w:pPr>
            <w:r>
              <w:t>无组织</w:t>
            </w:r>
          </w:p>
        </w:tc>
        <w:tc>
          <w:tcPr>
            <w:tcW w:w="1532" w:type="dxa"/>
            <w:vAlign w:val="center"/>
          </w:tcPr>
          <w:p>
            <w:pPr>
              <w:spacing w:line="240" w:lineRule="auto"/>
              <w:ind w:firstLine="0" w:firstLineChars="0"/>
              <w:jc w:val="center"/>
            </w:pPr>
            <w:r>
              <w:t>TSP</w:t>
            </w:r>
          </w:p>
        </w:tc>
        <w:tc>
          <w:tcPr>
            <w:tcW w:w="1701" w:type="dxa"/>
            <w:vAlign w:val="center"/>
          </w:tcPr>
          <w:p>
            <w:pPr>
              <w:spacing w:line="240" w:lineRule="auto"/>
              <w:ind w:firstLine="0" w:firstLineChars="0"/>
              <w:jc w:val="center"/>
            </w:pPr>
            <w:r>
              <w:rPr>
                <w:rFonts w:hint="eastAsia"/>
              </w:rPr>
              <w:t>车间加强通风，</w:t>
            </w:r>
            <w:r>
              <w:rPr>
                <w:rFonts w:hint="eastAsia"/>
                <w:color w:val="FF0000"/>
              </w:rPr>
              <w:t>洒水沉降</w:t>
            </w:r>
          </w:p>
        </w:tc>
        <w:tc>
          <w:tcPr>
            <w:tcW w:w="2883" w:type="dxa"/>
            <w:vAlign w:val="center"/>
          </w:tcPr>
          <w:p>
            <w:pPr>
              <w:spacing w:line="240" w:lineRule="auto"/>
              <w:ind w:firstLine="0" w:firstLineChars="0"/>
              <w:jc w:val="center"/>
            </w:pPr>
            <w:r>
              <w:rPr>
                <w:rFonts w:hint="eastAsia"/>
              </w:rPr>
              <w:t>《大气污染物综合排放标准》（GB16297-1996）表2中颗粒物无组织排放标准。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Merge w:val="continue"/>
            <w:vAlign w:val="center"/>
          </w:tcPr>
          <w:p>
            <w:pPr>
              <w:pStyle w:val="33"/>
            </w:pPr>
          </w:p>
        </w:tc>
        <w:tc>
          <w:tcPr>
            <w:tcW w:w="1418" w:type="dxa"/>
            <w:vMerge w:val="continue"/>
            <w:vAlign w:val="center"/>
          </w:tcPr>
          <w:p>
            <w:pPr>
              <w:spacing w:line="240" w:lineRule="auto"/>
              <w:ind w:firstLine="0" w:firstLineChars="0"/>
              <w:jc w:val="center"/>
            </w:pPr>
          </w:p>
        </w:tc>
        <w:tc>
          <w:tcPr>
            <w:tcW w:w="1532" w:type="dxa"/>
            <w:vAlign w:val="center"/>
          </w:tcPr>
          <w:p>
            <w:pPr>
              <w:spacing w:line="240" w:lineRule="auto"/>
              <w:ind w:firstLine="0" w:firstLineChars="0"/>
              <w:jc w:val="center"/>
            </w:pPr>
            <w:r>
              <w:t>NH</w:t>
            </w:r>
            <w:r>
              <w:rPr>
                <w:vertAlign w:val="subscript"/>
              </w:rPr>
              <w:t>3</w:t>
            </w:r>
            <w:r>
              <w:rPr>
                <w:rFonts w:hint="eastAsia"/>
              </w:rPr>
              <w:t>、</w:t>
            </w:r>
            <w:r>
              <w:t>H</w:t>
            </w:r>
            <w:r>
              <w:rPr>
                <w:vertAlign w:val="subscript"/>
              </w:rPr>
              <w:t>2</w:t>
            </w:r>
            <w:r>
              <w:t>S</w:t>
            </w:r>
            <w:r>
              <w:rPr>
                <w:rFonts w:hint="eastAsia"/>
              </w:rPr>
              <w:t>、臭气浓度</w:t>
            </w:r>
          </w:p>
        </w:tc>
        <w:tc>
          <w:tcPr>
            <w:tcW w:w="1701" w:type="dxa"/>
            <w:vAlign w:val="center"/>
          </w:tcPr>
          <w:p>
            <w:pPr>
              <w:spacing w:line="240" w:lineRule="auto"/>
              <w:ind w:firstLine="0" w:firstLineChars="0"/>
              <w:jc w:val="center"/>
            </w:pPr>
            <w:r>
              <w:rPr>
                <w:rFonts w:hint="eastAsia"/>
              </w:rPr>
              <w:t>封闭车间、喷洒植物液</w:t>
            </w:r>
          </w:p>
        </w:tc>
        <w:tc>
          <w:tcPr>
            <w:tcW w:w="2883" w:type="dxa"/>
            <w:vAlign w:val="center"/>
          </w:tcPr>
          <w:p>
            <w:pPr>
              <w:spacing w:line="240" w:lineRule="auto"/>
              <w:ind w:firstLine="0" w:firstLineChars="0"/>
              <w:jc w:val="center"/>
            </w:pPr>
            <w:r>
              <w:rPr>
                <w:rFonts w:hint="eastAsia"/>
              </w:rPr>
              <w:t>《恶臭污染物排放标准》（GB14554-93）中无组织排放监控浓度限值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Merge w:val="continue"/>
            <w:vAlign w:val="center"/>
          </w:tcPr>
          <w:p>
            <w:pPr>
              <w:pStyle w:val="33"/>
            </w:pPr>
          </w:p>
        </w:tc>
        <w:tc>
          <w:tcPr>
            <w:tcW w:w="1418" w:type="dxa"/>
            <w:vMerge w:val="continue"/>
            <w:vAlign w:val="center"/>
          </w:tcPr>
          <w:p>
            <w:pPr>
              <w:spacing w:line="240" w:lineRule="auto"/>
              <w:ind w:firstLine="0" w:firstLineChars="0"/>
              <w:jc w:val="center"/>
            </w:pPr>
          </w:p>
        </w:tc>
        <w:tc>
          <w:tcPr>
            <w:tcW w:w="1532" w:type="dxa"/>
            <w:vAlign w:val="center"/>
          </w:tcPr>
          <w:p>
            <w:pPr>
              <w:spacing w:line="240" w:lineRule="auto"/>
              <w:ind w:firstLine="0" w:firstLineChars="0"/>
              <w:jc w:val="center"/>
              <w:rPr>
                <w:color w:val="FF0000"/>
              </w:rPr>
            </w:pPr>
            <w:r>
              <w:rPr>
                <w:rFonts w:hint="eastAsia"/>
                <w:color w:val="FF0000"/>
              </w:rPr>
              <w:t>非甲烷总烃</w:t>
            </w:r>
          </w:p>
        </w:tc>
        <w:tc>
          <w:tcPr>
            <w:tcW w:w="1701" w:type="dxa"/>
            <w:vAlign w:val="center"/>
          </w:tcPr>
          <w:p>
            <w:pPr>
              <w:spacing w:line="240" w:lineRule="auto"/>
              <w:ind w:firstLine="0" w:firstLineChars="0"/>
              <w:jc w:val="center"/>
              <w:rPr>
                <w:rFonts w:hint="eastAsia"/>
                <w:color w:val="FF0000"/>
              </w:rPr>
            </w:pPr>
            <w:r>
              <w:rPr>
                <w:rFonts w:hint="eastAsia"/>
                <w:color w:val="FF0000"/>
              </w:rPr>
              <w:t>全封闭容器盛装，危废暂存库设置排风系统</w:t>
            </w:r>
          </w:p>
        </w:tc>
        <w:tc>
          <w:tcPr>
            <w:tcW w:w="2883" w:type="dxa"/>
            <w:vAlign w:val="center"/>
          </w:tcPr>
          <w:p>
            <w:pPr>
              <w:spacing w:line="240" w:lineRule="auto"/>
              <w:ind w:firstLine="0" w:firstLineChars="0"/>
              <w:jc w:val="center"/>
              <w:rPr>
                <w:rFonts w:hint="eastAsia"/>
                <w:color w:val="FF0000"/>
              </w:rPr>
            </w:pPr>
            <w:r>
              <w:rPr>
                <w:rFonts w:hint="eastAsia"/>
                <w:color w:val="FF0000"/>
              </w:rPr>
              <w:t>厂界满足《大气污染物综合排放标准》(GB16297-1996)中新污染源无组织排放监控浓度限值；厂区内满足《挥发性有机物无组织排放控制标准》（GB 37822—2019）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Merge w:val="restart"/>
            <w:vAlign w:val="center"/>
          </w:tcPr>
          <w:p>
            <w:pPr>
              <w:ind w:firstLine="0" w:firstLineChars="0"/>
              <w:jc w:val="center"/>
            </w:pPr>
            <w:r>
              <w:rPr>
                <w:rFonts w:hint="eastAsia"/>
              </w:rPr>
              <w:t>水环境</w:t>
            </w:r>
          </w:p>
        </w:tc>
        <w:tc>
          <w:tcPr>
            <w:tcW w:w="1418" w:type="dxa"/>
            <w:vAlign w:val="center"/>
          </w:tcPr>
          <w:p>
            <w:pPr>
              <w:spacing w:line="240" w:lineRule="auto"/>
              <w:ind w:firstLine="0" w:firstLineChars="0"/>
              <w:jc w:val="center"/>
            </w:pPr>
            <w:r>
              <w:rPr>
                <w:rFonts w:hint="eastAsia" w:ascii="宋体" w:cs="宋体" w:hAnsiTheme="minorHAnsi"/>
                <w:szCs w:val="24"/>
              </w:rPr>
              <w:t>生活污水</w:t>
            </w:r>
          </w:p>
        </w:tc>
        <w:tc>
          <w:tcPr>
            <w:tcW w:w="1532" w:type="dxa"/>
            <w:vAlign w:val="center"/>
          </w:tcPr>
          <w:p>
            <w:pPr>
              <w:spacing w:line="240" w:lineRule="auto"/>
              <w:ind w:firstLine="0" w:firstLineChars="0"/>
              <w:jc w:val="center"/>
            </w:pPr>
            <w:r>
              <w:rPr>
                <w:rFonts w:hint="eastAsia"/>
              </w:rPr>
              <w:t>COD、SS、氨氮、总磷、TN</w:t>
            </w:r>
          </w:p>
        </w:tc>
        <w:tc>
          <w:tcPr>
            <w:tcW w:w="1701" w:type="dxa"/>
            <w:vAlign w:val="center"/>
          </w:tcPr>
          <w:p>
            <w:pPr>
              <w:spacing w:line="240" w:lineRule="auto"/>
              <w:ind w:firstLine="0" w:firstLineChars="0"/>
              <w:jc w:val="center"/>
            </w:pPr>
            <w:r>
              <w:rPr>
                <w:rFonts w:hint="eastAsia"/>
              </w:rPr>
              <w:t>旱厕，定期清掏</w:t>
            </w:r>
          </w:p>
        </w:tc>
        <w:tc>
          <w:tcPr>
            <w:tcW w:w="2883" w:type="dxa"/>
            <w:vAlign w:val="center"/>
          </w:tcPr>
          <w:p>
            <w:pPr>
              <w:spacing w:line="240" w:lineRule="auto"/>
              <w:ind w:firstLine="0" w:firstLineChars="0"/>
              <w:jc w:val="center"/>
            </w:pP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Merge w:val="continue"/>
            <w:vAlign w:val="center"/>
          </w:tcPr>
          <w:p>
            <w:pPr>
              <w:ind w:firstLine="0" w:firstLineChars="0"/>
              <w:jc w:val="center"/>
            </w:pPr>
          </w:p>
        </w:tc>
        <w:tc>
          <w:tcPr>
            <w:tcW w:w="1418" w:type="dxa"/>
            <w:vAlign w:val="center"/>
          </w:tcPr>
          <w:p>
            <w:pPr>
              <w:spacing w:line="240" w:lineRule="auto"/>
              <w:ind w:firstLine="0" w:firstLineChars="0"/>
              <w:jc w:val="center"/>
              <w:rPr>
                <w:rFonts w:ascii="宋体" w:cs="宋体" w:hAnsiTheme="minorHAnsi"/>
                <w:szCs w:val="24"/>
              </w:rPr>
            </w:pPr>
            <w:r>
              <w:rPr>
                <w:rFonts w:hint="eastAsia" w:ascii="宋体" w:cs="宋体" w:hAnsiTheme="minorHAnsi"/>
                <w:szCs w:val="24"/>
              </w:rPr>
              <w:t>生产废水</w:t>
            </w:r>
          </w:p>
        </w:tc>
        <w:tc>
          <w:tcPr>
            <w:tcW w:w="1532" w:type="dxa"/>
            <w:vAlign w:val="center"/>
          </w:tcPr>
          <w:p>
            <w:pPr>
              <w:spacing w:line="240" w:lineRule="auto"/>
              <w:ind w:firstLine="0" w:firstLineChars="0"/>
              <w:jc w:val="center"/>
            </w:pPr>
            <w:r>
              <w:rPr>
                <w:rFonts w:hint="eastAsia"/>
              </w:rPr>
              <w:t>SS</w:t>
            </w:r>
          </w:p>
        </w:tc>
        <w:tc>
          <w:tcPr>
            <w:tcW w:w="1701" w:type="dxa"/>
            <w:vAlign w:val="center"/>
          </w:tcPr>
          <w:p>
            <w:pPr>
              <w:spacing w:line="240" w:lineRule="auto"/>
              <w:ind w:firstLine="0" w:firstLineChars="0"/>
              <w:jc w:val="center"/>
            </w:pPr>
            <w:r>
              <w:rPr>
                <w:rFonts w:hint="eastAsia"/>
              </w:rPr>
              <w:t>进入沉淀池，沉淀后循环使用，不外排。</w:t>
            </w:r>
          </w:p>
        </w:tc>
        <w:tc>
          <w:tcPr>
            <w:tcW w:w="2883" w:type="dxa"/>
            <w:vAlign w:val="center"/>
          </w:tcPr>
          <w:p>
            <w:pPr>
              <w:spacing w:line="240" w:lineRule="auto"/>
              <w:ind w:firstLine="0" w:firstLineChars="0"/>
              <w:jc w:val="center"/>
            </w:pP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Merge w:val="continue"/>
            <w:vAlign w:val="center"/>
          </w:tcPr>
          <w:p>
            <w:pPr>
              <w:ind w:firstLine="0" w:firstLineChars="0"/>
              <w:jc w:val="center"/>
            </w:pPr>
          </w:p>
        </w:tc>
        <w:tc>
          <w:tcPr>
            <w:tcW w:w="1418" w:type="dxa"/>
            <w:vAlign w:val="center"/>
          </w:tcPr>
          <w:p>
            <w:pPr>
              <w:spacing w:line="240" w:lineRule="auto"/>
              <w:ind w:firstLine="0" w:firstLineChars="0"/>
              <w:jc w:val="center"/>
              <w:rPr>
                <w:rFonts w:ascii="宋体" w:cs="宋体" w:hAnsiTheme="minorHAnsi"/>
                <w:szCs w:val="24"/>
              </w:rPr>
            </w:pPr>
            <w:r>
              <w:rPr>
                <w:rFonts w:hint="eastAsia" w:ascii="宋体" w:cs="宋体" w:hAnsiTheme="minorHAnsi"/>
                <w:szCs w:val="24"/>
              </w:rPr>
              <w:t>初期雨水</w:t>
            </w:r>
          </w:p>
        </w:tc>
        <w:tc>
          <w:tcPr>
            <w:tcW w:w="1532" w:type="dxa"/>
            <w:vAlign w:val="center"/>
          </w:tcPr>
          <w:p>
            <w:pPr>
              <w:spacing w:line="240" w:lineRule="auto"/>
              <w:ind w:firstLine="0" w:firstLineChars="0"/>
              <w:jc w:val="center"/>
            </w:pPr>
            <w:r>
              <w:rPr>
                <w:rFonts w:hint="eastAsia"/>
              </w:rPr>
              <w:t>SS</w:t>
            </w:r>
          </w:p>
        </w:tc>
        <w:tc>
          <w:tcPr>
            <w:tcW w:w="1701" w:type="dxa"/>
            <w:vAlign w:val="center"/>
          </w:tcPr>
          <w:p>
            <w:pPr>
              <w:spacing w:line="240" w:lineRule="auto"/>
              <w:ind w:firstLine="0" w:firstLineChars="0"/>
              <w:jc w:val="center"/>
            </w:pPr>
            <w:r>
              <w:rPr>
                <w:rFonts w:hint="eastAsia"/>
              </w:rPr>
              <w:t>进入初期雨水池，用于场地洒水降尘不外排</w:t>
            </w:r>
          </w:p>
        </w:tc>
        <w:tc>
          <w:tcPr>
            <w:tcW w:w="2883" w:type="dxa"/>
            <w:vAlign w:val="center"/>
          </w:tcPr>
          <w:p>
            <w:pPr>
              <w:spacing w:line="240" w:lineRule="auto"/>
              <w:ind w:firstLine="0" w:firstLineChars="0"/>
              <w:jc w:val="center"/>
            </w:pP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Align w:val="center"/>
          </w:tcPr>
          <w:p>
            <w:pPr>
              <w:ind w:firstLine="0" w:firstLineChars="0"/>
              <w:jc w:val="center"/>
            </w:pPr>
            <w:r>
              <w:rPr>
                <w:rFonts w:hint="eastAsia"/>
              </w:rPr>
              <w:t>声环境</w:t>
            </w:r>
          </w:p>
        </w:tc>
        <w:tc>
          <w:tcPr>
            <w:tcW w:w="1418" w:type="dxa"/>
            <w:vAlign w:val="center"/>
          </w:tcPr>
          <w:p>
            <w:pPr>
              <w:spacing w:line="240" w:lineRule="auto"/>
              <w:ind w:firstLine="0" w:firstLineChars="0"/>
              <w:jc w:val="center"/>
            </w:pPr>
            <w:r>
              <w:rPr>
                <w:rFonts w:hint="eastAsia"/>
              </w:rPr>
              <w:t>切割机、破碎机等</w:t>
            </w:r>
          </w:p>
        </w:tc>
        <w:tc>
          <w:tcPr>
            <w:tcW w:w="1532" w:type="dxa"/>
            <w:vAlign w:val="center"/>
          </w:tcPr>
          <w:p>
            <w:pPr>
              <w:spacing w:line="240" w:lineRule="auto"/>
              <w:ind w:firstLine="0" w:firstLineChars="0"/>
              <w:jc w:val="center"/>
            </w:pPr>
            <w:r>
              <w:rPr>
                <w:rFonts w:hint="eastAsia"/>
              </w:rPr>
              <w:t>等效</w:t>
            </w:r>
            <w:r>
              <w:t xml:space="preserve">A </w:t>
            </w:r>
            <w:r>
              <w:rPr>
                <w:rFonts w:hint="eastAsia"/>
              </w:rPr>
              <w:t>声级</w:t>
            </w:r>
          </w:p>
        </w:tc>
        <w:tc>
          <w:tcPr>
            <w:tcW w:w="1701" w:type="dxa"/>
            <w:vAlign w:val="center"/>
          </w:tcPr>
          <w:p>
            <w:pPr>
              <w:spacing w:line="240" w:lineRule="auto"/>
              <w:ind w:firstLine="0" w:firstLineChars="0"/>
              <w:jc w:val="center"/>
            </w:pPr>
            <w:r>
              <w:rPr>
                <w:rFonts w:hint="eastAsia"/>
              </w:rPr>
              <w:t>隔声、减振</w:t>
            </w:r>
          </w:p>
        </w:tc>
        <w:tc>
          <w:tcPr>
            <w:tcW w:w="2883" w:type="dxa"/>
            <w:vAlign w:val="center"/>
          </w:tcPr>
          <w:p>
            <w:pPr>
              <w:spacing w:line="240" w:lineRule="auto"/>
              <w:ind w:firstLine="0" w:firstLineChars="0"/>
              <w:jc w:val="center"/>
            </w:pPr>
            <w:r>
              <w:rPr>
                <w:rFonts w:hint="eastAsia"/>
              </w:rPr>
              <w:t>《工业企业厂界环境噪声排放标准》(GB12348-2008)中</w:t>
            </w:r>
            <w:r>
              <w:t>2</w:t>
            </w:r>
            <w:r>
              <w:rPr>
                <w:rFonts w:hint="eastAsia"/>
              </w:rPr>
              <w:t>类、</w:t>
            </w:r>
            <w:r>
              <w:t>4a</w:t>
            </w:r>
            <w:r>
              <w:rPr>
                <w:rFonts w:hint="eastAsia"/>
              </w:rPr>
              <w:t>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6" w:type="dxa"/>
            <w:vAlign w:val="center"/>
          </w:tcPr>
          <w:p>
            <w:pPr>
              <w:ind w:firstLine="0" w:firstLineChars="0"/>
              <w:jc w:val="center"/>
            </w:pPr>
            <w:r>
              <w:rPr>
                <w:rFonts w:hint="eastAsia"/>
              </w:rPr>
              <w:t>电磁辐射</w:t>
            </w:r>
          </w:p>
        </w:tc>
        <w:tc>
          <w:tcPr>
            <w:tcW w:w="1418" w:type="dxa"/>
            <w:vAlign w:val="center"/>
          </w:tcPr>
          <w:p>
            <w:pPr>
              <w:spacing w:line="240" w:lineRule="auto"/>
              <w:ind w:firstLine="0" w:firstLineChars="0"/>
              <w:jc w:val="center"/>
            </w:pPr>
            <w:r>
              <w:rPr>
                <w:rFonts w:hint="eastAsia"/>
              </w:rPr>
              <w:t>无</w:t>
            </w:r>
          </w:p>
        </w:tc>
        <w:tc>
          <w:tcPr>
            <w:tcW w:w="1532" w:type="dxa"/>
            <w:vAlign w:val="center"/>
          </w:tcPr>
          <w:p>
            <w:pPr>
              <w:spacing w:line="240" w:lineRule="auto"/>
              <w:ind w:firstLine="0" w:firstLineChars="0"/>
              <w:jc w:val="center"/>
            </w:pPr>
            <w:r>
              <w:rPr>
                <w:rFonts w:hint="eastAsia"/>
              </w:rPr>
              <w:t>/</w:t>
            </w:r>
          </w:p>
        </w:tc>
        <w:tc>
          <w:tcPr>
            <w:tcW w:w="1701" w:type="dxa"/>
            <w:vAlign w:val="center"/>
          </w:tcPr>
          <w:p>
            <w:pPr>
              <w:spacing w:line="240" w:lineRule="auto"/>
              <w:ind w:firstLine="0" w:firstLineChars="0"/>
              <w:jc w:val="center"/>
            </w:pPr>
            <w:r>
              <w:rPr>
                <w:rFonts w:hint="eastAsia"/>
              </w:rPr>
              <w:t>/</w:t>
            </w:r>
          </w:p>
        </w:tc>
        <w:tc>
          <w:tcPr>
            <w:tcW w:w="2883" w:type="dxa"/>
            <w:vAlign w:val="center"/>
          </w:tcPr>
          <w:p>
            <w:pPr>
              <w:spacing w:line="240" w:lineRule="auto"/>
              <w:ind w:firstLine="0" w:firstLineChars="0"/>
              <w:jc w:val="center"/>
            </w:pP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266" w:type="dxa"/>
            <w:vAlign w:val="center"/>
          </w:tcPr>
          <w:p>
            <w:pPr>
              <w:ind w:firstLine="0" w:firstLineChars="0"/>
              <w:jc w:val="center"/>
            </w:pPr>
            <w:r>
              <w:rPr>
                <w:rFonts w:hint="eastAsia"/>
              </w:rPr>
              <w:t>固体废物</w:t>
            </w:r>
          </w:p>
        </w:tc>
        <w:tc>
          <w:tcPr>
            <w:tcW w:w="7534" w:type="dxa"/>
            <w:gridSpan w:val="4"/>
            <w:vAlign w:val="center"/>
          </w:tcPr>
          <w:p>
            <w:pPr>
              <w:ind w:firstLine="480"/>
            </w:pPr>
            <w:r>
              <w:rPr>
                <w:rFonts w:hint="eastAsia"/>
              </w:rPr>
              <w:t>本项目产生的固废主要包括：废矿物油、</w:t>
            </w:r>
            <w:r>
              <w:rPr>
                <w:rFonts w:hint="eastAsia"/>
                <w:color w:val="FF0000"/>
              </w:rPr>
              <w:t>沉淀池沉渣</w:t>
            </w:r>
            <w:r>
              <w:rPr>
                <w:rFonts w:hint="eastAsia"/>
              </w:rPr>
              <w:t>和生活垃圾，废矿物油全部暂存于危废暂存间，委托有资质的单位处理处置。</w:t>
            </w:r>
            <w:r>
              <w:rPr>
                <w:rFonts w:hint="eastAsia"/>
                <w:color w:val="FF0000"/>
              </w:rPr>
              <w:t>沉淀池沉渣定期清掏，自然晾干后定期拉运至周边砖厂综合利用，氧气瓶和乙炔气瓶由供销商或厂家回收再利用。</w:t>
            </w:r>
            <w:r>
              <w:rPr>
                <w:rFonts w:hint="eastAsia"/>
              </w:rPr>
              <w:t>生活垃圾集中由环卫部门定期清运。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266" w:type="dxa"/>
            <w:vAlign w:val="center"/>
          </w:tcPr>
          <w:p>
            <w:pPr>
              <w:ind w:firstLine="0" w:firstLineChars="0"/>
              <w:jc w:val="center"/>
            </w:pPr>
            <w:r>
              <w:rPr>
                <w:rFonts w:hint="eastAsia"/>
              </w:rPr>
              <w:t>土壤及地下水污染防治措施</w:t>
            </w:r>
          </w:p>
        </w:tc>
        <w:tc>
          <w:tcPr>
            <w:tcW w:w="7534" w:type="dxa"/>
            <w:gridSpan w:val="4"/>
            <w:vAlign w:val="center"/>
          </w:tcPr>
          <w:p>
            <w:pPr>
              <w:ind w:firstLine="480"/>
            </w:pPr>
            <w:r>
              <w:rPr>
                <w:rFonts w:hint="eastAsia"/>
              </w:rPr>
              <w:t>参照</w:t>
            </w:r>
            <w:r>
              <w:t>《环境影响评价技术导则 地下水环境》（HJ610-2016）</w:t>
            </w:r>
            <w:r>
              <w:rPr>
                <w:rFonts w:hint="eastAsia"/>
              </w:rPr>
              <w:t>一般防渗区要求，对沉淀</w:t>
            </w:r>
            <w:r>
              <w:t>池做防渗处理，渗透系数小于1×10</w:t>
            </w:r>
            <w:r>
              <w:rPr>
                <w:vertAlign w:val="superscript"/>
              </w:rPr>
              <w:t>-7</w:t>
            </w:r>
            <w:r>
              <w:t>cm/s</w:t>
            </w:r>
            <w:r>
              <w:rPr>
                <w:rFonts w:hint="eastAsia"/>
              </w:rPr>
              <w:t>；对危废暂存间做防渗处理，</w:t>
            </w:r>
            <w:r>
              <w:t>渗透系数小于1×10</w:t>
            </w:r>
            <w:r>
              <w:rPr>
                <w:vertAlign w:val="superscript"/>
              </w:rPr>
              <w:t>-10</w:t>
            </w:r>
            <w:r>
              <w:t>cm/s</w:t>
            </w: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266" w:type="dxa"/>
            <w:vAlign w:val="center"/>
          </w:tcPr>
          <w:p>
            <w:pPr>
              <w:ind w:firstLine="0" w:firstLineChars="0"/>
              <w:jc w:val="center"/>
            </w:pPr>
            <w:r>
              <w:rPr>
                <w:rFonts w:hint="eastAsia"/>
              </w:rPr>
              <w:t>生态保护措施</w:t>
            </w:r>
          </w:p>
        </w:tc>
        <w:tc>
          <w:tcPr>
            <w:tcW w:w="7534" w:type="dxa"/>
            <w:gridSpan w:val="4"/>
            <w:vAlign w:val="center"/>
          </w:tcPr>
          <w:p>
            <w:pPr>
              <w:ind w:firstLine="480"/>
            </w:pPr>
            <w:r>
              <w:rPr>
                <w:rFonts w:hint="eastAsia"/>
              </w:rPr>
              <w:t>项目位于现有厂区内，无新增占地。通过采取污染防治措施并加强管理可减少对生态环境的影响。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266" w:type="dxa"/>
            <w:vAlign w:val="center"/>
          </w:tcPr>
          <w:p>
            <w:pPr>
              <w:ind w:firstLine="0" w:firstLineChars="0"/>
              <w:jc w:val="center"/>
              <w:rPr>
                <w:spacing w:val="-8"/>
              </w:rPr>
            </w:pPr>
            <w:r>
              <w:rPr>
                <w:rFonts w:hint="eastAsia"/>
                <w:spacing w:val="-8"/>
              </w:rPr>
              <w:t>环境风险</w:t>
            </w:r>
          </w:p>
          <w:p>
            <w:pPr>
              <w:ind w:firstLine="0" w:firstLineChars="0"/>
              <w:jc w:val="center"/>
              <w:rPr>
                <w:spacing w:val="-8"/>
              </w:rPr>
            </w:pPr>
            <w:r>
              <w:rPr>
                <w:rFonts w:hint="eastAsia"/>
                <w:spacing w:val="-8"/>
              </w:rPr>
              <w:t>防范措施</w:t>
            </w:r>
          </w:p>
        </w:tc>
        <w:tc>
          <w:tcPr>
            <w:tcW w:w="7534" w:type="dxa"/>
            <w:gridSpan w:val="4"/>
            <w:vAlign w:val="center"/>
          </w:tcPr>
          <w:p>
            <w:pPr>
              <w:ind w:firstLine="480"/>
            </w:pPr>
            <w:r>
              <w:rPr>
                <w:rFonts w:hint="eastAsia"/>
              </w:rPr>
              <w:t>1）乙炔燃爆风险防范</w:t>
            </w:r>
          </w:p>
          <w:p>
            <w:pPr>
              <w:ind w:firstLine="480"/>
            </w:pPr>
            <w:r>
              <w:rPr>
                <w:rFonts w:hint="eastAsia"/>
              </w:rPr>
              <w:t>①加强生产管理。乙炔钢瓶应由专门人员负责管理，单独存放，在搬运过程中轻拿轻放，避免碰撞造成储存钢瓶破裂气体泄漏或碰撞爆炸。</w:t>
            </w:r>
          </w:p>
          <w:p>
            <w:pPr>
              <w:ind w:firstLine="480"/>
            </w:pPr>
            <w:r>
              <w:rPr>
                <w:rFonts w:hint="eastAsia"/>
              </w:rPr>
              <w:t>②乙炔瓶着火一定不要慌、迅速关死乙炔瓶阀门、退掉高压氧，然后用干粉灭火器扑救。</w:t>
            </w:r>
          </w:p>
          <w:p>
            <w:pPr>
              <w:ind w:firstLine="480"/>
            </w:pPr>
            <w:r>
              <w:rPr>
                <w:rFonts w:hint="eastAsia"/>
              </w:rPr>
              <w:t>（2）危险废物燃爆防范措施</w:t>
            </w:r>
          </w:p>
          <w:p>
            <w:pPr>
              <w:ind w:firstLine="480"/>
            </w:pPr>
            <w:r>
              <w:rPr>
                <w:rFonts w:hint="eastAsia"/>
              </w:rPr>
              <w:t>①危险废物堆放场应满足《危险废物贮存污染控制标准》（GB18597-2001）有关规定：对危险废物的容器和包装以及收集、贮存、运输、处置危险废物的设施、场所，必须设置危险废物识别标志；必须按照国家有关规定申报登记。</w:t>
            </w:r>
          </w:p>
          <w:p>
            <w:pPr>
              <w:ind w:firstLine="480"/>
            </w:pPr>
            <w:r>
              <w:rPr>
                <w:rFonts w:hint="eastAsia"/>
              </w:rPr>
              <w:t>②厂区危险废物应按要求盛装在专门的收集容器再存放危废暂存间。</w:t>
            </w:r>
          </w:p>
          <w:p>
            <w:pPr>
              <w:ind w:firstLine="480"/>
            </w:pPr>
            <w:r>
              <w:rPr>
                <w:rFonts w:hint="eastAsia"/>
              </w:rPr>
              <w:t>③厂区危险废物为废矿物油，主要包括废机油、废柴油、废汽油，应分区堆存，设置独立的存放空间场所避免于其他废旧物资混杂存放。</w:t>
            </w:r>
          </w:p>
          <w:p>
            <w:pPr>
              <w:ind w:firstLine="480"/>
            </w:pPr>
            <w:r>
              <w:rPr>
                <w:rFonts w:hint="eastAsia"/>
              </w:rPr>
              <w:t>④各种危险废物应严格按照《危险废物贮存污染控制标准》（GB18597-2001）贮存，且在厂区内的贮存时间不得超过一年，最大贮存量不得大于1t。</w:t>
            </w:r>
          </w:p>
          <w:p>
            <w:pPr>
              <w:ind w:firstLine="480"/>
            </w:pPr>
            <w:r>
              <w:rPr>
                <w:rFonts w:hint="eastAsia"/>
              </w:rPr>
              <w:t>设置完备的消防系统，配套消防栓、干粉灭火器、消防砂等消防设备。危废暂存区应同时配套干粉灭火器、消防砂消防设施应对燃爆事件。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266" w:type="dxa"/>
            <w:vAlign w:val="center"/>
          </w:tcPr>
          <w:p>
            <w:pPr>
              <w:ind w:firstLine="0" w:firstLineChars="0"/>
              <w:jc w:val="center"/>
              <w:rPr>
                <w:spacing w:val="-8"/>
              </w:rPr>
            </w:pPr>
            <w:r>
              <w:rPr>
                <w:rFonts w:hint="eastAsia"/>
                <w:spacing w:val="-8"/>
              </w:rPr>
              <w:t>其他环境</w:t>
            </w:r>
          </w:p>
          <w:p>
            <w:pPr>
              <w:ind w:firstLine="0" w:firstLineChars="0"/>
              <w:jc w:val="center"/>
              <w:rPr>
                <w:spacing w:val="-8"/>
              </w:rPr>
            </w:pPr>
            <w:r>
              <w:rPr>
                <w:rFonts w:hint="eastAsia"/>
                <w:spacing w:val="-8"/>
              </w:rPr>
              <w:t>管理要求</w:t>
            </w:r>
          </w:p>
        </w:tc>
        <w:tc>
          <w:tcPr>
            <w:tcW w:w="7534" w:type="dxa"/>
            <w:gridSpan w:val="4"/>
            <w:vAlign w:val="center"/>
          </w:tcPr>
          <w:p>
            <w:pPr>
              <w:ind w:firstLine="480"/>
              <w:rPr>
                <w:rFonts w:hint="eastAsia"/>
              </w:rPr>
            </w:pPr>
            <w:r>
              <w:rPr>
                <w:rFonts w:hint="eastAsia"/>
              </w:rPr>
              <w:t>严格执行“三同时”制度；严格执行《</w:t>
            </w:r>
            <w:r>
              <w:t>排污许可证申请与核发技术规范</w:t>
            </w:r>
            <w:r>
              <w:rPr>
                <w:rFonts w:hint="eastAsia"/>
              </w:rPr>
              <w:t xml:space="preserve"> </w:t>
            </w:r>
            <w:r>
              <w:t xml:space="preserve"> </w:t>
            </w:r>
            <w:r>
              <w:rPr>
                <w:rFonts w:hint="eastAsia"/>
              </w:rPr>
              <w:t>废弃资源加工工业》（</w:t>
            </w:r>
            <w:r>
              <w:t>HJ1034—2019</w:t>
            </w:r>
            <w:r>
              <w:rPr>
                <w:rFonts w:hint="eastAsia"/>
              </w:rPr>
              <w:t>）。</w:t>
            </w:r>
          </w:p>
        </w:tc>
      </w:tr>
    </w:tbl>
    <w:p>
      <w:pPr>
        <w:pStyle w:val="2"/>
        <w:ind w:firstLine="640"/>
        <w:rPr>
          <w:snapToGrid w:val="0"/>
        </w:rPr>
        <w:sectPr>
          <w:pgSz w:w="11906" w:h="16838"/>
          <w:pgMar w:top="1440" w:right="1800" w:bottom="1440" w:left="1800" w:header="992" w:footer="992" w:gutter="0"/>
          <w:cols w:space="425" w:num="1"/>
          <w:docGrid w:type="lines" w:linePitch="312" w:charSpace="0"/>
        </w:sectPr>
      </w:pPr>
    </w:p>
    <w:p>
      <w:pPr>
        <w:pStyle w:val="2"/>
        <w:ind w:firstLine="640"/>
      </w:pPr>
      <w:r>
        <w:rPr>
          <w:rFonts w:hint="eastAsia"/>
          <w:snapToGrid w:val="0"/>
        </w:rPr>
        <w:t>六、结论</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pPr>
              <w:ind w:firstLine="480"/>
            </w:pPr>
            <w:r>
              <w:t>本项目选址基本合理，厂址与区域总体规划和环境规划基本相符，建成后有较 高的经济效益；拟采用的各项污染防治措施基本合理、有效，</w:t>
            </w:r>
            <w:r>
              <w:rPr>
                <w:rFonts w:hint="eastAsia"/>
              </w:rPr>
              <w:t>废气</w:t>
            </w:r>
            <w:r>
              <w:t>、</w:t>
            </w:r>
            <w:r>
              <w:rPr>
                <w:rFonts w:hint="eastAsia"/>
              </w:rPr>
              <w:t>废水、</w:t>
            </w:r>
            <w:r>
              <w:t>噪声均可实现达标排放，固废均得到合理处置；各类污染物经治理后能稳定达标排放，项目建成投产后周围环境功能不下降；环保投资可基本满足污染控制需要，能实现环境效益、经济效益和社会效益的统一；因此</w:t>
            </w:r>
            <w:r>
              <w:rPr>
                <w:rFonts w:hint="eastAsia"/>
              </w:rPr>
              <w:t>，</w:t>
            </w:r>
            <w:r>
              <w:t>在企业认真落实本报告表中提出的各项</w:t>
            </w:r>
            <w:r>
              <w:rPr>
                <w:rFonts w:hint="eastAsia"/>
              </w:rPr>
              <w:t>污染防治</w:t>
            </w:r>
            <w:r>
              <w:t>措施的前提下，从环保角度出发</w:t>
            </w:r>
            <w:r>
              <w:rPr>
                <w:rFonts w:hint="eastAsia"/>
              </w:rPr>
              <w:t>“五原县勇胜再生资源回收利用市场建设项目”</w:t>
            </w:r>
            <w:r>
              <w:t>建设可行。</w:t>
            </w:r>
          </w:p>
          <w:p>
            <w:pPr>
              <w:ind w:firstLine="480"/>
            </w:pPr>
          </w:p>
        </w:tc>
      </w:tr>
    </w:tbl>
    <w:p>
      <w:pPr>
        <w:pStyle w:val="2"/>
        <w:ind w:firstLine="640"/>
        <w:sectPr>
          <w:pgSz w:w="11906" w:h="16838"/>
          <w:pgMar w:top="1440" w:right="1800" w:bottom="1440" w:left="1800" w:header="992" w:footer="992" w:gutter="0"/>
          <w:cols w:space="425" w:num="1"/>
          <w:docGrid w:type="lines" w:linePitch="312" w:charSpace="0"/>
        </w:sectPr>
      </w:pPr>
    </w:p>
    <w:p>
      <w:pPr>
        <w:ind w:firstLine="0" w:firstLineChars="0"/>
        <w:outlineLvl w:val="0"/>
        <w:rPr>
          <w:rFonts w:ascii="黑体" w:hAnsi="黑体" w:eastAsia="黑体"/>
          <w:snapToGrid w:val="0"/>
          <w:sz w:val="32"/>
          <w:szCs w:val="32"/>
        </w:rPr>
      </w:pPr>
      <w:r>
        <w:rPr>
          <w:rFonts w:hint="eastAsia" w:ascii="黑体" w:hAnsi="黑体" w:eastAsia="黑体"/>
          <w:snapToGrid w:val="0"/>
          <w:sz w:val="32"/>
          <w:szCs w:val="32"/>
        </w:rPr>
        <w:t>附表</w:t>
      </w:r>
    </w:p>
    <w:p>
      <w:pPr>
        <w:pStyle w:val="2"/>
      </w:pPr>
      <w:r>
        <w:rPr>
          <w:rFonts w:hint="eastAsia"/>
        </w:rPr>
        <w:t>建设项目污染物排放量汇总表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697"/>
        <w:gridCol w:w="1515"/>
        <w:gridCol w:w="1818"/>
        <w:gridCol w:w="1364"/>
        <w:gridCol w:w="1818"/>
        <w:gridCol w:w="1665"/>
        <w:gridCol w:w="1883"/>
        <w:gridCol w:w="1724"/>
        <w:gridCol w:w="125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14" w:hRule="atLeast"/>
          <w:jc w:val="center"/>
        </w:trPr>
        <w:tc>
          <w:tcPr>
            <w:tcW w:w="576" w:type="pct"/>
            <w:tcMar>
              <w:left w:w="28" w:type="dxa"/>
              <w:right w:w="28" w:type="dxa"/>
            </w:tcMar>
            <w:vAlign w:val="center"/>
          </w:tcPr>
          <w:p>
            <w:pPr>
              <w:ind w:firstLine="0" w:firstLineChars="0"/>
              <w:jc w:val="center"/>
              <w:rPr>
                <w:b/>
                <w:bCs/>
                <w:snapToGrid w:val="0"/>
              </w:rPr>
            </w:pPr>
            <w:r>
              <w:rPr>
                <w:rFonts w:hint="eastAsia"/>
                <w:b/>
                <w:bCs/>
                <w:snapToGrid w:val="0"/>
              </w:rPr>
              <w:t>项目分类</w:t>
            </w:r>
          </w:p>
        </w:tc>
        <w:tc>
          <w:tcPr>
            <w:tcW w:w="514" w:type="pct"/>
            <w:tcMar>
              <w:left w:w="28" w:type="dxa"/>
              <w:right w:w="28" w:type="dxa"/>
            </w:tcMar>
            <w:vAlign w:val="center"/>
          </w:tcPr>
          <w:p>
            <w:pPr>
              <w:ind w:firstLine="0" w:firstLineChars="0"/>
              <w:jc w:val="center"/>
              <w:rPr>
                <w:b/>
                <w:bCs/>
                <w:snapToGrid w:val="0"/>
              </w:rPr>
            </w:pPr>
            <w:r>
              <w:rPr>
                <w:rFonts w:hint="eastAsia"/>
                <w:b/>
                <w:bCs/>
                <w:snapToGrid w:val="0"/>
              </w:rPr>
              <w:t>污染物名称</w:t>
            </w:r>
          </w:p>
        </w:tc>
        <w:tc>
          <w:tcPr>
            <w:tcW w:w="617" w:type="pct"/>
            <w:tcMar>
              <w:left w:w="28" w:type="dxa"/>
              <w:right w:w="28" w:type="dxa"/>
            </w:tcMar>
            <w:vAlign w:val="center"/>
          </w:tcPr>
          <w:p>
            <w:pPr>
              <w:ind w:firstLine="0" w:firstLineChars="0"/>
              <w:jc w:val="center"/>
              <w:rPr>
                <w:b/>
                <w:bCs/>
                <w:snapToGrid w:val="0"/>
              </w:rPr>
            </w:pPr>
            <w:r>
              <w:rPr>
                <w:b/>
                <w:bCs/>
                <w:snapToGrid w:val="0"/>
              </w:rPr>
              <w:t>现有工程排放量（固</w:t>
            </w:r>
            <w:r>
              <w:rPr>
                <w:rFonts w:hint="eastAsia"/>
                <w:b/>
                <w:bCs/>
                <w:snapToGrid w:val="0"/>
              </w:rPr>
              <w:t>体</w:t>
            </w:r>
            <w:r>
              <w:rPr>
                <w:b/>
                <w:bCs/>
                <w:snapToGrid w:val="0"/>
              </w:rPr>
              <w:t>废</w:t>
            </w:r>
            <w:r>
              <w:rPr>
                <w:rFonts w:hint="eastAsia"/>
                <w:b/>
                <w:bCs/>
                <w:snapToGrid w:val="0"/>
              </w:rPr>
              <w:t>物</w:t>
            </w:r>
            <w:r>
              <w:rPr>
                <w:b/>
                <w:bCs/>
                <w:snapToGrid w:val="0"/>
              </w:rPr>
              <w:t>产生量）</w:t>
            </w:r>
            <w:r>
              <w:rPr>
                <w:b/>
                <w:bCs/>
                <w:snapToGrid w:val="0"/>
              </w:rPr>
              <w:fldChar w:fldCharType="begin"/>
            </w:r>
            <w:r>
              <w:rPr>
                <w:b/>
                <w:bCs/>
                <w:snapToGrid w:val="0"/>
              </w:rPr>
              <w:instrText xml:space="preserve"> = 1 \* GB3 \* MERGEFORMAT </w:instrText>
            </w:r>
            <w:r>
              <w:rPr>
                <w:b/>
                <w:bCs/>
                <w:snapToGrid w:val="0"/>
              </w:rPr>
              <w:fldChar w:fldCharType="separate"/>
            </w:r>
            <w:r>
              <w:rPr>
                <w:rFonts w:hint="eastAsia"/>
                <w:b/>
                <w:bCs/>
              </w:rPr>
              <w:t>①</w:t>
            </w:r>
            <w:r>
              <w:rPr>
                <w:b/>
                <w:bCs/>
                <w:snapToGrid w:val="0"/>
              </w:rPr>
              <w:fldChar w:fldCharType="end"/>
            </w:r>
            <w:r>
              <w:rPr>
                <w:rFonts w:hint="eastAsia"/>
                <w:b/>
                <w:bCs/>
                <w:snapToGrid w:val="0"/>
              </w:rPr>
              <w:t>（吨/年）</w:t>
            </w:r>
          </w:p>
        </w:tc>
        <w:tc>
          <w:tcPr>
            <w:tcW w:w="463" w:type="pct"/>
            <w:tcMar>
              <w:left w:w="28" w:type="dxa"/>
              <w:right w:w="28" w:type="dxa"/>
            </w:tcMar>
            <w:vAlign w:val="center"/>
          </w:tcPr>
          <w:p>
            <w:pPr>
              <w:ind w:firstLine="0" w:firstLineChars="0"/>
              <w:jc w:val="center"/>
              <w:rPr>
                <w:b/>
                <w:bCs/>
                <w:snapToGrid w:val="0"/>
              </w:rPr>
            </w:pPr>
            <w:r>
              <w:rPr>
                <w:b/>
                <w:bCs/>
                <w:snapToGrid w:val="0"/>
              </w:rPr>
              <w:t>现有工程许可排放量</w:t>
            </w:r>
          </w:p>
          <w:p>
            <w:pPr>
              <w:ind w:firstLine="0" w:firstLineChars="0"/>
              <w:jc w:val="center"/>
              <w:rPr>
                <w:b/>
                <w:bCs/>
                <w:snapToGrid w:val="0"/>
              </w:rPr>
            </w:pPr>
            <w:r>
              <w:rPr>
                <w:b/>
                <w:bCs/>
                <w:snapToGrid w:val="0"/>
              </w:rPr>
              <w:fldChar w:fldCharType="begin"/>
            </w:r>
            <w:r>
              <w:rPr>
                <w:b/>
                <w:bCs/>
                <w:snapToGrid w:val="0"/>
              </w:rPr>
              <w:instrText xml:space="preserve"> = 2 \* GB3 \* MERGEFORMAT </w:instrText>
            </w:r>
            <w:r>
              <w:rPr>
                <w:b/>
                <w:bCs/>
                <w:snapToGrid w:val="0"/>
              </w:rPr>
              <w:fldChar w:fldCharType="separate"/>
            </w:r>
            <w:r>
              <w:rPr>
                <w:rFonts w:hint="eastAsia"/>
                <w:b/>
                <w:bCs/>
                <w:snapToGrid w:val="0"/>
              </w:rPr>
              <w:t>②</w:t>
            </w:r>
            <w:r>
              <w:rPr>
                <w:b/>
                <w:bCs/>
                <w:snapToGrid w:val="0"/>
              </w:rPr>
              <w:fldChar w:fldCharType="end"/>
            </w:r>
            <w:r>
              <w:rPr>
                <w:rFonts w:hint="eastAsia"/>
                <w:b/>
                <w:bCs/>
                <w:snapToGrid w:val="0"/>
              </w:rPr>
              <w:t>（吨/年）</w:t>
            </w:r>
          </w:p>
        </w:tc>
        <w:tc>
          <w:tcPr>
            <w:tcW w:w="617" w:type="pct"/>
            <w:tcMar>
              <w:left w:w="28" w:type="dxa"/>
              <w:right w:w="28" w:type="dxa"/>
            </w:tcMar>
            <w:vAlign w:val="center"/>
          </w:tcPr>
          <w:p>
            <w:pPr>
              <w:ind w:firstLine="0" w:firstLineChars="0"/>
              <w:jc w:val="center"/>
              <w:rPr>
                <w:b/>
                <w:bCs/>
                <w:snapToGrid w:val="0"/>
              </w:rPr>
            </w:pPr>
            <w:r>
              <w:rPr>
                <w:b/>
                <w:bCs/>
                <w:snapToGrid w:val="0"/>
              </w:rPr>
              <w:t>在建工程排放量（固</w:t>
            </w:r>
            <w:r>
              <w:rPr>
                <w:rFonts w:hint="eastAsia"/>
                <w:b/>
                <w:bCs/>
                <w:snapToGrid w:val="0"/>
              </w:rPr>
              <w:t>体</w:t>
            </w:r>
            <w:r>
              <w:rPr>
                <w:b/>
                <w:bCs/>
                <w:snapToGrid w:val="0"/>
              </w:rPr>
              <w:t>废</w:t>
            </w:r>
            <w:r>
              <w:rPr>
                <w:rFonts w:hint="eastAsia"/>
                <w:b/>
                <w:bCs/>
                <w:snapToGrid w:val="0"/>
              </w:rPr>
              <w:t>物</w:t>
            </w:r>
            <w:r>
              <w:rPr>
                <w:b/>
                <w:bCs/>
                <w:snapToGrid w:val="0"/>
              </w:rPr>
              <w:t>产生量）</w:t>
            </w:r>
            <w:r>
              <w:rPr>
                <w:b/>
                <w:bCs/>
                <w:snapToGrid w:val="0"/>
              </w:rPr>
              <w:fldChar w:fldCharType="begin"/>
            </w:r>
            <w:r>
              <w:rPr>
                <w:b/>
                <w:bCs/>
                <w:snapToGrid w:val="0"/>
              </w:rPr>
              <w:instrText xml:space="preserve"> = 3 \* GB3 \* MERGEFORMAT </w:instrText>
            </w:r>
            <w:r>
              <w:rPr>
                <w:b/>
                <w:bCs/>
                <w:snapToGrid w:val="0"/>
              </w:rPr>
              <w:fldChar w:fldCharType="separate"/>
            </w:r>
            <w:r>
              <w:rPr>
                <w:rFonts w:hint="eastAsia"/>
                <w:b/>
                <w:bCs/>
              </w:rPr>
              <w:t>③</w:t>
            </w:r>
            <w:r>
              <w:rPr>
                <w:b/>
                <w:bCs/>
                <w:snapToGrid w:val="0"/>
              </w:rPr>
              <w:fldChar w:fldCharType="end"/>
            </w:r>
            <w:r>
              <w:rPr>
                <w:rFonts w:hint="eastAsia"/>
                <w:b/>
                <w:bCs/>
                <w:snapToGrid w:val="0"/>
              </w:rPr>
              <w:t>（吨/年）</w:t>
            </w:r>
          </w:p>
        </w:tc>
        <w:tc>
          <w:tcPr>
            <w:tcW w:w="565" w:type="pct"/>
            <w:tcMar>
              <w:left w:w="28" w:type="dxa"/>
              <w:right w:w="28" w:type="dxa"/>
            </w:tcMar>
            <w:vAlign w:val="center"/>
          </w:tcPr>
          <w:p>
            <w:pPr>
              <w:ind w:firstLine="0" w:firstLineChars="0"/>
              <w:jc w:val="center"/>
              <w:rPr>
                <w:b/>
                <w:bCs/>
                <w:snapToGrid w:val="0"/>
              </w:rPr>
            </w:pPr>
            <w:r>
              <w:rPr>
                <w:b/>
                <w:bCs/>
                <w:snapToGrid w:val="0"/>
              </w:rPr>
              <w:t>本项目排放量（固</w:t>
            </w:r>
            <w:r>
              <w:rPr>
                <w:rFonts w:hint="eastAsia"/>
                <w:b/>
                <w:bCs/>
                <w:snapToGrid w:val="0"/>
              </w:rPr>
              <w:t>体</w:t>
            </w:r>
            <w:r>
              <w:rPr>
                <w:b/>
                <w:bCs/>
                <w:snapToGrid w:val="0"/>
              </w:rPr>
              <w:t>废</w:t>
            </w:r>
            <w:r>
              <w:rPr>
                <w:rFonts w:hint="eastAsia"/>
                <w:b/>
                <w:bCs/>
                <w:snapToGrid w:val="0"/>
              </w:rPr>
              <w:t>物</w:t>
            </w:r>
            <w:r>
              <w:rPr>
                <w:b/>
                <w:bCs/>
                <w:snapToGrid w:val="0"/>
              </w:rPr>
              <w:t>产生量）</w:t>
            </w:r>
            <w:r>
              <w:rPr>
                <w:b/>
                <w:bCs/>
                <w:snapToGrid w:val="0"/>
              </w:rPr>
              <w:fldChar w:fldCharType="begin"/>
            </w:r>
            <w:r>
              <w:rPr>
                <w:b/>
                <w:bCs/>
                <w:snapToGrid w:val="0"/>
              </w:rPr>
              <w:instrText xml:space="preserve"> = 4 \* GB3 \* MERGEFORMAT </w:instrText>
            </w:r>
            <w:r>
              <w:rPr>
                <w:b/>
                <w:bCs/>
                <w:snapToGrid w:val="0"/>
              </w:rPr>
              <w:fldChar w:fldCharType="separate"/>
            </w:r>
            <w:r>
              <w:rPr>
                <w:rFonts w:hint="eastAsia"/>
                <w:b/>
                <w:bCs/>
              </w:rPr>
              <w:t>④</w:t>
            </w:r>
            <w:r>
              <w:rPr>
                <w:b/>
                <w:bCs/>
                <w:snapToGrid w:val="0"/>
              </w:rPr>
              <w:fldChar w:fldCharType="end"/>
            </w:r>
          </w:p>
          <w:p>
            <w:pPr>
              <w:ind w:firstLine="0" w:firstLineChars="0"/>
              <w:jc w:val="center"/>
              <w:rPr>
                <w:b/>
                <w:bCs/>
                <w:snapToGrid w:val="0"/>
              </w:rPr>
            </w:pPr>
            <w:r>
              <w:rPr>
                <w:rFonts w:hint="eastAsia"/>
                <w:b/>
                <w:bCs/>
                <w:snapToGrid w:val="0"/>
              </w:rPr>
              <w:t>（吨/年）</w:t>
            </w:r>
          </w:p>
        </w:tc>
        <w:tc>
          <w:tcPr>
            <w:tcW w:w="639" w:type="pct"/>
            <w:tcMar>
              <w:left w:w="28" w:type="dxa"/>
              <w:right w:w="28" w:type="dxa"/>
            </w:tcMar>
            <w:vAlign w:val="center"/>
          </w:tcPr>
          <w:p>
            <w:pPr>
              <w:ind w:firstLine="0" w:firstLineChars="0"/>
              <w:jc w:val="center"/>
              <w:rPr>
                <w:b/>
                <w:bCs/>
                <w:snapToGrid w:val="0"/>
                <w:spacing w:val="-16"/>
              </w:rPr>
            </w:pPr>
            <w:r>
              <w:rPr>
                <w:b/>
                <w:bCs/>
                <w:snapToGrid w:val="0"/>
                <w:spacing w:val="-16"/>
              </w:rPr>
              <w:t>以新带老削减量</w:t>
            </w:r>
          </w:p>
          <w:p>
            <w:pPr>
              <w:ind w:firstLine="0" w:firstLineChars="0"/>
              <w:jc w:val="center"/>
              <w:rPr>
                <w:b/>
                <w:bCs/>
                <w:snapToGrid w:val="0"/>
                <w:spacing w:val="-16"/>
              </w:rPr>
            </w:pPr>
            <w:r>
              <w:rPr>
                <w:b/>
                <w:bCs/>
                <w:snapToGrid w:val="0"/>
                <w:spacing w:val="-16"/>
              </w:rPr>
              <w:t>（新建项目不填）</w:t>
            </w:r>
            <w:r>
              <w:rPr>
                <w:b/>
                <w:bCs/>
                <w:snapToGrid w:val="0"/>
                <w:spacing w:val="-16"/>
              </w:rPr>
              <w:fldChar w:fldCharType="begin"/>
            </w:r>
            <w:r>
              <w:rPr>
                <w:b/>
                <w:bCs/>
                <w:snapToGrid w:val="0"/>
                <w:spacing w:val="-16"/>
              </w:rPr>
              <w:instrText xml:space="preserve"> = 5 \* GB3 \* MERGEFORMAT </w:instrText>
            </w:r>
            <w:r>
              <w:rPr>
                <w:b/>
                <w:bCs/>
                <w:snapToGrid w:val="0"/>
                <w:spacing w:val="-16"/>
              </w:rPr>
              <w:fldChar w:fldCharType="separate"/>
            </w:r>
            <w:r>
              <w:rPr>
                <w:rFonts w:hint="eastAsia"/>
                <w:b/>
                <w:bCs/>
              </w:rPr>
              <w:t>⑤</w:t>
            </w:r>
            <w:r>
              <w:rPr>
                <w:b/>
                <w:bCs/>
                <w:snapToGrid w:val="0"/>
                <w:spacing w:val="-16"/>
              </w:rPr>
              <w:fldChar w:fldCharType="end"/>
            </w:r>
            <w:r>
              <w:rPr>
                <w:rFonts w:hint="eastAsia"/>
                <w:b/>
                <w:bCs/>
                <w:snapToGrid w:val="0"/>
              </w:rPr>
              <w:t>（吨/年）</w:t>
            </w:r>
          </w:p>
        </w:tc>
        <w:tc>
          <w:tcPr>
            <w:tcW w:w="585" w:type="pct"/>
            <w:tcMar>
              <w:left w:w="28" w:type="dxa"/>
              <w:right w:w="28" w:type="dxa"/>
            </w:tcMar>
            <w:vAlign w:val="center"/>
          </w:tcPr>
          <w:p>
            <w:pPr>
              <w:ind w:firstLine="0" w:firstLineChars="0"/>
              <w:jc w:val="center"/>
              <w:rPr>
                <w:b/>
                <w:bCs/>
                <w:snapToGrid w:val="0"/>
                <w:spacing w:val="-16"/>
              </w:rPr>
            </w:pPr>
            <w:r>
              <w:rPr>
                <w:b/>
                <w:bCs/>
                <w:snapToGrid w:val="0"/>
                <w:spacing w:val="-16"/>
              </w:rPr>
              <w:t>本项目建成后</w:t>
            </w:r>
            <w:r>
              <w:rPr>
                <w:rFonts w:hint="eastAsia"/>
                <w:b/>
                <w:bCs/>
                <w:snapToGrid w:val="0"/>
                <w:spacing w:val="-16"/>
              </w:rPr>
              <w:t>全厂</w:t>
            </w:r>
            <w:r>
              <w:rPr>
                <w:b/>
                <w:bCs/>
                <w:snapToGrid w:val="0"/>
                <w:spacing w:val="-16"/>
              </w:rPr>
              <w:t>排放量（固</w:t>
            </w:r>
            <w:r>
              <w:rPr>
                <w:rFonts w:hint="eastAsia"/>
                <w:b/>
                <w:bCs/>
                <w:snapToGrid w:val="0"/>
                <w:spacing w:val="-16"/>
              </w:rPr>
              <w:t>体</w:t>
            </w:r>
            <w:r>
              <w:rPr>
                <w:b/>
                <w:bCs/>
                <w:snapToGrid w:val="0"/>
                <w:spacing w:val="-16"/>
              </w:rPr>
              <w:t>废</w:t>
            </w:r>
            <w:r>
              <w:rPr>
                <w:rFonts w:hint="eastAsia"/>
                <w:b/>
                <w:bCs/>
                <w:snapToGrid w:val="0"/>
                <w:spacing w:val="-16"/>
              </w:rPr>
              <w:t>物</w:t>
            </w:r>
            <w:r>
              <w:rPr>
                <w:b/>
                <w:bCs/>
                <w:snapToGrid w:val="0"/>
                <w:spacing w:val="-16"/>
              </w:rPr>
              <w:t>产生量）</w:t>
            </w:r>
            <w:r>
              <w:rPr>
                <w:b/>
                <w:bCs/>
                <w:snapToGrid w:val="0"/>
                <w:spacing w:val="-16"/>
              </w:rPr>
              <w:fldChar w:fldCharType="begin"/>
            </w:r>
            <w:r>
              <w:rPr>
                <w:b/>
                <w:bCs/>
                <w:snapToGrid w:val="0"/>
                <w:spacing w:val="-16"/>
              </w:rPr>
              <w:instrText xml:space="preserve"> = 6 \* GB3 \* MERGEFORMAT </w:instrText>
            </w:r>
            <w:r>
              <w:rPr>
                <w:b/>
                <w:bCs/>
                <w:snapToGrid w:val="0"/>
                <w:spacing w:val="-16"/>
              </w:rPr>
              <w:fldChar w:fldCharType="separate"/>
            </w:r>
            <w:r>
              <w:rPr>
                <w:rFonts w:hint="eastAsia"/>
                <w:b/>
                <w:bCs/>
              </w:rPr>
              <w:t>⑥</w:t>
            </w:r>
            <w:r>
              <w:rPr>
                <w:b/>
                <w:bCs/>
                <w:snapToGrid w:val="0"/>
                <w:spacing w:val="-16"/>
              </w:rPr>
              <w:fldChar w:fldCharType="end"/>
            </w:r>
          </w:p>
          <w:p>
            <w:pPr>
              <w:ind w:firstLine="0" w:firstLineChars="0"/>
              <w:jc w:val="center"/>
              <w:rPr>
                <w:b/>
                <w:bCs/>
                <w:snapToGrid w:val="0"/>
                <w:spacing w:val="-16"/>
              </w:rPr>
            </w:pPr>
            <w:r>
              <w:rPr>
                <w:rFonts w:hint="eastAsia"/>
                <w:b/>
                <w:bCs/>
                <w:snapToGrid w:val="0"/>
              </w:rPr>
              <w:t>（吨/年）</w:t>
            </w:r>
          </w:p>
        </w:tc>
        <w:tc>
          <w:tcPr>
            <w:tcW w:w="424" w:type="pct"/>
            <w:tcMar>
              <w:left w:w="28" w:type="dxa"/>
              <w:right w:w="28" w:type="dxa"/>
            </w:tcMar>
            <w:vAlign w:val="center"/>
          </w:tcPr>
          <w:p>
            <w:pPr>
              <w:ind w:firstLine="0" w:firstLineChars="0"/>
              <w:jc w:val="center"/>
              <w:rPr>
                <w:b/>
                <w:bCs/>
                <w:snapToGrid w:val="0"/>
              </w:rPr>
            </w:pPr>
            <w:r>
              <w:rPr>
                <w:b/>
                <w:bCs/>
                <w:snapToGrid w:val="0"/>
              </w:rPr>
              <w:t>变化量</w:t>
            </w:r>
          </w:p>
          <w:p>
            <w:pPr>
              <w:ind w:firstLine="0" w:firstLineChars="0"/>
              <w:jc w:val="center"/>
              <w:rPr>
                <w:b/>
                <w:bCs/>
                <w:snapToGrid w:val="0"/>
              </w:rPr>
            </w:pPr>
            <w:r>
              <w:rPr>
                <w:b/>
                <w:bCs/>
                <w:snapToGrid w:val="0"/>
              </w:rPr>
              <w:fldChar w:fldCharType="begin"/>
            </w:r>
            <w:r>
              <w:rPr>
                <w:b/>
                <w:bCs/>
                <w:snapToGrid w:val="0"/>
              </w:rPr>
              <w:instrText xml:space="preserve"> = 7 \* GB3 \* MERGEFORMAT </w:instrText>
            </w:r>
            <w:r>
              <w:rPr>
                <w:b/>
                <w:bCs/>
                <w:snapToGrid w:val="0"/>
              </w:rPr>
              <w:fldChar w:fldCharType="separate"/>
            </w:r>
            <w:r>
              <w:rPr>
                <w:rFonts w:hint="eastAsia"/>
                <w:b/>
                <w:bCs/>
              </w:rPr>
              <w:t>⑦</w:t>
            </w:r>
            <w:r>
              <w:rPr>
                <w:b/>
                <w:bCs/>
                <w:snapToGrid w:val="0"/>
              </w:rPr>
              <w:fldChar w:fldCharType="end"/>
            </w:r>
            <w:r>
              <w:rPr>
                <w:rFonts w:hint="eastAsia"/>
                <w:b/>
                <w:bCs/>
                <w:snapToGrid w:val="0"/>
              </w:rPr>
              <w:t>（吨/年）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restart"/>
            <w:vAlign w:val="center"/>
          </w:tcPr>
          <w:p>
            <w:pPr>
              <w:ind w:firstLine="0" w:firstLineChars="0"/>
              <w:jc w:val="center"/>
              <w:rPr>
                <w:rFonts w:ascii="宋体" w:hAnsi="宋体"/>
                <w:snapToGrid w:val="0"/>
              </w:rPr>
            </w:pPr>
            <w:r>
              <w:rPr>
                <w:rFonts w:hint="eastAsia" w:ascii="宋体" w:hAnsi="宋体"/>
                <w:snapToGrid w:val="0"/>
              </w:rPr>
              <w:t>废气</w:t>
            </w:r>
          </w:p>
        </w:tc>
        <w:tc>
          <w:tcPr>
            <w:tcW w:w="514" w:type="pct"/>
            <w:shd w:val="clear" w:color="auto" w:fill="auto"/>
            <w:vAlign w:val="center"/>
          </w:tcPr>
          <w:p>
            <w:pPr>
              <w:pStyle w:val="33"/>
              <w:rPr>
                <w:rFonts w:ascii="宋体" w:hAnsi="宋体"/>
                <w:snapToGrid w:val="0"/>
              </w:rPr>
            </w:pPr>
            <w:r>
              <w:rPr>
                <w:rFonts w:hint="eastAsia"/>
              </w:rPr>
              <w:t>粉尘</w:t>
            </w:r>
          </w:p>
        </w:tc>
        <w:tc>
          <w:tcPr>
            <w:tcW w:w="617" w:type="pct"/>
            <w:shd w:val="clear" w:color="auto" w:fill="auto"/>
            <w:vAlign w:val="center"/>
          </w:tcPr>
          <w:p>
            <w:pPr>
              <w:pStyle w:val="33"/>
            </w:pPr>
          </w:p>
        </w:tc>
        <w:tc>
          <w:tcPr>
            <w:tcW w:w="463" w:type="pct"/>
            <w:shd w:val="clear" w:color="auto" w:fill="auto"/>
            <w:vAlign w:val="center"/>
          </w:tcPr>
          <w:p>
            <w:pPr>
              <w:pStyle w:val="33"/>
            </w:pPr>
          </w:p>
        </w:tc>
        <w:tc>
          <w:tcPr>
            <w:tcW w:w="617" w:type="pct"/>
            <w:shd w:val="clear" w:color="auto" w:fill="auto"/>
            <w:vAlign w:val="center"/>
          </w:tcPr>
          <w:p>
            <w:pPr>
              <w:pStyle w:val="33"/>
            </w:pPr>
          </w:p>
        </w:tc>
        <w:tc>
          <w:tcPr>
            <w:tcW w:w="565" w:type="pct"/>
            <w:shd w:val="clear" w:color="auto" w:fill="auto"/>
            <w:vAlign w:val="center"/>
          </w:tcPr>
          <w:p>
            <w:pPr>
              <w:pStyle w:val="33"/>
              <w:rPr>
                <w:color w:val="FF0000"/>
              </w:rPr>
            </w:pPr>
            <w:r>
              <w:rPr>
                <w:color w:val="FF0000"/>
              </w:rPr>
              <w:t>3.2781</w:t>
            </w:r>
          </w:p>
        </w:tc>
        <w:tc>
          <w:tcPr>
            <w:tcW w:w="639" w:type="pct"/>
            <w:shd w:val="clear" w:color="auto" w:fill="auto"/>
            <w:vAlign w:val="center"/>
          </w:tcPr>
          <w:p>
            <w:pPr>
              <w:pStyle w:val="33"/>
            </w:pPr>
          </w:p>
        </w:tc>
        <w:tc>
          <w:tcPr>
            <w:tcW w:w="585" w:type="pct"/>
            <w:shd w:val="clear" w:color="auto" w:fill="auto"/>
            <w:vAlign w:val="center"/>
          </w:tcPr>
          <w:p>
            <w:pPr>
              <w:pStyle w:val="33"/>
            </w:pPr>
            <w:r>
              <w:rPr>
                <w:color w:val="FF0000"/>
              </w:rPr>
              <w:t>3.2781</w:t>
            </w:r>
          </w:p>
        </w:tc>
        <w:tc>
          <w:tcPr>
            <w:tcW w:w="424" w:type="pct"/>
            <w:shd w:val="clear" w:color="auto" w:fill="auto"/>
            <w:vAlign w:val="center"/>
          </w:tcPr>
          <w:p>
            <w:pPr>
              <w:pStyle w:val="33"/>
              <w:rPr>
                <w:color w:val="FF0000"/>
              </w:rPr>
            </w:pPr>
            <w:r>
              <w:rPr>
                <w:color w:val="FF0000"/>
              </w:rPr>
              <w:t>+3.2781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Merge w:val="continue"/>
            <w:vAlign w:val="center"/>
          </w:tcPr>
          <w:p>
            <w:pPr>
              <w:ind w:firstLine="0" w:firstLineChars="0"/>
              <w:jc w:val="center"/>
              <w:rPr>
                <w:rFonts w:hint="eastAsia" w:ascii="宋体" w:hAnsi="宋体"/>
                <w:snapToGrid w:val="0"/>
              </w:rPr>
            </w:pPr>
          </w:p>
        </w:tc>
        <w:tc>
          <w:tcPr>
            <w:tcW w:w="514" w:type="pct"/>
            <w:shd w:val="clear" w:color="auto" w:fill="auto"/>
            <w:vAlign w:val="center"/>
          </w:tcPr>
          <w:p>
            <w:pPr>
              <w:pStyle w:val="33"/>
              <w:rPr>
                <w:rFonts w:hint="eastAsia"/>
                <w:color w:val="FF0000"/>
              </w:rPr>
            </w:pPr>
            <w:r>
              <w:rPr>
                <w:rFonts w:hint="eastAsia"/>
                <w:color w:val="FF0000"/>
              </w:rPr>
              <w:t>非甲烷总烃</w:t>
            </w:r>
          </w:p>
        </w:tc>
        <w:tc>
          <w:tcPr>
            <w:tcW w:w="617" w:type="pct"/>
            <w:shd w:val="clear" w:color="auto" w:fill="auto"/>
            <w:vAlign w:val="center"/>
          </w:tcPr>
          <w:p>
            <w:pPr>
              <w:pStyle w:val="33"/>
            </w:pPr>
          </w:p>
        </w:tc>
        <w:tc>
          <w:tcPr>
            <w:tcW w:w="463" w:type="pct"/>
            <w:shd w:val="clear" w:color="auto" w:fill="auto"/>
            <w:vAlign w:val="center"/>
          </w:tcPr>
          <w:p>
            <w:pPr>
              <w:pStyle w:val="33"/>
            </w:pPr>
          </w:p>
        </w:tc>
        <w:tc>
          <w:tcPr>
            <w:tcW w:w="617" w:type="pct"/>
            <w:shd w:val="clear" w:color="auto" w:fill="auto"/>
            <w:vAlign w:val="center"/>
          </w:tcPr>
          <w:p>
            <w:pPr>
              <w:pStyle w:val="33"/>
            </w:pPr>
          </w:p>
        </w:tc>
        <w:tc>
          <w:tcPr>
            <w:tcW w:w="565" w:type="pct"/>
            <w:shd w:val="clear" w:color="auto" w:fill="auto"/>
            <w:vAlign w:val="center"/>
          </w:tcPr>
          <w:p>
            <w:pPr>
              <w:pStyle w:val="33"/>
              <w:rPr>
                <w:color w:val="FF0000"/>
              </w:rPr>
            </w:pPr>
            <w:r>
              <w:rPr>
                <w:color w:val="FF0000"/>
              </w:rPr>
              <w:t>0.00144</w:t>
            </w:r>
          </w:p>
        </w:tc>
        <w:tc>
          <w:tcPr>
            <w:tcW w:w="639" w:type="pct"/>
            <w:shd w:val="clear" w:color="auto" w:fill="auto"/>
            <w:vAlign w:val="center"/>
          </w:tcPr>
          <w:p>
            <w:pPr>
              <w:pStyle w:val="33"/>
            </w:pPr>
          </w:p>
        </w:tc>
        <w:tc>
          <w:tcPr>
            <w:tcW w:w="585" w:type="pct"/>
            <w:shd w:val="clear" w:color="auto" w:fill="auto"/>
            <w:vAlign w:val="center"/>
          </w:tcPr>
          <w:p>
            <w:pPr>
              <w:pStyle w:val="33"/>
              <w:rPr>
                <w:color w:val="FF0000"/>
              </w:rPr>
            </w:pPr>
            <w:r>
              <w:rPr>
                <w:color w:val="FF0000"/>
              </w:rPr>
              <w:t>0.00144</w:t>
            </w:r>
          </w:p>
        </w:tc>
        <w:tc>
          <w:tcPr>
            <w:tcW w:w="424" w:type="pct"/>
            <w:shd w:val="clear" w:color="auto" w:fill="auto"/>
            <w:vAlign w:val="center"/>
          </w:tcPr>
          <w:p>
            <w:pPr>
              <w:pStyle w:val="33"/>
              <w:rPr>
                <w:color w:val="FF0000"/>
              </w:rPr>
            </w:pPr>
            <w:r>
              <w:rPr>
                <w:color w:val="FF0000"/>
              </w:rPr>
              <w:t>+0.00144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Align w:val="center"/>
          </w:tcPr>
          <w:p>
            <w:pPr>
              <w:ind w:firstLine="0" w:firstLineChars="0"/>
              <w:jc w:val="center"/>
              <w:rPr>
                <w:rFonts w:ascii="宋体" w:hAnsi="宋体"/>
                <w:snapToGrid w:val="0"/>
              </w:rPr>
            </w:pPr>
            <w:r>
              <w:rPr>
                <w:rFonts w:hint="eastAsia" w:ascii="宋体" w:hAnsi="宋体"/>
                <w:snapToGrid w:val="0"/>
              </w:rPr>
              <w:t>危险废物</w:t>
            </w:r>
          </w:p>
        </w:tc>
        <w:tc>
          <w:tcPr>
            <w:tcW w:w="514" w:type="pct"/>
            <w:shd w:val="clear" w:color="auto" w:fill="auto"/>
            <w:vAlign w:val="center"/>
          </w:tcPr>
          <w:p>
            <w:pPr>
              <w:pStyle w:val="33"/>
              <w:rPr>
                <w:rFonts w:ascii="宋体" w:hAnsi="宋体"/>
                <w:snapToGrid w:val="0"/>
              </w:rPr>
            </w:pPr>
            <w:r>
              <w:rPr>
                <w:rFonts w:hint="eastAsia"/>
              </w:rPr>
              <w:t>废矿物油</w:t>
            </w:r>
          </w:p>
        </w:tc>
        <w:tc>
          <w:tcPr>
            <w:tcW w:w="617" w:type="pct"/>
            <w:shd w:val="clear" w:color="auto" w:fill="auto"/>
            <w:vAlign w:val="center"/>
          </w:tcPr>
          <w:p>
            <w:pPr>
              <w:pStyle w:val="33"/>
              <w:rPr>
                <w:rFonts w:ascii="宋体" w:hAnsi="宋体"/>
                <w:snapToGrid w:val="0"/>
              </w:rPr>
            </w:pPr>
          </w:p>
        </w:tc>
        <w:tc>
          <w:tcPr>
            <w:tcW w:w="463" w:type="pct"/>
            <w:shd w:val="clear" w:color="auto" w:fill="auto"/>
            <w:vAlign w:val="center"/>
          </w:tcPr>
          <w:p>
            <w:pPr>
              <w:pStyle w:val="33"/>
              <w:rPr>
                <w:rFonts w:ascii="宋体" w:hAnsi="宋体"/>
                <w:snapToGrid w:val="0"/>
              </w:rPr>
            </w:pPr>
          </w:p>
        </w:tc>
        <w:tc>
          <w:tcPr>
            <w:tcW w:w="617" w:type="pct"/>
            <w:shd w:val="clear" w:color="auto" w:fill="auto"/>
            <w:vAlign w:val="center"/>
          </w:tcPr>
          <w:p>
            <w:pPr>
              <w:pStyle w:val="33"/>
              <w:rPr>
                <w:rFonts w:ascii="宋体" w:hAnsi="宋体"/>
                <w:snapToGrid w:val="0"/>
              </w:rPr>
            </w:pPr>
          </w:p>
        </w:tc>
        <w:tc>
          <w:tcPr>
            <w:tcW w:w="565" w:type="pct"/>
            <w:shd w:val="clear" w:color="auto" w:fill="auto"/>
            <w:vAlign w:val="center"/>
          </w:tcPr>
          <w:p>
            <w:pPr>
              <w:pStyle w:val="33"/>
            </w:pPr>
            <w:r>
              <w:rPr>
                <w:rFonts w:hint="eastAsia"/>
              </w:rPr>
              <w:t>1</w:t>
            </w:r>
            <w:r>
              <w:t>.2</w:t>
            </w:r>
          </w:p>
        </w:tc>
        <w:tc>
          <w:tcPr>
            <w:tcW w:w="639" w:type="pct"/>
            <w:shd w:val="clear" w:color="auto" w:fill="auto"/>
            <w:vAlign w:val="center"/>
          </w:tcPr>
          <w:p>
            <w:pPr>
              <w:pStyle w:val="33"/>
              <w:rPr>
                <w:rFonts w:ascii="宋体" w:hAnsi="宋体"/>
                <w:snapToGrid w:val="0"/>
              </w:rPr>
            </w:pPr>
          </w:p>
        </w:tc>
        <w:tc>
          <w:tcPr>
            <w:tcW w:w="585" w:type="pct"/>
            <w:shd w:val="clear" w:color="auto" w:fill="auto"/>
            <w:vAlign w:val="center"/>
          </w:tcPr>
          <w:p>
            <w:pPr>
              <w:pStyle w:val="33"/>
            </w:pPr>
            <w:r>
              <w:rPr>
                <w:rFonts w:hint="eastAsia"/>
              </w:rPr>
              <w:t>1</w:t>
            </w:r>
            <w:r>
              <w:t>.2</w:t>
            </w:r>
          </w:p>
        </w:tc>
        <w:tc>
          <w:tcPr>
            <w:tcW w:w="424" w:type="pct"/>
            <w:shd w:val="clear" w:color="auto" w:fill="auto"/>
            <w:vAlign w:val="center"/>
          </w:tcPr>
          <w:p>
            <w:pPr>
              <w:pStyle w:val="33"/>
              <w:rPr>
                <w:rFonts w:ascii="宋体" w:hAnsi="宋体"/>
                <w:snapToGrid w:val="0"/>
              </w:rPr>
            </w:pPr>
            <w:r>
              <w:t>+</w:t>
            </w:r>
            <w:r>
              <w:rPr>
                <w:rFonts w:hint="eastAsia"/>
              </w:rPr>
              <w:t>1</w:t>
            </w:r>
            <w: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576" w:type="pct"/>
            <w:vAlign w:val="center"/>
          </w:tcPr>
          <w:p>
            <w:pPr>
              <w:ind w:firstLine="0" w:firstLineChars="0"/>
              <w:jc w:val="center"/>
              <w:rPr>
                <w:rFonts w:ascii="宋体" w:hAnsi="宋体"/>
                <w:snapToGrid w:val="0"/>
              </w:rPr>
            </w:pPr>
            <w:r>
              <w:rPr>
                <w:rFonts w:hint="eastAsia" w:ascii="宋体" w:hAnsi="宋体"/>
                <w:snapToGrid w:val="0"/>
              </w:rPr>
              <w:t>一般工业固废</w:t>
            </w:r>
          </w:p>
        </w:tc>
        <w:tc>
          <w:tcPr>
            <w:tcW w:w="514" w:type="pct"/>
            <w:shd w:val="clear" w:color="auto" w:fill="auto"/>
            <w:vAlign w:val="center"/>
          </w:tcPr>
          <w:p>
            <w:pPr>
              <w:pStyle w:val="33"/>
            </w:pPr>
            <w:r>
              <w:rPr>
                <w:rFonts w:hint="eastAsia"/>
              </w:rPr>
              <w:t>沉淀池污泥</w:t>
            </w:r>
          </w:p>
        </w:tc>
        <w:tc>
          <w:tcPr>
            <w:tcW w:w="617" w:type="pct"/>
            <w:shd w:val="clear" w:color="auto" w:fill="auto"/>
            <w:vAlign w:val="center"/>
          </w:tcPr>
          <w:p>
            <w:pPr>
              <w:pStyle w:val="33"/>
              <w:rPr>
                <w:rFonts w:ascii="宋体" w:hAnsi="宋体"/>
                <w:snapToGrid w:val="0"/>
              </w:rPr>
            </w:pPr>
          </w:p>
        </w:tc>
        <w:tc>
          <w:tcPr>
            <w:tcW w:w="463" w:type="pct"/>
            <w:shd w:val="clear" w:color="auto" w:fill="auto"/>
            <w:vAlign w:val="center"/>
          </w:tcPr>
          <w:p>
            <w:pPr>
              <w:pStyle w:val="33"/>
              <w:rPr>
                <w:rFonts w:ascii="宋体" w:hAnsi="宋体"/>
                <w:snapToGrid w:val="0"/>
              </w:rPr>
            </w:pPr>
          </w:p>
        </w:tc>
        <w:tc>
          <w:tcPr>
            <w:tcW w:w="617" w:type="pct"/>
            <w:shd w:val="clear" w:color="auto" w:fill="auto"/>
            <w:vAlign w:val="center"/>
          </w:tcPr>
          <w:p>
            <w:pPr>
              <w:pStyle w:val="33"/>
              <w:rPr>
                <w:rFonts w:ascii="宋体" w:hAnsi="宋体"/>
                <w:snapToGrid w:val="0"/>
              </w:rPr>
            </w:pPr>
          </w:p>
        </w:tc>
        <w:tc>
          <w:tcPr>
            <w:tcW w:w="565" w:type="pct"/>
            <w:shd w:val="clear" w:color="auto" w:fill="auto"/>
            <w:vAlign w:val="center"/>
          </w:tcPr>
          <w:p>
            <w:pPr>
              <w:pStyle w:val="33"/>
            </w:pPr>
            <w:r>
              <w:rPr>
                <w:rFonts w:hint="eastAsia"/>
              </w:rPr>
              <w:t>0</w:t>
            </w:r>
            <w:r>
              <w:t>.063</w:t>
            </w:r>
          </w:p>
        </w:tc>
        <w:tc>
          <w:tcPr>
            <w:tcW w:w="639" w:type="pct"/>
            <w:shd w:val="clear" w:color="auto" w:fill="auto"/>
            <w:vAlign w:val="center"/>
          </w:tcPr>
          <w:p>
            <w:pPr>
              <w:pStyle w:val="33"/>
              <w:rPr>
                <w:rFonts w:ascii="宋体" w:hAnsi="宋体"/>
                <w:snapToGrid w:val="0"/>
              </w:rPr>
            </w:pPr>
          </w:p>
        </w:tc>
        <w:tc>
          <w:tcPr>
            <w:tcW w:w="585" w:type="pct"/>
            <w:shd w:val="clear" w:color="auto" w:fill="auto"/>
            <w:vAlign w:val="center"/>
          </w:tcPr>
          <w:p>
            <w:pPr>
              <w:pStyle w:val="33"/>
            </w:pPr>
            <w:r>
              <w:rPr>
                <w:rFonts w:hint="eastAsia"/>
              </w:rPr>
              <w:t>0</w:t>
            </w:r>
            <w:r>
              <w:t>.063</w:t>
            </w:r>
          </w:p>
        </w:tc>
        <w:tc>
          <w:tcPr>
            <w:tcW w:w="424" w:type="pct"/>
            <w:shd w:val="clear" w:color="auto" w:fill="auto"/>
            <w:vAlign w:val="center"/>
          </w:tcPr>
          <w:p>
            <w:pPr>
              <w:pStyle w:val="33"/>
            </w:pPr>
            <w:r>
              <w:rPr>
                <w:rFonts w:hint="eastAsia"/>
              </w:rPr>
              <w:t>+</w:t>
            </w:r>
            <w:r>
              <w:t>0.063</w:t>
            </w:r>
          </w:p>
        </w:tc>
      </w:tr>
    </w:tbl>
    <w:p>
      <w:pPr>
        <w:spacing w:before="260" w:beforeLines="80" w:after="32" w:afterLines="10" w:line="259" w:lineRule="auto"/>
        <w:ind w:firstLine="480"/>
        <w:rPr>
          <w:rFonts w:ascii="宋体" w:hAnsi="宋体"/>
          <w:snapToGrid w:val="0"/>
          <w:spacing w:val="-6"/>
          <w:kern w:val="21"/>
          <w:szCs w:val="21"/>
        </w:rPr>
      </w:pPr>
      <w:r>
        <w:rPr>
          <w:rFonts w:ascii="宋体" w:hAnsi="宋体"/>
          <w:snapToGrid w:val="0"/>
          <w:kern w:val="21"/>
          <w:szCs w:val="21"/>
        </w:rPr>
        <w:t>注：</w:t>
      </w:r>
      <w:r>
        <w:rPr>
          <w:rFonts w:ascii="宋体" w:hAnsi="宋体"/>
          <w:snapToGrid w:val="0"/>
          <w:spacing w:val="-16"/>
          <w:kern w:val="21"/>
          <w:szCs w:val="21"/>
        </w:rPr>
        <w:fldChar w:fldCharType="begin"/>
      </w:r>
      <w:r>
        <w:rPr>
          <w:rFonts w:ascii="宋体" w:hAnsi="宋体"/>
          <w:snapToGrid w:val="0"/>
          <w:spacing w:val="-16"/>
          <w:kern w:val="21"/>
          <w:szCs w:val="21"/>
        </w:rPr>
        <w:instrText xml:space="preserve"> = 6 \* GB3 \* MERGEFORMAT </w:instrText>
      </w:r>
      <w:r>
        <w:rPr>
          <w:rFonts w:ascii="宋体" w:hAnsi="宋体"/>
          <w:snapToGrid w:val="0"/>
          <w:spacing w:val="-16"/>
          <w:kern w:val="21"/>
          <w:szCs w:val="21"/>
        </w:rPr>
        <w:fldChar w:fldCharType="separate"/>
      </w:r>
      <w:r>
        <w:rPr>
          <w:rFonts w:hint="eastAsia" w:ascii="宋体" w:hAnsi="宋体"/>
          <w:szCs w:val="21"/>
        </w:rPr>
        <w:t>⑥</w:t>
      </w:r>
      <w:r>
        <w:rPr>
          <w:rFonts w:ascii="宋体" w:hAnsi="宋体"/>
          <w:snapToGrid w:val="0"/>
          <w:spacing w:val="-16"/>
          <w:kern w:val="21"/>
          <w:szCs w:val="21"/>
        </w:rPr>
        <w:fldChar w:fldCharType="end"/>
      </w:r>
      <w:r>
        <w:rPr>
          <w:rFonts w:ascii="宋体" w:hAnsi="宋体"/>
          <w:snapToGrid w:val="0"/>
          <w:spacing w:val="-16"/>
          <w:kern w:val="21"/>
          <w:szCs w:val="21"/>
        </w:rPr>
        <w:t>=</w:t>
      </w:r>
      <w:r>
        <w:rPr>
          <w:rFonts w:ascii="宋体" w:hAnsi="宋体"/>
          <w:snapToGrid w:val="0"/>
          <w:spacing w:val="-6"/>
          <w:kern w:val="21"/>
          <w:szCs w:val="21"/>
        </w:rPr>
        <w:fldChar w:fldCharType="begin"/>
      </w:r>
      <w:r>
        <w:rPr>
          <w:rFonts w:ascii="宋体" w:hAnsi="宋体"/>
          <w:snapToGrid w:val="0"/>
          <w:spacing w:val="-6"/>
          <w:kern w:val="21"/>
          <w:szCs w:val="21"/>
        </w:rPr>
        <w:instrText xml:space="preserve"> = 1 \* GB3 \* MERGEFORMAT </w:instrText>
      </w:r>
      <w:r>
        <w:rPr>
          <w:rFonts w:ascii="宋体" w:hAnsi="宋体"/>
          <w:snapToGrid w:val="0"/>
          <w:spacing w:val="-6"/>
          <w:kern w:val="21"/>
          <w:szCs w:val="21"/>
        </w:rPr>
        <w:fldChar w:fldCharType="separate"/>
      </w:r>
      <w:r>
        <w:rPr>
          <w:rFonts w:hint="eastAsia" w:ascii="宋体" w:hAnsi="宋体"/>
          <w:szCs w:val="21"/>
        </w:rPr>
        <w:t>①</w:t>
      </w:r>
      <w:r>
        <w:rPr>
          <w:rFonts w:ascii="宋体" w:hAnsi="宋体"/>
          <w:snapToGrid w:val="0"/>
          <w:spacing w:val="-6"/>
          <w:kern w:val="21"/>
          <w:szCs w:val="21"/>
        </w:rPr>
        <w:fldChar w:fldCharType="end"/>
      </w:r>
      <w:r>
        <w:rPr>
          <w:rFonts w:ascii="宋体" w:hAnsi="宋体"/>
          <w:snapToGrid w:val="0"/>
          <w:spacing w:val="-6"/>
          <w:kern w:val="21"/>
          <w:szCs w:val="21"/>
        </w:rPr>
        <w:t>+</w:t>
      </w:r>
      <w:r>
        <w:rPr>
          <w:rFonts w:ascii="宋体" w:hAnsi="宋体"/>
          <w:snapToGrid w:val="0"/>
          <w:spacing w:val="-6"/>
          <w:kern w:val="21"/>
          <w:szCs w:val="21"/>
        </w:rPr>
        <w:fldChar w:fldCharType="begin"/>
      </w:r>
      <w:r>
        <w:rPr>
          <w:rFonts w:ascii="宋体" w:hAnsi="宋体"/>
          <w:snapToGrid w:val="0"/>
          <w:spacing w:val="-6"/>
          <w:kern w:val="21"/>
          <w:szCs w:val="21"/>
        </w:rPr>
        <w:instrText xml:space="preserve"> = 3 \* GB3 \* MERGEFORMAT </w:instrText>
      </w:r>
      <w:r>
        <w:rPr>
          <w:rFonts w:ascii="宋体" w:hAnsi="宋体"/>
          <w:snapToGrid w:val="0"/>
          <w:spacing w:val="-6"/>
          <w:kern w:val="21"/>
          <w:szCs w:val="21"/>
        </w:rPr>
        <w:fldChar w:fldCharType="separate"/>
      </w:r>
      <w:r>
        <w:rPr>
          <w:rFonts w:hint="eastAsia" w:ascii="宋体" w:hAnsi="宋体"/>
          <w:szCs w:val="21"/>
        </w:rPr>
        <w:t>③</w:t>
      </w:r>
      <w:r>
        <w:rPr>
          <w:rFonts w:ascii="宋体" w:hAnsi="宋体"/>
          <w:snapToGrid w:val="0"/>
          <w:spacing w:val="-6"/>
          <w:kern w:val="21"/>
          <w:szCs w:val="21"/>
        </w:rPr>
        <w:fldChar w:fldCharType="end"/>
      </w:r>
      <w:r>
        <w:rPr>
          <w:rFonts w:ascii="宋体" w:hAnsi="宋体"/>
          <w:snapToGrid w:val="0"/>
          <w:spacing w:val="-6"/>
          <w:kern w:val="21"/>
          <w:szCs w:val="21"/>
        </w:rPr>
        <w:t>+</w:t>
      </w:r>
      <w:r>
        <w:rPr>
          <w:rFonts w:ascii="宋体" w:hAnsi="宋体"/>
          <w:snapToGrid w:val="0"/>
          <w:spacing w:val="-6"/>
          <w:kern w:val="21"/>
          <w:szCs w:val="21"/>
        </w:rPr>
        <w:fldChar w:fldCharType="begin"/>
      </w:r>
      <w:r>
        <w:rPr>
          <w:rFonts w:ascii="宋体" w:hAnsi="宋体"/>
          <w:snapToGrid w:val="0"/>
          <w:spacing w:val="-6"/>
          <w:kern w:val="21"/>
          <w:szCs w:val="21"/>
        </w:rPr>
        <w:instrText xml:space="preserve"> = 4 \* GB3 \* MERGEFORMAT </w:instrText>
      </w:r>
      <w:r>
        <w:rPr>
          <w:rFonts w:ascii="宋体" w:hAnsi="宋体"/>
          <w:snapToGrid w:val="0"/>
          <w:spacing w:val="-6"/>
          <w:kern w:val="21"/>
          <w:szCs w:val="21"/>
        </w:rPr>
        <w:fldChar w:fldCharType="separate"/>
      </w:r>
      <w:r>
        <w:rPr>
          <w:rFonts w:hint="eastAsia" w:ascii="宋体" w:hAnsi="宋体"/>
          <w:szCs w:val="21"/>
        </w:rPr>
        <w:t>④</w:t>
      </w:r>
      <w:r>
        <w:rPr>
          <w:rFonts w:ascii="宋体" w:hAnsi="宋体"/>
          <w:snapToGrid w:val="0"/>
          <w:spacing w:val="-6"/>
          <w:kern w:val="21"/>
          <w:szCs w:val="21"/>
        </w:rPr>
        <w:fldChar w:fldCharType="end"/>
      </w:r>
      <w:r>
        <w:rPr>
          <w:rFonts w:ascii="宋体" w:hAnsi="宋体"/>
          <w:snapToGrid w:val="0"/>
          <w:spacing w:val="-6"/>
          <w:kern w:val="21"/>
          <w:szCs w:val="21"/>
        </w:rPr>
        <w:t>-</w:t>
      </w:r>
      <w:r>
        <w:rPr>
          <w:rFonts w:ascii="宋体" w:hAnsi="宋体"/>
          <w:snapToGrid w:val="0"/>
          <w:spacing w:val="-16"/>
          <w:kern w:val="21"/>
          <w:szCs w:val="21"/>
        </w:rPr>
        <w:fldChar w:fldCharType="begin"/>
      </w:r>
      <w:r>
        <w:rPr>
          <w:rFonts w:ascii="宋体" w:hAnsi="宋体"/>
          <w:snapToGrid w:val="0"/>
          <w:spacing w:val="-16"/>
          <w:kern w:val="21"/>
          <w:szCs w:val="21"/>
        </w:rPr>
        <w:instrText xml:space="preserve"> = 5 \* GB3 \* MERGEFORMAT </w:instrText>
      </w:r>
      <w:r>
        <w:rPr>
          <w:rFonts w:ascii="宋体" w:hAnsi="宋体"/>
          <w:snapToGrid w:val="0"/>
          <w:spacing w:val="-16"/>
          <w:kern w:val="21"/>
          <w:szCs w:val="21"/>
        </w:rPr>
        <w:fldChar w:fldCharType="separate"/>
      </w:r>
      <w:r>
        <w:rPr>
          <w:rFonts w:hint="eastAsia" w:ascii="宋体" w:hAnsi="宋体"/>
          <w:szCs w:val="21"/>
        </w:rPr>
        <w:t>⑤</w:t>
      </w:r>
      <w:r>
        <w:rPr>
          <w:rFonts w:ascii="宋体" w:hAnsi="宋体"/>
          <w:snapToGrid w:val="0"/>
          <w:spacing w:val="-16"/>
          <w:kern w:val="21"/>
          <w:szCs w:val="21"/>
        </w:rPr>
        <w:fldChar w:fldCharType="end"/>
      </w:r>
      <w:r>
        <w:rPr>
          <w:rFonts w:ascii="宋体" w:hAnsi="宋体"/>
          <w:snapToGrid w:val="0"/>
          <w:spacing w:val="-16"/>
          <w:kern w:val="21"/>
          <w:szCs w:val="21"/>
        </w:rPr>
        <w:t>；</w:t>
      </w:r>
      <w:r>
        <w:rPr>
          <w:rFonts w:ascii="宋体" w:hAnsi="宋体"/>
          <w:snapToGrid w:val="0"/>
          <w:spacing w:val="-6"/>
          <w:kern w:val="21"/>
          <w:szCs w:val="21"/>
        </w:rPr>
        <w:fldChar w:fldCharType="begin"/>
      </w:r>
      <w:r>
        <w:rPr>
          <w:rFonts w:ascii="宋体" w:hAnsi="宋体"/>
          <w:snapToGrid w:val="0"/>
          <w:spacing w:val="-6"/>
          <w:kern w:val="21"/>
          <w:szCs w:val="21"/>
        </w:rPr>
        <w:instrText xml:space="preserve"> = 7 \* GB3 \* MERGEFORMAT </w:instrText>
      </w:r>
      <w:r>
        <w:rPr>
          <w:rFonts w:ascii="宋体" w:hAnsi="宋体"/>
          <w:snapToGrid w:val="0"/>
          <w:spacing w:val="-6"/>
          <w:kern w:val="21"/>
          <w:szCs w:val="21"/>
        </w:rPr>
        <w:fldChar w:fldCharType="separate"/>
      </w:r>
      <w:r>
        <w:rPr>
          <w:rFonts w:hint="eastAsia" w:ascii="宋体" w:hAnsi="宋体"/>
          <w:szCs w:val="21"/>
        </w:rPr>
        <w:t>⑦</w:t>
      </w:r>
      <w:r>
        <w:rPr>
          <w:rFonts w:ascii="宋体" w:hAnsi="宋体"/>
          <w:snapToGrid w:val="0"/>
          <w:spacing w:val="-6"/>
          <w:kern w:val="21"/>
          <w:szCs w:val="21"/>
        </w:rPr>
        <w:fldChar w:fldCharType="end"/>
      </w:r>
      <w:r>
        <w:rPr>
          <w:rFonts w:ascii="宋体" w:hAnsi="宋体"/>
          <w:snapToGrid w:val="0"/>
          <w:spacing w:val="-6"/>
          <w:kern w:val="21"/>
          <w:szCs w:val="21"/>
        </w:rPr>
        <w:t>=</w:t>
      </w:r>
      <w:r>
        <w:rPr>
          <w:rFonts w:ascii="宋体" w:hAnsi="宋体"/>
          <w:snapToGrid w:val="0"/>
          <w:spacing w:val="-16"/>
          <w:kern w:val="21"/>
          <w:szCs w:val="21"/>
        </w:rPr>
        <w:fldChar w:fldCharType="begin"/>
      </w:r>
      <w:r>
        <w:rPr>
          <w:rFonts w:ascii="宋体" w:hAnsi="宋体"/>
          <w:snapToGrid w:val="0"/>
          <w:spacing w:val="-16"/>
          <w:kern w:val="21"/>
          <w:szCs w:val="21"/>
        </w:rPr>
        <w:instrText xml:space="preserve"> = 6 \* GB3 \* MERGEFORMAT </w:instrText>
      </w:r>
      <w:r>
        <w:rPr>
          <w:rFonts w:ascii="宋体" w:hAnsi="宋体"/>
          <w:snapToGrid w:val="0"/>
          <w:spacing w:val="-16"/>
          <w:kern w:val="21"/>
          <w:szCs w:val="21"/>
        </w:rPr>
        <w:fldChar w:fldCharType="separate"/>
      </w:r>
      <w:r>
        <w:rPr>
          <w:rFonts w:hint="eastAsia" w:ascii="宋体" w:hAnsi="宋体"/>
          <w:szCs w:val="21"/>
        </w:rPr>
        <w:t>⑥</w:t>
      </w:r>
      <w:r>
        <w:rPr>
          <w:rFonts w:ascii="宋体" w:hAnsi="宋体"/>
          <w:snapToGrid w:val="0"/>
          <w:spacing w:val="-16"/>
          <w:kern w:val="21"/>
          <w:szCs w:val="21"/>
        </w:rPr>
        <w:fldChar w:fldCharType="end"/>
      </w:r>
      <w:r>
        <w:rPr>
          <w:rFonts w:ascii="宋体" w:hAnsi="宋体"/>
          <w:snapToGrid w:val="0"/>
          <w:spacing w:val="-16"/>
          <w:kern w:val="21"/>
          <w:szCs w:val="21"/>
        </w:rPr>
        <w:t>-</w:t>
      </w:r>
      <w:r>
        <w:rPr>
          <w:rFonts w:ascii="宋体" w:hAnsi="宋体"/>
          <w:snapToGrid w:val="0"/>
          <w:spacing w:val="-6"/>
          <w:kern w:val="21"/>
          <w:szCs w:val="21"/>
        </w:rPr>
        <w:fldChar w:fldCharType="begin"/>
      </w:r>
      <w:r>
        <w:rPr>
          <w:rFonts w:ascii="宋体" w:hAnsi="宋体"/>
          <w:snapToGrid w:val="0"/>
          <w:spacing w:val="-6"/>
          <w:kern w:val="21"/>
          <w:szCs w:val="21"/>
        </w:rPr>
        <w:instrText xml:space="preserve"> = 1 \* GB3 \* MERGEFORMAT </w:instrText>
      </w:r>
      <w:r>
        <w:rPr>
          <w:rFonts w:ascii="宋体" w:hAnsi="宋体"/>
          <w:snapToGrid w:val="0"/>
          <w:spacing w:val="-6"/>
          <w:kern w:val="21"/>
          <w:szCs w:val="21"/>
        </w:rPr>
        <w:fldChar w:fldCharType="separate"/>
      </w:r>
      <w:r>
        <w:rPr>
          <w:rFonts w:hint="eastAsia" w:ascii="宋体" w:hAnsi="宋体"/>
          <w:szCs w:val="21"/>
        </w:rPr>
        <w:t>①</w:t>
      </w:r>
      <w:r>
        <w:rPr>
          <w:rFonts w:ascii="宋体" w:hAnsi="宋体"/>
          <w:snapToGrid w:val="0"/>
          <w:spacing w:val="-6"/>
          <w:kern w:val="21"/>
          <w:szCs w:val="21"/>
        </w:rPr>
        <w:fldChar w:fldCharType="end"/>
      </w:r>
    </w:p>
    <w:p>
      <w:pPr>
        <w:spacing w:before="260" w:beforeLines="80" w:after="32" w:afterLines="10" w:line="259" w:lineRule="auto"/>
        <w:ind w:firstLine="198" w:firstLineChars="87"/>
        <w:rPr>
          <w:rFonts w:ascii="宋体" w:hAnsi="宋体"/>
          <w:snapToGrid w:val="0"/>
          <w:spacing w:val="-6"/>
          <w:kern w:val="21"/>
          <w:szCs w:val="21"/>
        </w:rPr>
      </w:pPr>
    </w:p>
    <w:p>
      <w:pPr>
        <w:spacing w:before="260" w:beforeLines="80" w:after="32" w:afterLines="10" w:line="259" w:lineRule="auto"/>
        <w:ind w:firstLine="198" w:firstLineChars="87"/>
        <w:rPr>
          <w:rFonts w:ascii="宋体" w:hAnsi="宋体"/>
          <w:snapToGrid w:val="0"/>
          <w:spacing w:val="-6"/>
          <w:kern w:val="21"/>
          <w:szCs w:val="21"/>
        </w:rPr>
      </w:pPr>
    </w:p>
    <w:p>
      <w:pPr>
        <w:pStyle w:val="33"/>
        <w:rPr>
          <w:snapToGrid w:val="0"/>
        </w:rPr>
      </w:pPr>
      <w:r>
        <w:pict>
          <v:group id="组合 38" o:spid="_x0000_s1027" o:spt="203" style="position:absolute;left:0pt;margin-left:474.85pt;margin-top:114.4pt;height:50.25pt;width:111.75pt;z-index:251659264;mso-width-relative:page;mso-height-relative:page;" coordsize="14192,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">
            <o:lock v:ext="edit"/>
            <v:shape id="对话气泡: 矩形 34" o:spid="_x0000_s1028" o:spt="61" type="#_x0000_t61" style="position:absolute;left:762;top:0;height:3714;width:13430;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" adj="-128,32692">
              <v:path/>
              <v:fill on="f" focussize="0,0"/>
              <v:stroke weight="1.5pt" color="#FF0000" joinstyle="miter"/>
              <v:imagedata o:title=""/>
              <o:lock v:ext="edit"/>
              <v:textbox>
                <w:txbxContent>
                  <w:p>
                    <w:pPr>
                      <w:pStyle w:val="35"/>
                      <w:rPr>
                        <w:color w:val="FF0000"/>
                      </w:rPr>
                    </w:pPr>
                    <w:r>
                      <w:rPr>
                        <w:rFonts w:hint="eastAsia"/>
                        <w:color w:val="FF0000"/>
                      </w:rPr>
                      <w:t>项目所在地</w:t>
                    </w:r>
                  </w:p>
                </w:txbxContent>
              </v:textbox>
            </v:shape>
            <v:shape id="椭圆 36" o:spid="_x0000_s1029" o:spt="3" type="#_x0000_t3" style="position:absolute;left:0;top:5524;height:857;width:762;v-text-anchor:middle;" fillcolor="#FF0000"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">
              <v:path/>
              <v:fill on="t" focussize="0,0"/>
              <v:stroke weight="1pt" color="#FF0000" joinstyle="miter"/>
              <v:imagedata o:title=""/>
              <o:lock v:ext="edit"/>
            </v:shape>
          </v:group>
        </w:pict>
      </w:r>
      <w:r>
        <w:rPr>
          <w:snapToGrid w:val="0"/>
        </w:rPr>
        <w:drawing>
          <wp:inline distT="0" distB="0" distL="0" distR="0">
            <wp:extent cx="7558405" cy="5353050"/>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7594667" cy="5378676"/>
                    </a:xfrm>
                    <a:prstGeom prst="rect">
                      <a:avLst/>
                    </a:prstGeom>
                    <a:noFill/>
                    <a:ln>
                      <a:noFill/>
                    </a:ln>
                  </pic:spPr>
                </pic:pic>
              </a:graphicData>
            </a:graphic>
          </wp:inline>
        </w:drawing>
      </w:r>
    </w:p>
    <w:p>
      <w:pPr>
        <w:pStyle w:val="35"/>
        <w:rPr>
          <w:snapToGrid w:val="0"/>
        </w:rPr>
      </w:pPr>
      <w:r>
        <w:rPr>
          <w:rFonts w:hint="eastAsia"/>
          <w:snapToGrid w:val="0"/>
        </w:rPr>
        <w:t>附图1  项目地理位置图</w:t>
      </w:r>
    </w:p>
    <w:p>
      <w:pPr>
        <w:pStyle w:val="33"/>
        <w:jc w:val="both"/>
        <w:rPr>
          <w:snapToGrid w:val="0"/>
        </w:rPr>
      </w:pPr>
    </w:p>
    <w:p>
      <w:pPr>
        <w:pStyle w:val="35"/>
        <w:rPr>
          <w:snapToGrid w:val="0"/>
        </w:rPr>
      </w:pPr>
      <w:r>
        <w:object>
          <v:shape id="_x0000_i1032" o:spt="75" type="#_x0000_t75" style="height:262.9pt;width:697.4pt;" o:ole="t" filled="f" o:preferrelative="t" stroked="f" coordsize="21600,21600">
            <v:path/>
            <v:fill on="f" focussize="0,0"/>
            <v:stroke on="f" joinstyle="miter"/>
            <v:imagedata r:id="rId33" o:title=""/>
            <o:lock v:ext="edit" aspectratio="t"/>
            <w10:wrap type="none"/>
            <w10:anchorlock/>
          </v:shape>
          <o:OLEObject Type="Embed" ProgID="Visio.Drawing.15" ShapeID="_x0000_i1032" DrawAspect="Content" ObjectID="_1468075732" r:id="rId32">
            <o:LockedField>false</o:LockedField>
          </o:OLEObject>
        </w:object>
      </w:r>
    </w:p>
    <w:p>
      <w:pPr>
        <w:pStyle w:val="35"/>
        <w:rPr>
          <w:snapToGrid w:val="0"/>
        </w:rPr>
      </w:pPr>
      <w:r>
        <w:rPr>
          <w:rFonts w:hint="eastAsia"/>
          <w:snapToGrid w:val="0"/>
        </w:rPr>
        <w:t>附图</w:t>
      </w:r>
      <w:r>
        <w:rPr>
          <w:snapToGrid w:val="0"/>
        </w:rPr>
        <w:t xml:space="preserve">2  </w:t>
      </w:r>
      <w:r>
        <w:rPr>
          <w:rFonts w:hint="eastAsia"/>
          <w:snapToGrid w:val="0"/>
        </w:rPr>
        <w:t>本项目平面布置图</w:t>
      </w:r>
    </w:p>
    <w:p>
      <w:pPr>
        <w:pStyle w:val="33"/>
        <w:jc w:val="both"/>
        <w:rPr>
          <w:snapToGrid w:val="0"/>
        </w:rPr>
      </w:pPr>
    </w:p>
    <w:p>
      <w:pPr>
        <w:pStyle w:val="33"/>
        <w:jc w:val="both"/>
        <w:rPr>
          <w:snapToGrid w:val="0"/>
        </w:rPr>
      </w:pPr>
    </w:p>
    <w:p>
      <w:pPr>
        <w:pStyle w:val="33"/>
        <w:jc w:val="both"/>
        <w:rPr>
          <w:snapToGrid w:val="0"/>
        </w:rPr>
      </w:pPr>
    </w:p>
    <w:p>
      <w:pPr>
        <w:pStyle w:val="33"/>
        <w:jc w:val="both"/>
        <w:rPr>
          <w:snapToGrid w:val="0"/>
        </w:rPr>
      </w:pPr>
    </w:p>
    <w:p>
      <w:pPr>
        <w:pStyle w:val="33"/>
        <w:jc w:val="both"/>
        <w:rPr>
          <w:snapToGrid w:val="0"/>
        </w:rPr>
      </w:pPr>
    </w:p>
    <w:p>
      <w:pPr>
        <w:pStyle w:val="33"/>
        <w:jc w:val="both"/>
        <w:rPr>
          <w:snapToGrid w:val="0"/>
        </w:rPr>
      </w:pPr>
    </w:p>
    <w:p>
      <w:pPr>
        <w:pStyle w:val="33"/>
        <w:jc w:val="both"/>
        <w:rPr>
          <w:snapToGrid w:val="0"/>
        </w:rPr>
      </w:pPr>
    </w:p>
    <w:p>
      <w:pPr>
        <w:pStyle w:val="33"/>
        <w:jc w:val="both"/>
        <w:rPr>
          <w:snapToGrid w:val="0"/>
        </w:rPr>
      </w:pPr>
    </w:p>
    <w:p>
      <w:pPr>
        <w:pStyle w:val="35"/>
        <w:rPr>
          <w:snapToGrid w:val="0"/>
        </w:rPr>
      </w:pPr>
      <w:r>
        <w:drawing>
          <wp:anchor distT="0" distB="0" distL="114300" distR="114300" simplePos="0" relativeHeight="251661312" behindDoc="0" locked="0" layoutInCell="1" allowOverlap="1">
            <wp:simplePos x="0" y="0"/>
            <wp:positionH relativeFrom="column">
              <wp:posOffset>121920</wp:posOffset>
            </wp:positionH>
            <wp:positionV relativeFrom="paragraph">
              <wp:posOffset>38735</wp:posOffset>
            </wp:positionV>
            <wp:extent cx="1105535" cy="1049655"/>
            <wp:effectExtent l="0" t="0" r="0" b="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05535" cy="1049655"/>
                    </a:xfrm>
                    <a:prstGeom prst="rect">
                      <a:avLst/>
                    </a:prstGeom>
                  </pic:spPr>
                </pic:pic>
              </a:graphicData>
            </a:graphic>
          </wp:anchor>
        </w:drawing>
      </w:r>
      <w:r>
        <w:pict>
          <v:rect id="矩形 27" o:spid="_x0000_s1030" o:spt="1" style="position:absolute;left:0pt;margin-left:162.75pt;margin-top:258.9pt;height:33.3pt;width:78.8pt;z-index:251685888;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">
            <v:path/>
            <v:fill on="f" focussize="0,0"/>
            <v:stroke on="f" weight="1pt"/>
            <v:imagedata o:title=""/>
            <o:lock v:ext="edit"/>
            <v:textbox>
              <w:txbxContent>
                <w:p>
                  <w:pPr>
                    <w:pStyle w:val="35"/>
                    <w:ind w:firstLine="480"/>
                    <w:jc w:val="left"/>
                    <w:rPr>
                      <w:color w:val="FFFF00"/>
                    </w:rPr>
                  </w:pPr>
                  <w:r>
                    <w:rPr>
                      <w:rFonts w:hint="eastAsia"/>
                      <w:color w:val="FFFF00"/>
                    </w:rPr>
                    <w:t>村庄</w:t>
                  </w:r>
                  <w:r>
                    <w:rPr>
                      <w:color w:val="FFFF00"/>
                    </w:rPr>
                    <w:t>2</w:t>
                  </w:r>
                </w:p>
              </w:txbxContent>
            </v:textbox>
          </v:rect>
        </w:pict>
      </w:r>
      <w:r>
        <w:pict>
          <v:rect id="矩形 57" o:spid="_x0000_s1031" o:spt="1" style="position:absolute;left:0pt;margin-left:204.5pt;margin-top:158.15pt;height:33.3pt;width:78.8pt;z-index:251670528;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">
            <v:path/>
            <v:fill on="f" focussize="0,0"/>
            <v:stroke on="f" weight="1pt"/>
            <v:imagedata o:title=""/>
            <o:lock v:ext="edit"/>
            <v:textbox>
              <w:txbxContent>
                <w:p>
                  <w:pPr>
                    <w:pStyle w:val="35"/>
                    <w:jc w:val="left"/>
                    <w:rPr>
                      <w:color w:val="FFFF00"/>
                    </w:rPr>
                  </w:pPr>
                  <w:r>
                    <w:rPr>
                      <w:rFonts w:hint="eastAsia"/>
                      <w:color w:val="FFFF00"/>
                    </w:rPr>
                    <w:t>村庄1</w:t>
                  </w:r>
                </w:p>
              </w:txbxContent>
            </v:textbox>
          </v:rect>
        </w:pict>
      </w:r>
      <w:r>
        <w:pict>
          <v:rect id="矩形 58" o:spid="_x0000_s1032" o:spt="1" style="position:absolute;left:0pt;margin-left:419.25pt;margin-top:251.7pt;height:33.3pt;width:78.8pt;z-index:251671552;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">
            <v:path/>
            <v:fill on="f" focussize="0,0"/>
            <v:stroke on="f" weight="1pt"/>
            <v:imagedata o:title=""/>
            <o:lock v:ext="edit"/>
            <v:textbox>
              <w:txbxContent>
                <w:p>
                  <w:pPr>
                    <w:pStyle w:val="35"/>
                    <w:jc w:val="left"/>
                    <w:rPr>
                      <w:color w:val="FFFF00"/>
                    </w:rPr>
                  </w:pPr>
                  <w:r>
                    <w:rPr>
                      <w:rFonts w:hint="eastAsia"/>
                      <w:color w:val="FFFF00"/>
                    </w:rPr>
                    <w:t>星月湾</w:t>
                  </w:r>
                </w:p>
              </w:txbxContent>
            </v:textbox>
          </v:rect>
        </w:pict>
      </w:r>
      <w:r>
        <w:pict>
          <v:rect id="矩形 13" o:spid="_x0000_s1033" o:spt="1" style="position:absolute;left:0pt;margin-left:586.85pt;margin-top:331.3pt;height:29.2pt;width:122.25pt;z-index:251674624;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">
            <v:path/>
            <v:fill on="f" focussize="0,0"/>
            <v:stroke on="f" weight="1pt"/>
            <v:imagedata o:title=""/>
            <o:lock v:ext="edit"/>
            <v:textbox>
              <w:txbxContent>
                <w:p>
                  <w:pPr>
                    <w:pStyle w:val="35"/>
                    <w:ind w:firstLine="480"/>
                    <w:rPr>
                      <w:color w:val="000000" w:themeColor="text1"/>
                    </w:rPr>
                  </w:pPr>
                  <w:r>
                    <w:rPr>
                      <w:rFonts w:hint="eastAsia"/>
                      <w:color w:val="000000" w:themeColor="text1"/>
                    </w:rPr>
                    <w:t>项目周边50m</w:t>
                  </w:r>
                </w:p>
              </w:txbxContent>
            </v:textbox>
          </v:rect>
        </w:pict>
      </w:r>
      <w:r>
        <w:pict>
          <v:rect id="矩形 12" o:spid="_x0000_s1043" o:spt="1" style="position:absolute;left:0pt;margin-left:597pt;margin-top:339.6pt;height:10.95pt;width:19pt;z-index:251673600;v-text-anchor:middle;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">
            <v:path arrowok="t"/>
            <v:fill on="f" focussize="0,0"/>
            <v:stroke weight="1.5pt" color="#CC00FF"/>
            <v:imagedata o:title=""/>
            <o:lock v:ext="edit"/>
          </v:rect>
        </w:pict>
      </w:r>
      <w:r>
        <w:pict>
          <v:rect id="矩形 52" o:spid="_x0000_s1034" o:spt="1" style="position:absolute;left:0pt;margin-left:616pt;margin-top:308.5pt;height:29.2pt;width:91.7pt;z-index:251666432;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">
            <v:path/>
            <v:fill on="f" focussize="0,0"/>
            <v:stroke on="f" weight="1pt"/>
            <v:imagedata o:title=""/>
            <o:lock v:ext="edit"/>
            <v:textbox>
              <w:txbxContent>
                <w:p>
                  <w:pPr>
                    <w:pStyle w:val="35"/>
                    <w:rPr>
                      <w:color w:val="000000" w:themeColor="text1"/>
                    </w:rPr>
                  </w:pPr>
                  <w:r>
                    <w:rPr>
                      <w:rFonts w:hint="eastAsia"/>
                      <w:color w:val="000000" w:themeColor="text1"/>
                    </w:rPr>
                    <w:t>项目周边500m</w:t>
                  </w:r>
                </w:p>
              </w:txbxContent>
            </v:textbox>
          </v:rect>
        </w:pict>
      </w:r>
      <w:r>
        <w:pict>
          <v:rect id="矩形 51" o:spid="_x0000_s1042" o:spt="1" style="position:absolute;left:0pt;margin-left:596.1pt;margin-top:320.45pt;height:10.95pt;width:19pt;z-index:251665408;v-text-anchor:middle;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">
            <v:path arrowok="t"/>
            <v:fill on="f" focussize="0,0"/>
            <v:stroke weight="1.5pt" color="#FFFF00"/>
            <v:imagedata o:title=""/>
            <o:lock v:ext="edit"/>
          </v:rect>
        </w:pict>
      </w:r>
      <w:r>
        <w:pict>
          <v:rect id="矩形 49" o:spid="_x0000_s1035" o:spt="1" style="position:absolute;left:0pt;margin-left:615.5pt;margin-top:287.25pt;height:33.3pt;width:78.8pt;z-index:251664384;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">
            <v:path/>
            <v:fill on="f" focussize="0,0"/>
            <v:stroke on="f" weight="1pt"/>
            <v:imagedata o:title=""/>
            <o:lock v:ext="edit"/>
            <v:textbox>
              <w:txbxContent>
                <w:p>
                  <w:pPr>
                    <w:pStyle w:val="35"/>
                    <w:rPr>
                      <w:color w:val="000000" w:themeColor="text1"/>
                    </w:rPr>
                  </w:pPr>
                  <w:r>
                    <w:rPr>
                      <w:rFonts w:hint="eastAsia"/>
                      <w:color w:val="000000" w:themeColor="text1"/>
                    </w:rPr>
                    <w:t>本项目厂界</w:t>
                  </w:r>
                </w:p>
              </w:txbxContent>
            </v:textbox>
          </v:rect>
        </w:pict>
      </w:r>
      <w:r>
        <w:pict>
          <v:rect id="矩形 48" o:spid="_x0000_s1041" o:spt="1" style="position:absolute;left:0pt;margin-left:596.35pt;margin-top:297.8pt;height:10.95pt;width:19pt;z-index:251663360;v-text-anchor:middle;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">
            <v:path arrowok="t"/>
            <v:fill on="f" focussize="0,0"/>
            <v:stroke weight="1.5pt" color="#FF0000"/>
            <v:imagedata o:title=""/>
            <o:lock v:ext="edit"/>
          </v:rect>
        </w:pict>
      </w:r>
      <w:r>
        <w:pict>
          <v:rect id="矩形 46" o:spid="_x0000_s1036" o:spt="1" style="position:absolute;left:0pt;margin-left:611.4pt;margin-top:264.45pt;height:33.25pt;width:78.75pt;z-index:251662336;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">
            <v:path/>
            <v:fill on="f" focussize="0,0"/>
            <v:stroke on="f" weight="1pt"/>
            <v:imagedata o:title=""/>
            <o:lock v:ext="edit"/>
            <v:textbox>
              <w:txbxContent>
                <w:p>
                  <w:pPr>
                    <w:pStyle w:val="35"/>
                    <w:rPr>
                      <w:color w:val="000000" w:themeColor="text1"/>
                    </w:rPr>
                  </w:pPr>
                  <w:r>
                    <w:rPr>
                      <w:rFonts w:hint="eastAsia"/>
                      <w:color w:val="000000" w:themeColor="text1"/>
                    </w:rPr>
                    <w:t>图例</w:t>
                  </w:r>
                </w:p>
              </w:txbxContent>
            </v:textbox>
          </v:rect>
        </w:pict>
      </w:r>
      <w:r>
        <w:pict>
          <v:rect id="矩形 55" o:spid="_x0000_s1040" o:spt="1" style="position:absolute;left:0pt;margin-left:586.9pt;margin-top:264.3pt;height:137.15pt;width:130.6pt;z-index:251660288;v-text-anchor:middle;mso-width-relative:page;mso-height-relative:margin;" fillcolor="#CCCC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">
            <v:path arrowok="t"/>
            <v:fill on="t" focussize="0,0"/>
            <v:stroke weight="1pt" color="#CCFFFF"/>
            <v:imagedata o:title=""/>
            <o:lock v:ext="edit"/>
          </v:rect>
        </w:pict>
      </w:r>
      <w:r>
        <w:pict>
          <v:rect id="矩形 59" o:spid="_x0000_s1037" o:spt="1" style="position:absolute;left:0pt;margin-left:446.6pt;margin-top:112.35pt;height:33.3pt;width:78.8pt;z-index:251672576;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">
            <v:path/>
            <v:fill on="f" focussize="0,0"/>
            <v:stroke on="f" weight="1pt"/>
            <v:imagedata o:title=""/>
            <o:lock v:ext="edit"/>
            <v:textbox>
              <w:txbxContent>
                <w:p>
                  <w:pPr>
                    <w:pStyle w:val="35"/>
                    <w:rPr>
                      <w:color w:val="FFFF00"/>
                    </w:rPr>
                  </w:pPr>
                  <w:r>
                    <w:rPr>
                      <w:rFonts w:hint="eastAsia"/>
                      <w:color w:val="FFFF00"/>
                    </w:rPr>
                    <w:t>馨悦家园</w:t>
                  </w:r>
                </w:p>
              </w:txbxContent>
            </v:textbox>
          </v:rect>
        </w:pict>
      </w:r>
      <w:r>
        <w:drawing>
          <wp:anchor distT="0" distB="0" distL="114300" distR="114300" simplePos="0" relativeHeight="251669504" behindDoc="0" locked="0" layoutInCell="1" allowOverlap="1">
            <wp:simplePos x="0" y="0"/>
            <wp:positionH relativeFrom="column">
              <wp:posOffset>7760970</wp:posOffset>
            </wp:positionH>
            <wp:positionV relativeFrom="paragraph">
              <wp:posOffset>4920615</wp:posOffset>
            </wp:positionV>
            <wp:extent cx="789940" cy="151765"/>
            <wp:effectExtent l="0" t="0" r="0" b="635"/>
            <wp:wrapNone/>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789940" cy="151765"/>
                    </a:xfrm>
                    <a:prstGeom prst="rect">
                      <a:avLst/>
                    </a:prstGeom>
                  </pic:spPr>
                </pic:pic>
              </a:graphicData>
            </a:graphic>
          </wp:anchor>
        </w:drawing>
      </w:r>
      <w:r>
        <w:pict>
          <v:rect id="矩形 54" o:spid="_x0000_s1038" o:spt="1" style="position:absolute;left:0pt;margin-left:589.95pt;margin-top:356.6pt;height:29.2pt;width:91.7pt;z-index:251668480;v-text-anchor:middle;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">
            <v:path/>
            <v:fill on="f" focussize="0,0"/>
            <v:stroke on="f" weight="1pt"/>
            <v:imagedata o:title=""/>
            <o:lock v:ext="edit"/>
            <v:textbox>
              <w:txbxContent>
                <w:p>
                  <w:pPr>
                    <w:pStyle w:val="35"/>
                    <w:ind w:firstLine="480"/>
                  </w:pPr>
                  <w:r>
                    <w:rPr>
                      <w:rFonts w:hint="eastAsia"/>
                      <w:color w:val="000000" w:themeColor="text1"/>
                    </w:rPr>
                    <w:t>保护目标</w:t>
                  </w:r>
                  <w:r>
                    <w:rPr>
                      <w:rFonts w:hint="eastAsia"/>
                    </w:rPr>
                    <w:t>500m</w:t>
                  </w:r>
                </w:p>
              </w:txbxContent>
            </v:textbox>
          </v:rect>
        </w:pict>
      </w:r>
      <w:r>
        <w:pict>
          <v:rect id="矩形 53" o:spid="_x0000_s1039" o:spt="1" style="position:absolute;left:0pt;margin-left:596.1pt;margin-top:364.2pt;height:10.95pt;width:19pt;z-index:251667456;v-text-anchor:middle;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">
            <v:path arrowok="t"/>
            <v:fill on="f" focussize="0,0"/>
            <v:stroke weight="1.5pt" color="#00FF00"/>
            <v:imagedata o:title=""/>
            <o:lock v:ext="edit"/>
          </v:rect>
        </w:pict>
      </w:r>
      <w:r>
        <w:t xml:space="preserve"> </w:t>
      </w:r>
      <w:r>
        <w:drawing>
          <wp:inline distT="0" distB="0" distL="0" distR="0">
            <wp:extent cx="9144000" cy="530479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6"/>
                    <a:stretch>
                      <a:fillRect/>
                    </a:stretch>
                  </pic:blipFill>
                  <pic:spPr>
                    <a:xfrm>
                      <a:off x="0" y="0"/>
                      <a:ext cx="9171371" cy="5321277"/>
                    </a:xfrm>
                    <a:prstGeom prst="rect">
                      <a:avLst/>
                    </a:prstGeom>
                  </pic:spPr>
                </pic:pic>
              </a:graphicData>
            </a:graphic>
          </wp:inline>
        </w:drawing>
      </w:r>
    </w:p>
    <w:p>
      <w:pPr>
        <w:pStyle w:val="35"/>
        <w:rPr>
          <w:snapToGrid w:val="0"/>
        </w:rPr>
      </w:pPr>
      <w:r>
        <w:rPr>
          <w:rFonts w:hint="eastAsia"/>
          <w:snapToGrid w:val="0"/>
        </w:rPr>
        <w:t>附图</w:t>
      </w:r>
      <w:r>
        <w:rPr>
          <w:snapToGrid w:val="0"/>
        </w:rPr>
        <w:t xml:space="preserve">3  </w:t>
      </w:r>
      <w:r>
        <w:rPr>
          <w:rFonts w:hint="eastAsia"/>
          <w:snapToGrid w:val="0"/>
        </w:rPr>
        <w:t>项目与保护目标位置关系图</w:t>
      </w:r>
    </w:p>
    <w:p>
      <w:pPr>
        <w:pStyle w:val="35"/>
        <w:rPr>
          <w:snapToGrid w:val="0"/>
        </w:rPr>
        <w:sectPr>
          <w:pgSz w:w="16838" w:h="11906" w:orient="landscape"/>
          <w:pgMar w:top="1440" w:right="1080" w:bottom="1440" w:left="1080" w:header="851" w:footer="992" w:gutter="0"/>
          <w:cols w:space="425" w:num="1"/>
          <w:docGrid w:type="lines" w:linePitch="326" w:charSpace="0"/>
        </w:sectPr>
      </w:pPr>
    </w:p>
    <w:p>
      <w:pPr>
        <w:pStyle w:val="35"/>
        <w:rPr>
          <w:snapToGrid w:val="0"/>
        </w:rPr>
      </w:pPr>
      <w:r>
        <w:drawing>
          <wp:inline distT="0" distB="0" distL="0" distR="0">
            <wp:extent cx="5492750" cy="41211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562339" cy="4173749"/>
                    </a:xfrm>
                    <a:prstGeom prst="rect">
                      <a:avLst/>
                    </a:prstGeom>
                    <a:noFill/>
                    <a:ln>
                      <a:noFill/>
                    </a:ln>
                  </pic:spPr>
                </pic:pic>
              </a:graphicData>
            </a:graphic>
          </wp:inline>
        </w:drawing>
      </w:r>
    </w:p>
    <w:p>
      <w:pPr>
        <w:pStyle w:val="33"/>
        <w:rPr>
          <w:snapToGrid w:val="0"/>
        </w:rPr>
      </w:pPr>
      <w:r>
        <w:drawing>
          <wp:inline distT="0" distB="0" distL="0" distR="0">
            <wp:extent cx="5523865" cy="4148455"/>
            <wp:effectExtent l="0" t="0" r="63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528137" cy="4152057"/>
                    </a:xfrm>
                    <a:prstGeom prst="rect">
                      <a:avLst/>
                    </a:prstGeom>
                    <a:noFill/>
                    <a:ln>
                      <a:noFill/>
                    </a:ln>
                  </pic:spPr>
                </pic:pic>
              </a:graphicData>
            </a:graphic>
          </wp:inline>
        </w:drawing>
      </w:r>
    </w:p>
    <w:p>
      <w:pPr>
        <w:pStyle w:val="35"/>
        <w:rPr>
          <w:snapToGrid w:val="0"/>
        </w:rPr>
      </w:pPr>
      <w:r>
        <w:rPr>
          <w:rFonts w:hint="eastAsia"/>
          <w:snapToGrid w:val="0"/>
        </w:rPr>
        <w:t>废钢铁回收区</w:t>
      </w:r>
    </w:p>
    <w:p>
      <w:pPr>
        <w:pStyle w:val="35"/>
        <w:rPr>
          <w:snapToGrid w:val="0"/>
        </w:rPr>
      </w:pPr>
    </w:p>
    <w:p>
      <w:pPr>
        <w:pStyle w:val="35"/>
        <w:rPr>
          <w:snapToGrid w:val="0"/>
        </w:rPr>
      </w:pPr>
      <w:r>
        <w:rPr>
          <w:rFonts w:hint="eastAsia"/>
        </w:rPr>
        <w:drawing>
          <wp:inline distT="0" distB="0" distL="0" distR="0">
            <wp:extent cx="5323840" cy="3998595"/>
            <wp:effectExtent l="0" t="0" r="0" b="190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336958" cy="4008466"/>
                    </a:xfrm>
                    <a:prstGeom prst="rect">
                      <a:avLst/>
                    </a:prstGeom>
                    <a:noFill/>
                    <a:ln>
                      <a:noFill/>
                    </a:ln>
                  </pic:spPr>
                </pic:pic>
              </a:graphicData>
            </a:graphic>
          </wp:inline>
        </w:drawing>
      </w:r>
      <w:r>
        <w:rPr>
          <w:rFonts w:hint="eastAsia"/>
        </w:rPr>
        <w:drawing>
          <wp:inline distT="0" distB="0" distL="0" distR="0">
            <wp:extent cx="5287645" cy="3971290"/>
            <wp:effectExtent l="0" t="0" r="825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313887" cy="3991139"/>
                    </a:xfrm>
                    <a:prstGeom prst="rect">
                      <a:avLst/>
                    </a:prstGeom>
                    <a:noFill/>
                    <a:ln>
                      <a:noFill/>
                    </a:ln>
                  </pic:spPr>
                </pic:pic>
              </a:graphicData>
            </a:graphic>
          </wp:inline>
        </w:drawing>
      </w:r>
    </w:p>
    <w:p>
      <w:pPr>
        <w:pStyle w:val="35"/>
        <w:rPr>
          <w:snapToGrid w:val="0"/>
        </w:rPr>
      </w:pPr>
      <w:r>
        <w:rPr>
          <w:rFonts w:hint="eastAsia"/>
          <w:snapToGrid w:val="0"/>
        </w:rPr>
        <w:t>废塑料废纸回收区</w:t>
      </w:r>
    </w:p>
    <w:p>
      <w:pPr>
        <w:pStyle w:val="35"/>
        <w:rPr>
          <w:snapToGrid w:val="0"/>
        </w:rPr>
      </w:pPr>
    </w:p>
    <w:p>
      <w:pPr>
        <w:pStyle w:val="35"/>
        <w:rPr>
          <w:snapToGrid w:val="0"/>
        </w:rPr>
      </w:pPr>
    </w:p>
    <w:p>
      <w:pPr>
        <w:pStyle w:val="35"/>
        <w:rPr>
          <w:snapToGrid w:val="0"/>
        </w:rPr>
      </w:pPr>
    </w:p>
    <w:p>
      <w:pPr>
        <w:pStyle w:val="35"/>
        <w:rPr>
          <w:snapToGrid w:val="0"/>
        </w:rPr>
      </w:pPr>
      <w:r>
        <w:rPr>
          <w:snapToGrid w:val="0"/>
        </w:rPr>
        <w:drawing>
          <wp:inline distT="0" distB="0" distL="0" distR="0">
            <wp:extent cx="5090160" cy="3823335"/>
            <wp:effectExtent l="0" t="0" r="0" b="57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101762" cy="3831816"/>
                    </a:xfrm>
                    <a:prstGeom prst="rect">
                      <a:avLst/>
                    </a:prstGeom>
                    <a:noFill/>
                    <a:ln>
                      <a:noFill/>
                    </a:ln>
                  </pic:spPr>
                </pic:pic>
              </a:graphicData>
            </a:graphic>
          </wp:inline>
        </w:drawing>
      </w:r>
    </w:p>
    <w:p>
      <w:pPr>
        <w:pStyle w:val="35"/>
        <w:rPr>
          <w:snapToGrid w:val="0"/>
        </w:rPr>
      </w:pPr>
      <w:r>
        <w:rPr>
          <w:rFonts w:hint="eastAsia"/>
          <w:snapToGrid w:val="0"/>
        </w:rPr>
        <w:t>废骨头回收区</w:t>
      </w:r>
    </w:p>
    <w:p>
      <w:pPr>
        <w:pStyle w:val="35"/>
        <w:rPr>
          <w:snapToGrid w:val="0"/>
        </w:rPr>
      </w:pPr>
      <w:r>
        <w:rPr>
          <w:rFonts w:hint="eastAsia"/>
          <w:snapToGrid w:val="0"/>
        </w:rPr>
        <w:drawing>
          <wp:inline distT="0" distB="0" distL="0" distR="0">
            <wp:extent cx="5092700" cy="3824605"/>
            <wp:effectExtent l="0" t="0" r="0" b="444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106932" cy="3835699"/>
                    </a:xfrm>
                    <a:prstGeom prst="rect">
                      <a:avLst/>
                    </a:prstGeom>
                    <a:noFill/>
                    <a:ln>
                      <a:noFill/>
                    </a:ln>
                  </pic:spPr>
                </pic:pic>
              </a:graphicData>
            </a:graphic>
          </wp:inline>
        </w:drawing>
      </w:r>
    </w:p>
    <w:p>
      <w:pPr>
        <w:pStyle w:val="35"/>
        <w:rPr>
          <w:snapToGrid w:val="0"/>
        </w:rPr>
      </w:pPr>
      <w:r>
        <w:rPr>
          <w:rFonts w:hint="eastAsia"/>
          <w:snapToGrid w:val="0"/>
        </w:rPr>
        <w:t>废家电回收区</w:t>
      </w:r>
    </w:p>
    <w:p>
      <w:pPr>
        <w:pStyle w:val="35"/>
        <w:rPr>
          <w:snapToGrid w:val="0"/>
        </w:rPr>
      </w:pPr>
      <w:r>
        <w:rPr>
          <w:snapToGrid w:val="0"/>
        </w:rPr>
        <w:drawing>
          <wp:inline distT="0" distB="0" distL="0" distR="0">
            <wp:extent cx="5528945" cy="41529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540696" cy="4161489"/>
                    </a:xfrm>
                    <a:prstGeom prst="rect">
                      <a:avLst/>
                    </a:prstGeom>
                    <a:noFill/>
                    <a:ln>
                      <a:noFill/>
                    </a:ln>
                  </pic:spPr>
                </pic:pic>
              </a:graphicData>
            </a:graphic>
          </wp:inline>
        </w:drawing>
      </w:r>
    </w:p>
    <w:p>
      <w:pPr>
        <w:pStyle w:val="35"/>
        <w:rPr>
          <w:snapToGrid w:val="0"/>
        </w:rPr>
      </w:pPr>
      <w:r>
        <w:rPr>
          <w:rFonts w:hint="eastAsia"/>
          <w:snapToGrid w:val="0"/>
        </w:rPr>
        <w:t>废家电回收区</w:t>
      </w:r>
    </w:p>
    <w:p>
      <w:pPr>
        <w:pStyle w:val="35"/>
        <w:rPr>
          <w:snapToGrid w:val="0"/>
        </w:rPr>
      </w:pPr>
    </w:p>
    <w:p>
      <w:pPr>
        <w:pStyle w:val="35"/>
        <w:rPr>
          <w:snapToGrid w:val="0"/>
        </w:rPr>
      </w:pPr>
    </w:p>
    <w:p>
      <w:pPr>
        <w:pStyle w:val="35"/>
        <w:rPr>
          <w:snapToGrid w:val="0"/>
        </w:rPr>
      </w:pPr>
      <w:r>
        <w:drawing>
          <wp:inline distT="0" distB="0" distL="0" distR="0">
            <wp:extent cx="5615940" cy="7485380"/>
            <wp:effectExtent l="0" t="0" r="3810" b="127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621373" cy="7492299"/>
                    </a:xfrm>
                    <a:prstGeom prst="rect">
                      <a:avLst/>
                    </a:prstGeom>
                    <a:noFill/>
                    <a:ln>
                      <a:noFill/>
                    </a:ln>
                  </pic:spPr>
                </pic:pic>
              </a:graphicData>
            </a:graphic>
          </wp:inline>
        </w:drawing>
      </w:r>
    </w:p>
    <w:p>
      <w:pPr>
        <w:pStyle w:val="35"/>
        <w:rPr>
          <w:snapToGrid w:val="0"/>
        </w:rPr>
      </w:pPr>
    </w:p>
    <w:p>
      <w:pPr>
        <w:pStyle w:val="35"/>
        <w:rPr>
          <w:snapToGrid w:val="0"/>
        </w:rPr>
      </w:pPr>
    </w:p>
    <w:p>
      <w:pPr>
        <w:pStyle w:val="35"/>
        <w:rPr>
          <w:snapToGrid w:val="0"/>
        </w:rPr>
      </w:pPr>
      <w:r>
        <w:rPr>
          <w:snapToGrid w:val="0"/>
        </w:rPr>
        <w:drawing>
          <wp:inline distT="0" distB="0" distL="0" distR="0">
            <wp:extent cx="5273040" cy="7515860"/>
            <wp:effectExtent l="0" t="0" r="3810" b="889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45">
                      <a:extLst>
                        <a:ext uri="{28A0092B-C50C-407E-A947-70E740481C1C}">
                          <a14:useLocalDpi xmlns:a14="http://schemas.microsoft.com/office/drawing/2010/main" val="0"/>
                        </a:ext>
                      </a:extLst>
                    </a:blip>
                    <a:srcRect l="2075" r="4411"/>
                    <a:stretch>
                      <a:fillRect/>
                    </a:stretch>
                  </pic:blipFill>
                  <pic:spPr>
                    <a:xfrm>
                      <a:off x="0" y="0"/>
                      <a:ext cx="5281340" cy="7527202"/>
                    </a:xfrm>
                    <a:prstGeom prst="rect">
                      <a:avLst/>
                    </a:prstGeom>
                    <a:noFill/>
                    <a:ln>
                      <a:noFill/>
                    </a:ln>
                  </pic:spPr>
                </pic:pic>
              </a:graphicData>
            </a:graphic>
          </wp:inline>
        </w:drawing>
      </w:r>
    </w:p>
    <w:p>
      <w:pPr>
        <w:pStyle w:val="35"/>
        <w:rPr>
          <w:snapToGrid w:val="0"/>
        </w:rPr>
      </w:pPr>
    </w:p>
    <w:p>
      <w:pPr>
        <w:pStyle w:val="35"/>
      </w:pPr>
    </w:p>
    <w:p>
      <w:pPr>
        <w:pStyle w:val="35"/>
        <w:rPr>
          <w:snapToGrid w:val="0"/>
        </w:rPr>
      </w:pPr>
      <w:r>
        <w:drawing>
          <wp:inline distT="0" distB="0" distL="0" distR="0">
            <wp:extent cx="5608320" cy="817626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46">
                      <a:extLst>
                        <a:ext uri="{28A0092B-C50C-407E-A947-70E740481C1C}">
                          <a14:useLocalDpi xmlns:a14="http://schemas.microsoft.com/office/drawing/2010/main" val="0"/>
                        </a:ext>
                      </a:extLst>
                    </a:blip>
                    <a:srcRect l="2742" t="1850" b="2500"/>
                    <a:stretch>
                      <a:fillRect/>
                    </a:stretch>
                  </pic:blipFill>
                  <pic:spPr>
                    <a:xfrm>
                      <a:off x="0" y="0"/>
                      <a:ext cx="5613723" cy="8183792"/>
                    </a:xfrm>
                    <a:prstGeom prst="rect">
                      <a:avLst/>
                    </a:prstGeom>
                    <a:noFill/>
                    <a:ln>
                      <a:noFill/>
                    </a:ln>
                  </pic:spPr>
                </pic:pic>
              </a:graphicData>
            </a:graphic>
          </wp:inline>
        </w:drawing>
      </w:r>
    </w:p>
    <w:p>
      <w:pPr>
        <w:pStyle w:val="35"/>
        <w:rPr>
          <w:snapToGrid w:val="0"/>
        </w:rPr>
      </w:pPr>
    </w:p>
    <w:p>
      <w:pPr>
        <w:pStyle w:val="35"/>
      </w:pPr>
    </w:p>
    <w:p>
      <w:pPr>
        <w:pStyle w:val="35"/>
        <w:rPr>
          <w:snapToGrid w:val="0"/>
        </w:rPr>
      </w:pPr>
      <w:r>
        <w:drawing>
          <wp:inline distT="0" distB="0" distL="0" distR="0">
            <wp:extent cx="5513070" cy="800544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47">
                      <a:extLst>
                        <a:ext uri="{28A0092B-C50C-407E-A947-70E740481C1C}">
                          <a14:useLocalDpi xmlns:a14="http://schemas.microsoft.com/office/drawing/2010/main" val="0"/>
                        </a:ext>
                      </a:extLst>
                    </a:blip>
                    <a:srcRect l="3534" t="3514" b="1998"/>
                    <a:stretch>
                      <a:fillRect/>
                    </a:stretch>
                  </pic:blipFill>
                  <pic:spPr>
                    <a:xfrm>
                      <a:off x="0" y="0"/>
                      <a:ext cx="5520029" cy="8014761"/>
                    </a:xfrm>
                    <a:prstGeom prst="rect">
                      <a:avLst/>
                    </a:prstGeom>
                    <a:noFill/>
                    <a:ln>
                      <a:noFill/>
                    </a:ln>
                  </pic:spPr>
                </pic:pic>
              </a:graphicData>
            </a:graphic>
          </wp:inline>
        </w:drawing>
      </w:r>
    </w:p>
    <w:p>
      <w:pPr>
        <w:pStyle w:val="35"/>
        <w:rPr>
          <w:snapToGrid w:val="0"/>
        </w:rPr>
      </w:pPr>
    </w:p>
    <w:p>
      <w:pPr>
        <w:pStyle w:val="35"/>
        <w:rPr>
          <w:snapToGrid w:val="0"/>
        </w:rPr>
      </w:pPr>
    </w:p>
    <w:p>
      <w:pPr>
        <w:pStyle w:val="35"/>
        <w:rPr>
          <w:snapToGrid w:val="0"/>
        </w:rPr>
      </w:pPr>
    </w:p>
    <w:p>
      <w:pPr>
        <w:pStyle w:val="35"/>
        <w:rPr>
          <w:snapToGrid w:val="0"/>
        </w:rPr>
      </w:pPr>
    </w:p>
    <w:p>
      <w:pPr>
        <w:pStyle w:val="35"/>
        <w:rPr>
          <w:snapToGrid w:val="0"/>
        </w:rPr>
        <w:sectPr>
          <w:pgSz w:w="11906" w:h="16838"/>
          <w:pgMar w:top="720" w:right="720" w:bottom="720" w:left="720" w:header="851" w:footer="992" w:gutter="0"/>
          <w:cols w:space="425" w:num="1"/>
          <w:docGrid w:type="lines" w:linePitch="326" w:charSpace="0"/>
        </w:sectPr>
      </w:pPr>
      <w:r>
        <w:rPr>
          <w:snapToGrid w:val="0"/>
        </w:rPr>
        <w:drawing>
          <wp:inline distT="0" distB="0" distL="0" distR="0">
            <wp:extent cx="5960745" cy="8355330"/>
            <wp:effectExtent l="0" t="0" r="1905"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48">
                      <a:extLst>
                        <a:ext uri="{28A0092B-C50C-407E-A947-70E740481C1C}">
                          <a14:useLocalDpi xmlns:a14="http://schemas.microsoft.com/office/drawing/2010/main" val="0"/>
                        </a:ext>
                      </a:extLst>
                    </a:blip>
                    <a:srcRect l="3389" r="5127" b="3709"/>
                    <a:stretch>
                      <a:fillRect/>
                    </a:stretch>
                  </pic:blipFill>
                  <pic:spPr>
                    <a:xfrm>
                      <a:off x="0" y="0"/>
                      <a:ext cx="5970146" cy="8368648"/>
                    </a:xfrm>
                    <a:prstGeom prst="rect">
                      <a:avLst/>
                    </a:prstGeom>
                    <a:noFill/>
                    <a:ln>
                      <a:noFill/>
                    </a:ln>
                  </pic:spPr>
                </pic:pic>
              </a:graphicData>
            </a:graphic>
          </wp:inline>
        </w:drawing>
      </w:r>
    </w:p>
    <w:p>
      <w:pPr>
        <w:spacing w:before="163" w:beforeLines="50" w:after="163" w:afterLines="50"/>
        <w:ind w:firstLine="0" w:firstLineChars="0"/>
        <w:jc w:val="center"/>
        <w:outlineLvl w:val="0"/>
        <w:rPr>
          <w:rFonts w:ascii="方正小标宋_GBK" w:hAnsi="黑体" w:eastAsia="方正小标宋_GBK"/>
          <w:snapToGrid w:val="0"/>
          <w:sz w:val="38"/>
          <w:szCs w:val="38"/>
        </w:rPr>
      </w:pPr>
      <w:r>
        <w:rPr>
          <w:rFonts w:hint="eastAsia" w:ascii="方正小标宋_GBK" w:hAnsi="黑体" w:eastAsia="方正小标宋_GBK"/>
          <w:snapToGrid w:val="0"/>
          <w:sz w:val="38"/>
          <w:szCs w:val="38"/>
        </w:rPr>
        <w:t>编制单位和编制人员情况表</w:t>
      </w:r>
    </w:p>
    <w:tbl>
      <w:tblPr>
        <w:tblStyle w:val="22"/>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2327"/>
        <w:gridCol w:w="1859"/>
        <w:gridCol w:w="2180"/>
        <w:gridCol w:w="136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项目编号</w:t>
            </w:r>
          </w:p>
        </w:tc>
        <w:tc>
          <w:tcPr>
            <w:tcW w:w="5400" w:type="dxa"/>
            <w:gridSpan w:val="3"/>
            <w:vAlign w:val="center"/>
          </w:tcPr>
          <w:p>
            <w:pPr>
              <w:ind w:firstLine="0" w:firstLineChars="0"/>
              <w:jc w:val="cente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建设项目名称</w:t>
            </w:r>
          </w:p>
        </w:tc>
        <w:tc>
          <w:tcPr>
            <w:tcW w:w="5400" w:type="dxa"/>
            <w:gridSpan w:val="3"/>
            <w:vAlign w:val="center"/>
          </w:tcPr>
          <w:p>
            <w:pPr>
              <w:pStyle w:val="33"/>
              <w:rPr>
                <w:sz w:val="24"/>
              </w:rPr>
            </w:pPr>
            <w:r>
              <w:rPr>
                <w:rFonts w:hint="eastAsia"/>
                <w:sz w:val="24"/>
              </w:rPr>
              <w:t>五原县勇胜再生资源回收利用市场建设项目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660" w:type="dxa"/>
            <w:gridSpan w:val="2"/>
            <w:vAlign w:val="center"/>
          </w:tcPr>
          <w:p>
            <w:pPr>
              <w:ind w:firstLine="0" w:firstLineChars="0"/>
              <w:jc w:val="center"/>
            </w:pPr>
            <w:r>
              <w:rPr>
                <w:rFonts w:hint="eastAsia"/>
              </w:rPr>
              <w:t>建设项目类别</w:t>
            </w:r>
          </w:p>
        </w:tc>
        <w:tc>
          <w:tcPr>
            <w:tcW w:w="5400" w:type="dxa"/>
            <w:gridSpan w:val="3"/>
            <w:vAlign w:val="center"/>
          </w:tcPr>
          <w:p>
            <w:pPr>
              <w:pStyle w:val="33"/>
            </w:pPr>
            <w:r>
              <w:rPr>
                <w:rFonts w:hint="eastAsia"/>
                <w:sz w:val="24"/>
              </w:rPr>
              <w:t>三十九、废弃资源综合利用4</w:t>
            </w:r>
            <w:r>
              <w:rPr>
                <w:sz w:val="24"/>
              </w:rPr>
              <w:t xml:space="preserve">2 </w:t>
            </w:r>
            <w:r>
              <w:rPr>
                <w:rFonts w:hint="eastAsia"/>
                <w:sz w:val="24"/>
              </w:rPr>
              <w:t>废铁、废塑料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环境影响评价文件类型</w:t>
            </w:r>
          </w:p>
        </w:tc>
        <w:tc>
          <w:tcPr>
            <w:tcW w:w="5400" w:type="dxa"/>
            <w:gridSpan w:val="3"/>
            <w:vAlign w:val="center"/>
          </w:tcPr>
          <w:p>
            <w:pPr>
              <w:ind w:firstLine="0" w:firstLineChars="0"/>
              <w:jc w:val="center"/>
            </w:pPr>
            <w:r>
              <w:rPr>
                <w:rFonts w:hint="eastAsia"/>
              </w:rPr>
              <w:t>环境影响报告表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060" w:type="dxa"/>
            <w:gridSpan w:val="5"/>
            <w:vAlign w:val="center"/>
          </w:tcPr>
          <w:p>
            <w:pPr>
              <w:ind w:firstLine="0" w:firstLineChars="0"/>
              <w:jc w:val="center"/>
              <w:rPr>
                <w:rFonts w:ascii="黑体" w:hAnsi="黑体" w:eastAsia="黑体"/>
              </w:rPr>
            </w:pPr>
            <w:r>
              <w:rPr>
                <w:rFonts w:hint="eastAsia" w:ascii="黑体" w:hAnsi="黑体" w:eastAsia="黑体"/>
              </w:rPr>
              <w:t>一、建设单位情况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单位名称（盖章）</w:t>
            </w:r>
          </w:p>
        </w:tc>
        <w:tc>
          <w:tcPr>
            <w:tcW w:w="5400" w:type="dxa"/>
            <w:gridSpan w:val="3"/>
            <w:vAlign w:val="center"/>
          </w:tcPr>
          <w:p>
            <w:pPr>
              <w:ind w:firstLine="0" w:firstLineChars="0"/>
              <w:jc w:val="center"/>
            </w:pPr>
            <w:bookmarkStart w:id="38" w:name="_Hlk74644548"/>
            <w:r>
              <w:rPr>
                <w:rFonts w:hint="eastAsia"/>
              </w:rPr>
              <w:t>五原县勇胜再生资源回收利用有限责任公司</w:t>
            </w:r>
            <w:bookmarkEnd w:id="38"/>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统一社会信用代码</w:t>
            </w:r>
          </w:p>
        </w:tc>
        <w:tc>
          <w:tcPr>
            <w:tcW w:w="5400" w:type="dxa"/>
            <w:gridSpan w:val="3"/>
            <w:vAlign w:val="center"/>
          </w:tcPr>
          <w:p>
            <w:pPr>
              <w:ind w:firstLine="0" w:firstLineChars="0"/>
              <w:jc w:val="center"/>
            </w:pPr>
            <w:r>
              <w:t>91150821MA0N31M74T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法定代表人（签章）</w:t>
            </w:r>
          </w:p>
        </w:tc>
        <w:tc>
          <w:tcPr>
            <w:tcW w:w="5400" w:type="dxa"/>
            <w:gridSpan w:val="3"/>
            <w:vAlign w:val="center"/>
          </w:tcPr>
          <w:p>
            <w:pPr>
              <w:ind w:firstLine="0" w:firstLineChars="0"/>
              <w:jc w:val="center"/>
            </w:pPr>
            <w:r>
              <w:rPr>
                <w:rFonts w:hint="eastAsia"/>
              </w:rPr>
              <w:t>冯勇胜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主要负责人（签字）</w:t>
            </w:r>
          </w:p>
        </w:tc>
        <w:tc>
          <w:tcPr>
            <w:tcW w:w="5400" w:type="dxa"/>
            <w:gridSpan w:val="3"/>
            <w:vAlign w:val="center"/>
          </w:tcPr>
          <w:p>
            <w:pPr>
              <w:ind w:firstLine="0" w:firstLineChars="0"/>
              <w:jc w:val="center"/>
            </w:pPr>
            <w:r>
              <w:rPr>
                <w:rFonts w:hint="eastAsia"/>
              </w:rPr>
              <w:t>冯勇胜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直接负责的主管人员（签字）</w:t>
            </w:r>
          </w:p>
        </w:tc>
        <w:tc>
          <w:tcPr>
            <w:tcW w:w="5400" w:type="dxa"/>
            <w:gridSpan w:val="3"/>
            <w:vAlign w:val="center"/>
          </w:tcPr>
          <w:p>
            <w:pPr>
              <w:ind w:firstLine="0" w:firstLineChars="0"/>
              <w:jc w:val="center"/>
            </w:pPr>
            <w:r>
              <w:rPr>
                <w:rFonts w:hint="eastAsia"/>
              </w:rPr>
              <w:t>冯勇胜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060" w:type="dxa"/>
            <w:gridSpan w:val="5"/>
            <w:vAlign w:val="center"/>
          </w:tcPr>
          <w:p>
            <w:pPr>
              <w:ind w:firstLine="0" w:firstLineChars="0"/>
              <w:jc w:val="center"/>
              <w:rPr>
                <w:rFonts w:ascii="黑体" w:hAnsi="黑体" w:eastAsia="黑体"/>
                <w:b/>
              </w:rPr>
            </w:pPr>
            <w:r>
              <w:rPr>
                <w:rFonts w:hint="eastAsia" w:ascii="黑体" w:hAnsi="黑体" w:eastAsia="黑体"/>
              </w:rPr>
              <w:t>二、编制单位情况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单位名称（盖章）</w:t>
            </w:r>
          </w:p>
        </w:tc>
        <w:tc>
          <w:tcPr>
            <w:tcW w:w="5400" w:type="dxa"/>
            <w:gridSpan w:val="3"/>
            <w:vAlign w:val="center"/>
          </w:tcPr>
          <w:p>
            <w:pPr>
              <w:ind w:firstLine="0" w:firstLineChars="0"/>
              <w:jc w:val="center"/>
            </w:pPr>
            <w:r>
              <w:rPr>
                <w:rFonts w:hint="eastAsia"/>
              </w:rPr>
              <w:t>内蒙古八思巴环境技术咨询有限公司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60" w:type="dxa"/>
            <w:gridSpan w:val="2"/>
            <w:vAlign w:val="center"/>
          </w:tcPr>
          <w:p>
            <w:pPr>
              <w:ind w:firstLine="0" w:firstLineChars="0"/>
              <w:jc w:val="center"/>
            </w:pPr>
            <w:r>
              <w:rPr>
                <w:rFonts w:hint="eastAsia"/>
              </w:rPr>
              <w:t>统一社会信用代码</w:t>
            </w:r>
          </w:p>
        </w:tc>
        <w:tc>
          <w:tcPr>
            <w:tcW w:w="5400" w:type="dxa"/>
            <w:gridSpan w:val="3"/>
            <w:vAlign w:val="center"/>
          </w:tcPr>
          <w:p>
            <w:pPr>
              <w:ind w:firstLine="0" w:firstLineChars="0"/>
              <w:jc w:val="center"/>
            </w:pPr>
            <w:r>
              <w:t>911522006928769856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060" w:type="dxa"/>
            <w:gridSpan w:val="5"/>
            <w:vAlign w:val="center"/>
          </w:tcPr>
          <w:p>
            <w:pPr>
              <w:ind w:firstLine="0" w:firstLineChars="0"/>
              <w:jc w:val="center"/>
              <w:rPr>
                <w:rFonts w:ascii="黑体" w:hAnsi="黑体" w:eastAsia="黑体"/>
              </w:rPr>
            </w:pPr>
            <w:r>
              <w:rPr>
                <w:rFonts w:hint="eastAsia" w:ascii="黑体" w:hAnsi="黑体" w:eastAsia="黑体"/>
              </w:rPr>
              <w:t>三、编制人员情况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060" w:type="dxa"/>
            <w:gridSpan w:val="5"/>
            <w:vAlign w:val="center"/>
          </w:tcPr>
          <w:p>
            <w:pPr>
              <w:ind w:firstLine="0" w:firstLineChars="0"/>
              <w:jc w:val="center"/>
            </w:pPr>
            <w:r>
              <w:t>1.</w:t>
            </w:r>
            <w:r>
              <w:rPr>
                <w:rFonts w:hint="eastAsia"/>
              </w:rPr>
              <w:t>编制主持人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33" w:type="dxa"/>
            <w:vAlign w:val="center"/>
          </w:tcPr>
          <w:p>
            <w:pPr>
              <w:ind w:firstLine="0" w:firstLineChars="0"/>
              <w:jc w:val="center"/>
            </w:pPr>
            <w:r>
              <w:rPr>
                <w:rFonts w:hint="eastAsia"/>
              </w:rPr>
              <w:t>姓名</w:t>
            </w:r>
          </w:p>
        </w:tc>
        <w:tc>
          <w:tcPr>
            <w:tcW w:w="4186" w:type="dxa"/>
            <w:gridSpan w:val="2"/>
            <w:vAlign w:val="center"/>
          </w:tcPr>
          <w:p>
            <w:pPr>
              <w:ind w:firstLine="0" w:firstLineChars="0"/>
              <w:jc w:val="center"/>
            </w:pPr>
            <w:r>
              <w:rPr>
                <w:rFonts w:hint="eastAsia"/>
              </w:rPr>
              <w:t>职业资格证书管理号</w:t>
            </w:r>
          </w:p>
        </w:tc>
        <w:tc>
          <w:tcPr>
            <w:tcW w:w="2180" w:type="dxa"/>
            <w:vAlign w:val="center"/>
          </w:tcPr>
          <w:p>
            <w:pPr>
              <w:ind w:firstLine="0" w:firstLineChars="0"/>
              <w:jc w:val="center"/>
            </w:pPr>
            <w:r>
              <w:rPr>
                <w:rFonts w:hint="eastAsia"/>
              </w:rPr>
              <w:t>信用编号</w:t>
            </w:r>
          </w:p>
        </w:tc>
        <w:tc>
          <w:tcPr>
            <w:tcW w:w="1361" w:type="dxa"/>
            <w:vAlign w:val="center"/>
          </w:tcPr>
          <w:p>
            <w:pPr>
              <w:ind w:firstLine="0" w:firstLineChars="0"/>
              <w:jc w:val="center"/>
            </w:pPr>
            <w:r>
              <w:rPr>
                <w:rFonts w:hint="eastAsia"/>
              </w:rPr>
              <w:t>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33" w:type="dxa"/>
            <w:vAlign w:val="center"/>
          </w:tcPr>
          <w:p>
            <w:pPr>
              <w:ind w:firstLine="0" w:firstLineChars="0"/>
              <w:jc w:val="center"/>
            </w:pPr>
            <w:r>
              <w:rPr>
                <w:rFonts w:hint="eastAsia"/>
              </w:rPr>
              <w:t>马娟</w:t>
            </w:r>
          </w:p>
        </w:tc>
        <w:tc>
          <w:tcPr>
            <w:tcW w:w="4186" w:type="dxa"/>
            <w:gridSpan w:val="2"/>
            <w:vAlign w:val="center"/>
          </w:tcPr>
          <w:p>
            <w:pPr>
              <w:ind w:firstLine="0" w:firstLineChars="0"/>
              <w:jc w:val="center"/>
            </w:pPr>
            <w:r>
              <w:t>12351143512110095</w:t>
            </w:r>
          </w:p>
        </w:tc>
        <w:tc>
          <w:tcPr>
            <w:tcW w:w="2180" w:type="dxa"/>
            <w:vAlign w:val="center"/>
          </w:tcPr>
          <w:p>
            <w:pPr>
              <w:ind w:firstLine="0" w:firstLineChars="0"/>
              <w:jc w:val="center"/>
            </w:pPr>
            <w:r>
              <w:t>BH017039</w:t>
            </w:r>
          </w:p>
        </w:tc>
        <w:tc>
          <w:tcPr>
            <w:tcW w:w="1361" w:type="dxa"/>
            <w:vAlign w:val="center"/>
          </w:tcPr>
          <w:p>
            <w:pPr>
              <w:ind w:firstLine="0" w:firstLineChars="0"/>
              <w:jc w:val="cente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060" w:type="dxa"/>
            <w:gridSpan w:val="5"/>
            <w:vAlign w:val="center"/>
          </w:tcPr>
          <w:p>
            <w:pPr>
              <w:ind w:firstLine="0" w:firstLineChars="0"/>
              <w:jc w:val="center"/>
            </w:pPr>
            <w:r>
              <w:t>2.</w:t>
            </w:r>
            <w:r>
              <w:rPr>
                <w:rFonts w:hint="eastAsia"/>
              </w:rPr>
              <w:t>主要编制人员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33" w:type="dxa"/>
            <w:vAlign w:val="center"/>
          </w:tcPr>
          <w:p>
            <w:pPr>
              <w:ind w:firstLine="0" w:firstLineChars="0"/>
              <w:jc w:val="center"/>
            </w:pPr>
            <w:r>
              <w:rPr>
                <w:rFonts w:hint="eastAsia"/>
              </w:rPr>
              <w:t>姓名</w:t>
            </w:r>
          </w:p>
        </w:tc>
        <w:tc>
          <w:tcPr>
            <w:tcW w:w="4186" w:type="dxa"/>
            <w:gridSpan w:val="2"/>
            <w:vAlign w:val="center"/>
          </w:tcPr>
          <w:p>
            <w:pPr>
              <w:ind w:firstLine="0" w:firstLineChars="0"/>
              <w:jc w:val="center"/>
            </w:pPr>
            <w:r>
              <w:rPr>
                <w:rFonts w:hint="eastAsia"/>
              </w:rPr>
              <w:t>主要编写内容</w:t>
            </w:r>
          </w:p>
        </w:tc>
        <w:tc>
          <w:tcPr>
            <w:tcW w:w="2180" w:type="dxa"/>
            <w:vAlign w:val="center"/>
          </w:tcPr>
          <w:p>
            <w:pPr>
              <w:ind w:firstLine="0" w:firstLineChars="0"/>
              <w:jc w:val="center"/>
            </w:pPr>
            <w:r>
              <w:rPr>
                <w:rFonts w:hint="eastAsia"/>
              </w:rPr>
              <w:t>信用编号</w:t>
            </w:r>
          </w:p>
        </w:tc>
        <w:tc>
          <w:tcPr>
            <w:tcW w:w="1361" w:type="dxa"/>
            <w:vAlign w:val="center"/>
          </w:tcPr>
          <w:p>
            <w:pPr>
              <w:ind w:firstLine="0" w:firstLineChars="0"/>
              <w:jc w:val="center"/>
            </w:pPr>
            <w:r>
              <w:rPr>
                <w:rFonts w:hint="eastAsia"/>
              </w:rPr>
              <w:t>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33" w:type="dxa"/>
            <w:vAlign w:val="center"/>
          </w:tcPr>
          <w:p>
            <w:pPr>
              <w:ind w:firstLine="0" w:firstLineChars="0"/>
              <w:jc w:val="center"/>
            </w:pPr>
            <w:r>
              <w:rPr>
                <w:rFonts w:hint="eastAsia"/>
              </w:rPr>
              <w:t>马娟</w:t>
            </w:r>
          </w:p>
        </w:tc>
        <w:tc>
          <w:tcPr>
            <w:tcW w:w="4186" w:type="dxa"/>
            <w:gridSpan w:val="2"/>
            <w:vAlign w:val="center"/>
          </w:tcPr>
          <w:p>
            <w:pPr>
              <w:pStyle w:val="33"/>
            </w:pPr>
            <w:r>
              <w:rPr>
                <w:rFonts w:hint="eastAsia"/>
              </w:rPr>
              <w:t>建设项目基本情况、建设项目工程分析、区域环境质量现状、环境保护目标及评价标准、主要环境影响和保护措施、环境保护措施监督检查清单、</w:t>
            </w:r>
            <w:r>
              <w:rPr>
                <w:rFonts w:hint="eastAsia"/>
                <w:snapToGrid w:val="0"/>
              </w:rPr>
              <w:t>结论</w:t>
            </w:r>
          </w:p>
        </w:tc>
        <w:tc>
          <w:tcPr>
            <w:tcW w:w="2180" w:type="dxa"/>
            <w:vAlign w:val="center"/>
          </w:tcPr>
          <w:p>
            <w:pPr>
              <w:ind w:firstLine="0" w:firstLineChars="0"/>
              <w:jc w:val="center"/>
            </w:pPr>
            <w:r>
              <w:t>BH017039</w:t>
            </w:r>
          </w:p>
        </w:tc>
        <w:tc>
          <w:tcPr>
            <w:tcW w:w="1361" w:type="dxa"/>
            <w:vAlign w:val="center"/>
          </w:tcPr>
          <w:p>
            <w:pPr>
              <w:ind w:firstLine="0" w:firstLineChars="0"/>
              <w:jc w:val="center"/>
            </w:pPr>
          </w:p>
        </w:tc>
      </w:tr>
    </w:tbl>
    <w:p>
      <w:pPr>
        <w:spacing w:before="260" w:beforeLines="80"/>
        <w:ind w:firstLine="480"/>
        <w:rPr>
          <w:rFonts w:ascii="宋体" w:cs="宋体"/>
          <w:szCs w:val="21"/>
        </w:rPr>
      </w:pPr>
      <w:r>
        <w:rPr>
          <w:rFonts w:hint="eastAsia" w:ascii="宋体" w:hAnsi="宋体" w:cs="宋体"/>
          <w:szCs w:val="21"/>
        </w:rPr>
        <w:t>注：该表由环境影响评价信用平台自动生成</w:t>
      </w:r>
    </w:p>
    <w:p>
      <w:pPr>
        <w:ind w:firstLine="480"/>
        <w:rPr>
          <w:rFonts w:ascii="宋体" w:hAnsi="宋体" w:eastAsia="黑体"/>
        </w:rPr>
      </w:pPr>
    </w:p>
    <w:p>
      <w:pPr>
        <w:pStyle w:val="33"/>
      </w:pPr>
    </w:p>
    <w:p>
      <w:pPr>
        <w:pStyle w:val="33"/>
      </w:pPr>
    </w:p>
    <w:p>
      <w:pPr>
        <w:ind w:left="-360" w:leftChars="-150" w:firstLine="0" w:firstLineChars="0"/>
        <w:jc w:val="left"/>
      </w:pPr>
      <w:r>
        <w:drawing>
          <wp:inline distT="0" distB="0" distL="0" distR="0">
            <wp:extent cx="5844540" cy="7793355"/>
            <wp:effectExtent l="19050" t="0" r="3278" b="0"/>
            <wp:docPr id="3" name="图片 10" descr="C:\Users\ADMINI~1\AppData\Local\Temp\WeChat Files\7ce8f4b316c17d89f36789ca00510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C:\Users\ADMINI~1\AppData\Local\Temp\WeChat Files\7ce8f4b316c17d89f36789ca00510d9.jpg"/>
                    <pic:cNvPicPr>
                      <a:picLocks noChangeAspect="1" noChangeArrowheads="1"/>
                    </pic:cNvPicPr>
                  </pic:nvPicPr>
                  <pic:blipFill>
                    <a:blip r:embed="rId49"/>
                    <a:srcRect/>
                    <a:stretch>
                      <a:fillRect/>
                    </a:stretch>
                  </pic:blipFill>
                  <pic:spPr>
                    <a:xfrm>
                      <a:off x="0" y="0"/>
                      <a:ext cx="5844986" cy="7793551"/>
                    </a:xfrm>
                    <a:prstGeom prst="rect">
                      <a:avLst/>
                    </a:prstGeom>
                    <a:noFill/>
                    <a:ln w="9525">
                      <a:noFill/>
                      <a:miter lim="800000"/>
                      <a:headEnd/>
                      <a:tailEnd/>
                    </a:ln>
                  </pic:spPr>
                </pic:pic>
              </a:graphicData>
            </a:graphic>
          </wp:inline>
        </w:drawing>
      </w:r>
    </w:p>
    <w:p>
      <w:pPr>
        <w:ind w:firstLine="480"/>
      </w:pPr>
    </w:p>
    <w:p>
      <w:pPr>
        <w:tabs>
          <w:tab w:val="left" w:pos="3360"/>
        </w:tabs>
        <w:ind w:firstLine="480"/>
      </w:pPr>
      <w:r>
        <w:tab/>
      </w:r>
    </w:p>
    <w:p>
      <w:pPr>
        <w:spacing w:before="260" w:beforeLines="80" w:after="32" w:afterLines="10" w:line="259" w:lineRule="auto"/>
        <w:ind w:firstLine="456"/>
        <w:rPr>
          <w:rFonts w:ascii="宋体" w:hAnsi="宋体"/>
          <w:snapToGrid w:val="0"/>
          <w:spacing w:val="-6"/>
          <w:kern w:val="21"/>
          <w:szCs w:val="21"/>
        </w:rPr>
        <w:sectPr>
          <w:pgSz w:w="11906" w:h="16838"/>
          <w:pgMar w:top="1440" w:right="1800" w:bottom="1440" w:left="1800" w:header="851" w:footer="992" w:gutter="0"/>
          <w:cols w:space="425" w:num="1"/>
          <w:docGrid w:type="lines" w:linePitch="326" w:charSpace="0"/>
        </w:sectPr>
      </w:pPr>
    </w:p>
    <w:p>
      <w:pPr>
        <w:spacing w:before="156" w:beforeLines="50" w:after="156" w:afterLines="50"/>
        <w:ind w:firstLine="0" w:firstLineChars="0"/>
        <w:jc w:val="center"/>
        <w:outlineLvl w:val="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Heiti SC Light">
    <w:altName w:val="hakuyoxingshu7000"/>
    <w:panose1 w:val="00000000000000000000"/>
    <w:charset w:val="50"/>
    <w:family w:val="auto"/>
    <w:pitch w:val="default"/>
    <w:sig w:usb0="00000000" w:usb1="00000000" w:usb2="00000010" w:usb3="00000000" w:csb0="003E0000" w:csb1="00000000"/>
  </w:font>
  <w:font w:name="hakuyoxingshu7000">
    <w:panose1 w:val="02000600000000000000"/>
    <w:charset w:val="86"/>
    <w:family w:val="auto"/>
    <w:pitch w:val="default"/>
    <w:sig w:usb0="FFFFFFFF" w:usb1="E9FFFFFF" w:usb2="0000003F" w:usb3="00000000" w:csb0="603F00FF" w:csb1="FFFF0000"/>
  </w:font>
  <w:font w:name="方正小标宋_GBK">
    <w:altName w:val="微软雅黑"/>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TimesNewRomanPSMT">
    <w:altName w:val="Times New Roman"/>
    <w:panose1 w:val="00000000000000000000"/>
    <w:charset w:val="80"/>
    <w:family w:val="auto"/>
    <w:pitch w:val="default"/>
    <w:sig w:usb0="00000000" w:usb1="00000000" w:usb2="00000010" w:usb3="00000000" w:csb0="00060000"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0829519"/>
    </w:sdtPr>
    <w:sdtContent>
      <w:p>
        <w:pPr>
          <w:pStyle w:val="16"/>
          <w:ind w:firstLine="360"/>
          <w:jc w:val="center"/>
        </w:pPr>
        <w:r>
          <w:fldChar w:fldCharType="begin"/>
        </w:r>
        <w:r>
          <w:instrText xml:space="preserve">PAGE   \* MERGEFORMAT</w:instrText>
        </w:r>
        <w:r>
          <w:fldChar w:fldCharType="separate"/>
        </w:r>
        <w:r>
          <w:rPr>
            <w:lang w:val="zh-CN"/>
          </w:rPr>
          <w:t>58</w:t>
        </w:r>
        <w:r>
          <w:rPr>
            <w:lang w:val="zh-CN"/>
          </w:rPr>
          <w:fldChar w:fldCharType="end"/>
        </w:r>
      </w:p>
    </w:sdtContent>
  </w:sdt>
  <w:p>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8641253"/>
    </w:sdtPr>
    <w:sdtContent>
      <w:p>
        <w:pPr>
          <w:pStyle w:val="16"/>
          <w:ind w:firstLine="360"/>
          <w:jc w:val="center"/>
        </w:pPr>
        <w:r>
          <w:fldChar w:fldCharType="begin"/>
        </w:r>
        <w:r>
          <w:instrText xml:space="preserve">PAGE   \* MERGEFORMAT</w:instrText>
        </w:r>
        <w:r>
          <w:fldChar w:fldCharType="separate"/>
        </w:r>
        <w:r>
          <w:rPr>
            <w:lang w:val="zh-CN"/>
          </w:rPr>
          <w:t>2</w:t>
        </w:r>
        <w:r>
          <w:rPr>
            <w:lang w:val="zh-CN"/>
          </w:rPr>
          <w:fldChar w:fldCharType="end"/>
        </w:r>
      </w:p>
    </w:sdtContent>
  </w:sdt>
  <w:p>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ind w:firstLine="36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52C8D"/>
    <w:rsid w:val="00000A9A"/>
    <w:rsid w:val="00002B44"/>
    <w:rsid w:val="00007BDE"/>
    <w:rsid w:val="00007E1B"/>
    <w:rsid w:val="00007F98"/>
    <w:rsid w:val="00016A35"/>
    <w:rsid w:val="00017533"/>
    <w:rsid w:val="00021F58"/>
    <w:rsid w:val="000224C6"/>
    <w:rsid w:val="00024D1A"/>
    <w:rsid w:val="0002590E"/>
    <w:rsid w:val="000260A9"/>
    <w:rsid w:val="000268C1"/>
    <w:rsid w:val="0003187C"/>
    <w:rsid w:val="0003357C"/>
    <w:rsid w:val="00042EB9"/>
    <w:rsid w:val="00044F38"/>
    <w:rsid w:val="00045BF9"/>
    <w:rsid w:val="00050370"/>
    <w:rsid w:val="000529EA"/>
    <w:rsid w:val="00053BC9"/>
    <w:rsid w:val="00054C05"/>
    <w:rsid w:val="00056E0B"/>
    <w:rsid w:val="000636FC"/>
    <w:rsid w:val="0006455A"/>
    <w:rsid w:val="000646CA"/>
    <w:rsid w:val="000662EA"/>
    <w:rsid w:val="000669B4"/>
    <w:rsid w:val="000669EF"/>
    <w:rsid w:val="00070E76"/>
    <w:rsid w:val="00073CBE"/>
    <w:rsid w:val="000748DC"/>
    <w:rsid w:val="00075CFA"/>
    <w:rsid w:val="000761C2"/>
    <w:rsid w:val="000777AE"/>
    <w:rsid w:val="00077D7A"/>
    <w:rsid w:val="00082251"/>
    <w:rsid w:val="00087D33"/>
    <w:rsid w:val="000941FE"/>
    <w:rsid w:val="000963B5"/>
    <w:rsid w:val="00097F73"/>
    <w:rsid w:val="000A0623"/>
    <w:rsid w:val="000A1638"/>
    <w:rsid w:val="000A4706"/>
    <w:rsid w:val="000A71F0"/>
    <w:rsid w:val="000A75EB"/>
    <w:rsid w:val="000B0179"/>
    <w:rsid w:val="000B35ED"/>
    <w:rsid w:val="000B3A4A"/>
    <w:rsid w:val="000B4216"/>
    <w:rsid w:val="000B4BC7"/>
    <w:rsid w:val="000B7640"/>
    <w:rsid w:val="000C1292"/>
    <w:rsid w:val="000C1406"/>
    <w:rsid w:val="000C316A"/>
    <w:rsid w:val="000C479D"/>
    <w:rsid w:val="000C4CEC"/>
    <w:rsid w:val="000C5940"/>
    <w:rsid w:val="000C6471"/>
    <w:rsid w:val="000C77C2"/>
    <w:rsid w:val="000C7A73"/>
    <w:rsid w:val="000C7E95"/>
    <w:rsid w:val="000D2FB6"/>
    <w:rsid w:val="000D390D"/>
    <w:rsid w:val="000D3E59"/>
    <w:rsid w:val="000D4318"/>
    <w:rsid w:val="000D4DDB"/>
    <w:rsid w:val="000D6371"/>
    <w:rsid w:val="000E414E"/>
    <w:rsid w:val="000E7684"/>
    <w:rsid w:val="000F101F"/>
    <w:rsid w:val="000F1E7D"/>
    <w:rsid w:val="000F2F45"/>
    <w:rsid w:val="000F37AF"/>
    <w:rsid w:val="000F68FB"/>
    <w:rsid w:val="00101FB5"/>
    <w:rsid w:val="00102944"/>
    <w:rsid w:val="00113412"/>
    <w:rsid w:val="001146C8"/>
    <w:rsid w:val="001154CB"/>
    <w:rsid w:val="001164DA"/>
    <w:rsid w:val="00116B37"/>
    <w:rsid w:val="001171B9"/>
    <w:rsid w:val="00117799"/>
    <w:rsid w:val="00117A43"/>
    <w:rsid w:val="00117EC0"/>
    <w:rsid w:val="0012000A"/>
    <w:rsid w:val="00120BAF"/>
    <w:rsid w:val="00120E58"/>
    <w:rsid w:val="00122327"/>
    <w:rsid w:val="001240E7"/>
    <w:rsid w:val="00124B13"/>
    <w:rsid w:val="00125563"/>
    <w:rsid w:val="001330C8"/>
    <w:rsid w:val="00133BB7"/>
    <w:rsid w:val="001353D8"/>
    <w:rsid w:val="001379B0"/>
    <w:rsid w:val="00140C7C"/>
    <w:rsid w:val="001410A2"/>
    <w:rsid w:val="00142788"/>
    <w:rsid w:val="00145303"/>
    <w:rsid w:val="00150A1D"/>
    <w:rsid w:val="0015306A"/>
    <w:rsid w:val="001542C9"/>
    <w:rsid w:val="001557A9"/>
    <w:rsid w:val="00155C6F"/>
    <w:rsid w:val="00161ED4"/>
    <w:rsid w:val="00162013"/>
    <w:rsid w:val="00165BBC"/>
    <w:rsid w:val="00167601"/>
    <w:rsid w:val="00167C85"/>
    <w:rsid w:val="00171003"/>
    <w:rsid w:val="00171473"/>
    <w:rsid w:val="00173D60"/>
    <w:rsid w:val="00174517"/>
    <w:rsid w:val="00174E39"/>
    <w:rsid w:val="001767E3"/>
    <w:rsid w:val="0017729A"/>
    <w:rsid w:val="0018059B"/>
    <w:rsid w:val="0018402A"/>
    <w:rsid w:val="001861A5"/>
    <w:rsid w:val="00190230"/>
    <w:rsid w:val="001925C0"/>
    <w:rsid w:val="00192FC1"/>
    <w:rsid w:val="0019395C"/>
    <w:rsid w:val="00193B8D"/>
    <w:rsid w:val="001954D3"/>
    <w:rsid w:val="00195E16"/>
    <w:rsid w:val="00195FBF"/>
    <w:rsid w:val="00196309"/>
    <w:rsid w:val="00196A1F"/>
    <w:rsid w:val="001A6152"/>
    <w:rsid w:val="001A6162"/>
    <w:rsid w:val="001A6D71"/>
    <w:rsid w:val="001B3CF2"/>
    <w:rsid w:val="001B47BE"/>
    <w:rsid w:val="001B57D1"/>
    <w:rsid w:val="001B6643"/>
    <w:rsid w:val="001C28A6"/>
    <w:rsid w:val="001C50B1"/>
    <w:rsid w:val="001C7A56"/>
    <w:rsid w:val="001D1BB8"/>
    <w:rsid w:val="001D37B9"/>
    <w:rsid w:val="001D5084"/>
    <w:rsid w:val="001D5F11"/>
    <w:rsid w:val="001D6614"/>
    <w:rsid w:val="001D7915"/>
    <w:rsid w:val="001E0F51"/>
    <w:rsid w:val="001E1982"/>
    <w:rsid w:val="001E314D"/>
    <w:rsid w:val="001E4786"/>
    <w:rsid w:val="001E5F09"/>
    <w:rsid w:val="001E6560"/>
    <w:rsid w:val="001F0015"/>
    <w:rsid w:val="001F0468"/>
    <w:rsid w:val="001F0A43"/>
    <w:rsid w:val="001F0E6A"/>
    <w:rsid w:val="001F0E70"/>
    <w:rsid w:val="001F1040"/>
    <w:rsid w:val="001F1221"/>
    <w:rsid w:val="001F524A"/>
    <w:rsid w:val="00200281"/>
    <w:rsid w:val="00201103"/>
    <w:rsid w:val="00202ACD"/>
    <w:rsid w:val="002038D0"/>
    <w:rsid w:val="00203A16"/>
    <w:rsid w:val="00204394"/>
    <w:rsid w:val="00204AAF"/>
    <w:rsid w:val="002108E5"/>
    <w:rsid w:val="0021180B"/>
    <w:rsid w:val="00212DE0"/>
    <w:rsid w:val="0021420D"/>
    <w:rsid w:val="002151C7"/>
    <w:rsid w:val="00220EF4"/>
    <w:rsid w:val="00223EF9"/>
    <w:rsid w:val="00234698"/>
    <w:rsid w:val="00235C83"/>
    <w:rsid w:val="002360D1"/>
    <w:rsid w:val="0023638E"/>
    <w:rsid w:val="00236861"/>
    <w:rsid w:val="00237F38"/>
    <w:rsid w:val="00240A80"/>
    <w:rsid w:val="00240DAA"/>
    <w:rsid w:val="00244090"/>
    <w:rsid w:val="002441E2"/>
    <w:rsid w:val="00246EAC"/>
    <w:rsid w:val="00252515"/>
    <w:rsid w:val="00252C8D"/>
    <w:rsid w:val="0025638C"/>
    <w:rsid w:val="002576BE"/>
    <w:rsid w:val="00257AE5"/>
    <w:rsid w:val="00262A62"/>
    <w:rsid w:val="00263EB6"/>
    <w:rsid w:val="002644DF"/>
    <w:rsid w:val="00266051"/>
    <w:rsid w:val="00270669"/>
    <w:rsid w:val="00270AC3"/>
    <w:rsid w:val="0027157C"/>
    <w:rsid w:val="00272048"/>
    <w:rsid w:val="00273869"/>
    <w:rsid w:val="002744BD"/>
    <w:rsid w:val="002744CF"/>
    <w:rsid w:val="00275BF9"/>
    <w:rsid w:val="00281603"/>
    <w:rsid w:val="00283F94"/>
    <w:rsid w:val="00290B18"/>
    <w:rsid w:val="00291E8F"/>
    <w:rsid w:val="00292639"/>
    <w:rsid w:val="00297C36"/>
    <w:rsid w:val="002A2507"/>
    <w:rsid w:val="002A5D91"/>
    <w:rsid w:val="002A61AB"/>
    <w:rsid w:val="002A627C"/>
    <w:rsid w:val="002B3935"/>
    <w:rsid w:val="002C06ED"/>
    <w:rsid w:val="002C1552"/>
    <w:rsid w:val="002C18DD"/>
    <w:rsid w:val="002C33BE"/>
    <w:rsid w:val="002C534C"/>
    <w:rsid w:val="002C61EF"/>
    <w:rsid w:val="002D02B6"/>
    <w:rsid w:val="002D097E"/>
    <w:rsid w:val="002D0AFB"/>
    <w:rsid w:val="002D18F3"/>
    <w:rsid w:val="002D5579"/>
    <w:rsid w:val="002E098B"/>
    <w:rsid w:val="002E1C55"/>
    <w:rsid w:val="002E23E1"/>
    <w:rsid w:val="002E3219"/>
    <w:rsid w:val="002E5896"/>
    <w:rsid w:val="002E60F6"/>
    <w:rsid w:val="002F25E1"/>
    <w:rsid w:val="002F2973"/>
    <w:rsid w:val="002F4024"/>
    <w:rsid w:val="003002F9"/>
    <w:rsid w:val="003025AC"/>
    <w:rsid w:val="0030262B"/>
    <w:rsid w:val="00302BBC"/>
    <w:rsid w:val="00302C95"/>
    <w:rsid w:val="00303F9D"/>
    <w:rsid w:val="00304C0A"/>
    <w:rsid w:val="003062FC"/>
    <w:rsid w:val="00306BAD"/>
    <w:rsid w:val="00310089"/>
    <w:rsid w:val="00311299"/>
    <w:rsid w:val="003117EA"/>
    <w:rsid w:val="00312180"/>
    <w:rsid w:val="00312B0B"/>
    <w:rsid w:val="00316843"/>
    <w:rsid w:val="0031774B"/>
    <w:rsid w:val="0032082B"/>
    <w:rsid w:val="00322CDA"/>
    <w:rsid w:val="00323283"/>
    <w:rsid w:val="00324253"/>
    <w:rsid w:val="003265E6"/>
    <w:rsid w:val="003276FE"/>
    <w:rsid w:val="00330DC3"/>
    <w:rsid w:val="0033353C"/>
    <w:rsid w:val="00337020"/>
    <w:rsid w:val="003507E8"/>
    <w:rsid w:val="00353AEA"/>
    <w:rsid w:val="003555E2"/>
    <w:rsid w:val="0035570B"/>
    <w:rsid w:val="00355849"/>
    <w:rsid w:val="00360D18"/>
    <w:rsid w:val="00360E5B"/>
    <w:rsid w:val="00361B9E"/>
    <w:rsid w:val="003631FD"/>
    <w:rsid w:val="00363324"/>
    <w:rsid w:val="00367F58"/>
    <w:rsid w:val="0037118B"/>
    <w:rsid w:val="00372B4B"/>
    <w:rsid w:val="00374EEB"/>
    <w:rsid w:val="0037662F"/>
    <w:rsid w:val="00380C67"/>
    <w:rsid w:val="00381A9F"/>
    <w:rsid w:val="00382633"/>
    <w:rsid w:val="003854EF"/>
    <w:rsid w:val="00386019"/>
    <w:rsid w:val="00386E5A"/>
    <w:rsid w:val="00386F2C"/>
    <w:rsid w:val="003914DA"/>
    <w:rsid w:val="00391871"/>
    <w:rsid w:val="003936D1"/>
    <w:rsid w:val="00393C4B"/>
    <w:rsid w:val="003956A3"/>
    <w:rsid w:val="00396EFB"/>
    <w:rsid w:val="003970CD"/>
    <w:rsid w:val="003975A5"/>
    <w:rsid w:val="003A03D9"/>
    <w:rsid w:val="003A6164"/>
    <w:rsid w:val="003A718D"/>
    <w:rsid w:val="003A7F72"/>
    <w:rsid w:val="003B2662"/>
    <w:rsid w:val="003B2C77"/>
    <w:rsid w:val="003B4237"/>
    <w:rsid w:val="003B6D12"/>
    <w:rsid w:val="003B6FF0"/>
    <w:rsid w:val="003C0695"/>
    <w:rsid w:val="003C1E06"/>
    <w:rsid w:val="003C31C6"/>
    <w:rsid w:val="003C4A95"/>
    <w:rsid w:val="003C4F4E"/>
    <w:rsid w:val="003C622A"/>
    <w:rsid w:val="003C7E46"/>
    <w:rsid w:val="003D07CA"/>
    <w:rsid w:val="003D19EF"/>
    <w:rsid w:val="003D3A4D"/>
    <w:rsid w:val="003D43C5"/>
    <w:rsid w:val="003D59F7"/>
    <w:rsid w:val="003E0CF1"/>
    <w:rsid w:val="003F0F40"/>
    <w:rsid w:val="003F25AD"/>
    <w:rsid w:val="003F3065"/>
    <w:rsid w:val="003F6892"/>
    <w:rsid w:val="00400348"/>
    <w:rsid w:val="004004A3"/>
    <w:rsid w:val="00401C3E"/>
    <w:rsid w:val="00403618"/>
    <w:rsid w:val="004040A2"/>
    <w:rsid w:val="00405E42"/>
    <w:rsid w:val="00406D35"/>
    <w:rsid w:val="00410220"/>
    <w:rsid w:val="00412276"/>
    <w:rsid w:val="004125B0"/>
    <w:rsid w:val="0041444D"/>
    <w:rsid w:val="00415B61"/>
    <w:rsid w:val="00415C77"/>
    <w:rsid w:val="00416708"/>
    <w:rsid w:val="00417D52"/>
    <w:rsid w:val="004203B4"/>
    <w:rsid w:val="004220D2"/>
    <w:rsid w:val="004224CB"/>
    <w:rsid w:val="00423209"/>
    <w:rsid w:val="00423FD5"/>
    <w:rsid w:val="00425430"/>
    <w:rsid w:val="00425AAB"/>
    <w:rsid w:val="00425EA4"/>
    <w:rsid w:val="00426DB5"/>
    <w:rsid w:val="00430921"/>
    <w:rsid w:val="0043223A"/>
    <w:rsid w:val="004328DB"/>
    <w:rsid w:val="00433201"/>
    <w:rsid w:val="004341A1"/>
    <w:rsid w:val="00436E0A"/>
    <w:rsid w:val="00441C10"/>
    <w:rsid w:val="00450117"/>
    <w:rsid w:val="00453405"/>
    <w:rsid w:val="00455887"/>
    <w:rsid w:val="004558C2"/>
    <w:rsid w:val="00456786"/>
    <w:rsid w:val="0046046B"/>
    <w:rsid w:val="00463791"/>
    <w:rsid w:val="00467447"/>
    <w:rsid w:val="004677B9"/>
    <w:rsid w:val="00476268"/>
    <w:rsid w:val="00481630"/>
    <w:rsid w:val="004829C9"/>
    <w:rsid w:val="0048390B"/>
    <w:rsid w:val="0048414F"/>
    <w:rsid w:val="00486D20"/>
    <w:rsid w:val="00493381"/>
    <w:rsid w:val="004943DE"/>
    <w:rsid w:val="00495F31"/>
    <w:rsid w:val="004977A2"/>
    <w:rsid w:val="004979EB"/>
    <w:rsid w:val="004A115A"/>
    <w:rsid w:val="004A1E24"/>
    <w:rsid w:val="004A242D"/>
    <w:rsid w:val="004A2C7F"/>
    <w:rsid w:val="004A59CF"/>
    <w:rsid w:val="004B1333"/>
    <w:rsid w:val="004B2B69"/>
    <w:rsid w:val="004B5FCD"/>
    <w:rsid w:val="004B68DF"/>
    <w:rsid w:val="004B707F"/>
    <w:rsid w:val="004B7215"/>
    <w:rsid w:val="004B78A0"/>
    <w:rsid w:val="004C0B01"/>
    <w:rsid w:val="004C231E"/>
    <w:rsid w:val="004C393E"/>
    <w:rsid w:val="004C517A"/>
    <w:rsid w:val="004C71B9"/>
    <w:rsid w:val="004D112C"/>
    <w:rsid w:val="004D1C2E"/>
    <w:rsid w:val="004D4425"/>
    <w:rsid w:val="004E0E8F"/>
    <w:rsid w:val="004E3810"/>
    <w:rsid w:val="004E4441"/>
    <w:rsid w:val="004E6CC2"/>
    <w:rsid w:val="004F0B6C"/>
    <w:rsid w:val="004F1EC3"/>
    <w:rsid w:val="004F3718"/>
    <w:rsid w:val="004F4748"/>
    <w:rsid w:val="004F4895"/>
    <w:rsid w:val="004F6095"/>
    <w:rsid w:val="004F62C1"/>
    <w:rsid w:val="00500AB0"/>
    <w:rsid w:val="00503A87"/>
    <w:rsid w:val="00504D73"/>
    <w:rsid w:val="0050523A"/>
    <w:rsid w:val="005069D9"/>
    <w:rsid w:val="0051212E"/>
    <w:rsid w:val="00513D5D"/>
    <w:rsid w:val="005143E7"/>
    <w:rsid w:val="0052147F"/>
    <w:rsid w:val="00527A1D"/>
    <w:rsid w:val="005303D7"/>
    <w:rsid w:val="00533647"/>
    <w:rsid w:val="0053439F"/>
    <w:rsid w:val="00534BD4"/>
    <w:rsid w:val="00535088"/>
    <w:rsid w:val="00540FD3"/>
    <w:rsid w:val="005449E4"/>
    <w:rsid w:val="00552682"/>
    <w:rsid w:val="005537FD"/>
    <w:rsid w:val="00555428"/>
    <w:rsid w:val="005559DD"/>
    <w:rsid w:val="0056206B"/>
    <w:rsid w:val="0056329B"/>
    <w:rsid w:val="00566869"/>
    <w:rsid w:val="005708A0"/>
    <w:rsid w:val="00570C6B"/>
    <w:rsid w:val="005720FC"/>
    <w:rsid w:val="005722CE"/>
    <w:rsid w:val="00572D52"/>
    <w:rsid w:val="0057623A"/>
    <w:rsid w:val="00576D0B"/>
    <w:rsid w:val="00577798"/>
    <w:rsid w:val="005817E2"/>
    <w:rsid w:val="0058346C"/>
    <w:rsid w:val="00587B49"/>
    <w:rsid w:val="00590430"/>
    <w:rsid w:val="00591672"/>
    <w:rsid w:val="005919F0"/>
    <w:rsid w:val="00591C04"/>
    <w:rsid w:val="00593076"/>
    <w:rsid w:val="005937C7"/>
    <w:rsid w:val="0059473C"/>
    <w:rsid w:val="005956E8"/>
    <w:rsid w:val="005A0786"/>
    <w:rsid w:val="005A14B9"/>
    <w:rsid w:val="005A4103"/>
    <w:rsid w:val="005A50F4"/>
    <w:rsid w:val="005A5A00"/>
    <w:rsid w:val="005A5AD5"/>
    <w:rsid w:val="005B0214"/>
    <w:rsid w:val="005B084C"/>
    <w:rsid w:val="005B1C5B"/>
    <w:rsid w:val="005B1E21"/>
    <w:rsid w:val="005B5BED"/>
    <w:rsid w:val="005B5C30"/>
    <w:rsid w:val="005B5D4D"/>
    <w:rsid w:val="005C035F"/>
    <w:rsid w:val="005C19C2"/>
    <w:rsid w:val="005C670C"/>
    <w:rsid w:val="005D0544"/>
    <w:rsid w:val="005D1FCC"/>
    <w:rsid w:val="005D6260"/>
    <w:rsid w:val="005D6B5A"/>
    <w:rsid w:val="005D7B31"/>
    <w:rsid w:val="005E1E2D"/>
    <w:rsid w:val="005E2194"/>
    <w:rsid w:val="005E322E"/>
    <w:rsid w:val="005E5879"/>
    <w:rsid w:val="005F071D"/>
    <w:rsid w:val="005F149B"/>
    <w:rsid w:val="005F18E9"/>
    <w:rsid w:val="005F1C75"/>
    <w:rsid w:val="005F1D30"/>
    <w:rsid w:val="005F362E"/>
    <w:rsid w:val="005F648E"/>
    <w:rsid w:val="005F6E3E"/>
    <w:rsid w:val="006004B3"/>
    <w:rsid w:val="00601BDA"/>
    <w:rsid w:val="00603DB7"/>
    <w:rsid w:val="006055AF"/>
    <w:rsid w:val="00607B07"/>
    <w:rsid w:val="00610196"/>
    <w:rsid w:val="006142C2"/>
    <w:rsid w:val="00615106"/>
    <w:rsid w:val="006177A1"/>
    <w:rsid w:val="006205C7"/>
    <w:rsid w:val="00621718"/>
    <w:rsid w:val="0062285B"/>
    <w:rsid w:val="00625965"/>
    <w:rsid w:val="00633BFB"/>
    <w:rsid w:val="006348D3"/>
    <w:rsid w:val="00635943"/>
    <w:rsid w:val="00637DD8"/>
    <w:rsid w:val="006422A0"/>
    <w:rsid w:val="006429EA"/>
    <w:rsid w:val="00645F8E"/>
    <w:rsid w:val="0065176E"/>
    <w:rsid w:val="00651D02"/>
    <w:rsid w:val="006535AC"/>
    <w:rsid w:val="00654565"/>
    <w:rsid w:val="0065524F"/>
    <w:rsid w:val="006554A4"/>
    <w:rsid w:val="006559DE"/>
    <w:rsid w:val="0066188D"/>
    <w:rsid w:val="00664EE1"/>
    <w:rsid w:val="00670D16"/>
    <w:rsid w:val="00673376"/>
    <w:rsid w:val="0067356F"/>
    <w:rsid w:val="006737DC"/>
    <w:rsid w:val="00673CB0"/>
    <w:rsid w:val="00674DCA"/>
    <w:rsid w:val="00675DB6"/>
    <w:rsid w:val="00675F4D"/>
    <w:rsid w:val="006763F9"/>
    <w:rsid w:val="006809E3"/>
    <w:rsid w:val="00681DBD"/>
    <w:rsid w:val="00684F97"/>
    <w:rsid w:val="00685BB3"/>
    <w:rsid w:val="006874AF"/>
    <w:rsid w:val="00690598"/>
    <w:rsid w:val="00692395"/>
    <w:rsid w:val="006948C7"/>
    <w:rsid w:val="00694C58"/>
    <w:rsid w:val="006A003E"/>
    <w:rsid w:val="006A0E2F"/>
    <w:rsid w:val="006A46FC"/>
    <w:rsid w:val="006A75E3"/>
    <w:rsid w:val="006A7E07"/>
    <w:rsid w:val="006B03CB"/>
    <w:rsid w:val="006B094F"/>
    <w:rsid w:val="006B21B8"/>
    <w:rsid w:val="006B2D9B"/>
    <w:rsid w:val="006B2F57"/>
    <w:rsid w:val="006B48C5"/>
    <w:rsid w:val="006B51FA"/>
    <w:rsid w:val="006C2392"/>
    <w:rsid w:val="006C5EF2"/>
    <w:rsid w:val="006D0681"/>
    <w:rsid w:val="006D18D8"/>
    <w:rsid w:val="006D1C5B"/>
    <w:rsid w:val="006D20AF"/>
    <w:rsid w:val="006D3A7F"/>
    <w:rsid w:val="006D3B4E"/>
    <w:rsid w:val="006D4A78"/>
    <w:rsid w:val="006D4BEA"/>
    <w:rsid w:val="006D561A"/>
    <w:rsid w:val="006D6C3C"/>
    <w:rsid w:val="006D728B"/>
    <w:rsid w:val="006D761C"/>
    <w:rsid w:val="006E0B24"/>
    <w:rsid w:val="006E0D45"/>
    <w:rsid w:val="006E5C75"/>
    <w:rsid w:val="006E743E"/>
    <w:rsid w:val="006F0A32"/>
    <w:rsid w:val="006F128E"/>
    <w:rsid w:val="006F1587"/>
    <w:rsid w:val="006F17F3"/>
    <w:rsid w:val="006F23B8"/>
    <w:rsid w:val="006F2CB9"/>
    <w:rsid w:val="006F39E0"/>
    <w:rsid w:val="006F4192"/>
    <w:rsid w:val="006F7356"/>
    <w:rsid w:val="00702F49"/>
    <w:rsid w:val="0070736A"/>
    <w:rsid w:val="00707B4E"/>
    <w:rsid w:val="00710DC1"/>
    <w:rsid w:val="00711C81"/>
    <w:rsid w:val="0071449A"/>
    <w:rsid w:val="00714F69"/>
    <w:rsid w:val="00715154"/>
    <w:rsid w:val="00715E5A"/>
    <w:rsid w:val="00716D02"/>
    <w:rsid w:val="007177D0"/>
    <w:rsid w:val="00717878"/>
    <w:rsid w:val="007221CE"/>
    <w:rsid w:val="0072272B"/>
    <w:rsid w:val="007235FB"/>
    <w:rsid w:val="007266AA"/>
    <w:rsid w:val="00727442"/>
    <w:rsid w:val="00731433"/>
    <w:rsid w:val="00736E5F"/>
    <w:rsid w:val="0074669C"/>
    <w:rsid w:val="00750C87"/>
    <w:rsid w:val="0075258C"/>
    <w:rsid w:val="007550FB"/>
    <w:rsid w:val="00757B3A"/>
    <w:rsid w:val="00757F09"/>
    <w:rsid w:val="0076155C"/>
    <w:rsid w:val="00763895"/>
    <w:rsid w:val="0076427E"/>
    <w:rsid w:val="0076484F"/>
    <w:rsid w:val="00767FA2"/>
    <w:rsid w:val="0077113E"/>
    <w:rsid w:val="0077755A"/>
    <w:rsid w:val="00781A9A"/>
    <w:rsid w:val="00781BDC"/>
    <w:rsid w:val="00782CD4"/>
    <w:rsid w:val="007851B6"/>
    <w:rsid w:val="00786FDF"/>
    <w:rsid w:val="00791844"/>
    <w:rsid w:val="00794DD2"/>
    <w:rsid w:val="007973C1"/>
    <w:rsid w:val="00797914"/>
    <w:rsid w:val="00797E89"/>
    <w:rsid w:val="007A2981"/>
    <w:rsid w:val="007A3547"/>
    <w:rsid w:val="007A4B0A"/>
    <w:rsid w:val="007A4B53"/>
    <w:rsid w:val="007A6062"/>
    <w:rsid w:val="007A6AB9"/>
    <w:rsid w:val="007B010F"/>
    <w:rsid w:val="007B1FD1"/>
    <w:rsid w:val="007B2AA2"/>
    <w:rsid w:val="007B2B61"/>
    <w:rsid w:val="007B4EBD"/>
    <w:rsid w:val="007B530E"/>
    <w:rsid w:val="007B61FB"/>
    <w:rsid w:val="007B6E12"/>
    <w:rsid w:val="007C0759"/>
    <w:rsid w:val="007C3EC5"/>
    <w:rsid w:val="007C4346"/>
    <w:rsid w:val="007C49F2"/>
    <w:rsid w:val="007C50F3"/>
    <w:rsid w:val="007D09BD"/>
    <w:rsid w:val="007D179B"/>
    <w:rsid w:val="007D3539"/>
    <w:rsid w:val="007D3973"/>
    <w:rsid w:val="007D4081"/>
    <w:rsid w:val="007D7861"/>
    <w:rsid w:val="007E0493"/>
    <w:rsid w:val="007E16DB"/>
    <w:rsid w:val="007E1B93"/>
    <w:rsid w:val="007E2000"/>
    <w:rsid w:val="007E3CDC"/>
    <w:rsid w:val="007E6044"/>
    <w:rsid w:val="007E661A"/>
    <w:rsid w:val="007E7EA0"/>
    <w:rsid w:val="007F0281"/>
    <w:rsid w:val="007F0283"/>
    <w:rsid w:val="007F0401"/>
    <w:rsid w:val="007F1DCA"/>
    <w:rsid w:val="007F26FC"/>
    <w:rsid w:val="007F34BD"/>
    <w:rsid w:val="007F3B2D"/>
    <w:rsid w:val="007F3C93"/>
    <w:rsid w:val="007F5293"/>
    <w:rsid w:val="007F66CA"/>
    <w:rsid w:val="008009BD"/>
    <w:rsid w:val="00801E8C"/>
    <w:rsid w:val="00802528"/>
    <w:rsid w:val="00802B4C"/>
    <w:rsid w:val="00804D18"/>
    <w:rsid w:val="0080515C"/>
    <w:rsid w:val="00806DD5"/>
    <w:rsid w:val="00810114"/>
    <w:rsid w:val="00810A94"/>
    <w:rsid w:val="00810C82"/>
    <w:rsid w:val="008117FC"/>
    <w:rsid w:val="008145CE"/>
    <w:rsid w:val="00815E93"/>
    <w:rsid w:val="00816028"/>
    <w:rsid w:val="00821C67"/>
    <w:rsid w:val="00822A0F"/>
    <w:rsid w:val="00824D41"/>
    <w:rsid w:val="008257DB"/>
    <w:rsid w:val="00831D7B"/>
    <w:rsid w:val="008344DC"/>
    <w:rsid w:val="008346C1"/>
    <w:rsid w:val="0083480D"/>
    <w:rsid w:val="00836C92"/>
    <w:rsid w:val="0084237E"/>
    <w:rsid w:val="008461C1"/>
    <w:rsid w:val="00847FB1"/>
    <w:rsid w:val="00852353"/>
    <w:rsid w:val="00854594"/>
    <w:rsid w:val="008551EF"/>
    <w:rsid w:val="00856CCB"/>
    <w:rsid w:val="00856E75"/>
    <w:rsid w:val="008572E8"/>
    <w:rsid w:val="00857DF6"/>
    <w:rsid w:val="00857E54"/>
    <w:rsid w:val="00860400"/>
    <w:rsid w:val="00861543"/>
    <w:rsid w:val="00866621"/>
    <w:rsid w:val="00870FA5"/>
    <w:rsid w:val="008719A4"/>
    <w:rsid w:val="00875696"/>
    <w:rsid w:val="00885488"/>
    <w:rsid w:val="00885C56"/>
    <w:rsid w:val="00886F36"/>
    <w:rsid w:val="008874D1"/>
    <w:rsid w:val="008903C3"/>
    <w:rsid w:val="00891028"/>
    <w:rsid w:val="008927C3"/>
    <w:rsid w:val="008948A1"/>
    <w:rsid w:val="00894CF9"/>
    <w:rsid w:val="00897C12"/>
    <w:rsid w:val="008A1B09"/>
    <w:rsid w:val="008A2C46"/>
    <w:rsid w:val="008A32C8"/>
    <w:rsid w:val="008A5D4D"/>
    <w:rsid w:val="008A652F"/>
    <w:rsid w:val="008B4173"/>
    <w:rsid w:val="008B54C2"/>
    <w:rsid w:val="008B56BA"/>
    <w:rsid w:val="008B5B66"/>
    <w:rsid w:val="008B637A"/>
    <w:rsid w:val="008B6A23"/>
    <w:rsid w:val="008B7676"/>
    <w:rsid w:val="008C0AE1"/>
    <w:rsid w:val="008C134D"/>
    <w:rsid w:val="008C4B41"/>
    <w:rsid w:val="008D0A0B"/>
    <w:rsid w:val="008D0F71"/>
    <w:rsid w:val="008D6724"/>
    <w:rsid w:val="008D7396"/>
    <w:rsid w:val="008E1E6D"/>
    <w:rsid w:val="008E1FE9"/>
    <w:rsid w:val="008E2549"/>
    <w:rsid w:val="008E400C"/>
    <w:rsid w:val="008E44EE"/>
    <w:rsid w:val="008E6DE2"/>
    <w:rsid w:val="008E6FD8"/>
    <w:rsid w:val="008E7F36"/>
    <w:rsid w:val="008F1C82"/>
    <w:rsid w:val="008F24E6"/>
    <w:rsid w:val="008F3E33"/>
    <w:rsid w:val="008F53DB"/>
    <w:rsid w:val="008F6929"/>
    <w:rsid w:val="008F6C87"/>
    <w:rsid w:val="008F7C2B"/>
    <w:rsid w:val="00901478"/>
    <w:rsid w:val="00902BA2"/>
    <w:rsid w:val="00903DF7"/>
    <w:rsid w:val="00904CFE"/>
    <w:rsid w:val="009123CE"/>
    <w:rsid w:val="00912414"/>
    <w:rsid w:val="0091600F"/>
    <w:rsid w:val="00921B12"/>
    <w:rsid w:val="0092378E"/>
    <w:rsid w:val="00924B43"/>
    <w:rsid w:val="009255F0"/>
    <w:rsid w:val="00926304"/>
    <w:rsid w:val="00931808"/>
    <w:rsid w:val="00934522"/>
    <w:rsid w:val="009410D7"/>
    <w:rsid w:val="0094142D"/>
    <w:rsid w:val="00941D2A"/>
    <w:rsid w:val="00942424"/>
    <w:rsid w:val="00942571"/>
    <w:rsid w:val="00951134"/>
    <w:rsid w:val="00954E2D"/>
    <w:rsid w:val="00957FC7"/>
    <w:rsid w:val="009600C5"/>
    <w:rsid w:val="00966158"/>
    <w:rsid w:val="00967594"/>
    <w:rsid w:val="00967CEB"/>
    <w:rsid w:val="00971458"/>
    <w:rsid w:val="00971AC0"/>
    <w:rsid w:val="009744CD"/>
    <w:rsid w:val="009746CD"/>
    <w:rsid w:val="00975ADE"/>
    <w:rsid w:val="0098279B"/>
    <w:rsid w:val="00985720"/>
    <w:rsid w:val="00985E3C"/>
    <w:rsid w:val="009879F7"/>
    <w:rsid w:val="00993377"/>
    <w:rsid w:val="009A05DB"/>
    <w:rsid w:val="009A308D"/>
    <w:rsid w:val="009A4AD7"/>
    <w:rsid w:val="009A4C9C"/>
    <w:rsid w:val="009A645F"/>
    <w:rsid w:val="009A66C3"/>
    <w:rsid w:val="009B3466"/>
    <w:rsid w:val="009B534E"/>
    <w:rsid w:val="009C1FCA"/>
    <w:rsid w:val="009C3E8F"/>
    <w:rsid w:val="009C550F"/>
    <w:rsid w:val="009C641F"/>
    <w:rsid w:val="009D0765"/>
    <w:rsid w:val="009D222B"/>
    <w:rsid w:val="009D267F"/>
    <w:rsid w:val="009D49F1"/>
    <w:rsid w:val="009D725A"/>
    <w:rsid w:val="009D759F"/>
    <w:rsid w:val="009D798D"/>
    <w:rsid w:val="009E0AD9"/>
    <w:rsid w:val="009E0D7A"/>
    <w:rsid w:val="009E27E6"/>
    <w:rsid w:val="009E2B3C"/>
    <w:rsid w:val="009E3206"/>
    <w:rsid w:val="009E4CC3"/>
    <w:rsid w:val="009E76FB"/>
    <w:rsid w:val="009F0B87"/>
    <w:rsid w:val="009F250F"/>
    <w:rsid w:val="009F3A3E"/>
    <w:rsid w:val="009F5BE1"/>
    <w:rsid w:val="009F6679"/>
    <w:rsid w:val="00A02BEC"/>
    <w:rsid w:val="00A03563"/>
    <w:rsid w:val="00A0440F"/>
    <w:rsid w:val="00A05D6E"/>
    <w:rsid w:val="00A06189"/>
    <w:rsid w:val="00A122BF"/>
    <w:rsid w:val="00A12CE4"/>
    <w:rsid w:val="00A135C6"/>
    <w:rsid w:val="00A13CC9"/>
    <w:rsid w:val="00A15AD4"/>
    <w:rsid w:val="00A17C62"/>
    <w:rsid w:val="00A20278"/>
    <w:rsid w:val="00A205F8"/>
    <w:rsid w:val="00A24C80"/>
    <w:rsid w:val="00A25B44"/>
    <w:rsid w:val="00A25CBD"/>
    <w:rsid w:val="00A31C0E"/>
    <w:rsid w:val="00A3450A"/>
    <w:rsid w:val="00A4066C"/>
    <w:rsid w:val="00A42238"/>
    <w:rsid w:val="00A422D4"/>
    <w:rsid w:val="00A459D0"/>
    <w:rsid w:val="00A4625D"/>
    <w:rsid w:val="00A4778D"/>
    <w:rsid w:val="00A4790D"/>
    <w:rsid w:val="00A53BD8"/>
    <w:rsid w:val="00A53C46"/>
    <w:rsid w:val="00A53FD9"/>
    <w:rsid w:val="00A56D3D"/>
    <w:rsid w:val="00A6076B"/>
    <w:rsid w:val="00A65946"/>
    <w:rsid w:val="00A701D4"/>
    <w:rsid w:val="00A73F27"/>
    <w:rsid w:val="00A74AB0"/>
    <w:rsid w:val="00A76D69"/>
    <w:rsid w:val="00A800FD"/>
    <w:rsid w:val="00A818D1"/>
    <w:rsid w:val="00A83919"/>
    <w:rsid w:val="00A83ABD"/>
    <w:rsid w:val="00A86CB9"/>
    <w:rsid w:val="00A87123"/>
    <w:rsid w:val="00A90002"/>
    <w:rsid w:val="00A900F9"/>
    <w:rsid w:val="00A90B7E"/>
    <w:rsid w:val="00A90BC4"/>
    <w:rsid w:val="00AA2CFB"/>
    <w:rsid w:val="00AA2D30"/>
    <w:rsid w:val="00AA3F2E"/>
    <w:rsid w:val="00AA5FD8"/>
    <w:rsid w:val="00AA6CD4"/>
    <w:rsid w:val="00AA7327"/>
    <w:rsid w:val="00AB0761"/>
    <w:rsid w:val="00AB342A"/>
    <w:rsid w:val="00AB38D5"/>
    <w:rsid w:val="00AB799C"/>
    <w:rsid w:val="00AC0E9C"/>
    <w:rsid w:val="00AC1A42"/>
    <w:rsid w:val="00AC49D6"/>
    <w:rsid w:val="00AC57E0"/>
    <w:rsid w:val="00AC7351"/>
    <w:rsid w:val="00AD1D59"/>
    <w:rsid w:val="00AD291A"/>
    <w:rsid w:val="00AD2DAA"/>
    <w:rsid w:val="00AD4D20"/>
    <w:rsid w:val="00AE2407"/>
    <w:rsid w:val="00AE3CFB"/>
    <w:rsid w:val="00AE6001"/>
    <w:rsid w:val="00AF15B9"/>
    <w:rsid w:val="00AF339E"/>
    <w:rsid w:val="00AF4CEC"/>
    <w:rsid w:val="00B03E7B"/>
    <w:rsid w:val="00B07BB1"/>
    <w:rsid w:val="00B16B4E"/>
    <w:rsid w:val="00B20BA9"/>
    <w:rsid w:val="00B23B4A"/>
    <w:rsid w:val="00B25A00"/>
    <w:rsid w:val="00B25DFB"/>
    <w:rsid w:val="00B2699A"/>
    <w:rsid w:val="00B27519"/>
    <w:rsid w:val="00B30CA6"/>
    <w:rsid w:val="00B33320"/>
    <w:rsid w:val="00B40228"/>
    <w:rsid w:val="00B40B55"/>
    <w:rsid w:val="00B41B04"/>
    <w:rsid w:val="00B41B86"/>
    <w:rsid w:val="00B43976"/>
    <w:rsid w:val="00B455D0"/>
    <w:rsid w:val="00B45783"/>
    <w:rsid w:val="00B463C9"/>
    <w:rsid w:val="00B510B3"/>
    <w:rsid w:val="00B52314"/>
    <w:rsid w:val="00B567A4"/>
    <w:rsid w:val="00B56DB4"/>
    <w:rsid w:val="00B64E7D"/>
    <w:rsid w:val="00B6525F"/>
    <w:rsid w:val="00B657A7"/>
    <w:rsid w:val="00B658E7"/>
    <w:rsid w:val="00B67A6B"/>
    <w:rsid w:val="00B700B6"/>
    <w:rsid w:val="00B71459"/>
    <w:rsid w:val="00B73DD9"/>
    <w:rsid w:val="00B7446C"/>
    <w:rsid w:val="00B76D53"/>
    <w:rsid w:val="00B80117"/>
    <w:rsid w:val="00B85B52"/>
    <w:rsid w:val="00B86497"/>
    <w:rsid w:val="00B87412"/>
    <w:rsid w:val="00B9445A"/>
    <w:rsid w:val="00B96F99"/>
    <w:rsid w:val="00BA05E6"/>
    <w:rsid w:val="00BA114A"/>
    <w:rsid w:val="00BA274B"/>
    <w:rsid w:val="00BA2B9B"/>
    <w:rsid w:val="00BA34C5"/>
    <w:rsid w:val="00BA37E9"/>
    <w:rsid w:val="00BA45E2"/>
    <w:rsid w:val="00BA5CF4"/>
    <w:rsid w:val="00BA7072"/>
    <w:rsid w:val="00BA7712"/>
    <w:rsid w:val="00BA7A3D"/>
    <w:rsid w:val="00BB269A"/>
    <w:rsid w:val="00BB3101"/>
    <w:rsid w:val="00BB33FA"/>
    <w:rsid w:val="00BB46BF"/>
    <w:rsid w:val="00BB59AD"/>
    <w:rsid w:val="00BB5BD1"/>
    <w:rsid w:val="00BC24E2"/>
    <w:rsid w:val="00BC3BE3"/>
    <w:rsid w:val="00BC5DBA"/>
    <w:rsid w:val="00BC6544"/>
    <w:rsid w:val="00BC7F12"/>
    <w:rsid w:val="00BD13DC"/>
    <w:rsid w:val="00BD3290"/>
    <w:rsid w:val="00BD542A"/>
    <w:rsid w:val="00BD744F"/>
    <w:rsid w:val="00BE1A24"/>
    <w:rsid w:val="00BE226E"/>
    <w:rsid w:val="00BE2424"/>
    <w:rsid w:val="00BE2C6C"/>
    <w:rsid w:val="00BE3F7F"/>
    <w:rsid w:val="00BE7BCE"/>
    <w:rsid w:val="00BF0004"/>
    <w:rsid w:val="00BF07EF"/>
    <w:rsid w:val="00BF27BB"/>
    <w:rsid w:val="00BF3284"/>
    <w:rsid w:val="00BF3ACF"/>
    <w:rsid w:val="00BF3C76"/>
    <w:rsid w:val="00BF4107"/>
    <w:rsid w:val="00BF689A"/>
    <w:rsid w:val="00BF7743"/>
    <w:rsid w:val="00C000CF"/>
    <w:rsid w:val="00C01156"/>
    <w:rsid w:val="00C02511"/>
    <w:rsid w:val="00C036C8"/>
    <w:rsid w:val="00C05AED"/>
    <w:rsid w:val="00C108B5"/>
    <w:rsid w:val="00C10B2A"/>
    <w:rsid w:val="00C1168E"/>
    <w:rsid w:val="00C12688"/>
    <w:rsid w:val="00C1350F"/>
    <w:rsid w:val="00C15901"/>
    <w:rsid w:val="00C205F6"/>
    <w:rsid w:val="00C22047"/>
    <w:rsid w:val="00C2219D"/>
    <w:rsid w:val="00C227EB"/>
    <w:rsid w:val="00C24769"/>
    <w:rsid w:val="00C24B44"/>
    <w:rsid w:val="00C27887"/>
    <w:rsid w:val="00C30C01"/>
    <w:rsid w:val="00C33B32"/>
    <w:rsid w:val="00C362C9"/>
    <w:rsid w:val="00C3631E"/>
    <w:rsid w:val="00C4055E"/>
    <w:rsid w:val="00C42D85"/>
    <w:rsid w:val="00C444F4"/>
    <w:rsid w:val="00C449F6"/>
    <w:rsid w:val="00C468D7"/>
    <w:rsid w:val="00C46AC5"/>
    <w:rsid w:val="00C46B8A"/>
    <w:rsid w:val="00C503B2"/>
    <w:rsid w:val="00C50C8B"/>
    <w:rsid w:val="00C51774"/>
    <w:rsid w:val="00C5293F"/>
    <w:rsid w:val="00C529AC"/>
    <w:rsid w:val="00C54E2E"/>
    <w:rsid w:val="00C559D8"/>
    <w:rsid w:val="00C57989"/>
    <w:rsid w:val="00C60C32"/>
    <w:rsid w:val="00C63FFA"/>
    <w:rsid w:val="00C64323"/>
    <w:rsid w:val="00C6656B"/>
    <w:rsid w:val="00C67CA0"/>
    <w:rsid w:val="00C72CAA"/>
    <w:rsid w:val="00C7332C"/>
    <w:rsid w:val="00C73A34"/>
    <w:rsid w:val="00C75FC5"/>
    <w:rsid w:val="00C80214"/>
    <w:rsid w:val="00C806B4"/>
    <w:rsid w:val="00C83340"/>
    <w:rsid w:val="00C83D03"/>
    <w:rsid w:val="00C87C02"/>
    <w:rsid w:val="00C87F06"/>
    <w:rsid w:val="00C92E88"/>
    <w:rsid w:val="00C9345C"/>
    <w:rsid w:val="00C9513E"/>
    <w:rsid w:val="00C9523D"/>
    <w:rsid w:val="00CA09D2"/>
    <w:rsid w:val="00CA3695"/>
    <w:rsid w:val="00CA5796"/>
    <w:rsid w:val="00CA64C8"/>
    <w:rsid w:val="00CA6AC3"/>
    <w:rsid w:val="00CB0177"/>
    <w:rsid w:val="00CB07F4"/>
    <w:rsid w:val="00CB13BD"/>
    <w:rsid w:val="00CB2794"/>
    <w:rsid w:val="00CB43A6"/>
    <w:rsid w:val="00CB7AFD"/>
    <w:rsid w:val="00CC2E94"/>
    <w:rsid w:val="00CC42A2"/>
    <w:rsid w:val="00CC45F2"/>
    <w:rsid w:val="00CC5AB4"/>
    <w:rsid w:val="00CC63DF"/>
    <w:rsid w:val="00CD18E8"/>
    <w:rsid w:val="00CD23D6"/>
    <w:rsid w:val="00CD3070"/>
    <w:rsid w:val="00CE0487"/>
    <w:rsid w:val="00CE1156"/>
    <w:rsid w:val="00CE5BC2"/>
    <w:rsid w:val="00CF378B"/>
    <w:rsid w:val="00CF3C6A"/>
    <w:rsid w:val="00CF429A"/>
    <w:rsid w:val="00CF463D"/>
    <w:rsid w:val="00D03AED"/>
    <w:rsid w:val="00D05314"/>
    <w:rsid w:val="00D07F25"/>
    <w:rsid w:val="00D142F9"/>
    <w:rsid w:val="00D16C4A"/>
    <w:rsid w:val="00D22BD5"/>
    <w:rsid w:val="00D22E83"/>
    <w:rsid w:val="00D23EDF"/>
    <w:rsid w:val="00D27A89"/>
    <w:rsid w:val="00D32D4D"/>
    <w:rsid w:val="00D330F5"/>
    <w:rsid w:val="00D3460E"/>
    <w:rsid w:val="00D34736"/>
    <w:rsid w:val="00D34D9E"/>
    <w:rsid w:val="00D35D49"/>
    <w:rsid w:val="00D420B7"/>
    <w:rsid w:val="00D470D2"/>
    <w:rsid w:val="00D47D68"/>
    <w:rsid w:val="00D50160"/>
    <w:rsid w:val="00D50AC1"/>
    <w:rsid w:val="00D53223"/>
    <w:rsid w:val="00D55D91"/>
    <w:rsid w:val="00D56C01"/>
    <w:rsid w:val="00D577B9"/>
    <w:rsid w:val="00D57871"/>
    <w:rsid w:val="00D62A1F"/>
    <w:rsid w:val="00D66D0E"/>
    <w:rsid w:val="00D67C85"/>
    <w:rsid w:val="00D72BFC"/>
    <w:rsid w:val="00D74B15"/>
    <w:rsid w:val="00D74EBE"/>
    <w:rsid w:val="00D75098"/>
    <w:rsid w:val="00D800B2"/>
    <w:rsid w:val="00D83E01"/>
    <w:rsid w:val="00D86155"/>
    <w:rsid w:val="00D879C3"/>
    <w:rsid w:val="00D92DE1"/>
    <w:rsid w:val="00D94179"/>
    <w:rsid w:val="00D94D0F"/>
    <w:rsid w:val="00D94E4D"/>
    <w:rsid w:val="00D9736A"/>
    <w:rsid w:val="00DA0573"/>
    <w:rsid w:val="00DA0B4E"/>
    <w:rsid w:val="00DA1936"/>
    <w:rsid w:val="00DA2B19"/>
    <w:rsid w:val="00DA2CBA"/>
    <w:rsid w:val="00DA313B"/>
    <w:rsid w:val="00DA4DDC"/>
    <w:rsid w:val="00DA60CD"/>
    <w:rsid w:val="00DA6BA5"/>
    <w:rsid w:val="00DB0FAA"/>
    <w:rsid w:val="00DB15DE"/>
    <w:rsid w:val="00DB2440"/>
    <w:rsid w:val="00DB2578"/>
    <w:rsid w:val="00DB26E7"/>
    <w:rsid w:val="00DB46A9"/>
    <w:rsid w:val="00DB5F9B"/>
    <w:rsid w:val="00DB691F"/>
    <w:rsid w:val="00DC1393"/>
    <w:rsid w:val="00DC713C"/>
    <w:rsid w:val="00DC78B1"/>
    <w:rsid w:val="00DC78FD"/>
    <w:rsid w:val="00DD1E86"/>
    <w:rsid w:val="00DD2786"/>
    <w:rsid w:val="00DD5DEA"/>
    <w:rsid w:val="00DE077C"/>
    <w:rsid w:val="00DE1304"/>
    <w:rsid w:val="00DF39C9"/>
    <w:rsid w:val="00DF3E29"/>
    <w:rsid w:val="00DF42D6"/>
    <w:rsid w:val="00DF4D2D"/>
    <w:rsid w:val="00DF5518"/>
    <w:rsid w:val="00DF58FF"/>
    <w:rsid w:val="00DF5D8A"/>
    <w:rsid w:val="00DF6C07"/>
    <w:rsid w:val="00E00018"/>
    <w:rsid w:val="00E0056B"/>
    <w:rsid w:val="00E0075A"/>
    <w:rsid w:val="00E02C50"/>
    <w:rsid w:val="00E032A5"/>
    <w:rsid w:val="00E03421"/>
    <w:rsid w:val="00E06029"/>
    <w:rsid w:val="00E06913"/>
    <w:rsid w:val="00E07152"/>
    <w:rsid w:val="00E073D0"/>
    <w:rsid w:val="00E07E8B"/>
    <w:rsid w:val="00E10A59"/>
    <w:rsid w:val="00E1484D"/>
    <w:rsid w:val="00E20F01"/>
    <w:rsid w:val="00E222A8"/>
    <w:rsid w:val="00E22440"/>
    <w:rsid w:val="00E23E1B"/>
    <w:rsid w:val="00E26988"/>
    <w:rsid w:val="00E271C6"/>
    <w:rsid w:val="00E30DD7"/>
    <w:rsid w:val="00E3135D"/>
    <w:rsid w:val="00E32366"/>
    <w:rsid w:val="00E3281A"/>
    <w:rsid w:val="00E33927"/>
    <w:rsid w:val="00E412FC"/>
    <w:rsid w:val="00E42071"/>
    <w:rsid w:val="00E42B35"/>
    <w:rsid w:val="00E430F4"/>
    <w:rsid w:val="00E43183"/>
    <w:rsid w:val="00E43D9A"/>
    <w:rsid w:val="00E443D3"/>
    <w:rsid w:val="00E45F8B"/>
    <w:rsid w:val="00E460F4"/>
    <w:rsid w:val="00E4628E"/>
    <w:rsid w:val="00E47CBC"/>
    <w:rsid w:val="00E508A0"/>
    <w:rsid w:val="00E51027"/>
    <w:rsid w:val="00E5233F"/>
    <w:rsid w:val="00E52EEF"/>
    <w:rsid w:val="00E54E91"/>
    <w:rsid w:val="00E569CE"/>
    <w:rsid w:val="00E575EC"/>
    <w:rsid w:val="00E611EA"/>
    <w:rsid w:val="00E61DF5"/>
    <w:rsid w:val="00E62355"/>
    <w:rsid w:val="00E650A2"/>
    <w:rsid w:val="00E652D5"/>
    <w:rsid w:val="00E65DC2"/>
    <w:rsid w:val="00E670C0"/>
    <w:rsid w:val="00E70A00"/>
    <w:rsid w:val="00E725D6"/>
    <w:rsid w:val="00E73F25"/>
    <w:rsid w:val="00E74DC1"/>
    <w:rsid w:val="00E7788A"/>
    <w:rsid w:val="00E778DA"/>
    <w:rsid w:val="00E80778"/>
    <w:rsid w:val="00E80F66"/>
    <w:rsid w:val="00E84B3C"/>
    <w:rsid w:val="00E87317"/>
    <w:rsid w:val="00E8766B"/>
    <w:rsid w:val="00E91082"/>
    <w:rsid w:val="00E92B55"/>
    <w:rsid w:val="00E94561"/>
    <w:rsid w:val="00E955A7"/>
    <w:rsid w:val="00E97D17"/>
    <w:rsid w:val="00EA0B83"/>
    <w:rsid w:val="00EA47E0"/>
    <w:rsid w:val="00EA5681"/>
    <w:rsid w:val="00EB0A32"/>
    <w:rsid w:val="00EB5AFA"/>
    <w:rsid w:val="00EB65CA"/>
    <w:rsid w:val="00EB7269"/>
    <w:rsid w:val="00EC17B3"/>
    <w:rsid w:val="00EC2870"/>
    <w:rsid w:val="00EC2A33"/>
    <w:rsid w:val="00EC38B1"/>
    <w:rsid w:val="00EC4AF4"/>
    <w:rsid w:val="00EC59EB"/>
    <w:rsid w:val="00EC5EBD"/>
    <w:rsid w:val="00EC631B"/>
    <w:rsid w:val="00EC67F3"/>
    <w:rsid w:val="00ED2D8D"/>
    <w:rsid w:val="00ED50EF"/>
    <w:rsid w:val="00ED51E2"/>
    <w:rsid w:val="00ED649A"/>
    <w:rsid w:val="00ED7F1D"/>
    <w:rsid w:val="00EE051B"/>
    <w:rsid w:val="00EE27A5"/>
    <w:rsid w:val="00EF21C1"/>
    <w:rsid w:val="00EF5A1C"/>
    <w:rsid w:val="00F03BB4"/>
    <w:rsid w:val="00F07A9E"/>
    <w:rsid w:val="00F10139"/>
    <w:rsid w:val="00F109E1"/>
    <w:rsid w:val="00F10D2A"/>
    <w:rsid w:val="00F1348F"/>
    <w:rsid w:val="00F16D1F"/>
    <w:rsid w:val="00F20D62"/>
    <w:rsid w:val="00F2482B"/>
    <w:rsid w:val="00F2633E"/>
    <w:rsid w:val="00F3018C"/>
    <w:rsid w:val="00F3100E"/>
    <w:rsid w:val="00F336B6"/>
    <w:rsid w:val="00F36457"/>
    <w:rsid w:val="00F36EA0"/>
    <w:rsid w:val="00F373CC"/>
    <w:rsid w:val="00F4213B"/>
    <w:rsid w:val="00F43BCE"/>
    <w:rsid w:val="00F51535"/>
    <w:rsid w:val="00F5214A"/>
    <w:rsid w:val="00F52777"/>
    <w:rsid w:val="00F528BF"/>
    <w:rsid w:val="00F57D78"/>
    <w:rsid w:val="00F60720"/>
    <w:rsid w:val="00F61712"/>
    <w:rsid w:val="00F624B0"/>
    <w:rsid w:val="00F63AC6"/>
    <w:rsid w:val="00F649C0"/>
    <w:rsid w:val="00F66014"/>
    <w:rsid w:val="00F67C39"/>
    <w:rsid w:val="00F72DC8"/>
    <w:rsid w:val="00F74ACE"/>
    <w:rsid w:val="00F76A18"/>
    <w:rsid w:val="00F7734A"/>
    <w:rsid w:val="00F808FB"/>
    <w:rsid w:val="00F82189"/>
    <w:rsid w:val="00F82AD6"/>
    <w:rsid w:val="00F84CB7"/>
    <w:rsid w:val="00F86337"/>
    <w:rsid w:val="00F9177B"/>
    <w:rsid w:val="00F920F0"/>
    <w:rsid w:val="00F938B6"/>
    <w:rsid w:val="00F93A9A"/>
    <w:rsid w:val="00F9625A"/>
    <w:rsid w:val="00F96799"/>
    <w:rsid w:val="00FA01B4"/>
    <w:rsid w:val="00FA0592"/>
    <w:rsid w:val="00FA2CDA"/>
    <w:rsid w:val="00FA3876"/>
    <w:rsid w:val="00FA3F44"/>
    <w:rsid w:val="00FA5A99"/>
    <w:rsid w:val="00FA6BE0"/>
    <w:rsid w:val="00FA76D6"/>
    <w:rsid w:val="00FA7CC5"/>
    <w:rsid w:val="00FB15F4"/>
    <w:rsid w:val="00FB2FA2"/>
    <w:rsid w:val="00FB31B7"/>
    <w:rsid w:val="00FB421A"/>
    <w:rsid w:val="00FB5C49"/>
    <w:rsid w:val="00FC0032"/>
    <w:rsid w:val="00FC0A01"/>
    <w:rsid w:val="00FC0FC5"/>
    <w:rsid w:val="00FC211F"/>
    <w:rsid w:val="00FC5D0E"/>
    <w:rsid w:val="00FC5DD6"/>
    <w:rsid w:val="00FC6704"/>
    <w:rsid w:val="00FC7F66"/>
    <w:rsid w:val="00FD2A14"/>
    <w:rsid w:val="00FD2C5E"/>
    <w:rsid w:val="00FD4D01"/>
    <w:rsid w:val="00FD5FFF"/>
    <w:rsid w:val="00FE35E1"/>
    <w:rsid w:val="00FE4601"/>
    <w:rsid w:val="00FE49DA"/>
    <w:rsid w:val="00FF096A"/>
    <w:rsid w:val="00FF0D90"/>
    <w:rsid w:val="00FF232F"/>
    <w:rsid w:val="00FF6EC8"/>
    <w:rsid w:val="00FF7020"/>
    <w:rsid w:val="00FF7925"/>
    <w:rsid w:val="0A78310C"/>
    <w:rsid w:val="12AA6C58"/>
    <w:rsid w:val="160D6710"/>
    <w:rsid w:val="169E2C66"/>
    <w:rsid w:val="1E9911B8"/>
    <w:rsid w:val="26587DA3"/>
    <w:rsid w:val="2B002F1A"/>
    <w:rsid w:val="2D7A0AB0"/>
    <w:rsid w:val="2F337470"/>
    <w:rsid w:val="3140250F"/>
    <w:rsid w:val="31D84F5C"/>
    <w:rsid w:val="3AE45194"/>
    <w:rsid w:val="3ECF0CF0"/>
    <w:rsid w:val="46876739"/>
    <w:rsid w:val="486B3D10"/>
    <w:rsid w:val="4EB16C3C"/>
    <w:rsid w:val="50193B69"/>
    <w:rsid w:val="545F2DCF"/>
    <w:rsid w:val="54617011"/>
    <w:rsid w:val="5BEF3B67"/>
    <w:rsid w:val="62A476BF"/>
    <w:rsid w:val="62B4328D"/>
    <w:rsid w:val="644F079A"/>
    <w:rsid w:val="67337169"/>
    <w:rsid w:val="72A6043D"/>
    <w:rsid w:val="757E36B9"/>
    <w:rsid w:val="7C9A0671"/>
    <w:rsid w:val="7D4678B7"/>
    <w:rsid w:val="7F7015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heme="minorBidi"/>
      <w:sz w:val="24"/>
      <w:szCs w:val="22"/>
      <w:lang w:val="en-US" w:eastAsia="zh-CN" w:bidi="ar-SA"/>
    </w:rPr>
  </w:style>
  <w:style w:type="paragraph" w:styleId="2">
    <w:name w:val="heading 1"/>
    <w:basedOn w:val="1"/>
    <w:next w:val="1"/>
    <w:link w:val="31"/>
    <w:qFormat/>
    <w:uiPriority w:val="9"/>
    <w:pPr>
      <w:keepNext/>
      <w:keepLines/>
      <w:ind w:firstLine="0" w:firstLineChars="0"/>
      <w:outlineLvl w:val="0"/>
    </w:pPr>
    <w:rPr>
      <w:rFonts w:cstheme="majorBidi"/>
      <w:b/>
      <w:sz w:val="32"/>
      <w:szCs w:val="32"/>
    </w:rPr>
  </w:style>
  <w:style w:type="paragraph" w:styleId="3">
    <w:name w:val="heading 2"/>
    <w:basedOn w:val="1"/>
    <w:next w:val="1"/>
    <w:link w:val="34"/>
    <w:unhideWhenUsed/>
    <w:qFormat/>
    <w:uiPriority w:val="9"/>
    <w:pPr>
      <w:keepNext/>
      <w:keepLines/>
      <w:spacing w:before="40"/>
      <w:outlineLvl w:val="1"/>
    </w:pPr>
    <w:rPr>
      <w:rFonts w:asciiTheme="majorHAnsi" w:hAnsiTheme="majorHAnsi" w:eastAsiaTheme="majorEastAsia" w:cstheme="majorBidi"/>
      <w:color w:val="2F5496" w:themeColor="accent1" w:themeShade="BF"/>
      <w:sz w:val="28"/>
      <w:szCs w:val="28"/>
    </w:rPr>
  </w:style>
  <w:style w:type="paragraph" w:styleId="4">
    <w:name w:val="heading 3"/>
    <w:basedOn w:val="1"/>
    <w:next w:val="1"/>
    <w:link w:val="40"/>
    <w:unhideWhenUsed/>
    <w:qFormat/>
    <w:uiPriority w:val="9"/>
    <w:pPr>
      <w:keepNext/>
      <w:keepLines/>
      <w:spacing w:before="40"/>
      <w:outlineLvl w:val="2"/>
    </w:pPr>
    <w:rPr>
      <w:rFonts w:asciiTheme="majorHAnsi" w:hAnsiTheme="majorHAnsi" w:eastAsiaTheme="majorEastAsia" w:cstheme="majorBidi"/>
      <w:color w:val="1F3864" w:themeColor="accent1" w:themeShade="80"/>
      <w:szCs w:val="24"/>
    </w:rPr>
  </w:style>
  <w:style w:type="paragraph" w:styleId="5">
    <w:name w:val="heading 4"/>
    <w:basedOn w:val="1"/>
    <w:next w:val="1"/>
    <w:link w:val="41"/>
    <w:semiHidden/>
    <w:unhideWhenUsed/>
    <w:qFormat/>
    <w:uiPriority w:val="9"/>
    <w:pPr>
      <w:keepNext/>
      <w:keepLines/>
      <w:spacing w:before="40"/>
      <w:outlineLvl w:val="3"/>
    </w:pPr>
    <w:rPr>
      <w:i/>
      <w:iCs/>
    </w:rPr>
  </w:style>
  <w:style w:type="paragraph" w:styleId="6">
    <w:name w:val="heading 5"/>
    <w:basedOn w:val="1"/>
    <w:next w:val="1"/>
    <w:link w:val="42"/>
    <w:semiHidden/>
    <w:unhideWhenUsed/>
    <w:qFormat/>
    <w:uiPriority w:val="9"/>
    <w:pPr>
      <w:keepNext/>
      <w:keepLines/>
      <w:spacing w:before="40"/>
      <w:outlineLvl w:val="4"/>
    </w:pPr>
    <w:rPr>
      <w:color w:val="2F5496" w:themeColor="accent1" w:themeShade="BF"/>
    </w:rPr>
  </w:style>
  <w:style w:type="paragraph" w:styleId="7">
    <w:name w:val="heading 6"/>
    <w:basedOn w:val="1"/>
    <w:next w:val="1"/>
    <w:link w:val="43"/>
    <w:semiHidden/>
    <w:unhideWhenUsed/>
    <w:qFormat/>
    <w:uiPriority w:val="9"/>
    <w:pPr>
      <w:keepNext/>
      <w:keepLines/>
      <w:spacing w:before="40"/>
      <w:outlineLvl w:val="5"/>
    </w:pPr>
    <w:rPr>
      <w:color w:val="1F3864" w:themeColor="accent1" w:themeShade="80"/>
    </w:rPr>
  </w:style>
  <w:style w:type="paragraph" w:styleId="8">
    <w:name w:val="heading 7"/>
    <w:basedOn w:val="1"/>
    <w:next w:val="1"/>
    <w:link w:val="44"/>
    <w:semiHidden/>
    <w:unhideWhenUsed/>
    <w:qFormat/>
    <w:uiPriority w:val="9"/>
    <w:pPr>
      <w:keepNext/>
      <w:keepLines/>
      <w:spacing w:before="40"/>
      <w:outlineLvl w:val="6"/>
    </w:pPr>
    <w:rPr>
      <w:rFonts w:asciiTheme="majorHAnsi" w:hAnsiTheme="majorHAnsi" w:eastAsiaTheme="majorEastAsia" w:cstheme="majorBidi"/>
      <w:i/>
      <w:iCs/>
      <w:color w:val="1F3864" w:themeColor="accent1" w:themeShade="80"/>
    </w:rPr>
  </w:style>
  <w:style w:type="paragraph" w:styleId="9">
    <w:name w:val="heading 8"/>
    <w:basedOn w:val="1"/>
    <w:next w:val="1"/>
    <w:link w:val="45"/>
    <w:semiHidden/>
    <w:unhideWhenUsed/>
    <w:qFormat/>
    <w:uiPriority w:val="9"/>
    <w:pPr>
      <w:keepNext/>
      <w:keepLines/>
      <w:spacing w:before="40"/>
      <w:outlineLvl w:val="7"/>
    </w:pPr>
    <w:rPr>
      <w:color w:val="252525" w:themeColor="text1" w:themeTint="D9"/>
      <w:sz w:val="21"/>
      <w:szCs w:val="21"/>
    </w:rPr>
  </w:style>
  <w:style w:type="paragraph" w:styleId="10">
    <w:name w:val="heading 9"/>
    <w:basedOn w:val="1"/>
    <w:next w:val="1"/>
    <w:link w:val="46"/>
    <w:semiHidden/>
    <w:unhideWhenUsed/>
    <w:qFormat/>
    <w:uiPriority w:val="9"/>
    <w:pPr>
      <w:keepNext/>
      <w:keepLines/>
      <w:spacing w:before="40"/>
      <w:outlineLvl w:val="8"/>
    </w:pPr>
    <w:rPr>
      <w:rFonts w:asciiTheme="majorHAnsi" w:hAnsiTheme="majorHAnsi" w:eastAsiaTheme="majorEastAsia" w:cstheme="majorBidi"/>
      <w:i/>
      <w:iCs/>
      <w:color w:val="252525" w:themeColor="text1" w:themeTint="D9"/>
      <w:sz w:val="21"/>
      <w:szCs w:val="21"/>
    </w:rPr>
  </w:style>
  <w:style w:type="character" w:default="1" w:styleId="24">
    <w:name w:val="Default Paragraph Font"/>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themeColor="text2"/>
      <w:sz w:val="18"/>
      <w:szCs w:val="18"/>
    </w:rPr>
  </w:style>
  <w:style w:type="paragraph" w:styleId="12">
    <w:name w:val="Document Map"/>
    <w:basedOn w:val="1"/>
    <w:link w:val="61"/>
    <w:semiHidden/>
    <w:unhideWhenUsed/>
    <w:qFormat/>
    <w:uiPriority w:val="99"/>
    <w:rPr>
      <w:rFonts w:ascii="Heiti SC Light" w:eastAsia="Heiti SC Light"/>
      <w:szCs w:val="24"/>
    </w:rPr>
  </w:style>
  <w:style w:type="paragraph" w:styleId="13">
    <w:name w:val="annotation text"/>
    <w:basedOn w:val="1"/>
    <w:link w:val="36"/>
    <w:unhideWhenUsed/>
    <w:qFormat/>
    <w:uiPriority w:val="99"/>
  </w:style>
  <w:style w:type="paragraph" w:styleId="14">
    <w:name w:val="Body Text"/>
    <w:basedOn w:val="1"/>
    <w:link w:val="66"/>
    <w:qFormat/>
    <w:uiPriority w:val="1"/>
    <w:pPr>
      <w:widowControl w:val="0"/>
      <w:spacing w:before="135" w:line="240" w:lineRule="auto"/>
      <w:ind w:left="106" w:firstLine="0" w:firstLineChars="0"/>
      <w:jc w:val="left"/>
    </w:pPr>
    <w:rPr>
      <w:rFonts w:ascii="宋体" w:hAnsi="宋体"/>
      <w:szCs w:val="24"/>
      <w:lang w:eastAsia="en-US"/>
    </w:rPr>
  </w:style>
  <w:style w:type="paragraph" w:styleId="15">
    <w:name w:val="Balloon Text"/>
    <w:basedOn w:val="1"/>
    <w:link w:val="38"/>
    <w:semiHidden/>
    <w:unhideWhenUsed/>
    <w:qFormat/>
    <w:uiPriority w:val="99"/>
    <w:pPr>
      <w:spacing w:line="240" w:lineRule="auto"/>
    </w:pPr>
    <w:rPr>
      <w:sz w:val="18"/>
      <w:szCs w:val="18"/>
    </w:rPr>
  </w:style>
  <w:style w:type="paragraph" w:styleId="16">
    <w:name w:val="footer"/>
    <w:basedOn w:val="1"/>
    <w:link w:val="30"/>
    <w:unhideWhenUsed/>
    <w:qFormat/>
    <w:uiPriority w:val="99"/>
    <w:pPr>
      <w:tabs>
        <w:tab w:val="center" w:pos="4153"/>
        <w:tab w:val="right" w:pos="8306"/>
      </w:tabs>
    </w:pPr>
    <w:rPr>
      <w:sz w:val="18"/>
      <w:szCs w:val="18"/>
    </w:rPr>
  </w:style>
  <w:style w:type="paragraph" w:styleId="17">
    <w:name w:val="header"/>
    <w:basedOn w:val="1"/>
    <w:link w:val="29"/>
    <w:unhideWhenUsed/>
    <w:qFormat/>
    <w:uiPriority w:val="99"/>
    <w:pPr>
      <w:pBdr>
        <w:bottom w:val="single" w:color="auto" w:sz="6" w:space="1"/>
      </w:pBdr>
      <w:tabs>
        <w:tab w:val="center" w:pos="4153"/>
        <w:tab w:val="right" w:pos="8306"/>
      </w:tabs>
      <w:jc w:val="center"/>
    </w:pPr>
    <w:rPr>
      <w:sz w:val="18"/>
      <w:szCs w:val="18"/>
    </w:rPr>
  </w:style>
  <w:style w:type="paragraph" w:styleId="18">
    <w:name w:val="Subtitle"/>
    <w:basedOn w:val="1"/>
    <w:next w:val="1"/>
    <w:link w:val="48"/>
    <w:qFormat/>
    <w:uiPriority w:val="11"/>
    <w:rPr>
      <w:color w:val="595959" w:themeColor="text1" w:themeTint="A5"/>
      <w:spacing w:val="15"/>
    </w:rPr>
  </w:style>
  <w:style w:type="paragraph" w:styleId="19">
    <w:name w:val="Normal (Web)"/>
    <w:basedOn w:val="1"/>
    <w:link w:val="32"/>
    <w:qFormat/>
    <w:uiPriority w:val="0"/>
    <w:pPr>
      <w:spacing w:before="100" w:beforeAutospacing="1" w:after="100" w:afterAutospacing="1"/>
    </w:pPr>
    <w:rPr>
      <w:rFonts w:ascii="宋体" w:hAnsi="宋体"/>
    </w:rPr>
  </w:style>
  <w:style w:type="paragraph" w:styleId="20">
    <w:name w:val="Title"/>
    <w:basedOn w:val="1"/>
    <w:next w:val="1"/>
    <w:link w:val="47"/>
    <w:qFormat/>
    <w:uiPriority w:val="10"/>
    <w:pPr>
      <w:spacing w:line="240" w:lineRule="auto"/>
      <w:contextualSpacing/>
    </w:pPr>
    <w:rPr>
      <w:rFonts w:asciiTheme="majorHAnsi" w:hAnsiTheme="majorHAnsi" w:eastAsiaTheme="majorEastAsia" w:cstheme="majorBidi"/>
      <w:spacing w:val="-10"/>
      <w:sz w:val="56"/>
      <w:szCs w:val="56"/>
    </w:rPr>
  </w:style>
  <w:style w:type="paragraph" w:styleId="21">
    <w:name w:val="annotation subject"/>
    <w:basedOn w:val="13"/>
    <w:next w:val="13"/>
    <w:link w:val="37"/>
    <w:semiHidden/>
    <w:unhideWhenUsed/>
    <w:qFormat/>
    <w:uiPriority w:val="99"/>
    <w:rPr>
      <w:b/>
      <w:bCs/>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color w:val="auto"/>
    </w:rPr>
  </w:style>
  <w:style w:type="character" w:styleId="26">
    <w:name w:val="Emphasis"/>
    <w:basedOn w:val="24"/>
    <w:qFormat/>
    <w:uiPriority w:val="20"/>
    <w:rPr>
      <w:i/>
      <w:iCs/>
      <w:color w:val="auto"/>
    </w:rPr>
  </w:style>
  <w:style w:type="character" w:styleId="27">
    <w:name w:val="Hyperlink"/>
    <w:basedOn w:val="24"/>
    <w:unhideWhenUsed/>
    <w:qFormat/>
    <w:uiPriority w:val="99"/>
    <w:rPr>
      <w:color w:val="0563C1" w:themeColor="hyperlink"/>
      <w:u w:val="single"/>
    </w:rPr>
  </w:style>
  <w:style w:type="character" w:styleId="28">
    <w:name w:val="annotation reference"/>
    <w:basedOn w:val="24"/>
    <w:semiHidden/>
    <w:unhideWhenUsed/>
    <w:qFormat/>
    <w:uiPriority w:val="99"/>
    <w:rPr>
      <w:sz w:val="21"/>
      <w:szCs w:val="21"/>
    </w:rPr>
  </w:style>
  <w:style w:type="character" w:customStyle="1" w:styleId="29">
    <w:name w:val="页眉 字符"/>
    <w:basedOn w:val="24"/>
    <w:link w:val="17"/>
    <w:qFormat/>
    <w:uiPriority w:val="99"/>
    <w:rPr>
      <w:sz w:val="18"/>
      <w:szCs w:val="18"/>
    </w:rPr>
  </w:style>
  <w:style w:type="character" w:customStyle="1" w:styleId="30">
    <w:name w:val="页脚 字符"/>
    <w:basedOn w:val="24"/>
    <w:link w:val="16"/>
    <w:qFormat/>
    <w:uiPriority w:val="99"/>
    <w:rPr>
      <w:sz w:val="18"/>
      <w:szCs w:val="18"/>
    </w:rPr>
  </w:style>
  <w:style w:type="character" w:customStyle="1" w:styleId="31">
    <w:name w:val="标题 1 字符"/>
    <w:basedOn w:val="24"/>
    <w:link w:val="2"/>
    <w:qFormat/>
    <w:uiPriority w:val="9"/>
    <w:rPr>
      <w:rFonts w:ascii="Times New Roman" w:hAnsi="Times New Roman" w:eastAsia="宋体" w:cstheme="majorBidi"/>
      <w:b/>
      <w:sz w:val="32"/>
      <w:szCs w:val="32"/>
    </w:rPr>
  </w:style>
  <w:style w:type="character" w:customStyle="1" w:styleId="32">
    <w:name w:val="普通(网站) 字符"/>
    <w:link w:val="19"/>
    <w:qFormat/>
    <w:locked/>
    <w:uiPriority w:val="0"/>
    <w:rPr>
      <w:rFonts w:ascii="宋体" w:hAnsi="宋体" w:eastAsia="宋体"/>
      <w:sz w:val="24"/>
    </w:rPr>
  </w:style>
  <w:style w:type="paragraph" w:customStyle="1" w:styleId="33">
    <w:name w:val="表格内容"/>
    <w:basedOn w:val="1"/>
    <w:qFormat/>
    <w:uiPriority w:val="0"/>
    <w:pPr>
      <w:spacing w:line="240" w:lineRule="auto"/>
      <w:ind w:firstLine="0" w:firstLineChars="0"/>
      <w:jc w:val="center"/>
    </w:pPr>
    <w:rPr>
      <w:sz w:val="21"/>
    </w:rPr>
  </w:style>
  <w:style w:type="character" w:customStyle="1" w:styleId="34">
    <w:name w:val="标题 2 字符"/>
    <w:basedOn w:val="24"/>
    <w:link w:val="3"/>
    <w:qFormat/>
    <w:uiPriority w:val="9"/>
    <w:rPr>
      <w:rFonts w:asciiTheme="majorHAnsi" w:hAnsiTheme="majorHAnsi" w:eastAsiaTheme="majorEastAsia" w:cstheme="majorBidi"/>
      <w:color w:val="2F5496" w:themeColor="accent1" w:themeShade="BF"/>
      <w:sz w:val="28"/>
      <w:szCs w:val="28"/>
    </w:rPr>
  </w:style>
  <w:style w:type="paragraph" w:customStyle="1" w:styleId="35">
    <w:name w:val="表头"/>
    <w:basedOn w:val="1"/>
    <w:qFormat/>
    <w:uiPriority w:val="0"/>
    <w:pPr>
      <w:spacing w:line="240" w:lineRule="auto"/>
      <w:ind w:firstLine="0" w:firstLineChars="0"/>
      <w:jc w:val="center"/>
    </w:pPr>
    <w:rPr>
      <w:b/>
      <w:sz w:val="21"/>
    </w:rPr>
  </w:style>
  <w:style w:type="character" w:customStyle="1" w:styleId="36">
    <w:name w:val="批注文字 字符"/>
    <w:basedOn w:val="24"/>
    <w:link w:val="13"/>
    <w:qFormat/>
    <w:uiPriority w:val="99"/>
    <w:rPr>
      <w:rFonts w:ascii="Times New Roman" w:hAnsi="Times New Roman" w:eastAsia="宋体" w:cs="Times New Roman"/>
      <w:sz w:val="24"/>
      <w:szCs w:val="24"/>
    </w:rPr>
  </w:style>
  <w:style w:type="character" w:customStyle="1" w:styleId="37">
    <w:name w:val="批注主题 字符"/>
    <w:basedOn w:val="36"/>
    <w:link w:val="21"/>
    <w:semiHidden/>
    <w:qFormat/>
    <w:uiPriority w:val="99"/>
    <w:rPr>
      <w:rFonts w:ascii="Times New Roman" w:hAnsi="Times New Roman" w:eastAsia="宋体" w:cs="Times New Roman"/>
      <w:b/>
      <w:bCs/>
      <w:sz w:val="24"/>
      <w:szCs w:val="24"/>
    </w:rPr>
  </w:style>
  <w:style w:type="character" w:customStyle="1" w:styleId="38">
    <w:name w:val="批注框文本 字符"/>
    <w:basedOn w:val="24"/>
    <w:link w:val="15"/>
    <w:semiHidden/>
    <w:qFormat/>
    <w:uiPriority w:val="99"/>
    <w:rPr>
      <w:rFonts w:ascii="Times New Roman" w:hAnsi="Times New Roman" w:eastAsia="宋体" w:cs="Times New Roman"/>
      <w:sz w:val="18"/>
      <w:szCs w:val="18"/>
    </w:rPr>
  </w:style>
  <w:style w:type="paragraph" w:styleId="39">
    <w:name w:val="No Spacing"/>
    <w:qFormat/>
    <w:uiPriority w:val="1"/>
    <w:rPr>
      <w:rFonts w:asciiTheme="minorHAnsi" w:hAnsiTheme="minorHAnsi" w:eastAsiaTheme="minorEastAsia" w:cstheme="minorBidi"/>
      <w:sz w:val="22"/>
      <w:szCs w:val="22"/>
      <w:lang w:val="en-US" w:eastAsia="zh-CN" w:bidi="ar-SA"/>
    </w:rPr>
  </w:style>
  <w:style w:type="character" w:customStyle="1" w:styleId="40">
    <w:name w:val="标题 3 字符"/>
    <w:basedOn w:val="24"/>
    <w:link w:val="4"/>
    <w:qFormat/>
    <w:uiPriority w:val="9"/>
    <w:rPr>
      <w:rFonts w:asciiTheme="majorHAnsi" w:hAnsiTheme="majorHAnsi" w:eastAsiaTheme="majorEastAsia" w:cstheme="majorBidi"/>
      <w:color w:val="1F3864" w:themeColor="accent1" w:themeShade="80"/>
      <w:sz w:val="24"/>
      <w:szCs w:val="24"/>
    </w:rPr>
  </w:style>
  <w:style w:type="character" w:customStyle="1" w:styleId="41">
    <w:name w:val="标题 4 字符"/>
    <w:basedOn w:val="24"/>
    <w:link w:val="5"/>
    <w:semiHidden/>
    <w:qFormat/>
    <w:uiPriority w:val="9"/>
    <w:rPr>
      <w:i/>
      <w:iCs/>
    </w:rPr>
  </w:style>
  <w:style w:type="character" w:customStyle="1" w:styleId="42">
    <w:name w:val="标题 5 字符"/>
    <w:basedOn w:val="24"/>
    <w:link w:val="6"/>
    <w:semiHidden/>
    <w:qFormat/>
    <w:uiPriority w:val="9"/>
    <w:rPr>
      <w:color w:val="2F5496" w:themeColor="accent1" w:themeShade="BF"/>
    </w:rPr>
  </w:style>
  <w:style w:type="character" w:customStyle="1" w:styleId="43">
    <w:name w:val="标题 6 字符"/>
    <w:basedOn w:val="24"/>
    <w:link w:val="7"/>
    <w:semiHidden/>
    <w:qFormat/>
    <w:uiPriority w:val="9"/>
    <w:rPr>
      <w:color w:val="1F3864" w:themeColor="accent1" w:themeShade="80"/>
    </w:rPr>
  </w:style>
  <w:style w:type="character" w:customStyle="1" w:styleId="44">
    <w:name w:val="标题 7 字符"/>
    <w:basedOn w:val="24"/>
    <w:link w:val="8"/>
    <w:semiHidden/>
    <w:qFormat/>
    <w:uiPriority w:val="9"/>
    <w:rPr>
      <w:rFonts w:asciiTheme="majorHAnsi" w:hAnsiTheme="majorHAnsi" w:eastAsiaTheme="majorEastAsia" w:cstheme="majorBidi"/>
      <w:i/>
      <w:iCs/>
      <w:color w:val="1F3864" w:themeColor="accent1" w:themeShade="80"/>
    </w:rPr>
  </w:style>
  <w:style w:type="character" w:customStyle="1" w:styleId="45">
    <w:name w:val="标题 8 字符"/>
    <w:basedOn w:val="24"/>
    <w:link w:val="9"/>
    <w:semiHidden/>
    <w:qFormat/>
    <w:uiPriority w:val="9"/>
    <w:rPr>
      <w:color w:val="252525" w:themeColor="text1" w:themeTint="D9"/>
      <w:sz w:val="21"/>
      <w:szCs w:val="21"/>
    </w:rPr>
  </w:style>
  <w:style w:type="character" w:customStyle="1" w:styleId="46">
    <w:name w:val="标题 9 字符"/>
    <w:basedOn w:val="24"/>
    <w:link w:val="10"/>
    <w:semiHidden/>
    <w:qFormat/>
    <w:uiPriority w:val="9"/>
    <w:rPr>
      <w:rFonts w:asciiTheme="majorHAnsi" w:hAnsiTheme="majorHAnsi" w:eastAsiaTheme="majorEastAsia" w:cstheme="majorBidi"/>
      <w:i/>
      <w:iCs/>
      <w:color w:val="252525" w:themeColor="text1" w:themeTint="D9"/>
      <w:sz w:val="21"/>
      <w:szCs w:val="21"/>
    </w:rPr>
  </w:style>
  <w:style w:type="character" w:customStyle="1" w:styleId="47">
    <w:name w:val="标题 字符"/>
    <w:basedOn w:val="24"/>
    <w:link w:val="20"/>
    <w:qFormat/>
    <w:uiPriority w:val="10"/>
    <w:rPr>
      <w:rFonts w:asciiTheme="majorHAnsi" w:hAnsiTheme="majorHAnsi" w:eastAsiaTheme="majorEastAsia" w:cstheme="majorBidi"/>
      <w:spacing w:val="-10"/>
      <w:sz w:val="56"/>
      <w:szCs w:val="56"/>
    </w:rPr>
  </w:style>
  <w:style w:type="character" w:customStyle="1" w:styleId="48">
    <w:name w:val="副标题 字符"/>
    <w:basedOn w:val="24"/>
    <w:link w:val="18"/>
    <w:qFormat/>
    <w:uiPriority w:val="11"/>
    <w:rPr>
      <w:color w:val="595959" w:themeColor="text1" w:themeTint="A5"/>
      <w:spacing w:val="15"/>
    </w:rPr>
  </w:style>
  <w:style w:type="paragraph" w:styleId="49">
    <w:name w:val="Quote"/>
    <w:basedOn w:val="1"/>
    <w:next w:val="1"/>
    <w:link w:val="50"/>
    <w:qFormat/>
    <w:uiPriority w:val="29"/>
    <w:pPr>
      <w:spacing w:before="200"/>
      <w:ind w:left="864" w:right="864"/>
    </w:pPr>
    <w:rPr>
      <w:i/>
      <w:iCs/>
      <w:color w:val="3F3F3F" w:themeColor="text1" w:themeTint="BF"/>
    </w:rPr>
  </w:style>
  <w:style w:type="character" w:customStyle="1" w:styleId="50">
    <w:name w:val="引用 字符"/>
    <w:basedOn w:val="24"/>
    <w:link w:val="49"/>
    <w:qFormat/>
    <w:uiPriority w:val="29"/>
    <w:rPr>
      <w:i/>
      <w:iCs/>
      <w:color w:val="3F3F3F" w:themeColor="text1" w:themeTint="BF"/>
    </w:rPr>
  </w:style>
  <w:style w:type="paragraph" w:styleId="51">
    <w:name w:val="Intense Quote"/>
    <w:basedOn w:val="1"/>
    <w:next w:val="1"/>
    <w:link w:val="52"/>
    <w:qFormat/>
    <w:uiPriority w:val="30"/>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customStyle="1" w:styleId="52">
    <w:name w:val="明显引用 字符"/>
    <w:basedOn w:val="24"/>
    <w:link w:val="51"/>
    <w:qFormat/>
    <w:uiPriority w:val="30"/>
    <w:rPr>
      <w:i/>
      <w:iCs/>
      <w:color w:val="4472C4" w:themeColor="accent1"/>
    </w:rPr>
  </w:style>
  <w:style w:type="character" w:customStyle="1" w:styleId="53">
    <w:name w:val="不明显强调1"/>
    <w:basedOn w:val="24"/>
    <w:qFormat/>
    <w:uiPriority w:val="19"/>
    <w:rPr>
      <w:i/>
      <w:iCs/>
      <w:color w:val="3F3F3F" w:themeColor="text1" w:themeTint="BF"/>
    </w:rPr>
  </w:style>
  <w:style w:type="character" w:customStyle="1" w:styleId="54">
    <w:name w:val="明显强调1"/>
    <w:basedOn w:val="24"/>
    <w:qFormat/>
    <w:uiPriority w:val="21"/>
    <w:rPr>
      <w:i/>
      <w:iCs/>
      <w:color w:val="4472C4" w:themeColor="accent1"/>
    </w:rPr>
  </w:style>
  <w:style w:type="character" w:customStyle="1" w:styleId="55">
    <w:name w:val="不明显参考1"/>
    <w:basedOn w:val="24"/>
    <w:qFormat/>
    <w:uiPriority w:val="31"/>
    <w:rPr>
      <w:smallCaps/>
      <w:color w:val="3F3F3F" w:themeColor="text1" w:themeTint="BF"/>
    </w:rPr>
  </w:style>
  <w:style w:type="character" w:customStyle="1" w:styleId="56">
    <w:name w:val="明显参考1"/>
    <w:basedOn w:val="24"/>
    <w:qFormat/>
    <w:uiPriority w:val="32"/>
    <w:rPr>
      <w:b/>
      <w:bCs/>
      <w:smallCaps/>
      <w:color w:val="4472C4" w:themeColor="accent1"/>
      <w:spacing w:val="5"/>
    </w:rPr>
  </w:style>
  <w:style w:type="character" w:customStyle="1" w:styleId="57">
    <w:name w:val="书籍标题1"/>
    <w:basedOn w:val="24"/>
    <w:qFormat/>
    <w:uiPriority w:val="33"/>
    <w:rPr>
      <w:b/>
      <w:bCs/>
      <w:i/>
      <w:iCs/>
      <w:spacing w:val="5"/>
    </w:rPr>
  </w:style>
  <w:style w:type="paragraph" w:customStyle="1" w:styleId="58">
    <w:name w:val="TOC 标题1"/>
    <w:basedOn w:val="2"/>
    <w:next w:val="1"/>
    <w:semiHidden/>
    <w:unhideWhenUsed/>
    <w:qFormat/>
    <w:uiPriority w:val="39"/>
    <w:pPr>
      <w:outlineLvl w:val="9"/>
    </w:pPr>
  </w:style>
  <w:style w:type="table" w:customStyle="1" w:styleId="59">
    <w:name w:val="Table Normal"/>
    <w:semiHidden/>
    <w:unhideWhenUsed/>
    <w:qFormat/>
    <w:uiPriority w:val="2"/>
    <w:pPr>
      <w:widowControl w:val="0"/>
    </w:pPr>
    <w:rPr>
      <w:lang w:eastAsia="en-US"/>
    </w:rPr>
    <w:tblPr>
      <w:tblCellMar>
        <w:top w:w="0" w:type="dxa"/>
        <w:left w:w="0" w:type="dxa"/>
        <w:bottom w:w="0" w:type="dxa"/>
        <w:right w:w="0" w:type="dxa"/>
      </w:tblCellMar>
    </w:tblPr>
  </w:style>
  <w:style w:type="paragraph" w:customStyle="1" w:styleId="60">
    <w:name w:val="Table Paragraph"/>
    <w:basedOn w:val="1"/>
    <w:qFormat/>
    <w:uiPriority w:val="1"/>
    <w:pPr>
      <w:widowControl w:val="0"/>
      <w:spacing w:line="240" w:lineRule="auto"/>
      <w:ind w:firstLine="0" w:firstLineChars="0"/>
    </w:pPr>
    <w:rPr>
      <w:rFonts w:asciiTheme="minorHAnsi" w:hAnsiTheme="minorHAnsi" w:eastAsiaTheme="minorEastAsia"/>
      <w:sz w:val="22"/>
      <w:lang w:eastAsia="en-US"/>
    </w:rPr>
  </w:style>
  <w:style w:type="character" w:customStyle="1" w:styleId="61">
    <w:name w:val="文档结构图 字符"/>
    <w:basedOn w:val="24"/>
    <w:link w:val="12"/>
    <w:semiHidden/>
    <w:qFormat/>
    <w:uiPriority w:val="99"/>
    <w:rPr>
      <w:rFonts w:ascii="Heiti SC Light" w:hAnsi="Times New Roman" w:eastAsia="Heiti SC Light"/>
      <w:sz w:val="24"/>
      <w:szCs w:val="24"/>
    </w:rPr>
  </w:style>
  <w:style w:type="paragraph" w:customStyle="1" w:styleId="62">
    <w:name w:val="修订1"/>
    <w:hidden/>
    <w:semiHidden/>
    <w:qFormat/>
    <w:uiPriority w:val="99"/>
    <w:rPr>
      <w:rFonts w:ascii="Times New Roman" w:hAnsi="Times New Roman" w:eastAsia="宋体" w:cstheme="minorBidi"/>
      <w:sz w:val="24"/>
      <w:szCs w:val="22"/>
      <w:lang w:val="en-US" w:eastAsia="zh-CN" w:bidi="ar-SA"/>
    </w:rPr>
  </w:style>
  <w:style w:type="paragraph" w:styleId="63">
    <w:name w:val="List Paragraph"/>
    <w:basedOn w:val="1"/>
    <w:qFormat/>
    <w:uiPriority w:val="34"/>
    <w:pPr>
      <w:ind w:firstLine="420"/>
    </w:pPr>
  </w:style>
  <w:style w:type="character" w:customStyle="1" w:styleId="64">
    <w:name w:val="未处理的提及1"/>
    <w:basedOn w:val="24"/>
    <w:semiHidden/>
    <w:unhideWhenUsed/>
    <w:qFormat/>
    <w:uiPriority w:val="99"/>
    <w:rPr>
      <w:color w:val="605E5C"/>
      <w:shd w:val="clear" w:color="auto" w:fill="E1DFDD"/>
    </w:rPr>
  </w:style>
  <w:style w:type="paragraph" w:customStyle="1" w:styleId="65">
    <w:name w:val="TIE 表格内容"/>
    <w:basedOn w:val="1"/>
    <w:uiPriority w:val="0"/>
    <w:pPr>
      <w:widowControl w:val="0"/>
      <w:spacing w:line="360" w:lineRule="exact"/>
      <w:ind w:firstLine="0" w:firstLineChars="0"/>
      <w:jc w:val="center"/>
    </w:pPr>
    <w:rPr>
      <w:rFonts w:cs="宋体"/>
      <w:kern w:val="2"/>
      <w:sz w:val="21"/>
      <w:szCs w:val="20"/>
    </w:rPr>
  </w:style>
  <w:style w:type="character" w:customStyle="1" w:styleId="66">
    <w:name w:val="正文文本 字符"/>
    <w:basedOn w:val="24"/>
    <w:link w:val="14"/>
    <w:uiPriority w:val="1"/>
    <w:rPr>
      <w:rFonts w:ascii="宋体" w:hAnsi="宋体" w:eastAsia="宋体"/>
      <w:sz w:val="24"/>
      <w:szCs w:val="24"/>
      <w:lang w:eastAsia="en-US"/>
    </w:rPr>
  </w:style>
  <w:style w:type="paragraph" w:customStyle="1" w:styleId="67">
    <w:name w:val="表格内容1"/>
    <w:basedOn w:val="1"/>
    <w:next w:val="1"/>
    <w:qFormat/>
    <w:uiPriority w:val="99"/>
    <w:pPr>
      <w:widowControl w:val="0"/>
      <w:spacing w:line="240" w:lineRule="auto"/>
      <w:ind w:firstLine="0" w:firstLineChars="0"/>
      <w:jc w:val="center"/>
    </w:pPr>
    <w:rPr>
      <w:kern w:val="2"/>
      <w:sz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customXml" Target="../customXml/item1.xml"/><Relationship Id="rId5" Type="http://schemas.openxmlformats.org/officeDocument/2006/relationships/header" Target="header1.xml"/><Relationship Id="rId49" Type="http://schemas.openxmlformats.org/officeDocument/2006/relationships/image" Target="media/image30.jpeg"/><Relationship Id="rId48" Type="http://schemas.openxmlformats.org/officeDocument/2006/relationships/image" Target="media/image29.jpeg"/><Relationship Id="rId47" Type="http://schemas.openxmlformats.org/officeDocument/2006/relationships/image" Target="media/image28.jpeg"/><Relationship Id="rId46" Type="http://schemas.openxmlformats.org/officeDocument/2006/relationships/image" Target="media/image27.jpeg"/><Relationship Id="rId45" Type="http://schemas.openxmlformats.org/officeDocument/2006/relationships/image" Target="media/image26.jpeg"/><Relationship Id="rId44" Type="http://schemas.openxmlformats.org/officeDocument/2006/relationships/image" Target="media/image25.jpeg"/><Relationship Id="rId43" Type="http://schemas.openxmlformats.org/officeDocument/2006/relationships/image" Target="media/image24.jpeg"/><Relationship Id="rId42" Type="http://schemas.openxmlformats.org/officeDocument/2006/relationships/image" Target="media/image23.jpeg"/><Relationship Id="rId41" Type="http://schemas.openxmlformats.org/officeDocument/2006/relationships/image" Target="media/image22.jpeg"/><Relationship Id="rId40" Type="http://schemas.openxmlformats.org/officeDocument/2006/relationships/image" Target="media/image21.jpeg"/><Relationship Id="rId4" Type="http://schemas.openxmlformats.org/officeDocument/2006/relationships/endnotes" Target="endnotes.xml"/><Relationship Id="rId39" Type="http://schemas.openxmlformats.org/officeDocument/2006/relationships/image" Target="media/image20.jpeg"/><Relationship Id="rId38" Type="http://schemas.openxmlformats.org/officeDocument/2006/relationships/image" Target="media/image19.jpeg"/><Relationship Id="rId37" Type="http://schemas.openxmlformats.org/officeDocument/2006/relationships/image" Target="media/image18.jpe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emf"/><Relationship Id="rId32" Type="http://schemas.openxmlformats.org/officeDocument/2006/relationships/package" Target="embeddings/Microsoft_Visio___8.vsdx"/><Relationship Id="rId31" Type="http://schemas.openxmlformats.org/officeDocument/2006/relationships/image" Target="media/image13.jpeg"/><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emf"/><Relationship Id="rId24" Type="http://schemas.openxmlformats.org/officeDocument/2006/relationships/package" Target="embeddings/Microsoft_Visio___7.vsdx"/><Relationship Id="rId23" Type="http://schemas.openxmlformats.org/officeDocument/2006/relationships/image" Target="media/image6.emf"/><Relationship Id="rId22" Type="http://schemas.openxmlformats.org/officeDocument/2006/relationships/package" Target="embeddings/Microsoft_Visio___6.vsdx"/><Relationship Id="rId21" Type="http://schemas.openxmlformats.org/officeDocument/2006/relationships/image" Target="media/image5.emf"/><Relationship Id="rId20" Type="http://schemas.openxmlformats.org/officeDocument/2006/relationships/package" Target="embeddings/Microsoft_Visio___5.vsdx"/><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package" Target="embeddings/Microsoft_Visio___4.vsdx"/><Relationship Id="rId17" Type="http://schemas.openxmlformats.org/officeDocument/2006/relationships/image" Target="media/image3.emf"/><Relationship Id="rId16" Type="http://schemas.openxmlformats.org/officeDocument/2006/relationships/package" Target="embeddings/Microsoft_Visio___3.vsdx"/><Relationship Id="rId15" Type="http://schemas.openxmlformats.org/officeDocument/2006/relationships/image" Target="media/image2.emf"/><Relationship Id="rId14" Type="http://schemas.openxmlformats.org/officeDocument/2006/relationships/oleObject" Target="embeddings/Microsoft_Visio_2003-2010___2.vsd"/><Relationship Id="rId13" Type="http://schemas.openxmlformats.org/officeDocument/2006/relationships/image" Target="media/image1.emf"/><Relationship Id="rId12" Type="http://schemas.openxmlformats.org/officeDocument/2006/relationships/package" Target="embeddings/Microsoft_Visio___1.vsdx"/><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46"/>
    <customShpInfo spid="_x0000_s1045"/>
    <customShpInfo spid="_x0000_s1028"/>
    <customShpInfo spid="_x0000_s1029"/>
    <customShpInfo spid="_x0000_s1027"/>
    <customShpInfo spid="_x0000_s1030"/>
    <customShpInfo spid="_x0000_s1031"/>
    <customShpInfo spid="_x0000_s1032"/>
    <customShpInfo spid="_x0000_s1033"/>
    <customShpInfo spid="_x0000_s1043"/>
    <customShpInfo spid="_x0000_s1034"/>
    <customShpInfo spid="_x0000_s1042"/>
    <customShpInfo spid="_x0000_s1035"/>
    <customShpInfo spid="_x0000_s1041"/>
    <customShpInfo spid="_x0000_s1036"/>
    <customShpInfo spid="_x0000_s1040"/>
    <customShpInfo spid="_x0000_s1037"/>
    <customShpInfo spid="_x0000_s1038"/>
    <customShpInfo spid="_x0000_s103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7CC82E-5BD7-4096-BD54-A9D1BB901122}">
  <ds:schemaRefs/>
</ds:datastoreItem>
</file>

<file path=docProps/app.xml><?xml version="1.0" encoding="utf-8"?>
<Properties xmlns="http://schemas.openxmlformats.org/officeDocument/2006/extended-properties" xmlns:vt="http://schemas.openxmlformats.org/officeDocument/2006/docPropsVTypes">
  <Template>Normal.dotm</Template>
  <Pages>66</Pages>
  <Words>5240</Words>
  <Characters>29871</Characters>
  <Lines>248</Lines>
  <Paragraphs>70</Paragraphs>
  <TotalTime>1136</TotalTime>
  <ScaleCrop>false</ScaleCrop>
  <LinksUpToDate>false</LinksUpToDate>
  <CharactersWithSpaces>35041</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2021-06-18T10:36:00Z</dcterms:created>
  <dc:creator>Micorosoft</dc:creator>
  <cp:lastModifiedBy>逆流的鱼1395131761</cp:lastModifiedBy>
  <dcterms:modified xsi:type="dcterms:W3CDTF">2021-08-16T01:39:31Z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9A615A14196345E8A99D88D5823A17C7</vt:lpwstr>
  </property>
</Properties>
</file>